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40640</wp:posOffset>
            </wp:positionV>
            <wp:extent cx="396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119" w:lineRule="exact"/>
        <w:rPr>
          <w:sz w:val="24"/>
          <w:szCs w:val="24"/>
          <w:color w:val="auto"/>
        </w:rPr>
      </w:pPr>
    </w:p>
    <w:p>
      <w:pPr>
        <w:ind w:left="4000" w:right="1360" w:hanging="2633"/>
        <w:spacing w:after="0" w:line="259" w:lineRule="auto"/>
        <w:tabs>
          <w:tab w:leader="none" w:pos="169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ANNUALLY REPORT PURSUANT TO SECTION 13 OR 15(d) OF THE SECURITIES EXCHANGE ACT OF 1934 </w:t>
      </w:r>
      <w:r>
        <w:rPr>
          <w:rFonts w:ascii="Arial" w:cs="Arial" w:eastAsia="Arial" w:hAnsi="Arial"/>
          <w:sz w:val="16"/>
          <w:szCs w:val="16"/>
          <w:color w:val="auto"/>
        </w:rPr>
        <w:t>For the fiscal year ended December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 w:lineRule="exact"/>
        <w:rPr>
          <w:sz w:val="24"/>
          <w:szCs w:val="24"/>
          <w:color w:val="auto"/>
        </w:rPr>
      </w:pPr>
    </w:p>
    <w:p>
      <w:pPr>
        <w:ind w:left="1640" w:hanging="333"/>
        <w:spacing w:after="0"/>
        <w:tabs>
          <w:tab w:leader="none" w:pos="16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500" w:type="dxa"/>
            <w:vAlign w:val="bottom"/>
          </w:tcPr>
          <w:p>
            <w:pPr>
              <w:ind w:left="40"/>
              <w:spacing w:after="0"/>
              <w:rPr>
                <w:sz w:val="20"/>
                <w:szCs w:val="20"/>
                <w:color w:val="auto"/>
              </w:rPr>
            </w:pPr>
            <w:r>
              <w:rPr>
                <w:rFonts w:ascii="Arial" w:cs="Arial" w:eastAsia="Arial" w:hAnsi="Arial"/>
                <w:sz w:val="16"/>
                <w:szCs w:val="16"/>
                <w:color w:val="auto"/>
              </w:rPr>
              <w:t>For the transition period from</w:t>
            </w:r>
          </w:p>
        </w:tc>
        <w:tc>
          <w:tcPr>
            <w:tcW w:w="1440" w:type="dxa"/>
            <w:vAlign w:val="bottom"/>
          </w:tcPr>
          <w:p>
            <w:pPr>
              <w:ind w:left="160"/>
              <w:spacing w:after="0"/>
              <w:rPr>
                <w:sz w:val="20"/>
                <w:szCs w:val="20"/>
                <w:color w:val="auto"/>
              </w:rPr>
            </w:pPr>
            <w:r>
              <w:rPr>
                <w:rFonts w:ascii="Arial" w:cs="Arial" w:eastAsia="Arial" w:hAnsi="Arial"/>
                <w:sz w:val="16"/>
                <w:szCs w:val="16"/>
                <w:color w:val="auto"/>
              </w:rPr>
              <w:t>to</w:t>
            </w: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70"/>
        </w:trPr>
        <w:tc>
          <w:tcPr>
            <w:tcW w:w="25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940" w:type="dxa"/>
            <w:vAlign w:val="bottom"/>
            <w:gridSpan w:val="2"/>
          </w:tcPr>
          <w:p>
            <w:pPr>
              <w:jc w:val="center"/>
              <w:ind w:right="508"/>
              <w:spacing w:after="0"/>
              <w:rPr>
                <w:sz w:val="20"/>
                <w:szCs w:val="20"/>
                <w:color w:val="auto"/>
              </w:rPr>
            </w:pPr>
            <w:r>
              <w:rPr>
                <w:rFonts w:ascii="Arial" w:cs="Arial" w:eastAsia="Arial" w:hAnsi="Arial"/>
                <w:sz w:val="16"/>
                <w:szCs w:val="16"/>
                <w:color w:val="auto"/>
              </w:rPr>
              <w:t>Commission file number 001-37983</w:t>
            </w:r>
          </w:p>
        </w:tc>
        <w:tc>
          <w:tcPr>
            <w:tcW w:w="86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114"/>
        </w:trPr>
        <w:tc>
          <w:tcPr>
            <w:tcW w:w="2500" w:type="dxa"/>
            <w:vAlign w:val="bottom"/>
          </w:tcPr>
          <w:p>
            <w:pPr>
              <w:spacing w:after="0"/>
              <w:rPr>
                <w:sz w:val="9"/>
                <w:szCs w:val="9"/>
                <w:color w:val="auto"/>
              </w:rPr>
            </w:pPr>
          </w:p>
        </w:tc>
        <w:tc>
          <w:tcPr>
            <w:tcW w:w="1440" w:type="dxa"/>
            <w:vAlign w:val="bottom"/>
            <w:tcBorders>
              <w:bottom w:val="single" w:sz="8" w:color="6D6D6D"/>
            </w:tcBorders>
          </w:tcPr>
          <w:p>
            <w:pPr>
              <w:spacing w:after="0"/>
              <w:rPr>
                <w:sz w:val="9"/>
                <w:szCs w:val="9"/>
                <w:color w:val="auto"/>
              </w:rPr>
            </w:pPr>
          </w:p>
        </w:tc>
        <w:tc>
          <w:tcPr>
            <w:tcW w:w="3940" w:type="dxa"/>
            <w:vAlign w:val="bottom"/>
            <w:tcBorders>
              <w:bottom w:val="single" w:sz="8" w:color="6D6D6D"/>
            </w:tcBorders>
            <w:gridSpan w:val="2"/>
          </w:tcPr>
          <w:p>
            <w:pPr>
              <w:spacing w:after="0"/>
              <w:rPr>
                <w:sz w:val="9"/>
                <w:szCs w:val="9"/>
                <w:color w:val="auto"/>
              </w:rPr>
            </w:pPr>
          </w:p>
        </w:tc>
        <w:tc>
          <w:tcPr>
            <w:tcW w:w="860" w:type="dxa"/>
            <w:vAlign w:val="bottom"/>
            <w:tcBorders>
              <w:bottom w:val="single" w:sz="8" w:color="6D6D6D"/>
            </w:tcBorders>
          </w:tcPr>
          <w:p>
            <w:pPr>
              <w:spacing w:after="0"/>
              <w:rPr>
                <w:sz w:val="9"/>
                <w:szCs w:val="9"/>
                <w:color w:val="auto"/>
              </w:rPr>
            </w:pPr>
          </w:p>
        </w:tc>
        <w:tc>
          <w:tcPr>
            <w:tcW w:w="1900" w:type="dxa"/>
            <w:vAlign w:val="bottom"/>
          </w:tcPr>
          <w:p>
            <w:pPr>
              <w:spacing w:after="0"/>
              <w:rPr>
                <w:sz w:val="9"/>
                <w:szCs w:val="9"/>
                <w:color w:val="auto"/>
              </w:rPr>
            </w:pPr>
          </w:p>
        </w:tc>
      </w:tr>
      <w:tr>
        <w:trPr>
          <w:trHeight w:val="440"/>
        </w:trPr>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40" w:type="dxa"/>
            <w:vAlign w:val="bottom"/>
            <w:gridSpan w:val="2"/>
          </w:tcPr>
          <w:p>
            <w:pPr>
              <w:jc w:val="center"/>
              <w:ind w:right="508"/>
              <w:spacing w:after="0"/>
              <w:rPr>
                <w:sz w:val="20"/>
                <w:szCs w:val="20"/>
                <w:color w:val="auto"/>
              </w:rPr>
            </w:pPr>
            <w:r>
              <w:rPr>
                <w:rFonts w:ascii="Arial" w:cs="Arial" w:eastAsia="Arial" w:hAnsi="Arial"/>
                <w:sz w:val="32"/>
                <w:szCs w:val="32"/>
                <w:b w:val="1"/>
                <w:bCs w:val="1"/>
                <w:color w:val="auto"/>
              </w:rPr>
              <w:t>TechnipFMC plc</w:t>
            </w: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2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40" w:type="dxa"/>
            <w:vAlign w:val="bottom"/>
            <w:gridSpan w:val="2"/>
          </w:tcPr>
          <w:p>
            <w:pPr>
              <w:jc w:val="center"/>
              <w:ind w:right="508"/>
              <w:spacing w:after="0"/>
              <w:rPr>
                <w:sz w:val="20"/>
                <w:szCs w:val="20"/>
                <w:color w:val="auto"/>
              </w:rPr>
            </w:pPr>
            <w:r>
              <w:rPr>
                <w:rFonts w:ascii="Arial" w:cs="Arial" w:eastAsia="Arial" w:hAnsi="Arial"/>
                <w:sz w:val="14"/>
                <w:szCs w:val="14"/>
                <w:color w:val="auto"/>
              </w:rPr>
              <w:t>(Exact name of registrant as specified in its charter)</w:t>
            </w:r>
          </w:p>
        </w:tc>
        <w:tc>
          <w:tcPr>
            <w:tcW w:w="8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53"/>
        </w:trPr>
        <w:tc>
          <w:tcPr>
            <w:tcW w:w="2500" w:type="dxa"/>
            <w:vAlign w:val="bottom"/>
          </w:tcPr>
          <w:p>
            <w:pPr>
              <w:spacing w:after="0"/>
              <w:rPr>
                <w:sz w:val="4"/>
                <w:szCs w:val="4"/>
                <w:color w:val="auto"/>
              </w:rPr>
            </w:pPr>
          </w:p>
        </w:tc>
        <w:tc>
          <w:tcPr>
            <w:tcW w:w="1440" w:type="dxa"/>
            <w:vAlign w:val="bottom"/>
            <w:tcBorders>
              <w:bottom w:val="single" w:sz="8" w:color="6D6D6D"/>
            </w:tcBorders>
          </w:tcPr>
          <w:p>
            <w:pPr>
              <w:spacing w:after="0"/>
              <w:rPr>
                <w:sz w:val="4"/>
                <w:szCs w:val="4"/>
                <w:color w:val="auto"/>
              </w:rPr>
            </w:pPr>
          </w:p>
        </w:tc>
        <w:tc>
          <w:tcPr>
            <w:tcW w:w="2500" w:type="dxa"/>
            <w:vAlign w:val="bottom"/>
            <w:tcBorders>
              <w:bottom w:val="single" w:sz="8" w:color="6D6D6D"/>
            </w:tcBorders>
          </w:tcPr>
          <w:p>
            <w:pPr>
              <w:spacing w:after="0"/>
              <w:rPr>
                <w:sz w:val="4"/>
                <w:szCs w:val="4"/>
                <w:color w:val="auto"/>
              </w:rPr>
            </w:pPr>
          </w:p>
        </w:tc>
        <w:tc>
          <w:tcPr>
            <w:tcW w:w="1440" w:type="dxa"/>
            <w:vAlign w:val="bottom"/>
            <w:tcBorders>
              <w:bottom w:val="single" w:sz="8" w:color="6D6D6D"/>
            </w:tcBorders>
          </w:tcPr>
          <w:p>
            <w:pPr>
              <w:spacing w:after="0"/>
              <w:rPr>
                <w:sz w:val="4"/>
                <w:szCs w:val="4"/>
                <w:color w:val="auto"/>
              </w:rPr>
            </w:pPr>
          </w:p>
        </w:tc>
        <w:tc>
          <w:tcPr>
            <w:tcW w:w="860" w:type="dxa"/>
            <w:vAlign w:val="bottom"/>
            <w:tcBorders>
              <w:bottom w:val="single" w:sz="8" w:color="6D6D6D"/>
            </w:tcBorders>
          </w:tcPr>
          <w:p>
            <w:pPr>
              <w:spacing w:after="0"/>
              <w:rPr>
                <w:sz w:val="4"/>
                <w:szCs w:val="4"/>
                <w:color w:val="auto"/>
              </w:rPr>
            </w:pPr>
          </w:p>
        </w:tc>
        <w:tc>
          <w:tcPr>
            <w:tcW w:w="1900" w:type="dxa"/>
            <w:vAlign w:val="bottom"/>
          </w:tcPr>
          <w:p>
            <w:pPr>
              <w:spacing w:after="0"/>
              <w:rPr>
                <w:sz w:val="4"/>
                <w:szCs w:val="4"/>
                <w:color w:val="auto"/>
              </w:rPr>
            </w:pPr>
          </w:p>
        </w:tc>
      </w:tr>
      <w:tr>
        <w:trPr>
          <w:trHeight w:val="298"/>
        </w:trPr>
        <w:tc>
          <w:tcPr>
            <w:tcW w:w="3940" w:type="dxa"/>
            <w:vAlign w:val="bottom"/>
            <w:gridSpan w:val="2"/>
          </w:tcPr>
          <w:p>
            <w:pPr>
              <w:jc w:val="center"/>
              <w:ind w:left="1627"/>
              <w:spacing w:after="0"/>
              <w:rPr>
                <w:sz w:val="20"/>
                <w:szCs w:val="20"/>
                <w:color w:val="auto"/>
              </w:rPr>
            </w:pPr>
            <w:r>
              <w:rPr>
                <w:rFonts w:ascii="Arial" w:cs="Arial" w:eastAsia="Arial" w:hAnsi="Arial"/>
                <w:sz w:val="16"/>
                <w:szCs w:val="16"/>
                <w:b w:val="1"/>
                <w:bCs w:val="1"/>
                <w:color w:val="auto"/>
              </w:rPr>
              <w:t>United Kingdom</w:t>
            </w: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60" w:type="dxa"/>
            <w:vAlign w:val="bottom"/>
            <w:gridSpan w:val="2"/>
          </w:tcPr>
          <w:p>
            <w:pPr>
              <w:jc w:val="right"/>
              <w:ind w:right="1780"/>
              <w:spacing w:after="0"/>
              <w:rPr>
                <w:sz w:val="20"/>
                <w:szCs w:val="20"/>
                <w:color w:val="auto"/>
              </w:rPr>
            </w:pPr>
            <w:r>
              <w:rPr>
                <w:rFonts w:ascii="Arial" w:cs="Arial" w:eastAsia="Arial" w:hAnsi="Arial"/>
                <w:sz w:val="16"/>
                <w:szCs w:val="16"/>
                <w:b w:val="1"/>
                <w:bCs w:val="1"/>
                <w:color w:val="auto"/>
              </w:rPr>
              <w:t>98-1283037</w:t>
            </w:r>
          </w:p>
        </w:tc>
      </w:tr>
      <w:tr>
        <w:trPr>
          <w:trHeight w:val="166"/>
        </w:trPr>
        <w:tc>
          <w:tcPr>
            <w:tcW w:w="6440" w:type="dxa"/>
            <w:vAlign w:val="bottom"/>
            <w:gridSpan w:val="3"/>
          </w:tcPr>
          <w:p>
            <w:pPr>
              <w:jc w:val="center"/>
              <w:ind w:right="715"/>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4200" w:type="dxa"/>
            <w:vAlign w:val="bottom"/>
            <w:gridSpan w:val="3"/>
          </w:tcPr>
          <w:p>
            <w:pPr>
              <w:jc w:val="center"/>
              <w:ind w:right="220"/>
              <w:spacing w:after="0"/>
              <w:rPr>
                <w:sz w:val="20"/>
                <w:szCs w:val="20"/>
                <w:color w:val="auto"/>
              </w:rPr>
            </w:pPr>
            <w:r>
              <w:rPr>
                <w:rFonts w:ascii="Arial" w:cs="Arial" w:eastAsia="Arial" w:hAnsi="Arial"/>
                <w:sz w:val="13"/>
                <w:szCs w:val="13"/>
                <w:color w:val="auto"/>
                <w:w w:val="96"/>
              </w:rPr>
              <w:t>(I.R.S. Employer Identification No.)</w:t>
            </w:r>
          </w:p>
        </w:tc>
      </w:tr>
      <w:tr>
        <w:trPr>
          <w:trHeight w:val="388"/>
        </w:trPr>
        <w:tc>
          <w:tcPr>
            <w:tcW w:w="3940" w:type="dxa"/>
            <w:vAlign w:val="bottom"/>
            <w:gridSpan w:val="2"/>
          </w:tcPr>
          <w:p>
            <w:pPr>
              <w:jc w:val="center"/>
              <w:ind w:left="1627"/>
              <w:spacing w:after="0"/>
              <w:rPr>
                <w:sz w:val="20"/>
                <w:szCs w:val="20"/>
                <w:color w:val="auto"/>
              </w:rPr>
            </w:pPr>
            <w:r>
              <w:rPr>
                <w:rFonts w:ascii="Arial" w:cs="Arial" w:eastAsia="Arial" w:hAnsi="Arial"/>
                <w:sz w:val="16"/>
                <w:szCs w:val="16"/>
                <w:b w:val="1"/>
                <w:bCs w:val="1"/>
                <w:color w:val="auto"/>
              </w:rPr>
              <w:t>One St. Paul’s Churchyard</w:t>
            </w: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1440" w:type="dxa"/>
            <w:vAlign w:val="bottom"/>
          </w:tcPr>
          <w:p>
            <w:pPr>
              <w:jc w:val="center"/>
              <w:ind w:right="725"/>
              <w:spacing w:after="0"/>
              <w:rPr>
                <w:sz w:val="20"/>
                <w:szCs w:val="20"/>
                <w:color w:val="auto"/>
              </w:rPr>
            </w:pPr>
            <w:r>
              <w:rPr>
                <w:rFonts w:ascii="Arial" w:cs="Arial" w:eastAsia="Arial" w:hAnsi="Arial"/>
                <w:sz w:val="16"/>
                <w:szCs w:val="16"/>
                <w:b w:val="1"/>
                <w:bCs w:val="1"/>
                <w:color w:val="auto"/>
              </w:rPr>
              <w:t>London</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940" w:type="dxa"/>
            <w:vAlign w:val="bottom"/>
            <w:gridSpan w:val="2"/>
          </w:tcPr>
          <w:p>
            <w:pPr>
              <w:jc w:val="center"/>
              <w:ind w:left="1627"/>
              <w:spacing w:after="0"/>
              <w:rPr>
                <w:sz w:val="20"/>
                <w:szCs w:val="20"/>
                <w:color w:val="auto"/>
              </w:rPr>
            </w:pPr>
            <w:r>
              <w:rPr>
                <w:rFonts w:ascii="Arial" w:cs="Arial" w:eastAsia="Arial" w:hAnsi="Arial"/>
                <w:sz w:val="16"/>
                <w:szCs w:val="16"/>
                <w:b w:val="1"/>
                <w:bCs w:val="1"/>
                <w:color w:val="auto"/>
              </w:rPr>
              <w:t>United Kingdom</w:t>
            </w: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6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rPr>
              <w:t>EC4M 8AP</w:t>
            </w:r>
          </w:p>
        </w:tc>
      </w:tr>
      <w:tr>
        <w:trPr>
          <w:trHeight w:val="165"/>
        </w:trPr>
        <w:tc>
          <w:tcPr>
            <w:tcW w:w="3940" w:type="dxa"/>
            <w:vAlign w:val="bottom"/>
            <w:gridSpan w:val="2"/>
          </w:tcPr>
          <w:p>
            <w:pPr>
              <w:jc w:val="center"/>
              <w:ind w:left="1627"/>
              <w:spacing w:after="0"/>
              <w:rPr>
                <w:sz w:val="20"/>
                <w:szCs w:val="20"/>
                <w:color w:val="auto"/>
              </w:rPr>
            </w:pPr>
            <w:r>
              <w:rPr>
                <w:rFonts w:ascii="Arial" w:cs="Arial" w:eastAsia="Arial" w:hAnsi="Arial"/>
                <w:sz w:val="13"/>
                <w:szCs w:val="13"/>
                <w:color w:val="auto"/>
                <w:w w:val="97"/>
              </w:rPr>
              <w:t>(Address of principal executive offices)</w:t>
            </w: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60" w:type="dxa"/>
            <w:vAlign w:val="bottom"/>
            <w:gridSpan w:val="2"/>
          </w:tcPr>
          <w:p>
            <w:pPr>
              <w:jc w:val="center"/>
              <w:ind w:right="1660"/>
              <w:spacing w:after="0"/>
              <w:rPr>
                <w:sz w:val="20"/>
                <w:szCs w:val="20"/>
                <w:color w:val="auto"/>
              </w:rPr>
            </w:pPr>
            <w:r>
              <w:rPr>
                <w:rFonts w:ascii="Arial" w:cs="Arial" w:eastAsia="Arial" w:hAnsi="Arial"/>
                <w:sz w:val="13"/>
                <w:szCs w:val="13"/>
                <w:color w:val="auto"/>
                <w:w w:val="94"/>
              </w:rPr>
              <w:t>(Zip Code)</w:t>
            </w:r>
          </w:p>
        </w:tc>
      </w:tr>
      <w:tr>
        <w:trPr>
          <w:trHeight w:val="199"/>
        </w:trPr>
        <w:tc>
          <w:tcPr>
            <w:tcW w:w="2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00" w:type="dxa"/>
            <w:vAlign w:val="bottom"/>
          </w:tcPr>
          <w:p>
            <w:pPr>
              <w:jc w:val="center"/>
              <w:ind w:left="775"/>
              <w:spacing w:after="0"/>
              <w:rPr>
                <w:sz w:val="20"/>
                <w:szCs w:val="20"/>
                <w:color w:val="auto"/>
              </w:rPr>
            </w:pPr>
            <w:r>
              <w:rPr>
                <w:rFonts w:ascii="Arial" w:cs="Arial" w:eastAsia="Arial" w:hAnsi="Arial"/>
                <w:sz w:val="16"/>
                <w:szCs w:val="16"/>
                <w:b w:val="1"/>
                <w:bCs w:val="1"/>
                <w:color w:val="auto"/>
              </w:rPr>
              <w:t>+44 203-429-3950</w:t>
            </w: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52"/>
        </w:trPr>
        <w:tc>
          <w:tcPr>
            <w:tcW w:w="2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940" w:type="dxa"/>
            <w:vAlign w:val="bottom"/>
            <w:gridSpan w:val="2"/>
          </w:tcPr>
          <w:p>
            <w:pPr>
              <w:jc w:val="center"/>
              <w:ind w:right="508"/>
              <w:spacing w:after="0"/>
              <w:rPr>
                <w:sz w:val="20"/>
                <w:szCs w:val="20"/>
                <w:color w:val="auto"/>
              </w:rPr>
            </w:pPr>
            <w:r>
              <w:rPr>
                <w:rFonts w:ascii="Arial" w:cs="Arial" w:eastAsia="Arial" w:hAnsi="Arial"/>
                <w:sz w:val="13"/>
                <w:szCs w:val="13"/>
                <w:color w:val="auto"/>
                <w:w w:val="96"/>
              </w:rPr>
              <w:t>(Registrant’s telephone number, including area code)</w:t>
            </w:r>
          </w:p>
        </w:tc>
        <w:tc>
          <w:tcPr>
            <w:tcW w:w="86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46"/>
        </w:trPr>
        <w:tc>
          <w:tcPr>
            <w:tcW w:w="2500" w:type="dxa"/>
            <w:vAlign w:val="bottom"/>
          </w:tcPr>
          <w:p>
            <w:pPr>
              <w:spacing w:after="0"/>
              <w:rPr>
                <w:sz w:val="21"/>
                <w:szCs w:val="21"/>
                <w:color w:val="auto"/>
              </w:rPr>
            </w:pPr>
          </w:p>
        </w:tc>
        <w:tc>
          <w:tcPr>
            <w:tcW w:w="5380" w:type="dxa"/>
            <w:vAlign w:val="bottom"/>
            <w:gridSpan w:val="3"/>
          </w:tcPr>
          <w:p>
            <w:pPr>
              <w:jc w:val="center"/>
              <w:ind w:left="785"/>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8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190"/>
        </w:trPr>
        <w:tc>
          <w:tcPr>
            <w:tcW w:w="3940" w:type="dxa"/>
            <w:vAlign w:val="bottom"/>
            <w:gridSpan w:val="2"/>
          </w:tcPr>
          <w:p>
            <w:pPr>
              <w:jc w:val="center"/>
              <w:ind w:left="267"/>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Pr>
          <w:p>
            <w:pPr>
              <w:jc w:val="center"/>
              <w:ind w:left="715"/>
              <w:spacing w:after="0"/>
              <w:rPr>
                <w:sz w:val="20"/>
                <w:szCs w:val="20"/>
                <w:color w:val="auto"/>
              </w:rPr>
            </w:pPr>
            <w:r>
              <w:rPr>
                <w:rFonts w:ascii="Arial" w:cs="Arial" w:eastAsia="Arial" w:hAnsi="Arial"/>
                <w:sz w:val="14"/>
                <w:szCs w:val="14"/>
                <w:b w:val="1"/>
                <w:bCs w:val="1"/>
                <w:color w:val="auto"/>
              </w:rPr>
              <w:t>Trading Symbol</w:t>
            </w:r>
          </w:p>
        </w:tc>
        <w:tc>
          <w:tcPr>
            <w:tcW w:w="4200" w:type="dxa"/>
            <w:vAlign w:val="bottom"/>
            <w:gridSpan w:val="3"/>
          </w:tcPr>
          <w:p>
            <w:pPr>
              <w:jc w:val="center"/>
              <w:ind w:left="98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8"/>
        </w:trPr>
        <w:tc>
          <w:tcPr>
            <w:tcW w:w="3940" w:type="dxa"/>
            <w:vAlign w:val="bottom"/>
            <w:gridSpan w:val="2"/>
          </w:tcPr>
          <w:p>
            <w:pPr>
              <w:jc w:val="center"/>
              <w:ind w:left="287"/>
              <w:spacing w:after="0"/>
              <w:rPr>
                <w:sz w:val="20"/>
                <w:szCs w:val="20"/>
                <w:color w:val="auto"/>
              </w:rPr>
            </w:pPr>
            <w:r>
              <w:rPr>
                <w:rFonts w:ascii="Arial" w:cs="Arial" w:eastAsia="Arial" w:hAnsi="Arial"/>
                <w:sz w:val="14"/>
                <w:szCs w:val="14"/>
                <w:color w:val="auto"/>
              </w:rPr>
              <w:t>Ordinary shares, $1.00 par value per share</w:t>
            </w:r>
          </w:p>
        </w:tc>
        <w:tc>
          <w:tcPr>
            <w:tcW w:w="2500" w:type="dxa"/>
            <w:vAlign w:val="bottom"/>
          </w:tcPr>
          <w:p>
            <w:pPr>
              <w:jc w:val="center"/>
              <w:ind w:left="715"/>
              <w:spacing w:after="0"/>
              <w:rPr>
                <w:sz w:val="20"/>
                <w:szCs w:val="20"/>
                <w:color w:val="auto"/>
              </w:rPr>
            </w:pPr>
            <w:r>
              <w:rPr>
                <w:rFonts w:ascii="Arial" w:cs="Arial" w:eastAsia="Arial" w:hAnsi="Arial"/>
                <w:sz w:val="14"/>
                <w:szCs w:val="14"/>
                <w:color w:val="auto"/>
              </w:rPr>
              <w:t>FTI</w:t>
            </w:r>
          </w:p>
        </w:tc>
        <w:tc>
          <w:tcPr>
            <w:tcW w:w="1440" w:type="dxa"/>
            <w:vAlign w:val="bottom"/>
          </w:tcPr>
          <w:p>
            <w:pPr>
              <w:spacing w:after="0"/>
              <w:rPr>
                <w:sz w:val="16"/>
                <w:szCs w:val="16"/>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4"/>
                <w:szCs w:val="14"/>
                <w:color w:val="auto"/>
              </w:rPr>
              <w:t>New York Stock Exchange</w:t>
            </w:r>
          </w:p>
        </w:tc>
      </w:tr>
      <w:tr>
        <w:trPr>
          <w:trHeight w:val="190"/>
        </w:trPr>
        <w:tc>
          <w:tcPr>
            <w:tcW w:w="2500" w:type="dxa"/>
            <w:vAlign w:val="bottom"/>
          </w:tcPr>
          <w:p>
            <w:pPr>
              <w:spacing w:after="0"/>
              <w:rPr>
                <w:sz w:val="16"/>
                <w:szCs w:val="16"/>
                <w:color w:val="auto"/>
              </w:rPr>
            </w:pPr>
          </w:p>
        </w:tc>
        <w:tc>
          <w:tcPr>
            <w:tcW w:w="538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06"/>
        </w:trPr>
        <w:tc>
          <w:tcPr>
            <w:tcW w:w="2500" w:type="dxa"/>
            <w:vAlign w:val="bottom"/>
          </w:tcPr>
          <w:p>
            <w:pPr>
              <w:spacing w:after="0"/>
              <w:rPr>
                <w:sz w:val="9"/>
                <w:szCs w:val="9"/>
                <w:color w:val="auto"/>
              </w:rPr>
            </w:pPr>
          </w:p>
        </w:tc>
        <w:tc>
          <w:tcPr>
            <w:tcW w:w="5380" w:type="dxa"/>
            <w:vAlign w:val="bottom"/>
            <w:tcBorders>
              <w:bottom w:val="single" w:sz="8" w:color="6D6D6D"/>
            </w:tcBorders>
            <w:gridSpan w:val="3"/>
          </w:tcPr>
          <w:p>
            <w:pPr>
              <w:spacing w:after="0"/>
              <w:rPr>
                <w:sz w:val="9"/>
                <w:szCs w:val="9"/>
                <w:color w:val="auto"/>
              </w:rPr>
            </w:pPr>
          </w:p>
        </w:tc>
        <w:tc>
          <w:tcPr>
            <w:tcW w:w="860" w:type="dxa"/>
            <w:vAlign w:val="bottom"/>
            <w:tcBorders>
              <w:bottom w:val="single" w:sz="8" w:color="6D6D6D"/>
            </w:tcBorders>
          </w:tcPr>
          <w:p>
            <w:pPr>
              <w:spacing w:after="0"/>
              <w:rPr>
                <w:sz w:val="9"/>
                <w:szCs w:val="9"/>
                <w:color w:val="auto"/>
              </w:rPr>
            </w:pPr>
          </w:p>
        </w:tc>
        <w:tc>
          <w:tcPr>
            <w:tcW w:w="1900" w:type="dxa"/>
            <w:vAlign w:val="bottom"/>
          </w:tcPr>
          <w:p>
            <w:pPr>
              <w:spacing w:after="0"/>
              <w:rPr>
                <w:sz w:val="9"/>
                <w:szCs w:val="9"/>
                <w:color w:val="auto"/>
              </w:rPr>
            </w:pPr>
          </w:p>
        </w:tc>
      </w:tr>
      <w:tr>
        <w:trPr>
          <w:trHeight w:val="281"/>
        </w:trPr>
        <w:tc>
          <w:tcPr>
            <w:tcW w:w="7880" w:type="dxa"/>
            <w:vAlign w:val="bottom"/>
            <w:gridSpan w:val="4"/>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760" w:type="dxa"/>
            <w:vAlign w:val="bottom"/>
            <w:gridSpan w:val="2"/>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57"/>
        </w:trPr>
        <w:tc>
          <w:tcPr>
            <w:tcW w:w="7880" w:type="dxa"/>
            <w:vAlign w:val="bottom"/>
            <w:gridSpan w:val="4"/>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w:t>
            </w:r>
          </w:p>
        </w:tc>
        <w:tc>
          <w:tcPr>
            <w:tcW w:w="2760" w:type="dxa"/>
            <w:vAlign w:val="bottom"/>
            <w:gridSpan w:val="2"/>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55" w:lineRule="exact"/>
        <w:rPr>
          <w:sz w:val="24"/>
          <w:szCs w:val="24"/>
          <w:color w:val="auto"/>
        </w:rPr>
      </w:pPr>
    </w:p>
    <w:p>
      <w:pPr>
        <w:ind w:right="2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80" w:hanging="292"/>
        <w:spacing w:after="0" w:line="161" w:lineRule="exact"/>
        <w:tabs>
          <w:tab w:leader="none" w:pos="3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9"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jc w:val="both"/>
        <w:ind w:right="2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2"/>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880" w:type="dxa"/>
            <w:vAlign w:val="bottom"/>
          </w:tcPr>
          <w:p>
            <w:pPr>
              <w:ind w:left="260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5"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5" w:lineRule="exact"/>
        <w:rPr>
          <w:sz w:val="24"/>
          <w:szCs w:val="24"/>
          <w:color w:val="auto"/>
        </w:rPr>
      </w:pPr>
    </w:p>
    <w:p>
      <w:pPr>
        <w:jc w:val="both"/>
        <w:spacing w:after="0" w:line="19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3" w:lineRule="exact"/>
        <w:rPr>
          <w:sz w:val="24"/>
          <w:szCs w:val="24"/>
          <w:color w:val="auto"/>
        </w:rPr>
      </w:pPr>
    </w:p>
    <w:p>
      <w:pPr>
        <w:spacing w:after="0" w:line="161" w:lineRule="exact"/>
        <w:tabs>
          <w:tab w:leader="none" w:pos="72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3" w:lineRule="exact"/>
        <w:rPr>
          <w:sz w:val="24"/>
          <w:szCs w:val="24"/>
          <w:color w:val="auto"/>
        </w:rPr>
      </w:pPr>
    </w:p>
    <w:p>
      <w:pPr>
        <w:jc w:val="both"/>
        <w:spacing w:after="0" w:line="258" w:lineRule="auto"/>
        <w:rPr>
          <w:sz w:val="20"/>
          <w:szCs w:val="20"/>
          <w:color w:val="auto"/>
        </w:rPr>
      </w:pPr>
      <w:r>
        <w:rPr>
          <w:rFonts w:ascii="Arial" w:cs="Arial" w:eastAsia="Arial" w:hAnsi="Arial"/>
          <w:sz w:val="14"/>
          <w:szCs w:val="14"/>
          <w:color w:val="auto"/>
        </w:rPr>
        <w:t>The aggregate market value of the registrant’s ordinary shares held by non-affiliates of the registrant, determined by multiplying the outstanding shares on June 30, 2020, by the closing price on such day of $6.80 as reported on the New York Stock Exchange, was $2.7 billion.</w:t>
      </w:r>
    </w:p>
    <w:tbl>
      <w:tblPr>
        <w:tblLayout w:type="fixed"/>
        <w:tblInd w:w="60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900" w:type="dxa"/>
            <w:vAlign w:val="bottom"/>
            <w:gridSpan w:val="2"/>
          </w:tcPr>
          <w:p>
            <w:pPr>
              <w:jc w:val="center"/>
              <w:ind w:right="3520"/>
              <w:spacing w:after="0"/>
              <w:rPr>
                <w:sz w:val="20"/>
                <w:szCs w:val="20"/>
                <w:color w:val="auto"/>
              </w:rPr>
            </w:pPr>
            <w:r>
              <w:rPr>
                <w:rFonts w:ascii="Arial" w:cs="Arial" w:eastAsia="Arial" w:hAnsi="Arial"/>
                <w:sz w:val="14"/>
                <w:szCs w:val="14"/>
                <w:b w:val="1"/>
                <w:bCs w:val="1"/>
                <w:color w:val="auto"/>
              </w:rPr>
              <w:t>Class</w:t>
            </w:r>
          </w:p>
        </w:tc>
        <w:tc>
          <w:tcPr>
            <w:tcW w:w="4540" w:type="dxa"/>
            <w:vAlign w:val="bottom"/>
            <w:gridSpan w:val="2"/>
          </w:tcPr>
          <w:p>
            <w:pPr>
              <w:jc w:val="center"/>
              <w:ind w:left="2208"/>
              <w:spacing w:after="0"/>
              <w:rPr>
                <w:sz w:val="20"/>
                <w:szCs w:val="20"/>
                <w:color w:val="auto"/>
              </w:rPr>
            </w:pPr>
            <w:r>
              <w:rPr>
                <w:rFonts w:ascii="Arial" w:cs="Arial" w:eastAsia="Arial" w:hAnsi="Arial"/>
                <w:sz w:val="14"/>
                <w:szCs w:val="14"/>
                <w:b w:val="1"/>
                <w:bCs w:val="1"/>
                <w:color w:val="auto"/>
              </w:rPr>
              <w:t>Outstanding at February 24, 2021</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98"/>
        </w:trPr>
        <w:tc>
          <w:tcPr>
            <w:tcW w:w="5160" w:type="dxa"/>
            <w:vAlign w:val="bottom"/>
            <w:gridSpan w:val="3"/>
          </w:tcPr>
          <w:p>
            <w:pPr>
              <w:jc w:val="center"/>
              <w:ind w:right="2260"/>
              <w:spacing w:after="0"/>
              <w:rPr>
                <w:sz w:val="20"/>
                <w:szCs w:val="20"/>
                <w:color w:val="auto"/>
              </w:rPr>
            </w:pPr>
            <w:r>
              <w:rPr>
                <w:rFonts w:ascii="Arial" w:cs="Arial" w:eastAsia="Arial" w:hAnsi="Arial"/>
                <w:sz w:val="14"/>
                <w:szCs w:val="14"/>
                <w:b w:val="1"/>
                <w:bCs w:val="1"/>
                <w:color w:val="auto"/>
              </w:rPr>
              <w:t>Ordinary shares, $1.00 par value per share</w:t>
            </w:r>
          </w:p>
        </w:tc>
        <w:tc>
          <w:tcPr>
            <w:tcW w:w="4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450,433,770</w:t>
            </w:r>
          </w:p>
        </w:tc>
      </w:tr>
    </w:tbl>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spacing w:after="0" w:line="249" w:lineRule="auto"/>
        <w:rPr>
          <w:sz w:val="20"/>
          <w:szCs w:val="20"/>
          <w:color w:val="auto"/>
        </w:rPr>
      </w:pPr>
      <w:r>
        <w:rPr>
          <w:rFonts w:ascii="Arial" w:cs="Arial" w:eastAsia="Arial" w:hAnsi="Arial"/>
          <w:sz w:val="14"/>
          <w:szCs w:val="14"/>
          <w:color w:val="auto"/>
        </w:rPr>
        <w:t>Portions of the registrant’s definitive Proxy Statement relating to its 2021 Annual General Meeting of Shareholders are incorporated by reference into Part III of this Annual Report on Form 10-K where indicated. The 2021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40" w:type="dxa"/>
            <w:vAlign w:val="bottom"/>
          </w:tcPr>
          <w:p>
            <w:pPr>
              <w:ind w:left="126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r>
      <w:tr>
        <w:trPr>
          <w:trHeight w:val="378"/>
        </w:trPr>
        <w:tc>
          <w:tcPr>
            <w:tcW w:w="2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Page</w:t>
            </w:r>
          </w:p>
        </w:tc>
      </w:tr>
      <w:tr>
        <w:trPr>
          <w:trHeight w:val="169"/>
        </w:trPr>
        <w:tc>
          <w:tcPr>
            <w:tcW w:w="20" w:type="dxa"/>
            <w:vAlign w:val="bottom"/>
            <w:shd w:val="clear" w:color="auto" w:fill="CCEEFF"/>
          </w:tcPr>
          <w:p>
            <w:pPr>
              <w:spacing w:after="0"/>
              <w:rPr>
                <w:sz w:val="14"/>
                <w:szCs w:val="14"/>
                <w:color w:val="auto"/>
              </w:rPr>
            </w:pPr>
          </w:p>
        </w:tc>
        <w:tc>
          <w:tcPr>
            <w:tcW w:w="1062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PART I</w:t>
            </w:r>
          </w:p>
        </w:tc>
        <w:tc>
          <w:tcPr>
            <w:tcW w:w="5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Item 1. Business</w:t>
              </w:r>
            </w:hyperlink>
          </w:p>
        </w:tc>
        <w:tc>
          <w:tcPr>
            <w:tcW w:w="580" w:type="dxa"/>
            <w:vAlign w:val="bottom"/>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4</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Executive Officers of the Registrant</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29</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29">
              <w:r>
                <w:rPr>
                  <w:rFonts w:ascii="Arial" w:cs="Arial" w:eastAsia="Arial" w:hAnsi="Arial"/>
                  <w:sz w:val="14"/>
                  <w:szCs w:val="14"/>
                  <w:u w:val="single" w:color="auto"/>
                  <w:color w:val="0000FF"/>
                </w:rPr>
                <w:t>Item 1A. Risk Factors</w:t>
              </w:r>
            </w:hyperlink>
          </w:p>
        </w:tc>
        <w:tc>
          <w:tcPr>
            <w:tcW w:w="580" w:type="dxa"/>
            <w:vAlign w:val="bottom"/>
          </w:tcPr>
          <w:p>
            <w:pPr>
              <w:jc w:val="right"/>
              <w:spacing w:after="0"/>
              <w:rPr>
                <w:rFonts w:ascii="Arial" w:cs="Arial" w:eastAsia="Arial" w:hAnsi="Arial"/>
                <w:sz w:val="14"/>
                <w:szCs w:val="14"/>
                <w:u w:val="single" w:color="auto"/>
                <w:color w:val="0000FF"/>
              </w:rPr>
            </w:pPr>
            <w:hyperlink w:anchor="page29">
              <w:r>
                <w:rPr>
                  <w:rFonts w:ascii="Arial" w:cs="Arial" w:eastAsia="Arial" w:hAnsi="Arial"/>
                  <w:sz w:val="14"/>
                  <w:szCs w:val="14"/>
                  <w:u w:val="single" w:color="auto"/>
                  <w:color w:val="0000FF"/>
                </w:rPr>
                <w:t>30</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Item 1B. Unresolved Staff Comments</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46</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Item 2. Properties</w:t>
              </w:r>
            </w:hyperlink>
          </w:p>
        </w:tc>
        <w:tc>
          <w:tcPr>
            <w:tcW w:w="580" w:type="dxa"/>
            <w:vAlign w:val="bottom"/>
          </w:tcPr>
          <w:p>
            <w:pPr>
              <w:jc w:val="right"/>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47</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142">
              <w:r>
                <w:rPr>
                  <w:rFonts w:ascii="Arial" w:cs="Arial" w:eastAsia="Arial" w:hAnsi="Arial"/>
                  <w:sz w:val="14"/>
                  <w:szCs w:val="14"/>
                  <w:u w:val="single" w:color="auto"/>
                  <w:color w:val="0000FF"/>
                </w:rPr>
                <w:t>Item 3. Legal Proceedings</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142">
              <w:r>
                <w:rPr>
                  <w:rFonts w:ascii="Arial" w:cs="Arial" w:eastAsia="Arial" w:hAnsi="Arial"/>
                  <w:sz w:val="14"/>
                  <w:szCs w:val="14"/>
                  <w:u w:val="single" w:color="auto"/>
                  <w:color w:val="0000FF"/>
                </w:rPr>
                <w:t>142</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142">
              <w:r>
                <w:rPr>
                  <w:rFonts w:ascii="Arial" w:cs="Arial" w:eastAsia="Arial" w:hAnsi="Arial"/>
                  <w:sz w:val="14"/>
                  <w:szCs w:val="14"/>
                  <w:u w:val="single" w:color="auto"/>
                  <w:color w:val="0000FF"/>
                </w:rPr>
                <w:t>Item 4. Mine Safety Disclosures</w:t>
              </w:r>
            </w:hyperlink>
          </w:p>
        </w:tc>
        <w:tc>
          <w:tcPr>
            <w:tcW w:w="580" w:type="dxa"/>
            <w:vAlign w:val="bottom"/>
          </w:tcPr>
          <w:p>
            <w:pPr>
              <w:jc w:val="right"/>
              <w:spacing w:after="0"/>
              <w:rPr>
                <w:rFonts w:ascii="Arial" w:cs="Arial" w:eastAsia="Arial" w:hAnsi="Arial"/>
                <w:sz w:val="14"/>
                <w:szCs w:val="14"/>
                <w:u w:val="single" w:color="auto"/>
                <w:color w:val="0000FF"/>
              </w:rPr>
            </w:pPr>
            <w:hyperlink w:anchor="page142">
              <w:r>
                <w:rPr>
                  <w:rFonts w:ascii="Arial" w:cs="Arial" w:eastAsia="Arial" w:hAnsi="Arial"/>
                  <w:sz w:val="14"/>
                  <w:szCs w:val="14"/>
                  <w:u w:val="single" w:color="auto"/>
                  <w:color w:val="0000FF"/>
                </w:rPr>
                <w:t>142</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PART II</w:t>
            </w:r>
          </w:p>
        </w:tc>
        <w:tc>
          <w:tcPr>
            <w:tcW w:w="58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Item 5. Market for Registrant’s Common Equity, Related Stockholder Matters and Issuer Purchases of Equity Securities</w:t>
              </w:r>
            </w:hyperlink>
          </w:p>
        </w:tc>
        <w:tc>
          <w:tcPr>
            <w:tcW w:w="580" w:type="dxa"/>
            <w:vAlign w:val="bottom"/>
          </w:tcPr>
          <w:p>
            <w:pPr>
              <w:jc w:val="right"/>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50</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Item 6. Selected Financial Data</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52</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Item 7. Management’s Discussion and Analysis of Financial Condition and Results of Operations</w:t>
              </w:r>
            </w:hyperlink>
          </w:p>
        </w:tc>
        <w:tc>
          <w:tcPr>
            <w:tcW w:w="580" w:type="dxa"/>
            <w:vAlign w:val="bottom"/>
          </w:tcPr>
          <w:p>
            <w:pPr>
              <w:jc w:val="right"/>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53</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75">
              <w:r>
                <w:rPr>
                  <w:rFonts w:ascii="Arial" w:cs="Arial" w:eastAsia="Arial" w:hAnsi="Arial"/>
                  <w:sz w:val="14"/>
                  <w:szCs w:val="14"/>
                  <w:u w:val="single" w:color="auto"/>
                  <w:color w:val="0000FF"/>
                </w:rPr>
                <w:t>Item 7A. Quantitative and Qualitative Disclosures About Market Risk</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75">
              <w:r>
                <w:rPr>
                  <w:rFonts w:ascii="Arial" w:cs="Arial" w:eastAsia="Arial" w:hAnsi="Arial"/>
                  <w:sz w:val="14"/>
                  <w:szCs w:val="14"/>
                  <w:u w:val="single" w:color="auto"/>
                  <w:color w:val="0000FF"/>
                </w:rPr>
                <w:t>76</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77">
              <w:r>
                <w:rPr>
                  <w:rFonts w:ascii="Arial" w:cs="Arial" w:eastAsia="Arial" w:hAnsi="Arial"/>
                  <w:sz w:val="14"/>
                  <w:szCs w:val="14"/>
                  <w:u w:val="single" w:color="auto"/>
                  <w:color w:val="0000FF"/>
                </w:rPr>
                <w:t>Item 8. Financial Statements and Supplementary Data</w:t>
              </w:r>
            </w:hyperlink>
          </w:p>
        </w:tc>
        <w:tc>
          <w:tcPr>
            <w:tcW w:w="580" w:type="dxa"/>
            <w:vAlign w:val="bottom"/>
          </w:tcPr>
          <w:p>
            <w:pPr>
              <w:jc w:val="right"/>
              <w:spacing w:after="0"/>
              <w:rPr>
                <w:rFonts w:ascii="Arial" w:cs="Arial" w:eastAsia="Arial" w:hAnsi="Arial"/>
                <w:sz w:val="14"/>
                <w:szCs w:val="14"/>
                <w:u w:val="single" w:color="auto"/>
                <w:color w:val="0000FF"/>
              </w:rPr>
            </w:pPr>
            <w:hyperlink w:anchor="page77">
              <w:r>
                <w:rPr>
                  <w:rFonts w:ascii="Arial" w:cs="Arial" w:eastAsia="Arial" w:hAnsi="Arial"/>
                  <w:sz w:val="14"/>
                  <w:szCs w:val="14"/>
                  <w:u w:val="single" w:color="auto"/>
                  <w:color w:val="0000FF"/>
                </w:rPr>
                <w:t>78</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141">
              <w:r>
                <w:rPr>
                  <w:rFonts w:ascii="Arial" w:cs="Arial" w:eastAsia="Arial" w:hAnsi="Arial"/>
                  <w:sz w:val="14"/>
                  <w:szCs w:val="14"/>
                  <w:u w:val="single" w:color="auto"/>
                  <w:color w:val="0000FF"/>
                </w:rPr>
                <w:t>Item 9. Changes in and Disagreements with Accountants on Accounting and Financial Disclosure</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141">
              <w:r>
                <w:rPr>
                  <w:rFonts w:ascii="Arial" w:cs="Arial" w:eastAsia="Arial" w:hAnsi="Arial"/>
                  <w:sz w:val="14"/>
                  <w:szCs w:val="14"/>
                  <w:u w:val="single" w:color="auto"/>
                  <w:color w:val="0000FF"/>
                </w:rPr>
                <w:t>141</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141">
              <w:r>
                <w:rPr>
                  <w:rFonts w:ascii="Arial" w:cs="Arial" w:eastAsia="Arial" w:hAnsi="Arial"/>
                  <w:sz w:val="14"/>
                  <w:szCs w:val="14"/>
                  <w:u w:val="single" w:color="auto"/>
                  <w:color w:val="0000FF"/>
                </w:rPr>
                <w:t>Item 9A. Controls and Procedures</w:t>
              </w:r>
            </w:hyperlink>
          </w:p>
        </w:tc>
        <w:tc>
          <w:tcPr>
            <w:tcW w:w="580" w:type="dxa"/>
            <w:vAlign w:val="bottom"/>
          </w:tcPr>
          <w:p>
            <w:pPr>
              <w:jc w:val="right"/>
              <w:spacing w:after="0"/>
              <w:rPr>
                <w:rFonts w:ascii="Arial" w:cs="Arial" w:eastAsia="Arial" w:hAnsi="Arial"/>
                <w:sz w:val="14"/>
                <w:szCs w:val="14"/>
                <w:u w:val="single" w:color="auto"/>
                <w:color w:val="0000FF"/>
              </w:rPr>
            </w:pPr>
            <w:hyperlink w:anchor="page141">
              <w:r>
                <w:rPr>
                  <w:rFonts w:ascii="Arial" w:cs="Arial" w:eastAsia="Arial" w:hAnsi="Arial"/>
                  <w:sz w:val="14"/>
                  <w:szCs w:val="14"/>
                  <w:u w:val="single" w:color="auto"/>
                  <w:color w:val="0000FF"/>
                </w:rPr>
                <w:t>141</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142">
              <w:r>
                <w:rPr>
                  <w:rFonts w:ascii="Arial" w:cs="Arial" w:eastAsia="Arial" w:hAnsi="Arial"/>
                  <w:sz w:val="14"/>
                  <w:szCs w:val="14"/>
                  <w:u w:val="single" w:color="auto"/>
                  <w:color w:val="0000FF"/>
                </w:rPr>
                <w:t>Item 9B. Other Information</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142">
              <w:r>
                <w:rPr>
                  <w:rFonts w:ascii="Arial" w:cs="Arial" w:eastAsia="Arial" w:hAnsi="Arial"/>
                  <w:sz w:val="14"/>
                  <w:szCs w:val="14"/>
                  <w:u w:val="single" w:color="auto"/>
                  <w:color w:val="0000FF"/>
                </w:rPr>
                <w:t>142</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sz w:val="20"/>
                <w:szCs w:val="20"/>
                <w:color w:val="auto"/>
              </w:rPr>
            </w:pPr>
            <w:r>
              <w:rPr>
                <w:rFonts w:ascii="Arial" w:cs="Arial" w:eastAsia="Arial" w:hAnsi="Arial"/>
                <w:sz w:val="14"/>
                <w:szCs w:val="14"/>
                <w:b w:val="1"/>
                <w:bCs w:val="1"/>
                <w:color w:val="auto"/>
              </w:rPr>
              <w:t>PART III</w:t>
            </w:r>
          </w:p>
        </w:tc>
        <w:tc>
          <w:tcPr>
            <w:tcW w:w="58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Item 10. Directors, Executive Officers and Corporate Governance</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143</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Item 11. Executive Compensation</w:t>
              </w:r>
            </w:hyperlink>
          </w:p>
        </w:tc>
        <w:tc>
          <w:tcPr>
            <w:tcW w:w="580" w:type="dxa"/>
            <w:vAlign w:val="bottom"/>
          </w:tcPr>
          <w:p>
            <w:pPr>
              <w:jc w:val="right"/>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143</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Item 12. Security Ownership of Certain Beneficial Owners and Management and Related Stockholder Matters</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143</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Item 13. Certain Relationships and Related Transactions, and Director Independence</w:t>
              </w:r>
            </w:hyperlink>
          </w:p>
        </w:tc>
        <w:tc>
          <w:tcPr>
            <w:tcW w:w="580" w:type="dxa"/>
            <w:vAlign w:val="bottom"/>
          </w:tcPr>
          <w:p>
            <w:pPr>
              <w:jc w:val="right"/>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144</w:t>
              </w:r>
            </w:hyperlink>
          </w:p>
        </w:tc>
      </w:tr>
      <w:tr>
        <w:trPr>
          <w:trHeight w:val="169"/>
        </w:trPr>
        <w:tc>
          <w:tcPr>
            <w:tcW w:w="20" w:type="dxa"/>
            <w:vAlign w:val="bottom"/>
            <w:shd w:val="clear" w:color="auto" w:fill="CCEEFF"/>
          </w:tcPr>
          <w:p>
            <w:pPr>
              <w:spacing w:after="0"/>
              <w:rPr>
                <w:sz w:val="14"/>
                <w:szCs w:val="14"/>
                <w:color w:val="auto"/>
              </w:rPr>
            </w:pPr>
          </w:p>
        </w:tc>
        <w:tc>
          <w:tcPr>
            <w:tcW w:w="10620" w:type="dxa"/>
            <w:vAlign w:val="bottom"/>
            <w:gridSpan w:val="4"/>
            <w:shd w:val="clear" w:color="auto" w:fill="CCEEFF"/>
          </w:tcPr>
          <w:p>
            <w:pPr>
              <w:spacing w:after="0"/>
              <w:rPr>
                <w:rFonts w:ascii="Arial" w:cs="Arial" w:eastAsia="Arial" w:hAnsi="Arial"/>
                <w:sz w:val="14"/>
                <w:szCs w:val="14"/>
                <w:color w:val="0000FF"/>
              </w:rPr>
            </w:pPr>
            <w:hyperlink w:anchor="page144">
              <w:r>
                <w:rPr>
                  <w:rFonts w:ascii="Arial" w:cs="Arial" w:eastAsia="Arial" w:hAnsi="Arial"/>
                  <w:sz w:val="14"/>
                  <w:szCs w:val="14"/>
                  <w:u w:val="single" w:color="auto"/>
                  <w:color w:val="0000FF"/>
                </w:rPr>
                <w:t>Item 14. Principal</w:t>
              </w:r>
              <w:r>
                <w:rPr>
                  <w:rFonts w:ascii="Arial" w:cs="Arial" w:eastAsia="Arial" w:hAnsi="Arial"/>
                  <w:sz w:val="14"/>
                  <w:szCs w:val="14"/>
                  <w:color w:val="0000FF"/>
                </w:rPr>
                <w:t xml:space="preserve"> Accountant Fees and Services</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144">
              <w:r>
                <w:rPr>
                  <w:rFonts w:ascii="Arial" w:cs="Arial" w:eastAsia="Arial" w:hAnsi="Arial"/>
                  <w:sz w:val="14"/>
                  <w:szCs w:val="14"/>
                  <w:u w:val="single" w:color="auto"/>
                  <w:color w:val="0000FF"/>
                </w:rPr>
                <w:t>144</w:t>
              </w:r>
            </w:hyperlink>
          </w:p>
        </w:tc>
      </w:tr>
      <w:tr>
        <w:trPr>
          <w:trHeight w:val="189"/>
        </w:trPr>
        <w:tc>
          <w:tcPr>
            <w:tcW w:w="2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PART IV</w:t>
            </w:r>
          </w:p>
        </w:tc>
        <w:tc>
          <w:tcPr>
            <w:tcW w:w="1420" w:type="dxa"/>
            <w:vAlign w:val="bottom"/>
            <w:tcBorders>
              <w:top w:val="single" w:sz="8" w:color="0000FF"/>
            </w:tcBorders>
          </w:tcPr>
          <w:p>
            <w:pPr>
              <w:spacing w:after="0"/>
              <w:rPr>
                <w:sz w:val="16"/>
                <w:szCs w:val="16"/>
                <w:color w:val="auto"/>
              </w:rPr>
            </w:pPr>
          </w:p>
        </w:tc>
        <w:tc>
          <w:tcPr>
            <w:tcW w:w="7520" w:type="dxa"/>
            <w:vAlign w:val="bottom"/>
            <w:tcBorders>
              <w:top w:val="single" w:sz="8" w:color="CCEEFF"/>
            </w:tcBorders>
            <w:gridSpan w:val="2"/>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380" w:type="dxa"/>
            <w:vAlign w:val="bottom"/>
            <w:tcBorders>
              <w:bottom w:val="single" w:sz="8" w:color="0000FF"/>
            </w:tcBorders>
            <w:gridSpan w:val="3"/>
            <w:shd w:val="clear" w:color="auto" w:fill="CCEEFF"/>
          </w:tcPr>
          <w:p>
            <w:pPr>
              <w:spacing w:after="0"/>
              <w:rPr>
                <w:rFonts w:ascii="Arial" w:cs="Arial" w:eastAsia="Arial" w:hAnsi="Arial"/>
                <w:sz w:val="14"/>
                <w:szCs w:val="14"/>
                <w:color w:val="0000FF"/>
              </w:rPr>
            </w:pPr>
            <w:hyperlink w:anchor="page145">
              <w:r>
                <w:rPr>
                  <w:rFonts w:ascii="Arial" w:cs="Arial" w:eastAsia="Arial" w:hAnsi="Arial"/>
                  <w:sz w:val="14"/>
                  <w:szCs w:val="14"/>
                  <w:color w:val="0000FF"/>
                </w:rPr>
                <w:t>Item 15. Exhibits and Financial Statement Schedules</w:t>
              </w:r>
            </w:hyperlink>
          </w:p>
        </w:tc>
        <w:tc>
          <w:tcPr>
            <w:tcW w:w="7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rFonts w:ascii="Arial" w:cs="Arial" w:eastAsia="Arial" w:hAnsi="Arial"/>
                <w:sz w:val="14"/>
                <w:szCs w:val="14"/>
                <w:u w:val="single" w:color="auto"/>
                <w:color w:val="0000FF"/>
              </w:rPr>
            </w:pPr>
            <w:hyperlink w:anchor="page145">
              <w:r>
                <w:rPr>
                  <w:rFonts w:ascii="Arial" w:cs="Arial" w:eastAsia="Arial" w:hAnsi="Arial"/>
                  <w:sz w:val="14"/>
                  <w:szCs w:val="14"/>
                  <w:u w:val="single" w:color="auto"/>
                  <w:color w:val="0000FF"/>
                </w:rPr>
                <w:t>145</w:t>
              </w:r>
            </w:hyperlink>
          </w:p>
        </w:tc>
      </w:tr>
      <w:tr>
        <w:trPr>
          <w:trHeight w:val="189"/>
        </w:trPr>
        <w:tc>
          <w:tcPr>
            <w:tcW w:w="20" w:type="dxa"/>
            <w:vAlign w:val="bottom"/>
          </w:tcPr>
          <w:p>
            <w:pPr>
              <w:spacing w:after="0"/>
              <w:rPr>
                <w:sz w:val="16"/>
                <w:szCs w:val="16"/>
                <w:color w:val="auto"/>
              </w:rPr>
            </w:pPr>
          </w:p>
        </w:tc>
        <w:tc>
          <w:tcPr>
            <w:tcW w:w="10620" w:type="dxa"/>
            <w:vAlign w:val="bottom"/>
            <w:gridSpan w:val="4"/>
          </w:tcPr>
          <w:p>
            <w:pPr>
              <w:spacing w:after="0"/>
              <w:rPr>
                <w:rFonts w:ascii="Arial" w:cs="Arial" w:eastAsia="Arial" w:hAnsi="Arial"/>
                <w:sz w:val="14"/>
                <w:szCs w:val="14"/>
                <w:u w:val="single" w:color="auto"/>
                <w:color w:val="0000FF"/>
              </w:rPr>
            </w:pPr>
            <w:hyperlink w:anchor="page146">
              <w:r>
                <w:rPr>
                  <w:rFonts w:ascii="Arial" w:cs="Arial" w:eastAsia="Arial" w:hAnsi="Arial"/>
                  <w:sz w:val="14"/>
                  <w:szCs w:val="14"/>
                  <w:u w:val="single" w:color="auto"/>
                  <w:color w:val="0000FF"/>
                </w:rPr>
                <w:t>Item 16. Form 10-K Summary</w:t>
              </w:r>
            </w:hyperlink>
          </w:p>
        </w:tc>
        <w:tc>
          <w:tcPr>
            <w:tcW w:w="580" w:type="dxa"/>
            <w:vAlign w:val="bottom"/>
          </w:tcPr>
          <w:p>
            <w:pPr>
              <w:jc w:val="right"/>
              <w:spacing w:after="0"/>
              <w:rPr>
                <w:rFonts w:ascii="Arial" w:cs="Arial" w:eastAsia="Arial" w:hAnsi="Arial"/>
                <w:sz w:val="14"/>
                <w:szCs w:val="14"/>
                <w:u w:val="single" w:color="auto"/>
                <w:color w:val="0000FF"/>
              </w:rPr>
            </w:pPr>
            <w:hyperlink w:anchor="page146">
              <w:r>
                <w:rPr>
                  <w:rFonts w:ascii="Arial" w:cs="Arial" w:eastAsia="Arial" w:hAnsi="Arial"/>
                  <w:sz w:val="14"/>
                  <w:szCs w:val="14"/>
                  <w:u w:val="single" w:color="auto"/>
                  <w:color w:val="0000FF"/>
                </w:rPr>
                <w:t>147</w:t>
              </w:r>
            </w:hyperlink>
          </w:p>
        </w:tc>
      </w:tr>
      <w:tr>
        <w:trPr>
          <w:trHeight w:val="189"/>
        </w:trPr>
        <w:tc>
          <w:tcPr>
            <w:tcW w:w="20" w:type="dxa"/>
            <w:vAlign w:val="bottom"/>
            <w:shd w:val="clear" w:color="auto" w:fill="CCEEFF"/>
          </w:tcPr>
          <w:p>
            <w:pPr>
              <w:spacing w:after="0"/>
              <w:rPr>
                <w:sz w:val="16"/>
                <w:szCs w:val="16"/>
                <w:color w:val="auto"/>
              </w:rPr>
            </w:pPr>
          </w:p>
        </w:tc>
        <w:tc>
          <w:tcPr>
            <w:tcW w:w="10620" w:type="dxa"/>
            <w:vAlign w:val="bottom"/>
            <w:gridSpan w:val="4"/>
            <w:shd w:val="clear" w:color="auto" w:fill="CCEEFF"/>
          </w:tcPr>
          <w:p>
            <w:pPr>
              <w:spacing w:after="0"/>
              <w:rPr>
                <w:rFonts w:ascii="Arial" w:cs="Arial" w:eastAsia="Arial" w:hAnsi="Arial"/>
                <w:sz w:val="14"/>
                <w:szCs w:val="14"/>
                <w:u w:val="single" w:color="auto"/>
                <w:color w:val="0000FF"/>
              </w:rPr>
            </w:pPr>
            <w:hyperlink w:anchor="page149">
              <w:r>
                <w:rPr>
                  <w:rFonts w:ascii="Arial" w:cs="Arial" w:eastAsia="Arial" w:hAnsi="Arial"/>
                  <w:sz w:val="14"/>
                  <w:szCs w:val="14"/>
                  <w:u w:val="single" w:color="auto"/>
                  <w:color w:val="0000FF"/>
                </w:rPr>
                <w:t>Signatures</w:t>
              </w:r>
            </w:hyperlink>
          </w:p>
        </w:tc>
        <w:tc>
          <w:tcPr>
            <w:tcW w:w="580" w:type="dxa"/>
            <w:vAlign w:val="bottom"/>
            <w:shd w:val="clear" w:color="auto" w:fill="CCEEFF"/>
          </w:tcPr>
          <w:p>
            <w:pPr>
              <w:jc w:val="right"/>
              <w:spacing w:after="0"/>
              <w:rPr>
                <w:rFonts w:ascii="Arial" w:cs="Arial" w:eastAsia="Arial" w:hAnsi="Arial"/>
                <w:sz w:val="14"/>
                <w:szCs w:val="14"/>
                <w:u w:val="single" w:color="auto"/>
                <w:color w:val="0000FF"/>
              </w:rPr>
            </w:pPr>
            <w:hyperlink w:anchor="page149">
              <w:r>
                <w:rPr>
                  <w:rFonts w:ascii="Arial" w:cs="Arial" w:eastAsia="Arial" w:hAnsi="Arial"/>
                  <w:sz w:val="14"/>
                  <w:szCs w:val="14"/>
                  <w:u w:val="single" w:color="auto"/>
                  <w:color w:val="0000FF"/>
                </w:rPr>
                <w:t>149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This Annual Report on Form 10-K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unpredictable trends in the demand for and price of crude oil and natural gas; competition and unanticipated changes relating to competitive factors in our industry, including ongoing industry consolidation; the COVID -19 pandemic and its impact on the demand for our products and services; our inability to develop, implement, and protect new technologies and services; the cumulative loss of major contracts, customers, or alliances; disruptions in the political, regulatory, economic, and social conditions of the countries in which we conduct business; the refusal of DTC and Euroclear to act as depository and clearing agencies for our shares; the United Kingdom’s withdrawal from the European Union; the impact of our existing and future indebtedness and the restrictions on our operations by terms of the agreements governing our existing indebtedness; the risks caused by our acquisition and divestiture activities; the risks caused by fixed-price contracts; any delays and cost overruns of new capital asset construction projects for vessels and manufacturing facilities; our failure to deliver our backlog; our reliance on subcontractors, suppliers, and our joint venture partners; a failure of our IT infrastructure, including as a result of cyber-attacks; the risks of pirates endangering our maritime employees and assets; potential liabilities inherent in the industries in which we operate or have operated; our failure to comply with numerous laws and regulations, including those related to environmental protection, health and safety, labor and employment, import/export controls, currency exchange, bribery and corruption, taxation, privacy, data protection and data security; the additional restrictions on dividend payouts or share repurchases as an English public limited company; uninsured claims and litigation against us, including intellectual property litigation; tax laws, treaties and regulations and any unfavorable findings by relevant tax authorities; the uncertainties related to the anticipated benefits or our future liabilities in connection with the spin-off of our Technip Energies business segment (the “Spin-off”); any negative changes in Technip Energies’s results of operations, cash flows and financial position, which impact the value of our remaining investment therein and our obligations under the share purchase agreement, dated January 7, 2021 (the “Share Purchase Agreement”), with Bpifrance Participations SA, a société anonyme incorporated under the laws of the Republic of France (‘‘BPI”); potential departure of our key managers and employees; adverse seasonable and weather conditions and unfavorable currency exchange rate; risk in connection with our defined benefit pension plan commitments, as well as those set forth in Part I, Item 1A, “Risk Factors” and elsewhere of this Annual Report on Form 10-K.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80"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TechnipFMC plc, a public limited company incorporated and organized under the laws of England and Wales, with registered number 09909709, and with its registered office at One St. Paul’s Churchyard, London EC4M 8AP, United Kingdom (“TechnipFMC,” the “Company,” “we,” or “our”) is a global leader in the energy industry; delivering projects, products, technologies, and services. With our proprietary technologies and production systems, integrated expertise, and comprehensive solutions, we are transforming our customers’ project economics.</w:t>
      </w:r>
    </w:p>
    <w:p>
      <w:pPr>
        <w:spacing w:after="0" w:line="23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operational headquarters in Paris, France, and Houston, Texas, United States, and operate across three business segments: Subsea, Technip Energies, and Surface Technologies. We are uniquely positioned to deliver greater efficiency across project lifecycles from concept to project delivery and beyond. Through innovative technologies and improved efficiencies, our offering unlocks new possibilities for our customers in developing their energy resources and in their positioning to meet the energy transition challenge. On February 16, 2021, the Company completed the Spin-off. Subsequent to the Spin-off, the Company will operate under two reporting segments: Subsea and Surface Technologies, for further details see section “The Spin-off” below.</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Enhancing our performance and competitiveness is a key component of this strategy, which is achieved through</w:t>
      </w:r>
    </w:p>
    <w:p>
      <w:pPr>
        <w:spacing w:after="0" w:line="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technology and innovation differentiation, seamless execution, and reliance on simplification to drive costs down. We are targeting profitable and sustainable growth by seizing market growth opportunities and expanding our range of services. We are managing our assets efficiently to ensure we are well-prepared to drive and benefit from the opportunities in many of the segments we serve.</w:t>
      </w:r>
    </w:p>
    <w:p>
      <w:pPr>
        <w:spacing w:after="0" w:line="22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Each of our more than 35,000 employees is driven by a steady commitment to clients and a culture of project execution, purposeful innovation, challenging industry conventions, and rethinking how the best results are achieved. This leads to fresh thinking, streamlined decisions, and smarter results, enabling us to achieve our vision of enhancing the performance of the world’s energy industry.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March 2015, FMC Technologies, Inc., a U.S. Delaware corporation (“FMC Technologies”), and Technip S.A., a French société anonyme (“Technip”), signed an agreement to form an exclusive alliance and to launch Forsys Subsea, a 50/50 joint venture, that would unite the subsea skills and capabilities of two industry leaders. This alliance, which became operational on June 1, 2015, was established to identify new and innovative approaches to the design, delivery, and maintenance of subsea fields.</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Forsys Subsea brought the industry’s most-talented subsea professionals together early in operators’ project concept phase with the technical capabilities to design and integrate products, systems, and installation to significantly reduce the cost of subsea field development and enhance overall project economics.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on the success of the Forsys Subsea joint venture and its innovative approach to integrated solutions, Technip and FMC Technologies announced in May 2016 that the companies would combine through a merger of equals to create a global subsea leader, TechnipFMC, that would drive change by redefining the production of oil and gas. The business combination was completed on January 16, 2017 (the “Merger”), and on January 17, 2017, TechnipFMC began operating as a unified, combined company trading on the New York Stock Exchange (“NYSE”) and on the Euronext Paris Stock Exchange (“Euronext Paris”) under the symbol “FTI.”</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2017, our first year as a merged company, TechnipFMC secured several project awards as many operators moved forward with final investment decisions for major onshore projects and subsea developments. Several of the subsea awards incorporated the use of our integrated approach to project delivery, validating our unique business model aimed at lowering project costs and accelerating the delivery of initial hydrocarbon production. This was made possible by bringing together the complimentary subsea work scopes of the merged companies.</w:t>
      </w:r>
    </w:p>
    <w:p>
      <w:pPr>
        <w:spacing w:after="0" w:line="23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2018, TechnipFMC delivered the industry’s first three full-cycle, integrated projects and realized considerable growth in Subsea order inbound, driven in part by its unique integrated offering, iEPCI™ (“iEPCI”). For all of 2019, the value of integrated subsea awards to TechnipFMC more than doubled versus the prior year, representing more than 50% of all Subsea project order inbound. The increase was driven by a wider adoption of the integrated</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4" w:name="page5"/>
    <w:bookmarkEnd w:id="4"/>
    <w:p>
      <w:pPr>
        <w:ind w:right="720"/>
        <w:spacing w:after="0" w:line="261" w:lineRule="auto"/>
        <w:rPr>
          <w:sz w:val="20"/>
          <w:szCs w:val="20"/>
          <w:color w:val="auto"/>
        </w:rPr>
      </w:pPr>
      <w:r>
        <w:rPr>
          <w:rFonts w:ascii="Arial" w:cs="Arial" w:eastAsia="Arial" w:hAnsi="Arial"/>
          <w:sz w:val="18"/>
          <w:szCs w:val="18"/>
          <w:color w:val="auto"/>
        </w:rPr>
        <w:t>business model, particularly by those clients where we have unique alliances. With the industry’s most comprehensive and only truly integrated subsea market offering, we have continued to expand the deepwater opportunity set for our clients.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TechnipFMC’s expertise does not end with the production of hydrocarbons. Because of its best-in-class Engineering and Construction (“E&amp;C”) project design and execution capabilities, enabled by a portfolio of proprietary technologies, TechnipFMC continues to secure and deliver projects that further enable our clients to monetize resources – from liquefaction of gas, both onshore and on floating vessels, through refining and product facilities and with green chemistry and renewables.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27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August 26, 2019, we announced our intention to separate into two diversified pure-play market leaders – TechnipFMC, focused on subsea and surface hydrocarbon production, and Technip Energies, focused on downstream engineering, procurement, and construction (”EPC”) project execution. Due to the COVID-19 pandemic, a significant decline in commodity prices, and the heightened volatility in global equity markets, on March 15, 2020, we announced the postponement of the completion of the transaction until the markets sufficiently recover. On January 7, 2021, we announced the resumption of activity toward completion of the transaction based on increased clarity in the market outlook and our demonstrated ability to successfully execute projects.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16, 2021, we completed the separation of the Technip Energies business segment. The transaction was structured as a spin-off (the “Spin-off”), which occurred by way of a pro rata dividend (the “Distribution”) to our shareholders of 50.1 percent of the outstanding shares in Technip Energies N.V. Each of our shareholders received one ordinary share of Technip Energies N.V. for every five ordinary shares of TechnipFMC held at 5:00 p.m., New York City time on the record date, February 17, 2021. Technip Energies N.V. is now an independent public company and its shares trade under the ticker symbol “TE” on the Euronext Paris stock exchange.</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Spin-off, on January 7, 2021, BPI, which has been one of our substantial shareholders since 2009, entered into a Share Purchase Agreement pursuant to which BPI agreed to purchase a portion of our retained stake in Technip Energies N.V. (the “BPI Investment”) for $200.0 million (the “Purchase Price”). On February 25, 2021, BPI paid $200.0 million in connection with the Share Purchase Agreement. The Purchase Price is subject to adjustments, and BPI’s ownership stake will be determined based upon a thirty day volume-weighted average price of Technip Energies N.V.’ s shares (with BPI’s ownership collared between an 11.82 percentage floor and a 17.25 percentage cap), less a six percent discount. The BPI Investment is subject to customary conditions and regulatory approval. We intend to significantly reduce our shareholding in Technip Energies N.V. over the 18 months following the Spin-off, including in connection with the sale of shares to BPI pursuant to the BPI Investment.</w:t>
      </w:r>
    </w:p>
    <w:p>
      <w:pPr>
        <w:spacing w:after="0" w:line="2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Beginning in the first quarter of 2021, Technip Energies’ historical financial results for periods prior to the Distribution will be reflected in our consolidated financial statements as discontinued operations.</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Spin-off enables both companies to benefit from distinct and compelling market opportunities across the energy value chain; dedicated focus of management, resources, and capital; and unique value propositions with differentiated investment appeal.</w:t>
      </w:r>
    </w:p>
    <w:p>
      <w:pPr>
        <w:spacing w:after="0" w:line="225" w:lineRule="exact"/>
        <w:rPr>
          <w:sz w:val="20"/>
          <w:szCs w:val="20"/>
          <w:color w:val="auto"/>
        </w:rPr>
      </w:pPr>
    </w:p>
    <w:p>
      <w:pPr>
        <w:ind w:left="660" w:right="60" w:hanging="328"/>
        <w:spacing w:after="0" w:line="25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TechnipFMC is a fully-integrated technology and services provider, driving energy development across deepwater, conventional, and unconventional resources. TechnipFMC continues to successfully demonstrate leadership in integrated subsea project delivery and is focused on replicating this success through the development of integrated production models for the surface market. TechnipFMC is also poised to benefit from service opportunities resulting from the world’s largest installed base of subsea production equipment, umbilicals, risers, and flowlines, and in the supply of surface integrated systems in the drilling, frac, production and measurement markets.</w:t>
      </w:r>
    </w:p>
    <w:p>
      <w:pPr>
        <w:spacing w:after="0" w:line="289" w:lineRule="exact"/>
        <w:rPr>
          <w:rFonts w:ascii="Arial" w:cs="Arial" w:eastAsia="Arial" w:hAnsi="Arial"/>
          <w:sz w:val="18"/>
          <w:szCs w:val="18"/>
          <w:color w:val="auto"/>
        </w:rPr>
      </w:pPr>
    </w:p>
    <w:p>
      <w:pPr>
        <w:ind w:left="660" w:right="8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Technip Energies is a leading engineering and construction player, with a robust project delivery model, strong technical capabilities, and proven track record as demonstrated by the successful execution of some of the world’s most iconic EPC projects. Technip Energies will continue to leverage its industry-leading process technology portfolio, particularly in the areas of ethylene and hydrogen, while pursuing further opportunities to enhance and differentiate this portfolio, and to accelerate the journey to a low-carbon future.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SEGMENTS</w:t>
      </w:r>
    </w:p>
    <w:p>
      <w:pPr>
        <w:spacing w:after="0" w:line="19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On February 16, 2021, we completed the Spin-off. Subsequent to the Spin-off, we will operate under two reporting segments: Subsea and Surface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are focused on transforming subsea by safely delivering innovative solutions that improve economics, enhance performance and reduce emissions. As a fully-integrated technology and services provider, we continue to drive responsible energy development.</w:t>
      </w:r>
    </w:p>
    <w:p>
      <w:pPr>
        <w:spacing w:after="0" w:line="22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Subsea segment provides integrated design, engineering, procurement, manufacturing, fabrication, installation, and life of field services for subsea systems, subsea field infrastructure, and subsea pipe systems used in oil and gas production and transportation.</w:t>
      </w:r>
    </w:p>
    <w:p>
      <w:pPr>
        <w:spacing w:after="0" w:line="22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an industry leader in front-end engineering and design (“FEED”), subsea production systems (“SPS”), subsea flexible pipe, and subsea umbilicals, risers, and flowlines (“SURF”) and subsea robotics. We also have the capability to install these products and related subsea infrastructure with our fleet of highly specialized vessels. By integrating the SPS and SURF work scopes, we are able to drive greater value to our clients through more efficient field layout and execution of the installation campaign. This capability, in conjunction with our strong commercial focus, has enabled the successful market introduction of an integrated subsea business model, iEPCI, which spans a project’s early phase design through the life of field.</w:t>
      </w:r>
    </w:p>
    <w:p>
      <w:pPr>
        <w:spacing w:after="0" w:line="23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integrated business model is unlocking incremental opportunities and materially expanding the deepwater opportunity set. Since the first iEPCI project was awarded in 2016, market adoption of the business model has accelerated each year.</w:t>
      </w: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Through integrated FEED studies, or iFEED™ (“iFEED”), we are uniquely positioned to influence project concept and design. Using innovative solutions for field architecture, including standardized equipment, new technologies, and simplified installation, we can significantly reduce subsea development costs and accelerate time to first production.</w:t>
      </w:r>
    </w:p>
    <w:p>
      <w:pPr>
        <w:spacing w:after="0" w:line="229"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Our first-mover advantage and ability to convert iFEED studies into iEPCI contracts, often as a direct award, creates a unique set of opportunities for us that are not available to our peers. This allows us to deliver a fully integrated – and technologically differentiated – subsea system, and to better manage the complete work scope through a single contracting mechanism and a single interface, yielding meaningful improvements in project economics and time to first oil.</w:t>
      </w:r>
    </w:p>
    <w:p>
      <w:pPr>
        <w:spacing w:after="0" w:line="23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continue to support our clients following project delivery by offering aftermarket and life of field services. Our wide range of capabilities and solutions, including integrated life of field, or iLOF™ (“iLOF”), allows us to help clients increase oil and gas recovery and equipment uptime while reducing overall cost. Our iLOF offering is designed to unlock the full potential of subsea infrastructures during operations by transforming the way subsea services are delivered and proactively addressing the challenges operators face over the life of subsea fields. We provide production optimization, asset life extension insight, proactive de-bottlenecking, and condition-based maintenance.</w:t>
      </w:r>
    </w:p>
    <w:p>
      <w:pPr>
        <w:spacing w:after="0" w:line="23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Our Subsea business depends on our ability to maintain a cost-effective and efficient production system, achieve planned equipment production targets, successfully develop new products, and meet or exceed stringent performance and reliability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 segment products and services</w:t>
      </w:r>
    </w:p>
    <w:p>
      <w:pPr>
        <w:spacing w:after="0" w:line="18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u w:val="single" w:color="auto"/>
          <w:color w:val="auto"/>
        </w:rPr>
        <w:t>Subsea Production Systems.</w:t>
      </w:r>
      <w:r>
        <w:rPr>
          <w:rFonts w:ascii="Arial" w:cs="Arial" w:eastAsia="Arial" w:hAnsi="Arial"/>
          <w:sz w:val="18"/>
          <w:szCs w:val="18"/>
          <w:color w:val="auto"/>
        </w:rPr>
        <w:t xml:space="preserve"> Our systems are used in the offshore production of crude oil and natural gas. Subsea systems are placed on the seafloor and are used to control the flow of crude oil and natural gas from the reservoir to a host processing facility, such as a floating production facility, a fixed platform, or an onshore facility.</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subsea production systems and products include subsea trees, chokes and flow modules, manifold pipeline systems, controls and automation systems, well access systems, multiphase and wet-gas meters, and additional technologies. The design and manufacture of our subsea systems requires a high degree of technical expertise and innovation. Some of our systems are designed to withstand exposure to the extreme hydrostatic pressure of deepwater environments, as well as internal pressures of up to 20,000 pounds per square inch ("psi")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6" w:name="page7"/>
    <w:bookmarkEnd w:id="6"/>
    <w:p>
      <w:pPr>
        <w:ind w:right="160"/>
        <w:spacing w:after="0"/>
        <w:rPr>
          <w:sz w:val="20"/>
          <w:szCs w:val="20"/>
          <w:color w:val="auto"/>
        </w:rPr>
      </w:pPr>
      <w:r>
        <w:rPr>
          <w:rFonts w:ascii="Arial" w:cs="Arial" w:eastAsia="Arial" w:hAnsi="Arial"/>
          <w:sz w:val="18"/>
          <w:szCs w:val="18"/>
          <w:color w:val="auto"/>
        </w:rPr>
        <w:t>temperatures of up to 400º F. The development of our integrated subsea production systems includes initial engineering design studies and field development planning and considers all relevant aspects and project requirements, including optimization of drilling programs and subsea architecture.</w:t>
      </w:r>
    </w:p>
    <w:p>
      <w:pPr>
        <w:spacing w:after="0" w:line="392"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Subsea Processing Systems</w:t>
      </w:r>
      <w:r>
        <w:rPr>
          <w:rFonts w:ascii="Arial" w:cs="Arial" w:eastAsia="Arial" w:hAnsi="Arial"/>
          <w:sz w:val="18"/>
          <w:szCs w:val="18"/>
          <w:color w:val="auto"/>
        </w:rPr>
        <w:t>. Our subsea processing systems, which include subsea boosting, subsea gas compression, and subsea separation, are designed to accelerate production, increase recovery, extend field life, and/or lower operators’ production costs for greenfield, subsea tie-back and brownfield applications. To provide these products, systems, and services, we utilize our engineering, project management, procurement, manufacturing, and assembly and test capabilities.</w:t>
      </w:r>
    </w:p>
    <w:p>
      <w:pPr>
        <w:spacing w:after="0" w:line="23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u w:val="single" w:color="auto"/>
          <w:color w:val="auto"/>
        </w:rPr>
        <w:t>Rigid Pipe.</w:t>
      </w:r>
      <w:r>
        <w:rPr>
          <w:rFonts w:ascii="Arial" w:cs="Arial" w:eastAsia="Arial" w:hAnsi="Arial"/>
          <w:sz w:val="18"/>
          <w:szCs w:val="18"/>
          <w:color w:val="auto"/>
        </w:rPr>
        <w:t xml:space="preserve"> We design and fabricate rigid pipes for production and service applications at our spoolbases. Rigid pipes are installed from our fleet of differentiated rigid pipelay vessels. Our pipelines optimize flow assurance through innovative insulation coatings, electric trace heating, plastic liners, and pipe-in-pipe systems.</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u w:val="single" w:color="auto"/>
          <w:color w:val="auto"/>
        </w:rPr>
        <w:t>Flexible Pipe and Umbilicals.</w:t>
      </w:r>
      <w:r>
        <w:rPr>
          <w:rFonts w:ascii="Arial" w:cs="Arial" w:eastAsia="Arial" w:hAnsi="Arial"/>
          <w:sz w:val="18"/>
          <w:szCs w:val="18"/>
          <w:color w:val="auto"/>
        </w:rPr>
        <w:t xml:space="preserve"> We design and manufacture flexible pipes as well as steel tube, thermoplastic hose, power, communication, and hybrid (a combination of steel tube, thermoplastic hose, and electrical cables) umbilicals. TechnipFMC vessels will typically perform the installation of the flexible pipes and umbilicals, but we also sell these products directly to oil companies or to other vessel operators.</w:t>
      </w:r>
    </w:p>
    <w:p>
      <w:pPr>
        <w:spacing w:after="0" w:line="22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We have a fleet of 18 vessels that are used for the installation and servicing of our products. We have sole ownership of ten vessels, ownership of six vessels as part of joint ventures, and two vessels operated under long-term charters.</w:t>
      </w:r>
    </w:p>
    <w:p>
      <w:pPr>
        <w:spacing w:after="0" w:line="211"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u w:val="single" w:color="auto"/>
          <w:color w:val="auto"/>
        </w:rPr>
        <w:t>Subsea Services.</w:t>
      </w:r>
      <w:r>
        <w:rPr>
          <w:rFonts w:ascii="Arial" w:cs="Arial" w:eastAsia="Arial" w:hAnsi="Arial"/>
          <w:sz w:val="18"/>
          <w:szCs w:val="18"/>
          <w:color w:val="auto"/>
        </w:rPr>
        <w:t xml:space="preserve"> We provide a portfolio of well and asset services that improve economics and enhance performance over the life of our clients' subsea development cycle. Well services include all service offerings: (i) provision of exploration and production wellhead systems and services; (ii) remotely operated vehicle (“ROV”) drill support services; (iii) well completion installation services; (iv) well access and intervention services, both rig-based and vessel-based (riserless light well intervention or “RLWI”); and (v) well plug and abandonment. Asset Services include all service offerings, such as (i) maintenance services for test, modification, refurbishment, and upgrade of subsea equipment and tooling; (ii) integrity services based on product and field data to optimize the performance of the subsea asset, including proactive inspection, maintenance, and repair (“IMR”) of subsea infrastructure; and (iii) production metering services to enhance well and field production, including real time virtual metering services and flow assurance services.</w:t>
      </w:r>
    </w:p>
    <w:p>
      <w:pPr>
        <w:spacing w:after="0" w:line="216"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Key drivers of subsea services market activity are the services linked to subsea wells in greenfield development and brownfield subsea tiebacks, or infill developments.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with our extensive experience in subsea equipment, our leading installed base of subsea production equipment, our broad range of services, and our historical technical design and manufacturing leadership, we are in a unique position to offer integrated solutions across the “life of field” (“LOF”) services. These combine asset light solutions (e.g. RLWI), digital services (e.g. data driven monitoring, surveillance, and production management suite of applications), and leading edge automated and robotic systems (e.g. Schilling ROVs) to enhance the economics of producing fields through maximization of asset uptime, higher production volumes, and lower operating expense.</w:t>
      </w:r>
    </w:p>
    <w:p>
      <w:pPr>
        <w:spacing w:after="0" w:line="23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u w:val="single" w:color="auto"/>
          <w:color w:val="auto"/>
        </w:rPr>
        <w:t>Robotics, Controls and Automation.</w:t>
      </w:r>
      <w:r>
        <w:rPr>
          <w:rFonts w:ascii="Arial" w:cs="Arial" w:eastAsia="Arial" w:hAnsi="Arial"/>
          <w:sz w:val="18"/>
          <w:szCs w:val="18"/>
          <w:color w:val="auto"/>
        </w:rPr>
        <w:t xml:space="preserve"> We design and manufacture ROVs and manipulator arms that are used in subsea drilling, construction, IMR, and life of field services. Our product offering includes hydraulic work-class ROVs, tether-management systems, launch and recovery systems, remote manipulator arms, and modular control systems. We also provide support and services such as product training, pilot simulator training, spare parts, and technical assistance.</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also provide electro-hydraulic and electric production and intervention control systems, allowing accurate control and monitoring of subsea installations to ensure the highest production availability that can ensure safe and environmentally friendly field operations. These include the sensors, multiphase flow meters, digital infrastructure, integrity monitoring, control functionality, and automation features needed for subsea systems. Robotics capabilities are now being used in the control of manifold valves during production, which demonstrates a convergence of our technologies in order to provide better systems for our customers.</w:t>
      </w:r>
    </w:p>
    <w:p>
      <w:pPr>
        <w:spacing w:after="0" w:line="2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u w:val="single" w:color="auto"/>
          <w:color w:val="auto"/>
        </w:rPr>
        <w:t>Subsea Studio™ Digital Platform</w:t>
      </w:r>
      <w:r>
        <w:rPr>
          <w:rFonts w:ascii="Arial" w:cs="Arial" w:eastAsia="Arial" w:hAnsi="Arial"/>
          <w:sz w:val="18"/>
          <w:szCs w:val="18"/>
          <w:color w:val="auto"/>
        </w:rPr>
        <w:t>. Subsea Studio™ is our portfolio of digital solutions to increase performance, transform experience, and enable innovation. Subsea Studio™ FD is our front-end field development tool,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ind w:right="60"/>
        <w:spacing w:after="0" w:line="256" w:lineRule="auto"/>
        <w:rPr>
          <w:sz w:val="20"/>
          <w:szCs w:val="20"/>
          <w:color w:val="auto"/>
        </w:rPr>
      </w:pPr>
      <w:r>
        <w:rPr>
          <w:rFonts w:ascii="Arial" w:cs="Arial" w:eastAsia="Arial" w:hAnsi="Arial"/>
          <w:sz w:val="18"/>
          <w:szCs w:val="18"/>
          <w:color w:val="auto"/>
        </w:rPr>
        <w:t>transforming conventional concept, FEED and tender phases into ultra-fast digital field development. Subsea Studio™ Ex is our project execution digital application that increases the efficiency and speed of project execution with a data-centric approach. Subsea Studio™ LOF uses our digitally enabled operations and advanced data driven services to enhance performance and production targets.</w:t>
      </w:r>
    </w:p>
    <w:p>
      <w:pPr>
        <w:spacing w:after="0" w:line="22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u w:val="single" w:color="auto"/>
          <w:color w:val="auto"/>
        </w:rPr>
        <w:t>Research, Engineering, Manufacturing and Supply Chain (“REMS”).</w:t>
      </w:r>
      <w:r>
        <w:rPr>
          <w:rFonts w:ascii="Arial" w:cs="Arial" w:eastAsia="Arial" w:hAnsi="Arial"/>
          <w:sz w:val="18"/>
          <w:szCs w:val="18"/>
          <w:color w:val="auto"/>
        </w:rPr>
        <w:t xml:space="preserve"> REMS is an organization formed in September of 2019 to support accelerated technology innovation, and product delivery improvements. We accomplish this by reducing the cycle-time of engineering and manufacturing our products, including working with our suppliers to reduce their costs, and optimizing our processes and how we manage workflow. Through REMS, we are focused on challenging existing technologies and implementing world-class manufacturing practices, including LEAN and process automation, to improve reliability while reducing total product cost and lead time to delivery. Our REMS organization primarily supports our Subsea segment but is also integrated across our Surface Technologies segment.</w:t>
      </w: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u w:val="single" w:color="auto"/>
          <w:color w:val="auto"/>
        </w:rPr>
        <w:t>Product Management.</w:t>
      </w:r>
      <w:r>
        <w:rPr>
          <w:rFonts w:ascii="Arial" w:cs="Arial" w:eastAsia="Arial" w:hAnsi="Arial"/>
          <w:sz w:val="18"/>
          <w:szCs w:val="18"/>
          <w:color w:val="auto"/>
        </w:rPr>
        <w:t xml:space="preserve"> In 2019, we established a Product Management function to expand our capabilities to assess, define, and deliver the technologies and products of the future. This function enables REMS, and the Subsea and Surface Technologies businesses to drive the understanding of customer requirements, competitive landscape, and investment prioritization.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Many of the systems and products we supply for subsea applications are highly engineered to meet the unique demands of our customers’ field properties and are typically ordered one to two years before installation. We often receive advance payments and progress billings from our customers to fund initial development and working capital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Generally, our customers in the Subsea segment are major integrated oil companies, national oil companies, and independent exploration and production companies.</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actively pursue alliances with companies that are engaged in the subsea development of oil and natural gas to promote our integrated systems for subsea production. These alliances are typically related to the procurement of subsea production equipment, although some alliances are related to EPCI services. Development of subsea fields, particularly in deepwater environments, involves substantial capital investments. Operators have also sought the security of alliances with us to ensure timely and cost-effective delivery of subsea and other energy-related systems that provide integrated solutions to meet their needs.</w:t>
      </w:r>
    </w:p>
    <w:p>
      <w:pPr>
        <w:spacing w:after="0" w:line="232"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Our alliances establish important ongoing relationships with our customers. While these alliances do not contractually commit our customers to purchase our systems and services, they have historically led to, and we expect that they would continue to result in, such purchases.</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commitment to our customers goes beyond project delivery, and we nurture these alliances with transparency and collaboration to better understand their needs to ensure customer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single Subsea customer accounted for 10% or more of our 2020 consolidated revenue.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the only fully integrated company that can provide the complete suite of subsea production equipment, umbilicals, and flowlines with the complete portfolio of installation and LOF services enabling us to develop a subsea field as a single company. We compete with companies that supply some of the components as well as installation companies. Our competitors include Aker Solutions ASA, Baker Hughes Company (“Baker Hughes”), Dril-Quip, Inc., McDermott International, Inc. (“McDermott”), National Oilwell Varco, Oceaneering International, Inc., Saipem S.p.A. (“Saipem”), Schlumberger, Ltd. (“Schlumberger”), and Subsea 7 S.A.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 w:name="page9"/>
    <w:bookmarkEnd w:id="8"/>
    <w:p>
      <w:pPr>
        <w:ind w:right="200"/>
        <w:spacing w:after="0" w:line="256" w:lineRule="auto"/>
        <w:rPr>
          <w:sz w:val="20"/>
          <w:szCs w:val="20"/>
          <w:color w:val="auto"/>
        </w:rPr>
      </w:pPr>
      <w:r>
        <w:rPr>
          <w:rFonts w:ascii="Arial" w:cs="Arial" w:eastAsia="Arial" w:hAnsi="Arial"/>
          <w:sz w:val="18"/>
          <w:szCs w:val="18"/>
          <w:color w:val="auto"/>
        </w:rPr>
        <w:t>In the North Sea, winter weather generally subdues drilling activity, reducing vessel utilization and demand for subsea services as certain activities cannot be performed. As a result, the level of offshore activity in our Subsea segment is negatively impacted in the first quarter of each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volatile, and generally low, crude oil price environment of the last several years led many of our customers to reduce their capital spending plans and defer new deepwater projects. Order activity in 2020 was particularly impacted by the sharp decline in commodity prices in April, driven in part by the reduced economic activity, and the general uncertainty related to the COVID-19 pandemic. The reduction and deferral of new projects resulted in delayed subsea projects inbound for the industry.</w:t>
      </w:r>
    </w:p>
    <w:p>
      <w:pPr>
        <w:spacing w:after="0" w:line="231"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While economic activity continues to be impacted by the pandemic, the short-term outlook for crude oil has improved as the OPEC+ countries better manage the oversupplied market. Long-term demand for energy is still forecast to rise, and we believe this outlook will ultimately provide our customers with the confidence to increase investments in new sources of oil and natural gas production.</w:t>
      </w:r>
    </w:p>
    <w:p>
      <w:pPr>
        <w:spacing w:after="0" w:line="22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trajectory and pace of further recovery and expansion in the subsea market is subject to the capital our clients dedicate to developing offshore oil and gas fields amongst their entire portfolio of projects and drivers of capital expansion or discipline. The risk of project sanctioning delays is still present in the current environment; however, innovative approaches to subsea projects, like our iEPCI solution, have improved project economics, and many offshore discoveries can be developed economically at today’s crude oil prices. In the long-term, deepwater development is expected to remain a significant part of many of our customers’ portfolios.</w:t>
      </w:r>
    </w:p>
    <w:p>
      <w:pPr>
        <w:spacing w:after="0" w:line="23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As the subsea industry continues to evolve, we have taken actions to further streamline our organization, achieve standardization, and reduce cycle times. The rationalization of our global footprint will also further leverage the benefits of our integrated offering. We aim to continuously align our operations with activity levels, while preserving our core capacity in order to deliver current projects in backlog and future order activity.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76"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With our proprietary technologies and production systems, and integration expertise, we are transforming subsea by safely delivering innovative solutions that improve economics, enhance performance, and reduce emissions. We have used these capabilities to develop a new subsea commercial model that is transforming the way we interact with our customers and create value with them.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includes the following priorities:</w:t>
      </w:r>
    </w:p>
    <w:p>
      <w:pPr>
        <w:spacing w:after="0" w:line="171" w:lineRule="exact"/>
        <w:rPr>
          <w:sz w:val="20"/>
          <w:szCs w:val="20"/>
          <w:color w:val="auto"/>
        </w:rPr>
      </w:pPr>
    </w:p>
    <w:p>
      <w:pPr>
        <w:ind w:left="660" w:right="10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Engagement in the conceptual design and integrated front-end engineering of subsea development projects to create value through technology and integration of scopes by simplifying field architecture and accelerating both delivery schedules and time to first production.</w:t>
      </w:r>
    </w:p>
    <w:p>
      <w:pPr>
        <w:spacing w:after="0" w:line="147"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Innovative research and development (“R&amp;D”), often in collaboration with clients and partners, to develop leading products and technologies that deliver greater efficiency to the client, lower development costs, unlock stranded and/or marginal fields, and enable frontier developments.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 on selecting the right projects to ensure a strong and healthy backlog.</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Superior project execution capabilities allowing us to mobilize the right teams, assets, and facilities to capture and profitably execute complex subsea projects and services.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 on combined competencies coming from alliances and partnerships with both clients and suppliers.</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supplier relationships to optimize supply chain market dynamics and implement greater simplification and standardization in products and processes.</w:t>
      </w:r>
    </w:p>
    <w:p>
      <w:pPr>
        <w:spacing w:after="0" w:line="14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TechnipFMC is a clear leader in the subsea industry. Our success has been built on our technological strength, innovation, focus on digitalization, and strong partnerships with major oil companies to expand market opportunities.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continue to focus on performance improvement and optimization strategies that will improve our profitability. Our investments decisions fully support our business with technologies that will differentiate our portfolio.</w:t>
      </w:r>
    </w:p>
    <w:p>
      <w:pPr>
        <w:spacing w:after="0" w:line="180" w:lineRule="exact"/>
        <w:rPr>
          <w:sz w:val="20"/>
          <w:szCs w:val="20"/>
          <w:color w:val="auto"/>
        </w:rPr>
      </w:pPr>
    </w:p>
    <w:p>
      <w:pPr>
        <w:jc w:val="both"/>
        <w:ind w:right="80"/>
        <w:spacing w:after="0" w:line="226" w:lineRule="auto"/>
        <w:rPr>
          <w:sz w:val="20"/>
          <w:szCs w:val="20"/>
          <w:color w:val="auto"/>
        </w:rPr>
      </w:pPr>
      <w:r>
        <w:rPr>
          <w:rFonts w:ascii="Arial" w:cs="Arial" w:eastAsia="Arial" w:hAnsi="Arial"/>
          <w:sz w:val="18"/>
          <w:szCs w:val="18"/>
          <w:color w:val="auto"/>
        </w:rPr>
        <w:t>Subsea Studio</w:t>
      </w:r>
      <w:r>
        <w:rPr>
          <w:rFonts w:ascii="Arial" w:cs="Arial" w:eastAsia="Arial" w:hAnsi="Arial"/>
          <w:sz w:val="28"/>
          <w:szCs w:val="28"/>
          <w:color w:val="auto"/>
          <w:vertAlign w:val="superscript"/>
        </w:rPr>
        <w:t>TM</w:t>
      </w:r>
      <w:r>
        <w:rPr>
          <w:rFonts w:ascii="Arial" w:cs="Arial" w:eastAsia="Arial" w:hAnsi="Arial"/>
          <w:sz w:val="18"/>
          <w:szCs w:val="18"/>
          <w:color w:val="auto"/>
        </w:rPr>
        <w:t xml:space="preserve"> is transforming the conventional concept, FEED and tendering phases of subsea projects. Working with our clients, we are now able to develop ultra-fast, digital field architectures that bring together decades of engineering knowledge with artificial intelligence and machine learning to optimize product configurations, accelerate execution, and maximize value.</w:t>
      </w:r>
    </w:p>
    <w:p>
      <w:pPr>
        <w:spacing w:after="0" w:line="19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Subsea Studio</w:t>
      </w:r>
      <w:r>
        <w:rPr>
          <w:rFonts w:ascii="Arial" w:cs="Arial" w:eastAsia="Arial" w:hAnsi="Arial"/>
          <w:sz w:val="28"/>
          <w:szCs w:val="28"/>
          <w:color w:val="auto"/>
          <w:vertAlign w:val="superscript"/>
        </w:rPr>
        <w:t>TM</w:t>
      </w:r>
      <w:r>
        <w:rPr>
          <w:rFonts w:ascii="Arial" w:cs="Arial" w:eastAsia="Arial" w:hAnsi="Arial"/>
          <w:sz w:val="18"/>
          <w:szCs w:val="18"/>
          <w:color w:val="auto"/>
        </w:rPr>
        <w:t xml:space="preserve"> has an open architecture that allows integration with other engineering and manufacturing systems, eliminating the need for multiple hand-offs, and resulting in as much as a 50% reduction in the time required for front-end engineering. We are extending the platform beyond subsea system design to incorporate the execution and field management phases of a project. Once fully implemented, we will have a complete digital thread from concept design, all the way through to the life of the field.</w:t>
      </w:r>
    </w:p>
    <w:p>
      <w:pPr>
        <w:spacing w:after="0" w:line="24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To further our commitment to meaningfully contribute to the energy transition, we formed New Energy Ventures to define a detailed business plan and identify and develop business opportunities and investment cases. We seek to make energy more sustainable through electrification of offshore fields through renewable sources. Offshore floating wind, wave energy, and green hydrogen will be main contributors to our subsea energy transition vision. Our core competencies in systems engineering, safety control and systems, high pressure gas pipelines and risers, connection systems, and subsea tank systems are easily transferable from oil and gas to alternative energy solutions.</w:t>
      </w:r>
    </w:p>
    <w:p>
      <w:pPr>
        <w:spacing w:after="0" w:line="10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have set a target to reduce up to 50 percent of CO</w:t>
      </w:r>
      <w:r>
        <w:rPr>
          <w:rFonts w:ascii="Arial" w:cs="Arial" w:eastAsia="Arial" w:hAnsi="Arial"/>
          <w:sz w:val="28"/>
          <w:szCs w:val="28"/>
          <w:color w:val="auto"/>
          <w:vertAlign w:val="subscript"/>
        </w:rPr>
        <w:t>2</w:t>
      </w:r>
      <w:r>
        <w:rPr>
          <w:rFonts w:ascii="Arial" w:cs="Arial" w:eastAsia="Arial" w:hAnsi="Arial"/>
          <w:sz w:val="18"/>
          <w:szCs w:val="18"/>
          <w:color w:val="auto"/>
        </w:rPr>
        <w:t xml:space="preserve"> emissions from offshore upstream life of field. Subsea is a field development solution that is uniquely positioned to minimize carbon footprint and drive simplification in field design, product design and offshore operations to enable a platform-less future.</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Subsea all-electric field developments enable longer step-out and tiebacks as well as unmanned platforms and operations. Subsea processing and power solutions move technology from topside to seabed. Automation and robotics such as the Gemini ROV represent a step change towards autonomous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subsea products and infrastructure help our clients' businesses be less carbon intensive across activities by reducing CO</w:t>
      </w:r>
      <w:r>
        <w:rPr>
          <w:rFonts w:ascii="Arial" w:cs="Arial" w:eastAsia="Arial" w:hAnsi="Arial"/>
          <w:sz w:val="28"/>
          <w:szCs w:val="28"/>
          <w:color w:val="auto"/>
          <w:vertAlign w:val="subscript"/>
        </w:rPr>
        <w:t>2</w:t>
      </w:r>
      <w:r>
        <w:rPr>
          <w:rFonts w:ascii="Arial" w:cs="Arial" w:eastAsia="Arial" w:hAnsi="Arial"/>
          <w:sz w:val="18"/>
          <w:szCs w:val="18"/>
          <w:color w:val="auto"/>
        </w:rPr>
        <w:t xml:space="preserve"> emissions.</w:t>
      </w:r>
    </w:p>
    <w:p>
      <w:pPr>
        <w:spacing w:after="0" w:line="26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expect our iEPCI capabilities to provide a competitive advantage as we deliver comprehensive and differentiated solutions. In addition, we anticipate the following longer-term trends in the subsea market:</w:t>
      </w:r>
    </w:p>
    <w:p>
      <w:pPr>
        <w:spacing w:after="0" w:line="225" w:lineRule="exact"/>
        <w:rPr>
          <w:sz w:val="20"/>
          <w:szCs w:val="20"/>
          <w:color w:val="auto"/>
        </w:rPr>
      </w:pPr>
    </w:p>
    <w:p>
      <w:pPr>
        <w:ind w:left="660" w:right="1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market adoption of integrated subsea projects, leading to further penetration of our integrated business model and higher levels of iEPCI order activity for our Company.</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Growing service opportunities, driven by (i) higher levels of project activity, (ii) increased asset integrity and production management activities focused on improving uptime and production volume and lowering emissions, and (iii) increased maintenance and intervention activity resulting from an expanding and aging installed equipment base.</w:t>
      </w:r>
    </w:p>
    <w:p>
      <w:pPr>
        <w:spacing w:after="0" w:line="147" w:lineRule="exact"/>
        <w:rPr>
          <w:rFonts w:ascii="Arial" w:cs="Arial" w:eastAsia="Arial" w:hAnsi="Arial"/>
          <w:sz w:val="18"/>
          <w:szCs w:val="18"/>
          <w:color w:val="auto"/>
        </w:rPr>
      </w:pPr>
    </w:p>
    <w:p>
      <w:pPr>
        <w:ind w:left="660" w:right="34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Smaller projects (less than $75 million) and direct awards will continue to contribute meaningfully to our order mix. In 2020, these awards collectively represented more than half of our total subsea inbound orders, with the remainder being publicly announced projects and subsea service activities. Subsea tiebacks are often part of this mix, and these shorter cycle brownfield expansions provide operators with faster paybacks and higher returns.</w:t>
      </w:r>
    </w:p>
    <w:p>
      <w:pPr>
        <w:spacing w:after="0" w:line="230"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 a growing trend towards independent operators and new entrants undertaking subsea developments; we are a natural partner for this customer group because of our ability to offer fully integrated solutions.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0" w:name="page11"/>
    <w:bookmarkEnd w:id="10"/>
    <w:p>
      <w:pPr>
        <w:jc w:val="both"/>
        <w:ind w:left="660" w:right="180" w:hanging="328"/>
        <w:spacing w:after="0" w:line="27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Natural gas developments are growing in prominence. We believe that more than 20 percent of offshore capital expenditures could be directed at natural gas developments by early next decade. We also anticipate that 45 percent of gas production will come from offshore, with significant growth in the Middle East (shallow water) followed by Australia (deep water) in the next five years.</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continue to work closely with our customers and believe that, in the context of lower oil prices, with our unique business model we can further reduce their project break-even levels by offering cost-effective approaches to their project developments and accelerating time to first oil and 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Technology development progressed on our Subsea 2.0™ (“Subsea 2.0”) product platform, the next generation of subsea equipment, using designs that are significantly simpler, leaner, and smarter than current designs. These products incorporate a modular product architecture and component level standardization to enable a flexible configure-to-order approach, reducing hardware delivery time for clients. The products are expected to deliver breakthroughs in the way subsea products are manufactured, assembled, installed, and maintained over the life of the field. Incorporating our Subsea 2.0 platform can greatly simplify the subsea infrastructure, while reducing greenhouse gas emissions. When combined with iEPCI, it also simplifies vessel installation campaigns by providing an even greater environmental and economic benefit and unlocks first oil and gas faster. In 2020, we installed Subsea 2.0 trees on two projects, with production under way offshore in Brazil. Additionally, we were awarded our latest iEPCI project with Shell in Malaysia. It incorporates our Subsea 2.0 technology as well as a diverse set of other projects in some of the most active basins in the world.</w:t>
      </w:r>
    </w:p>
    <w:p>
      <w:pPr>
        <w:spacing w:after="0" w:line="2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Joint Industry Program for electrification of the field progressed well this year. This system solution will drive reduced emissions, enable more digitally enabled intelligent field operations, improve economics for long step-out and subsea tie-back to short field developments, and contribute to a more sustainable way to develop oil and gas resources.</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 partnership with Halliburton, we introduced Odassea™, the first distributed acoustic sensing solution for subsea wells. This technology platform enables operators to execute intervention-less seismic imaging and reservoir diagnostics to reduce total cost of ownership while improving reservoir knowledge. This project expands our unique integrated subsea solution and leverages the competencies and know-how to drive a higher level of sustainability. In the field, we are delivering solutions with the technology to multiple subsea projects at all stages from conceptual design to execution and installation.</w:t>
      </w:r>
    </w:p>
    <w:p>
      <w:pPr>
        <w:spacing w:after="0" w:line="23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year, we have also advanced on our journey towards more autonomous operations with the launch of the Gemini™® (“Gemini”) ROV system, featuring advanced automation and precision robotics to increase offshore productivity. Gemini is the next generation of advanced 250 horse power work class ROV system providing unprecedented subsea productivity. The integration of ROV, manipulators and tooling enables a transition to highly automated subsea robotics, which reduces task time from hours to minutes, ensuring predictable results every time. Featuring a significant advancement in manipulator design, the Gemini manipulators provide integrated hydraulics, electric power,</w:t>
      </w:r>
    </w:p>
    <w:p>
      <w:pPr>
        <w:spacing w:after="0" w:line="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communications, and force compliance. Additionally, the ROV has access to more than 30 subsea exchangeable tools and a comprehensive fluid intervention system to support the most demanding deepwater drilling and completion operations. With a depth rating of up to 4,000 meters, Gemini can remain subsea for one month, enabling 24/7 operations without recovery for tooling reconfiguration. Its combination of system availability, capability and productivity reduces operational costs and delivers unequaled performance.</w:t>
      </w:r>
    </w:p>
    <w:p>
      <w:pPr>
        <w:spacing w:after="0" w:line="23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addition to investments to develop lower-cost production solutions, we also invest in the development of technology to expand our service portfolio. As an example, we have simultaneously launched a suite of new ROV services for drill rigs alongside Gemini to drive even greater efficiency.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8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did not make any material acquisitions or corporate investments in 2020. We have focused on business transformation to mitigate the adverse effects of the rapidly changing market environment and to ensure the long-term viability of our subsea business. Going forward, we will need fewer assets to deliver more comprehensive solutions: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optimizing our operations across geographies, and if economic returns don’t make sense, we will look to exit.</w:t>
      </w:r>
    </w:p>
    <w:p>
      <w:pPr>
        <w:spacing w:after="0" w:line="117"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to right-size our assets to better align with and leverage the benefits of our differentiated offering and the advantages of new technologies – such as Subsea 2.0 – and integrated project delivery.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to partner with others, providing us access to unique assets in a more capital efficient manner.</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the subsea industry continues to evolve, we are accelerating actions to further streamline our organization, achieve standardization, and reduce cycle times. We aim to continuously align our operations with activity levels, while preserving our core capacity in order to deliver current projects in backlog and future order activity.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 Energies</w:t>
      </w:r>
    </w:p>
    <w:p>
      <w:pPr>
        <w:spacing w:after="0" w:line="27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Technip Energies offers a full range of design, project management, and construction services to our customers spanning the entire downstream value chain, including technical consulting, concept selection, and final acceptance test. With the drive of the energy transition, we are increasingly deploying low-carbon solutions. We have been successful in meeting our clients’ needs given our proven skills in managing large engineering, procurement, and construction projects.</w:t>
      </w:r>
    </w:p>
    <w:p>
      <w:pPr>
        <w:spacing w:after="0" w:line="23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Technip Energies’ onshore business combines the study, engineering, procurement, construction, and project management of the entire range of facilities related to the production, treatment, and transportation of gas, oil and renewables, the transformation of petrochemicals such as ethylene, polymers, and fertilizers, as well as other major activities including refining and hydrogen.</w:t>
      </w:r>
    </w:p>
    <w:p>
      <w:pPr>
        <w:spacing w:after="0" w:line="2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Technip Energies conducts large-scale, complex, and challenging projects that involve extreme climatic conditions and non-conventional resources and are subject to increasing environmental and regulatory performance standards. Technip Energies relies on technological know-how for process design and engineering, either through the integration of technologies from leading alliance partners or through its own technologies. Technip Energies seeks to integrate and develop advanced technologies and reinforce its strong project execution capabilities in each of its onshore activities.</w:t>
      </w:r>
    </w:p>
    <w:p>
      <w:pPr>
        <w:spacing w:after="0" w:line="2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Technip Energies’ offshore business combines the study, engineering, procurement, construction, and project management within the entire range of fixed and floating offshore facilities, many of which were the first of their kind, including the development of floating liquefied natural gas (“FLNG”) facilities.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Onshore Engineering &amp; Construction.</w:t>
      </w:r>
      <w:r>
        <w:rPr>
          <w:rFonts w:ascii="Arial" w:cs="Arial" w:eastAsia="Arial" w:hAnsi="Arial"/>
          <w:sz w:val="18"/>
          <w:szCs w:val="18"/>
          <w:color w:val="auto"/>
        </w:rPr>
        <w:t xml:space="preserve"> Technip Energies designs and builds different types of facilities for the development of onshore gas, oil, and renewables, processing facilities, and product export systems. In addition, Technip Energies renovates existing facilities by modernizing production equipment and control systems, in accordance with applicable environmental standards.</w:t>
      </w:r>
    </w:p>
    <w:p>
      <w:pPr>
        <w:spacing w:after="0" w:line="22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u w:val="single" w:color="auto"/>
          <w:color w:val="auto"/>
        </w:rPr>
        <w:t>Natural Gas Treatment and Liquefaction.</w:t>
      </w:r>
      <w:r>
        <w:rPr>
          <w:rFonts w:ascii="Arial" w:cs="Arial" w:eastAsia="Arial" w:hAnsi="Arial"/>
          <w:sz w:val="18"/>
          <w:szCs w:val="18"/>
          <w:color w:val="auto"/>
        </w:rPr>
        <w:t xml:space="preserve"> Technip Energies offers a complete range of services across the gas value chain to support its clients’ capital projects from concept to delivery. Technip Energies’ capabilities include the design and construction of facilities for liquefied natural gas (“LNG”), gas-to-liquids (“GTL”), natural gas liquids (“NGL”) recovery, and gas treatment.</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field of LNG, Technip Energies pioneered base-load LNG plant construction through the first-ever facility in Arzew, Algeria. Working with its partners, Technip Energies has constructed facilities that can deliver more than 105 million metric tonnes per annum (“Mtpa”), which is a significant portion of the global liquefaction capacity in operation today. Technip Energies brings knowledge and conceptual design capabilities that are unique among engineering and construction companies involved in LNG. Technip Energies has engineered and delivered a broad range of LNG plants, including mid-scale and very large-scale plants, both onshore and offshore, and plants in remote locations. Technip Energies has experience in the complete range of services for LNG, receiving terminals from conceptual design studies to EPC. Reference projects include LNG trains in Qatar (the sixth largest ever constructed), Yemen, and a series of mid-scale LNG plants in China. Together with its joint venture partners,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Technip Energies delivered the first phase of the Yamal LNG plant (“Yamal”) in the Russian Arctic with all three trains put in production before the end of 2018. During 2019, the Arctic LNG 2 project for Novatek was sanctioned following award of the EPC contract to Technip Energies, together with its joint venture partners. Technip Energies combines its capabilities with its technology and know-how to develop new solutions that supports the energy transition in reducing LNG plant emissions and improving their energy efficiency.</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Technip Energies is also well-positioned in the GTL market and are one of the few contractors with experience in large GTL facilities. Technip Energies has unique experience in delivering plants using Sasol’s “Slurry Phase Distillate” technology, and it has provided front-end engineering design for the Fischer-Tropsch section of more than 60 percent of commercial liquids conversion capacity worldwide. Technip Energies’ clients also benefit from its development of environmental protection measures, including low nitrogen oxide and sulfur oxide emissions, waste-water treatment, and waste management.</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Technip Energies specializes in the design and construction of large-scale gas treatment complexes as well as existing facility upgrades. Gas treatment includes the removal of carbon dioxide and sulfur components from natural gas using chemical or physical solvents, sulfur recovery, and gas sweetening processes based on the use of an amine solvent. Technip Energies ranks among the top contractors in the field in relation to sulfur recovery units installed in refineries or natural gas processing plants. Given its long-term experience in the field of sour gas processing, Technip Energies can provide support to clients for the overall evaluation of the gas sweetening/sulfur recovery chain and the selection of optimum technologies.</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u w:val="single" w:color="auto"/>
          <w:color w:val="auto"/>
        </w:rPr>
        <w:t>Refining.</w:t>
      </w:r>
      <w:r>
        <w:rPr>
          <w:rFonts w:ascii="Arial" w:cs="Arial" w:eastAsia="Arial" w:hAnsi="Arial"/>
          <w:sz w:val="18"/>
          <w:szCs w:val="18"/>
          <w:color w:val="auto"/>
        </w:rPr>
        <w:t xml:space="preserve"> Technip Energies is a leader in the design and construction of refineries. Technip Energies manages many aspects of these projects, including the preparation of concept and feasibility studies, and the design, construction, and start-up of complex refineries or single refinery units. Technip Energies has been involved in the design and construction of more than 30 new refineries or major refinery expansions and are one of the few contractors in the world to have built seven new refineries since 2000. Technip Energies has extensive experience with technologies related to refining and have completed more than 840 individual process units within major expansion or refurbishment projects, implemented in more than 75 countries. As a result of its cooperation with the most highly renowned technology licensors and catalyst suppliers, and its strong technological expertise and refinery consulting services, Technip Energies is able to provide an independent selection of appropriate technologies to meet specific project and client targets. These technologies result in direct benefits to the client, such as energy efficiency, emission control and environmental protection, including hydrogen and carbon dioxide management, sulfur recovery units, water treatment, and zero flaring. With a strong record of accomplishment in refinery optimization and performance improvement projects, Technip Energies has experience and competence in relevant technological fields in the refining sector. Transition to a low-carbon economy is a strategic trend driving the refining industry today for which Technip Energies offers significant experience, technological skills, solid project development, and delivery references.</w:t>
      </w:r>
    </w:p>
    <w:p>
      <w:pPr>
        <w:spacing w:after="0" w:line="23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u w:val="single" w:color="auto"/>
          <w:color w:val="auto"/>
        </w:rPr>
        <w:t>Biofuels.</w:t>
      </w:r>
      <w:r>
        <w:rPr>
          <w:rFonts w:ascii="Arial" w:cs="Arial" w:eastAsia="Arial" w:hAnsi="Arial"/>
          <w:sz w:val="18"/>
          <w:szCs w:val="18"/>
          <w:color w:val="auto"/>
        </w:rPr>
        <w:t xml:space="preserve"> Biofuels are a renewable alternative to fossil fuels and an advanced solution to meet stringent, medium-term climate targets. In this domain, Technip Energies is one of the global leaders and delivers a wide range of biofuel plants utilizing various technologies. Technip Energies has end-to-end project management expertise, delivering projects from feasibility studies to full EPC project execution. Opportunities lie in expansions or revamps of existing refineries, as well as stand-alone projects. As an example, Technip Energies is a partner of choice for Neste’s NEXBTL projects, being involved in its facilities in Singapore and Rotterdam.</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u w:val="single" w:color="auto"/>
          <w:color w:val="auto"/>
        </w:rPr>
        <w:t>Hydrogen.</w:t>
      </w:r>
      <w:r>
        <w:rPr>
          <w:rFonts w:ascii="Arial" w:cs="Arial" w:eastAsia="Arial" w:hAnsi="Arial"/>
          <w:sz w:val="18"/>
          <w:szCs w:val="18"/>
          <w:color w:val="auto"/>
        </w:rPr>
        <w:t xml:space="preserve"> Hydrogen is widely used in the production of cleaner transport fuels and is also the most widely used industrial gas in the refining, chemical, and petrochemical industries. With more than 55 years' experience and expertise in the production of hydrogen, Technip Energies offers a single point of responsibility for the design and construction of hydrogen and synthesis gas production units, with tailored solutions ranging from Process Design Packages to full lump-sum turnkey projects. Technip Energies also offers services for maintenance and performance optimization of running units as well as a wide choice of proprietary technologies, including steam reforming technology used worldwide. Technip Energies has solutions in place for carbon capture readiness in future hydrogen plants, targeting more than a two-thirds' reduction in carbon dioxide release from hydrogen plants. Driven by its track record in grey and blue hydrogen projects, Technip Energies is also focused on positioning carbon-free, green, hydrogen in the current and future energy landscape, on the basis of its extensive expertise in hydrogen technology. In October 2020, Technip Energies entered into a strategic alliance with McPhy, a leading manufacturer and supplier of carbon-free hydrogen production and distribution equipment, to develop large-scale and competitive carbon-free hydrogen solutions from production to liquefaction, storage, and distribution.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right="320"/>
        <w:spacing w:after="0" w:line="252" w:lineRule="auto"/>
        <w:rPr>
          <w:sz w:val="20"/>
          <w:szCs w:val="20"/>
          <w:color w:val="auto"/>
        </w:rPr>
      </w:pPr>
      <w:r>
        <w:rPr>
          <w:rFonts w:ascii="Arial" w:cs="Arial" w:eastAsia="Arial" w:hAnsi="Arial"/>
          <w:sz w:val="18"/>
          <w:szCs w:val="18"/>
          <w:u w:val="single" w:color="auto"/>
          <w:color w:val="auto"/>
        </w:rPr>
        <w:t>Ethylene.</w:t>
      </w:r>
      <w:r>
        <w:rPr>
          <w:rFonts w:ascii="Arial" w:cs="Arial" w:eastAsia="Arial" w:hAnsi="Arial"/>
          <w:sz w:val="18"/>
          <w:szCs w:val="18"/>
          <w:color w:val="auto"/>
        </w:rPr>
        <w:t xml:space="preserve"> Technip Energies holds proprietary technologies and is a leader in the design, construction, and commissioning of ethylene production plants. Technip Energies designs steam crackers, from concept stage through construction and commissioning, for both new plants (including mega-crackers) and plant expansions. Technip Energies has a portfolio of the latest generation of commercially proven technologies and is uniquely positioned to be both a licensor and an EPC contractor. Technip Energies’ technological developments have improved the energy efficiency in ethylene plants by improving thermal efficiency of the furnaces and reducing the compression power required per ton, thereby reducing carbon dioxide emissions per ton of ethylene by 30 percent over the last 20 years.</w:t>
      </w:r>
    </w:p>
    <w:p>
      <w:pPr>
        <w:spacing w:after="0" w:line="23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u w:val="single" w:color="auto"/>
          <w:color w:val="auto"/>
        </w:rPr>
        <w:t>Petrochemicals.</w:t>
      </w:r>
      <w:r>
        <w:rPr>
          <w:rFonts w:ascii="Arial" w:cs="Arial" w:eastAsia="Arial" w:hAnsi="Arial"/>
          <w:sz w:val="18"/>
          <w:szCs w:val="18"/>
          <w:color w:val="auto"/>
        </w:rPr>
        <w:t xml:space="preserve"> Technip Energies is one of the world leaders in the process design, licensing, and realization of petrochemical units, including basic chemicals, intermediate, and derivative plants. Technip Energies provides a range of services that includes process technology licensing and development and full EPC complexes. Technip Energies is accelerating the energy transition by improving monomer and energy efficiencies of its plants and by integrating feedstock shifts to improve production costs and carbon footprints. Technip Energies licenses a portfolio of chemical technologies through long-standing alliances and relationships with leading manufacturing companies and technology providers. Technip Energies has research centers to develop and test technologies for polymer and petrochemical applications, where fully automated pilot plants gather design data to scale-up processes for commercialization.</w:t>
      </w:r>
    </w:p>
    <w:p>
      <w:pPr>
        <w:spacing w:after="0" w:line="230"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Fertilizers.</w:t>
      </w:r>
      <w:r>
        <w:rPr>
          <w:rFonts w:ascii="Arial" w:cs="Arial" w:eastAsia="Arial" w:hAnsi="Arial"/>
          <w:sz w:val="18"/>
          <w:szCs w:val="18"/>
          <w:color w:val="auto"/>
        </w:rPr>
        <w:t xml:space="preserve"> Technip Energies’ expertise covers the entire value chain from mining and beneficiation to fertilizers, including ammonia, urea, and phosphoric acid plants. Working in more than 40 countries, Technip Energies has engineered and delivered more than 350 large fertilizer complexes and integrated units. Technip Energies services offerings range from global strategic planning, technical consulting, and feasibility studies to complete turnkey facilities and further assistance to production and de-bottlenecking. Through its commitment to continuous end-to-end innovation for higher performance and efficiencies, Technip Energies helps its clients develop optimized and sustainable process schemes for their projects and meet the highest environmental standards.</w:t>
      </w:r>
    </w:p>
    <w:p>
      <w:pPr>
        <w:spacing w:after="0" w:line="235" w:lineRule="exact"/>
        <w:rPr>
          <w:sz w:val="20"/>
          <w:szCs w:val="20"/>
          <w:color w:val="auto"/>
        </w:rPr>
      </w:pPr>
    </w:p>
    <w:p>
      <w:pPr>
        <w:jc w:val="both"/>
        <w:ind w:right="600"/>
        <w:spacing w:after="0" w:line="273" w:lineRule="auto"/>
        <w:rPr>
          <w:sz w:val="20"/>
          <w:szCs w:val="20"/>
          <w:color w:val="auto"/>
        </w:rPr>
      </w:pPr>
      <w:r>
        <w:rPr>
          <w:rFonts w:ascii="Arial" w:cs="Arial" w:eastAsia="Arial" w:hAnsi="Arial"/>
          <w:sz w:val="17"/>
          <w:szCs w:val="17"/>
          <w:u w:val="single" w:color="auto"/>
          <w:color w:val="auto"/>
        </w:rPr>
        <w:t>Sustainable Chemistry.</w:t>
      </w:r>
      <w:r>
        <w:rPr>
          <w:rFonts w:ascii="Arial" w:cs="Arial" w:eastAsia="Arial" w:hAnsi="Arial"/>
          <w:sz w:val="17"/>
          <w:szCs w:val="17"/>
          <w:color w:val="auto"/>
        </w:rPr>
        <w:t xml:space="preserve"> Technip Energies is a key player in sustainable chemistry and offers a variety of technologies, processes and services in the areas of biofuels, biochemicals, and circular economy applications. With leading engineering and project management capabilities originating from expertise in chemicals, petrochemicals, refining, and fermentation, it provides high value for clients – from process development in the very early stage of the project, to the implementation of large and complex sustainable chemicals plants.</w:t>
      </w:r>
    </w:p>
    <w:p>
      <w:pPr>
        <w:spacing w:after="0" w:line="218" w:lineRule="exact"/>
        <w:rPr>
          <w:sz w:val="20"/>
          <w:szCs w:val="20"/>
          <w:color w:val="auto"/>
        </w:rPr>
      </w:pPr>
    </w:p>
    <w:p>
      <w:pPr>
        <w:ind w:right="60"/>
        <w:spacing w:after="0" w:line="220" w:lineRule="auto"/>
        <w:rPr>
          <w:sz w:val="20"/>
          <w:szCs w:val="20"/>
          <w:color w:val="auto"/>
        </w:rPr>
      </w:pPr>
      <w:r>
        <w:rPr>
          <w:rFonts w:ascii="Arial" w:cs="Arial" w:eastAsia="Arial" w:hAnsi="Arial"/>
          <w:sz w:val="18"/>
          <w:szCs w:val="18"/>
          <w:u w:val="single" w:color="auto"/>
          <w:color w:val="auto"/>
        </w:rPr>
        <w:t>Decarbonization.</w:t>
      </w:r>
      <w:r>
        <w:rPr>
          <w:rFonts w:ascii="Arial" w:cs="Arial" w:eastAsia="Arial" w:hAnsi="Arial"/>
          <w:sz w:val="18"/>
          <w:szCs w:val="18"/>
          <w:color w:val="auto"/>
        </w:rPr>
        <w:t xml:space="preserve"> Technip Energies provides solutions that span from energy efficiency to full carbon removal, adapting to a variety of client challenges and requirements. Technip Energies makes clients’ businesses less carbon intensive across activities, decarbonizes fossil-based energies and manages the resulting CO</w:t>
      </w:r>
      <w:r>
        <w:rPr>
          <w:rFonts w:ascii="Arial" w:cs="Arial" w:eastAsia="Arial" w:hAnsi="Arial"/>
          <w:sz w:val="28"/>
          <w:szCs w:val="28"/>
          <w:color w:val="auto"/>
          <w:vertAlign w:val="subscript"/>
        </w:rPr>
        <w:t>2</w:t>
      </w:r>
      <w:r>
        <w:rPr>
          <w:rFonts w:ascii="Arial" w:cs="Arial" w:eastAsia="Arial" w:hAnsi="Arial"/>
          <w:sz w:val="18"/>
          <w:szCs w:val="18"/>
          <w:color w:val="auto"/>
        </w:rPr>
        <w:t xml:space="preserve"> in a sustainable manner. Technip Energies current portfolio of sustainable technologies includes process designs that improve energy efficiency and reduce emissions and provides answers today for its customers.</w:t>
      </w:r>
    </w:p>
    <w:p>
      <w:pPr>
        <w:spacing w:after="0" w:line="243"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u w:val="single" w:color="auto"/>
          <w:color w:val="auto"/>
        </w:rPr>
        <w:t>Carbon-free energy solutions</w:t>
      </w:r>
      <w:r>
        <w:rPr>
          <w:rFonts w:ascii="Arial" w:cs="Arial" w:eastAsia="Arial" w:hAnsi="Arial"/>
          <w:sz w:val="18"/>
          <w:szCs w:val="18"/>
          <w:color w:val="auto"/>
        </w:rPr>
        <w:t>. To offer carbon-free solutions requires overcoming many technical and commercial challenges, as well as integrating multiple technologies for the management of electrical power from wind or solar intermittency. In this field, Technip Energies is expanding its portfolio of technologies and processes to carbon-free energy chains such as green hydrogen produced from renewable energy.</w:t>
      </w:r>
    </w:p>
    <w:p>
      <w:pPr>
        <w:spacing w:after="0" w:line="28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u w:val="single" w:color="auto"/>
          <w:color w:val="auto"/>
        </w:rPr>
        <w:t>Fixed Platforms.</w:t>
      </w:r>
      <w:r>
        <w:rPr>
          <w:rFonts w:ascii="Arial" w:cs="Arial" w:eastAsia="Arial" w:hAnsi="Arial"/>
          <w:sz w:val="18"/>
          <w:szCs w:val="18"/>
          <w:color w:val="auto"/>
        </w:rPr>
        <w:t xml:space="preserve"> Technip Energies offers a broad range of fixed platform solutions in shallow water, including: (i) large conventional platforms with pile steel jackets whose topsides are installed offshore either by heavy lift vessel or floatover; (ii) small, conventional platforms installed by small crane vessel; (iii) steel gravity-based structure platforms, generally with floatover topsides; and (iv) small to large self-installing platforms. Technip Energies offers a range of design, construction, and industrial applications that are key to the global transition to a less carbon intensive economy.</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u w:val="single" w:color="auto"/>
          <w:color w:val="auto"/>
        </w:rPr>
        <w:t>Floating Production Units.</w:t>
      </w:r>
      <w:r>
        <w:rPr>
          <w:rFonts w:ascii="Arial" w:cs="Arial" w:eastAsia="Arial" w:hAnsi="Arial"/>
          <w:sz w:val="18"/>
          <w:szCs w:val="18"/>
          <w:color w:val="auto"/>
        </w:rPr>
        <w:t xml:space="preserve"> Technip Energies offers a broad range of floating platform solutions for moderate to ultra-deepwater applications, including:</w:t>
      </w:r>
    </w:p>
    <w:p>
      <w:pPr>
        <w:spacing w:after="0" w:line="126" w:lineRule="exact"/>
        <w:rPr>
          <w:sz w:val="20"/>
          <w:szCs w:val="20"/>
          <w:color w:val="auto"/>
        </w:rPr>
      </w:pPr>
    </w:p>
    <w:p>
      <w:pPr>
        <w:ind w:left="660" w:right="3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Spar Platforms: </w:t>
      </w:r>
      <w:r>
        <w:rPr>
          <w:rFonts w:ascii="Arial" w:cs="Arial" w:eastAsia="Arial" w:hAnsi="Arial"/>
          <w:sz w:val="18"/>
          <w:szCs w:val="18"/>
          <w:color w:val="auto"/>
        </w:rPr>
        <w:t>Capable of operating in a wide range of water depths, the Spar is a low motion floater that can support full drilling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dry trees or with tender assist and flexible or steel catenary risers. The Spar topside is installed offshore either by heavy lift vessel or floatover. Technip Energies has constructed 17 Spar facilities which are currently operating in the world.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4" w:name="page15"/>
    <w:bookmarkEnd w:id="14"/>
    <w:p>
      <w:pPr>
        <w:ind w:left="660" w:right="1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Semi-Submersible Platforms: </w:t>
      </w:r>
      <w:r>
        <w:rPr>
          <w:rFonts w:ascii="Arial" w:cs="Arial" w:eastAsia="Arial" w:hAnsi="Arial"/>
          <w:sz w:val="18"/>
          <w:szCs w:val="18"/>
          <w:color w:val="auto"/>
        </w:rPr>
        <w:t>These platforms are well-suited for oil field developments where subsea wells drilled by a mobile</w:t>
      </w:r>
      <w:r>
        <w:rPr>
          <w:rFonts w:ascii="Arial" w:cs="Arial" w:eastAsia="Arial" w:hAnsi="Arial"/>
          <w:sz w:val="18"/>
          <w:szCs w:val="18"/>
          <w:i w:val="1"/>
          <w:iCs w:val="1"/>
          <w:color w:val="auto"/>
        </w:rPr>
        <w:t xml:space="preserve"> </w:t>
      </w:r>
      <w:r>
        <w:rPr>
          <w:rFonts w:ascii="Arial" w:cs="Arial" w:eastAsia="Arial" w:hAnsi="Arial"/>
          <w:sz w:val="18"/>
          <w:szCs w:val="18"/>
          <w:color w:val="auto"/>
        </w:rPr>
        <w:t>offshore drilling unit are appropriate. Semi-Submersibles can operate in a wide range of water depths and may have full drilling and large topside capabilities. Technip Energies has its own unique design of low-motion Semi-Submersible platforms that can accommodate dry trees.</w:t>
      </w:r>
    </w:p>
    <w:p>
      <w:pPr>
        <w:spacing w:after="0" w:line="206" w:lineRule="exact"/>
        <w:rPr>
          <w:rFonts w:ascii="Arial" w:cs="Arial" w:eastAsia="Arial" w:hAnsi="Arial"/>
          <w:sz w:val="18"/>
          <w:szCs w:val="18"/>
          <w:color w:val="auto"/>
        </w:rPr>
      </w:pPr>
    </w:p>
    <w:p>
      <w:pPr>
        <w:ind w:left="660" w:right="340" w:hanging="328"/>
        <w:spacing w:after="0" w:line="26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Tension-Leg Platforms (“TLP”): </w:t>
      </w:r>
      <w:r>
        <w:rPr>
          <w:rFonts w:ascii="Arial" w:cs="Arial" w:eastAsia="Arial" w:hAnsi="Arial"/>
          <w:sz w:val="18"/>
          <w:szCs w:val="18"/>
          <w:color w:val="auto"/>
        </w:rPr>
        <w:t>An appropriate platform for deepwater drilling and production in water depths up to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1,500 meters, the TLP can be configured with full drilling or with tender assist and is generally a dry tree unit. The TLP and our topside can be integrated on to the substructure in a cost-effective manner at quayside.</w:t>
      </w:r>
    </w:p>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u w:val="single" w:color="auto"/>
          <w:color w:val="auto"/>
        </w:rPr>
        <w:t>Floating Production, Storage and Offloading (“FPSO”).</w:t>
      </w:r>
      <w:r>
        <w:rPr>
          <w:rFonts w:ascii="Arial" w:cs="Arial" w:eastAsia="Arial" w:hAnsi="Arial"/>
          <w:sz w:val="18"/>
          <w:szCs w:val="18"/>
          <w:color w:val="auto"/>
        </w:rPr>
        <w:t xml:space="preserve"> Working with its construction partners, Technip Energies has delivered some of the largest FPSOs in the world. FPSOs enable offshore production and storage of oil which is then transported by a tanker where pipeline export is uneconomic or technically challenged (e.g., ultra-deepwater). FPSOs utilize onshore processes adapted to a floating marine environment. They can support large topsides and hence large production capacities. Leveraging its industry-leading capabilities in gas monetization, particularly FLNG, Technip Energies is currently well-positioned to leverage the global offshore gas cycle with gas FPSOs.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Floating Liquefied Natural Gas.</w:t>
      </w:r>
      <w:r>
        <w:rPr>
          <w:rFonts w:ascii="Arial" w:cs="Arial" w:eastAsia="Arial" w:hAnsi="Arial"/>
          <w:sz w:val="18"/>
          <w:szCs w:val="18"/>
          <w:color w:val="auto"/>
        </w:rPr>
        <w:t xml:space="preserve"> FLNG is an innovative alternative to traditional onshore LNG plants and is suitable for remote and stranded gas fields that were previously deemed uneconomical. FLNG is a commercially attractive and carbon conscious approach to the monetization of offshore stranded gas fields or associated gas from oil production. It avoids the cost of building and operating long-distance pipelines and extensive onshore infrastructure. Technip Energies pioneered the FLNG industry and is the contractor best able to integrate all of the core activities required to deliver an FLNG project: LNG process, offshore facilities, loading systems, and subsea infrastructure. Technip Energies delivered the industry’s first and largest FLNG facilities and is currently executing ENI’s Coral South FLNG, which will be installed offshore Mozambique in East Africa.</w:t>
      </w:r>
    </w:p>
    <w:p>
      <w:pPr>
        <w:spacing w:after="0" w:line="23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u w:val="single" w:color="auto"/>
          <w:color w:val="auto"/>
        </w:rPr>
        <w:t>Mining and Metals.</w:t>
      </w:r>
      <w:r>
        <w:rPr>
          <w:rFonts w:ascii="Arial" w:cs="Arial" w:eastAsia="Arial" w:hAnsi="Arial"/>
          <w:sz w:val="18"/>
          <w:szCs w:val="18"/>
          <w:color w:val="auto"/>
        </w:rPr>
        <w:t xml:space="preserve"> Technip Energies offers its clients an integrated approach and expertise across the mineral value chain from mining to processing. The Sintoukola potash project in the Congo is a prime example of this integrated approach. Technip Energies covers the entire project lifecycle, from conceptual studies to engineering, procurement, construction, and project management services or EPC Lump-Sum Turn-Key services with references including successful completed projects and ongoing projects dedicated to the treatment of nickel, uranium, phosphate, potash, alumina, and iron ore. Technip Energies brings together the know-how and determination to transform its clients’ project economics.</w:t>
      </w:r>
    </w:p>
    <w:p>
      <w:pPr>
        <w:spacing w:after="0" w:line="2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u w:val="single" w:color="auto"/>
          <w:color w:val="auto"/>
        </w:rPr>
        <w:t>Life Sciences.</w:t>
      </w:r>
      <w:r>
        <w:rPr>
          <w:rFonts w:ascii="Arial" w:cs="Arial" w:eastAsia="Arial" w:hAnsi="Arial"/>
          <w:sz w:val="18"/>
          <w:szCs w:val="18"/>
          <w:color w:val="auto"/>
        </w:rPr>
        <w:t xml:space="preserve"> Technip Energies is a leading provider in the design and construction of pharmaceuticals and bio-technologies facilities, bringing together know-how, process engineering expertise, construction management, commissioning, and qualification. Technip Energies offers fully integrated technical and regulatory solutions from design to validation. Technip Energies provides its clients a robust experience with more than 350 pharmaceuticals and bio-technologies facilities delivered in the past 25 years.</w:t>
      </w:r>
    </w:p>
    <w:p>
      <w:pPr>
        <w:spacing w:after="0" w:line="23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u w:val="single" w:color="auto"/>
          <w:color w:val="auto"/>
        </w:rPr>
        <w:t>Nuclear.</w:t>
      </w:r>
      <w:r>
        <w:rPr>
          <w:rFonts w:ascii="Arial" w:cs="Arial" w:eastAsia="Arial" w:hAnsi="Arial"/>
          <w:sz w:val="18"/>
          <w:szCs w:val="18"/>
          <w:color w:val="auto"/>
        </w:rPr>
        <w:t xml:space="preserve"> Technip Energies has recognized expertise and dedicated capabilities at several stages of the nuclear industry chain, from mining to chemistry, underground waste storage and reprocessing. Technip Energies provides engineering services from basic to detailed design, project management, control assistance, and construction services for the nuclear market.</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u w:val="single" w:color="auto"/>
          <w:color w:val="auto"/>
        </w:rPr>
        <w:t>Loading Systems.</w:t>
      </w:r>
      <w:r>
        <w:rPr>
          <w:rFonts w:ascii="Arial" w:cs="Arial" w:eastAsia="Arial" w:hAnsi="Arial"/>
          <w:sz w:val="18"/>
          <w:szCs w:val="18"/>
          <w:color w:val="auto"/>
        </w:rPr>
        <w:t xml:space="preserve"> Technip Energies is globally recognized for setting technical and performance standards in fluid transfer, delivering liquid and gas loading systems to the most challenging applications, both onshore and offshore. Technip Energies leads the market with 10,000 loading arms supplied, including more than 500 arms for LNG. Technip Energies has developed unique offshore LNG transfer systems for all FLNG facilities operating to-date. Technip Energies offers equipment design and fabrication projects, as well as services over the life of its systems.</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u w:val="single" w:color="auto"/>
          <w:color w:val="auto"/>
        </w:rPr>
        <w:t>Cybernetix robotics and surveillance.</w:t>
      </w:r>
      <w:r>
        <w:rPr>
          <w:rFonts w:ascii="Arial" w:cs="Arial" w:eastAsia="Arial" w:hAnsi="Arial"/>
          <w:sz w:val="18"/>
          <w:szCs w:val="18"/>
          <w:color w:val="auto"/>
        </w:rPr>
        <w:t xml:space="preserve"> Technip Energies offers innovative robotics and surveillance systems for harsh environments and operational constraints. Technip Energies works with an array of clients in the energy industry. This includes nuclear, where Technip Energies involvement dates back more than 20 years. Technip Energies’ solutions help energy clients increase uptime, reduce costs, and improve safety and speed of decision-making through augmented monitoring and advanced robotics solutions for inspection and dexterous interventions.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Technip Energies executes turnkey contracts on a lump-sum or reimbursable basis through engineering, procurement, construction, and project management services on both brownfield and greenfield developments and projects. Technip Energies can execute EPC contracts through sole responsibility, joint ventures, or consortiums with other companies. Technip Energies often receives advance payments and progress billings from its customers to fund initial development and working capital requirements. However, its working capital balances can vary significantly through the project lifecycle depending on the payment terms and timing on contracts.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Generally, Technip Energies' customers are major integrated oil companies or national oil companies. Technip Energies has developed long-term relationships with its main clients around its portfolio of technologies, expertise in project management, and strong execution, while addressing national content development requirements. Technip Energies’ customers have sought the security of partnerships with Technip Energies to ensure timely and cost-effective delivery of their projects. One customer, Arctic LNG, represented more than 10 percent of our 2020 consolidated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onshore market, Technip Energies faces a large number of competitors, including U.S. companies (Bechtel Corporation, Fluor Corporation, KBR, Inc. (“KBR”), and McDermott), Asian and Australian companies (Chiyoda Corporation, JGC Corporation, Hyundai Engineering &amp; Construction Co., Ltd., Samsung Engineering Co., Ltd, SK Engineering &amp; Construction Co., Ltd, and Worley Limited), European companies (Wood Group plc, Maire Tecnimont Group, Petrofac, Ltd., Saipem, and Tecnicas Reunidas, S.A.). In addition, Technip Energies competes against smaller, specialized, and locally based engineering and construction companies in certain countries or for specific units such as petrochemicals.</w:t>
      </w:r>
    </w:p>
    <w:p>
      <w:pPr>
        <w:spacing w:after="0" w:line="235"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Competition in the offshore market is relatively fragmented and includes various players with different core capabilities, including offshore construction contractors, shipyards, leasing contractors, and local yards in Asia Pacific, the Middle East, and Africa. Competitors include China Offshore Oil Engineering Co., Ltd., Daewoo Shipbuilding &amp; Marine Engineering Co., Ltd., Hyundai Heavy Industries Co., Ltd., JGC Corporation, KBR, McDermott, MODEC Inc., Saipem, and Samsung Heavy Industries Co., Ltd.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8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Technip Energies’ onshore business is generally not impacted by seasonality. Technip Energies’ offshore business could be impacted by seasonality in the North Sea and other harsh environment regions during the offshore installation campaign at the end of a project.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the first quarter of 2020, the COVID-19 pandemic provoked an unprecedented drop in demand for oil and gas, while supply was maintained at a high level for some time by some large oil and gas producing countries, resulting in sharp price reductions. Technip Energies’ clients reacted rapidly, cutting their investments and delaying project sanctions.</w:t>
      </w:r>
    </w:p>
    <w:p>
      <w:pPr>
        <w:spacing w:after="0" w:line="23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Given the long cycle nature of Technip Energies business and the resilience and maturity of the projects in backlog, Technip Energies has been able to mitigate a significant portion of COVID-19 operational impacts. For its large capital projects, deferrals of new projects were recorded while on-going projects were maintained. With the introduction of its energy transition framework, Technip Energies is well positioned to accompany clients in their shift towards low-carbon societies and pursue commercial opportunities, including in digitalization.</w:t>
      </w:r>
    </w:p>
    <w:p>
      <w:pPr>
        <w:spacing w:after="0" w:line="232"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The onshore market activity continues to provide a tangible set of opportunities in LNG due to the critical role that natural gas plays as a transition fuel. By focusing on selectivity, cost competitiveness and an agility to capture new opportunities, Technip Energies continues to pursue refining, petrochemical, fertilizer, and renewables project opportunities. Based on a solid track-record, technologies and its energy transition framework, Technip Energies is well positioned for growth in sustainable chemistry and other low-carbon or carbon-free energy solutions.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ind w:right="20"/>
        <w:spacing w:after="0" w:line="238" w:lineRule="auto"/>
        <w:rPr>
          <w:sz w:val="20"/>
          <w:szCs w:val="20"/>
          <w:color w:val="auto"/>
        </w:rPr>
      </w:pPr>
      <w:r>
        <w:rPr>
          <w:rFonts w:ascii="Arial" w:cs="Arial" w:eastAsia="Arial" w:hAnsi="Arial"/>
          <w:sz w:val="18"/>
          <w:szCs w:val="18"/>
          <w:color w:val="auto"/>
        </w:rPr>
        <w:t>Offshore market activity is expected to benefit in the near-term as macro conditions continue to support the international growth cycle, resulting in increased activity in offshore and deepwater exploration and development. In the long term, new upstream investment will also be required as gas becomes a bigger portion of the global energy mix. Technip Energies is well positioned to capture these opportunities due to its offering in all offshore markets and leadership position in FLNG or gas FPSO.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Technip Energies strategy is based on the following:</w:t>
      </w:r>
    </w:p>
    <w:p>
      <w:pPr>
        <w:spacing w:after="0" w:line="171" w:lineRule="exact"/>
        <w:rPr>
          <w:sz w:val="20"/>
          <w:szCs w:val="20"/>
          <w:color w:val="auto"/>
        </w:rPr>
      </w:pPr>
    </w:p>
    <w:p>
      <w:pPr>
        <w:ind w:left="660" w:right="1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Selectivity of clients, projects, and geographies, which serves to maintain early engagement, leading to influence over technological choices, design considerations, and project specifications that make projects economically viable.</w:t>
      </w:r>
    </w:p>
    <w:p>
      <w:pPr>
        <w:spacing w:after="0" w:line="143"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Technology-driven differentiation with strong project management, which eliminates or significantly reduces technical and project risks, leading to both schedule and cost certainty without compromising safety.</w:t>
      </w:r>
    </w:p>
    <w:p>
      <w:pPr>
        <w:spacing w:after="0" w:line="14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Excellence in project execution, because of our global, multi-center project delivery model complemented by deep partnerships and alliances to ensure the best possible execution for complex projects.</w:t>
      </w:r>
    </w:p>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Technip Energies continues to invest in innovation and technology. Technip Energies is at the forefront of digital solutions due in part to its investment in three dimensional models, often referred to as digital twin, and interfaces.</w:t>
      </w:r>
    </w:p>
    <w:p>
      <w:pPr>
        <w:spacing w:after="0" w:line="22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Technip Energies continues to serve its clients in traditional markets, developing more energy-efficient solutions while making their facilities less-carbon intensive. Technip Energies’ framework about Energy Transition is organized around four pillars, and will help us accelerate the journey to a low-carbon society:</w:t>
      </w:r>
    </w:p>
    <w:p>
      <w:pPr>
        <w:spacing w:after="0" w:line="22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LNG – to deliver the necessary infrastructure as a global leader as we transition to a low-carbon society.</w:t>
      </w:r>
    </w:p>
    <w:p>
      <w:pPr>
        <w:spacing w:after="0" w:line="171"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Sustainable Chemistry – to design and implement processes for products from renewable sources and to provide circular solutions for the generation of safe and sustainable substances that are in demand by industry and society.</w:t>
      </w:r>
    </w:p>
    <w:p>
      <w:pPr>
        <w:spacing w:after="0" w:line="143" w:lineRule="exact"/>
        <w:rPr>
          <w:rFonts w:ascii="Arial" w:cs="Arial" w:eastAsia="Arial" w:hAnsi="Arial"/>
          <w:sz w:val="18"/>
          <w:szCs w:val="18"/>
          <w:color w:val="auto"/>
        </w:rPr>
      </w:pPr>
    </w:p>
    <w:p>
      <w:pPr>
        <w:ind w:left="660" w:right="460" w:hanging="328"/>
        <w:spacing w:after="0" w:line="20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Decarbonization – to make Technip Energies’ clients’ businesses less carbon intensive across our activities, decarbonize fossil-based energies and manage the resulting CO</w:t>
      </w:r>
      <w:r>
        <w:rPr>
          <w:rFonts w:ascii="Arial" w:cs="Arial" w:eastAsia="Arial" w:hAnsi="Arial"/>
          <w:sz w:val="28"/>
          <w:szCs w:val="28"/>
          <w:color w:val="auto"/>
          <w:vertAlign w:val="subscript"/>
        </w:rPr>
        <w:t>2</w:t>
      </w:r>
      <w:r>
        <w:rPr>
          <w:rFonts w:ascii="Arial" w:cs="Arial" w:eastAsia="Arial" w:hAnsi="Arial"/>
          <w:sz w:val="18"/>
          <w:szCs w:val="18"/>
          <w:color w:val="auto"/>
        </w:rPr>
        <w:t xml:space="preserve"> in a sustainable manner.</w:t>
      </w:r>
    </w:p>
    <w:p>
      <w:pPr>
        <w:spacing w:after="0" w:line="146"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Carbon-Free Solutions – to expand Technip Energies’ portfolio of technologies and processes that provide non-carbon-based energy alternatives.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Technip Energies’ active early engagement with its clients through front-end engineering studies serves to optimize project economics while also significantly mitigating risks during project execution. Technip Energies direct engagement led to the signing of a major EPC contract in July for the construction of a new hydrocracking complex for the Assiut refinery in Egypt. Technip Energies continues to selectively track refining, petrochemical, fertilizer, and sustainable chemistry project opportunities – notably in the Middle East, Africa, Asia and North America – as these sectors typically prove to be more resilient through a downturn.</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an increase in demand for gas, new offshore investment will be required in the long term. Recent discoveries of offshore fields with reserves in regions such as Australia and East Africa are expected to benefit future activity; however, the timing of increased investment in these regions could be deferred. Offshore continued as a leader in gas projects with the ongoing Karish FPSO project for Energean, Tortue FPSO project for BP, and Coral FLNG project for Eni.</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Product Development</w:t>
      </w:r>
    </w:p>
    <w:p>
      <w:pPr>
        <w:spacing w:after="0" w:line="18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Technip Energies is positioned as a premier provider of project execution and technology solutions, which enables its customers to unlock resources at advantaged capital and operating economics. Technip Energies invests in these main onshore R&amp;D areas: (i) the development of process technology and equipment for economy of scale; (ii) continuous improvement of its proprietary process technologies and other solutions to reduce operating and investment cost; and (iii) diversification of its proprietary technology offering, especially in the energy transition domain.</w:t>
      </w:r>
    </w:p>
    <w:p>
      <w:pPr>
        <w:spacing w:after="0" w:line="23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Technip Energies’ offshore R&amp;D efforts are focused on improving the economics of its clients’ diverse fixed and floating platform projects. Additionally, to further reduce operating and investment costs, Technip Energies continues to progress the development of robotic solutions for offshore platforms and work towards a standard and adaptable design for Normally Unmanned Installations. Technip Energies is also evaluating the various opportunities that will emerge as the industry and societal demands shift as part of the energy transition. Technip Energies continues to assess and implement the best digital technologies to support the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2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Technip Energies has made an investment in McPhy, a leading manufacturer and supplier of carbon-free hydrogen production and distribution equipment. Technip Energies also signed a memorandum of understanding with McPhy, pursuant to which the two companies will jointly work on technology development and project implementation. In addition to its leadership position in hydrogen, this collaboration will help Technip Energies develop large-scale and competitive Green hydrogen solutions.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193"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The Surface Technologies segment designs, manufactures, and services products and systems used by companies involved in land and shallow water exploration and production of crude oil and natural gas. Our Surface Technologies product families include (i) drilling, (ii) stimulation, (iii) production, (iv) measurement, and (v) services. We manufacture most of our products internally in facilities located worldwide.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Drilling.</w:t>
      </w:r>
      <w:r>
        <w:rPr>
          <w:rFonts w:ascii="Arial" w:cs="Arial" w:eastAsia="Arial" w:hAnsi="Arial"/>
          <w:sz w:val="18"/>
          <w:szCs w:val="18"/>
          <w:color w:val="auto"/>
        </w:rPr>
        <w:t xml:space="preserve"> We provide a full range of drilling and completion systems for both standard and custom engineered applications. The customer base of our drilling and completion offerings is oil and gas exploration and production companies.</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u w:val="single" w:color="auto"/>
          <w:color w:val="auto"/>
        </w:rPr>
        <w:t>Surface Wellheads and Production Trees.</w:t>
      </w:r>
      <w:r>
        <w:rPr>
          <w:rFonts w:ascii="Arial" w:cs="Arial" w:eastAsia="Arial" w:hAnsi="Arial"/>
          <w:sz w:val="18"/>
          <w:szCs w:val="18"/>
          <w:color w:val="auto"/>
        </w:rPr>
        <w:t xml:space="preserve"> Our products are used to control and regulate the flow of crude oil and natural gas from the well. The wellhead is a system of spools and sealing devices from which the entire downhole well string hangs and provides the structural support for surface production trees. Production trees are comprised of valves, actuators and chokes which can be combined in both vertical and horizontal configurations, depending on customer-specific requirements.</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Surface wellheads and production trees are “per-well” systems which are designed for onshore shale, onshore conventional, and offshore shallow water platform applications, and are typically sold directly to exploration and production operators during the drilling and completion phases of the well lifecycle. Our surface wellhead and production tree systems are used worldwide, and we are one of the few companies that provide global coverage and a full range of system configurations, including (i) conventional wellheads, (ii) Unihead® drill-thru wellheads designed for faster installation and drill-time optimization, and (iii) high-pressure, high-temperature (“HPHT”) systems for extreme production applications.</w:t>
      </w:r>
    </w:p>
    <w:p>
      <w:pPr>
        <w:spacing w:after="0" w:line="2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provide services associated to our surface wellhead and production tree portfolio, including service personnel and rental tooling for wellhead and production tree installation and life of field repair, refurbishment, and general maintenance. Our wellhead and production tree business relies on our ability to successfully provide the necessary field operations coverage, responsiveness, and reliability to prevent downtime and non-productive time during the drilling and completion phases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18"/>
          <w:szCs w:val="18"/>
          <w:u w:val="single" w:color="auto"/>
          <w:color w:val="auto"/>
        </w:rPr>
        <w:t>Completion and stimulation.</w:t>
      </w:r>
      <w:r>
        <w:rPr>
          <w:rFonts w:ascii="Arial" w:cs="Arial" w:eastAsia="Arial" w:hAnsi="Arial"/>
          <w:sz w:val="18"/>
          <w:szCs w:val="18"/>
          <w:color w:val="auto"/>
        </w:rPr>
        <w:t xml:space="preserve"> Our iComplete™ offering is the first integrated pressure containment kit for the onshore conventional stimulation market. Its CyberFrac™ digital platform reduces manpower in the red zone and enables efficiencies that significantly reduce GHG emissions, lower downtime, and eliminate the integration burden for operators.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one of the few oilfield service providers that can offer an integrated solution covering the fracturing through flowback phases.</w:t>
      </w:r>
    </w:p>
    <w:p>
      <w:pPr>
        <w:spacing w:after="0" w:line="5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iComplete™ provides our exploration and production customers with an integrated rental and service offering, including fracturing tree and manifold systems, as well as pressure control flowlines, flowback and well testing equipment, and field services.</w:t>
      </w:r>
    </w:p>
    <w:p>
      <w:pPr>
        <w:spacing w:after="0" w:line="2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u w:val="single" w:color="auto"/>
          <w:color w:val="auto"/>
        </w:rPr>
        <w:t>Fracturing Tree and Manifold Systems.</w:t>
      </w:r>
      <w:r>
        <w:rPr>
          <w:rFonts w:ascii="Arial" w:cs="Arial" w:eastAsia="Arial" w:hAnsi="Arial"/>
          <w:sz w:val="18"/>
          <w:szCs w:val="18"/>
          <w:color w:val="auto"/>
        </w:rPr>
        <w:t xml:space="preserve"> During the completion of a shale well, the well undergoes hydraulic fracturing. During this phase, durable and wear-resistant wellsite equipment is temporarily deployed. Our equipment is designed to sustain the high pressure and highly erosive fracturing fluid which is pumped through the well into the formation.</w:t>
      </w:r>
    </w:p>
    <w:p>
      <w:pPr>
        <w:spacing w:after="0" w:line="229" w:lineRule="exact"/>
        <w:rPr>
          <w:sz w:val="20"/>
          <w:szCs w:val="20"/>
          <w:color w:val="auto"/>
        </w:rPr>
      </w:pPr>
    </w:p>
    <w:p>
      <w:pPr>
        <w:jc w:val="both"/>
        <w:ind w:right="60"/>
        <w:spacing w:after="0" w:line="248" w:lineRule="auto"/>
        <w:rPr>
          <w:sz w:val="20"/>
          <w:szCs w:val="20"/>
          <w:color w:val="auto"/>
        </w:rPr>
      </w:pPr>
      <w:r>
        <w:rPr>
          <w:rFonts w:ascii="Arial" w:cs="Arial" w:eastAsia="Arial" w:hAnsi="Arial"/>
          <w:sz w:val="17"/>
          <w:szCs w:val="17"/>
          <w:color w:val="auto"/>
        </w:rPr>
        <w:t>Our equipment (fracturing tree systems, fracturing valve greasing systems, hydraulic control units, fracturing manifold systems, and rigid and flexible flowlines) is temporarily laid out between the wellhead and the fracturing pump truck during hydraulic fracturing. These products are typically supplied to exploration and production operators who rent this equipment directly from us during the hydraulic fracturing activities.</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Associated with our fracturing equipment rental is fracturing rig-up / rig-down field service personnel as well as oversight and operation of the equipment during the multiple fracturing stages for a shale well.</w:t>
      </w: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TechnipFMC’s manifold solutions help increase operational efficiency for a pad site with multiple wells. Our SuperFrac™ Manifold provides time savings and pumping efficiencies when stimulating multiple wells on a single pad. The manifolds are installed and connected to multiple trees off the critical path, which allows our customers to fracture more stages per day in a compact footprint and efficiently move operations from one well to another, saving time and money. We also offer conventional and articulating arm manifold trailers, which are used as the connection point between fracturing pump trucks and the fracturing flowline and manifold system.</w:t>
      </w:r>
    </w:p>
    <w:p>
      <w:pPr>
        <w:spacing w:after="0" w:line="22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Ground Level Fracturing System is an essential tool for unconventional operators who use simultaneous operations to efficiently run completions in multi-well pads. The innovative system design uses various lengths of trunkline to align the SuperFrac™ Manifold and fracturing tree at ground level, which minimizes the number of flowline connections for safer operation. We are a significant supplier of flowline pipework (rigid and flexible) that is used to move the fracturing product from the pump truck, via the manifold and into the fracturing trees.</w:t>
      </w:r>
    </w:p>
    <w:p>
      <w:pPr>
        <w:spacing w:after="0" w:line="22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u w:val="single" w:color="auto"/>
          <w:color w:val="auto"/>
        </w:rPr>
        <w:t>Pressure Pumping.</w:t>
      </w:r>
      <w:r>
        <w:rPr>
          <w:rFonts w:ascii="Arial" w:cs="Arial" w:eastAsia="Arial" w:hAnsi="Arial"/>
          <w:sz w:val="18"/>
          <w:szCs w:val="18"/>
          <w:color w:val="auto"/>
        </w:rPr>
        <w:t xml:space="preserve"> We design and manufacture equipment used in well completion and stimulation activities by major oilfield service and drilling companies, as well as by oil and gas exploration and production operators directly.</w:t>
      </w:r>
    </w:p>
    <w:p>
      <w:pPr>
        <w:spacing w:after="0" w:line="225" w:lineRule="exact"/>
        <w:rPr>
          <w:sz w:val="20"/>
          <w:szCs w:val="20"/>
          <w:color w:val="auto"/>
        </w:rPr>
      </w:pPr>
    </w:p>
    <w:p>
      <w:pPr>
        <w:ind w:right="140"/>
        <w:spacing w:after="0"/>
        <w:rPr>
          <w:sz w:val="20"/>
          <w:szCs w:val="20"/>
          <w:color w:val="auto"/>
        </w:rPr>
      </w:pPr>
      <w:r>
        <w:rPr>
          <w:rFonts w:ascii="Arial" w:cs="Arial" w:eastAsia="Arial" w:hAnsi="Arial"/>
          <w:sz w:val="18"/>
          <w:szCs w:val="18"/>
          <w:u w:val="single" w:color="auto"/>
          <w:color w:val="auto"/>
        </w:rPr>
        <w:t>Flexibles.</w:t>
      </w:r>
      <w:r>
        <w:rPr>
          <w:rFonts w:ascii="Arial" w:cs="Arial" w:eastAsia="Arial" w:hAnsi="Arial"/>
          <w:sz w:val="18"/>
          <w:szCs w:val="18"/>
          <w:color w:val="auto"/>
        </w:rPr>
        <w:t xml:space="preserve"> We have been a leading supplier of flexible lines since the 1970s and have successfully introduced a portfolio of flexible solutions for the onshore stimulation market. Our PumpFlex™ and WellFlex™ products can be incorporated into most shale operations and are an integral part of our iComplete™ system.</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u w:val="single" w:color="auto"/>
          <w:color w:val="auto"/>
        </w:rPr>
        <w:t>Flowline</w:t>
      </w:r>
      <w:r>
        <w:rPr>
          <w:rFonts w:ascii="Arial" w:cs="Arial" w:eastAsia="Arial" w:hAnsi="Arial"/>
          <w:sz w:val="17"/>
          <w:szCs w:val="17"/>
          <w:i w:val="1"/>
          <w:iCs w:val="1"/>
          <w:color w:val="auto"/>
        </w:rPr>
        <w:t>.</w:t>
      </w:r>
      <w:r>
        <w:rPr>
          <w:rFonts w:ascii="Arial" w:cs="Arial" w:eastAsia="Arial" w:hAnsi="Arial"/>
          <w:sz w:val="17"/>
          <w:szCs w:val="17"/>
          <w:color w:val="auto"/>
        </w:rPr>
        <w:t xml:space="preserve"> We are a leading supplier of flowline products and services to the oilfield industry. From the original Chiksan® and Weco® products to our revolutionary equipment designs and integrated services, our family of flowline products and services provides our customers with reliable and durable pressure pumping equipment. Our facilities stock flowline products in the specific sizes, pressures, and materials common to each region. Our commitment is to help our customers worldwide attain maximum value from their pressure pumping assets by guaranteeing that the right products arrive at the job site in top working condition. Our total solutions approach includes the InteServ tracking and management system, mobile inspection and repair, strategically located service centers, and genuine Chiksan® and Weco® spare parts.</w:t>
      </w:r>
    </w:p>
    <w:p>
      <w:pPr>
        <w:spacing w:after="0" w:line="21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u w:val="single" w:color="auto"/>
          <w:color w:val="auto"/>
        </w:rPr>
        <w:t>Well Service Pumps.</w:t>
      </w:r>
      <w:r>
        <w:rPr>
          <w:rFonts w:ascii="Arial" w:cs="Arial" w:eastAsia="Arial" w:hAnsi="Arial"/>
          <w:sz w:val="18"/>
          <w:szCs w:val="18"/>
          <w:color w:val="auto"/>
        </w:rPr>
        <w:t xml:space="preserve"> We offer a diverse line of well service pumps for use in high-pressure pumping operations such as hydraulic fracturing and stimulation, including triplex and quintuplex pumps, each with its own industry-leading features, including: (i) heavy-duty power ends, paired with main journal roller bearings and heavy-duty rod journal bearings, (ii) heavy-duty crankshafts, (iii) fluid cylinders, with accessible packing and valves, and (iv) made-to-order pumps. Our pumps can withstand some of the harshest operating conditions, with pressure ranges up to 20,000 psi and flow rates up to 1,500 gallons per minute.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ind w:right="40"/>
        <w:spacing w:after="0" w:line="254" w:lineRule="auto"/>
        <w:rPr>
          <w:sz w:val="20"/>
          <w:szCs w:val="20"/>
          <w:color w:val="auto"/>
        </w:rPr>
      </w:pPr>
      <w:r>
        <w:rPr>
          <w:rFonts w:ascii="Arial" w:cs="Arial" w:eastAsia="Arial" w:hAnsi="Arial"/>
          <w:sz w:val="18"/>
          <w:szCs w:val="18"/>
          <w:u w:val="single" w:color="auto"/>
          <w:color w:val="auto"/>
        </w:rPr>
        <w:t>Production.</w:t>
      </w:r>
      <w:r>
        <w:rPr>
          <w:rFonts w:ascii="Arial" w:cs="Arial" w:eastAsia="Arial" w:hAnsi="Arial"/>
          <w:sz w:val="18"/>
          <w:szCs w:val="18"/>
          <w:color w:val="auto"/>
        </w:rPr>
        <w:t xml:space="preserve"> Our upstream production offering includes well control, safety and integrity systems, multiphase meter modules, in-line separation and processing systems, and standard pumps. These offerings are differentiated by our comprehensive portfolio of in-house compact, modular, and digital technologies, and are designed to enhance field project economics and reduce operating expenditures with an integrated system that spans from wellhead to pipeline.</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iProduction™ system is the first automated integrated production platform for onshore unconventional. Our digital interface enables operators to manage their production operations remotely, leveraging Insitex data-monitoring technology. Our separation portfolio and measurement technologies, combined with our expertise in modularization, enable our customers to achieve first production faster with fully optimized and environmentally conscious, compact systems.</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Flowback and Well Testing Services</w:t>
      </w:r>
      <w:r>
        <w:rPr>
          <w:rFonts w:ascii="Arial" w:cs="Arial" w:eastAsia="Arial" w:hAnsi="Arial"/>
          <w:sz w:val="18"/>
          <w:szCs w:val="18"/>
          <w:i w:val="1"/>
          <w:iCs w:val="1"/>
          <w:color w:val="auto"/>
        </w:rPr>
        <w:t>.</w:t>
      </w:r>
      <w:r>
        <w:rPr>
          <w:rFonts w:ascii="Arial" w:cs="Arial" w:eastAsia="Arial" w:hAnsi="Arial"/>
          <w:sz w:val="18"/>
          <w:szCs w:val="18"/>
          <w:color w:val="auto"/>
        </w:rPr>
        <w:t xml:space="preserve"> After a shale well is hydraulically fractured, the well moves to the flowback phase in which much of the fracturing fluid pumped into the well flows back out through the wellhead and fracturing tree system. This phase lasts until the wellbore flow is adequate for flow through the production facilities downstream of the wellsite. Our flowback and well testing offering includes chokes, de-sanders, and advanced well testing equipment and related services which are provided to exploration and production operators during the flowback phase. Our Automated Well Testing Package (AWT™) is now widely used in North America enabling operators to remove personnel from processes and its digital package anticipates service. These offerings enable a substantial reduction in downtime and enhanced safety.</w:t>
      </w:r>
    </w:p>
    <w:p>
      <w:pPr>
        <w:spacing w:after="0" w:line="2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u w:val="single" w:color="auto"/>
          <w:color w:val="auto"/>
        </w:rPr>
        <w:t>Well Control and Integrity Systems.</w:t>
      </w:r>
      <w:r>
        <w:rPr>
          <w:rFonts w:ascii="Arial" w:cs="Arial" w:eastAsia="Arial" w:hAnsi="Arial"/>
          <w:sz w:val="18"/>
          <w:szCs w:val="18"/>
          <w:color w:val="auto"/>
        </w:rPr>
        <w:t xml:space="preserve"> We supply control components and safety systems designed to safely and efficiently run a wellpad, modules on an offshore platform, or a production facility. Our systems are based on standard, field-proven building blocks and designed for minimal maintenance during life of field operations.</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u w:val="single" w:color="auto"/>
          <w:color w:val="auto"/>
        </w:rPr>
        <w:t>Surface Multiphase Meter.</w:t>
      </w:r>
      <w:r>
        <w:rPr>
          <w:rFonts w:ascii="Arial" w:cs="Arial" w:eastAsia="Arial" w:hAnsi="Arial"/>
          <w:sz w:val="17"/>
          <w:szCs w:val="17"/>
          <w:color w:val="auto"/>
        </w:rPr>
        <w:t xml:space="preserve"> Our multiphase meters (“MPMs”) are a collection of technologically advanced innovations that provide a differentiated approach to multiphase measurement. The patented technology in our MPMs offers many unique features that provide a step change in allocation measurement and allows for continuous surveillance of wells across a full range of operating conditions. Our MPMs provide real-time data to a central facility, or our cloud portal, for production reporting and remote notification and system troubleshooting.</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Separation and Processing Systems.</w:t>
      </w:r>
      <w:r>
        <w:rPr>
          <w:rFonts w:ascii="Arial" w:cs="Arial" w:eastAsia="Arial" w:hAnsi="Arial"/>
          <w:sz w:val="18"/>
          <w:szCs w:val="18"/>
          <w:color w:val="auto"/>
        </w:rPr>
        <w:t xml:space="preserve"> TechnipFMC provides industry-leading technology for the separation of oil, gas, sand, and water. These solutions are used in onshore production facilities and on offshore platforms worldwide. Our family of separation products delivers client success by increasing efficiency and throughput and reducing the footprint of processing facilities. Our separation systems offering includes internal components for oil and gas multiphase separation, in-line deliquidisers, and solids removal, as well as fully assembled separation modules and packages designed and fabricated for oil and gas separation, fracturing flowback treatment, solids removal, and primary produced water treatment.</w:t>
      </w:r>
    </w:p>
    <w:p>
      <w:pPr>
        <w:spacing w:after="0" w:line="21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u w:val="single" w:color="auto"/>
          <w:color w:val="auto"/>
        </w:rPr>
        <w:t>Standard Pumps and Skid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complete skid solutions, from design consultation through startup and commissioning.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a diverse line of reciprocating pumps, customized according to the application with pressure ranges available up to 10,000 psi and flow rates up to 1,500 gallons per minute.</w:t>
      </w: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auto"/>
        </w:rPr>
        <w:t>Automation and Digital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hardware and software solutions to automate and provide simple human interfaces for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our critical products. These digital offerings help enable the removal of personnel from critical zones, either offshore or onshore. In addition, the digital signatures from our products can then be interpreted and used via condition performance monitoring to eliminate unplanned downtime.</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u w:val="single" w:color="auto"/>
          <w:color w:val="auto"/>
        </w:rPr>
        <w:t>Measurement.</w:t>
      </w:r>
      <w:r>
        <w:rPr>
          <w:rFonts w:ascii="Arial" w:cs="Arial" w:eastAsia="Arial" w:hAnsi="Arial"/>
          <w:sz w:val="18"/>
          <w:szCs w:val="18"/>
          <w:color w:val="auto"/>
        </w:rPr>
        <w:t xml:space="preserve"> We design, manufacture, and service measurement products for the oil and gas industry. Our flow computers and control systems manage and monitor liquid and gas measurement for applications such as custody transfer, fiscal measurement, and batch loading and deliveries. Our FPSO metering systems provide the precision and reliability required for measuring large flow rates of marine loading operations. Our gas and liquid measurement systems are utilized in multiple energy-related applications, including crude oil and natural gas production and transportation, refined product transportation, petroleum refining, and petroleum marketing and distribution. We combine advanced measurement technology with state-of-the-art electronics and supervisory control systems to provide the measurement of both liquids and gases. This ensures processes operate efficiently while reducing operating costs and minimizing the risks associated with custody transfer.</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We offer our customers a comprehensive suite of service packages to ensure optimal performance and reliability of our equipment. These service packages include all phases of the asset’s life cycle: from the early planning stages through testing and installation, commissioning, and operations, replacement and upgrade, maintenance, storage, preservation, intervention, integrity, decommissioning, and abandonment.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8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Surface Technologies manufactures most of its products, resulting in a reliance on manufacturing locations throughout the world, including fully owned manufacturing hubs in Stephenville, Texas, U.S., and Singapore, and a wide global network of third-party suppliers. We also maintain a large quantity of rental equipment related to our drilling and completion and pressure control offerings.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Generally, Surface Technologies’ customers are major integrated oil companies, national oil companies, independent exploration and production companies and oil and gas service companies. No single Surface Technologies customer accounted for 10% or more of our 2020 consolidated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Surface Technologies is a market leader for many of our products and services. Some of the factors that distinguish us from other companies in the same sector include our technological innovation, reliability, product quality, and ability to integrate across a broad portfolio scope. Surface Technologies competes with other companies that supply surface production equipment and pressure control products. Some of our major competitors include Baker Hughes, Cactus, Inc., Forum Energy Technologies, Inc., Gardner Denver, Inc., Schlumberger, Haliburton, and The Weir Group plc.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It has been a challenging year for the surface market, driven in part by the COVID-19 pandemic and the decline in hydrocarbon demand.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Drilling and completion activity during 2020 decreased by approximately 40 percent compared to 2019 levels.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North American activity remained lower during the year, however, the number of U.S. fracturing crews has started to recover from the trough reached in May, and the weekly U.S. rig count has stabilized. Activity outside of North America remains resilient. We also continue to benefit from our exposure to the Middle East and Asia Pacific, both of which are being supported by strength in gas-related activity. The business mix outside of North America is expected to account for as much as 65% of total segment revenue in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8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exist to transform the surface market in order to provide customers with breakthrough reductions in cost and carbon intensity in the drilling, completion, upstream production, and midstream and downstream transportation sectors. We distinguish our offering by three key strengths: technology, integration, and automation.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Technology:</w:t>
      </w:r>
      <w:r>
        <w:rPr>
          <w:rFonts w:ascii="Arial" w:cs="Arial" w:eastAsia="Arial" w:hAnsi="Arial"/>
          <w:sz w:val="18"/>
          <w:szCs w:val="18"/>
          <w:color w:val="auto"/>
        </w:rPr>
        <w:t xml:space="preserve"> We are committed to differentiated core products that enable integrated solutions to leverage the benefits of smarter designs.</w:t>
      </w:r>
    </w:p>
    <w:p>
      <w:pPr>
        <w:spacing w:after="0" w:line="252"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Integrated ecosystems that reduce costs and increase uptime through pre-engineered, modular solutions which drive improvements in greenhouse gas emissions.</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u w:val="single" w:color="auto"/>
          <w:color w:val="auto"/>
        </w:rPr>
        <w:t>Automation:</w:t>
      </w:r>
      <w:r>
        <w:rPr>
          <w:rFonts w:ascii="Arial" w:cs="Arial" w:eastAsia="Arial" w:hAnsi="Arial"/>
          <w:sz w:val="18"/>
          <w:szCs w:val="18"/>
          <w:color w:val="auto"/>
        </w:rPr>
        <w:t xml:space="preserve"> Intelligent products that are remotely managed using actionable data, reducing manpower in the field, maximizing uptime, and enabling enhanced production.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8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In 2020, we capitalized on the launch of our revolutionary integrated ecosystems, iProduction™ and iComplete™, with the successful installation of our first iProduction™ system with Shell in their Permian basin iShale™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21" w:name="page22"/>
    <w:bookmarkEnd w:id="21"/>
    <w:p>
      <w:pPr>
        <w:ind w:right="960"/>
        <w:spacing w:after="0" w:line="261" w:lineRule="auto"/>
        <w:rPr>
          <w:sz w:val="20"/>
          <w:szCs w:val="20"/>
          <w:color w:val="auto"/>
        </w:rPr>
      </w:pPr>
      <w:r>
        <w:rPr>
          <w:rFonts w:ascii="Arial" w:cs="Arial" w:eastAsia="Arial" w:hAnsi="Arial"/>
          <w:sz w:val="18"/>
          <w:szCs w:val="18"/>
          <w:color w:val="auto"/>
        </w:rPr>
        <w:t>production site, and the implementation of our iComplete™ integrated system in the U.S. utilizing our digital interface technology, CyberFrac™.</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iProduction™ is a modern production approach that includes well pad processing, gathering lines, and central processing facilities under a single digital interface. iProduction™ uses proprietary process technology, allowing customers to eliminate tanks, decrease GHG emissions and reduce footprint while maintaining reliability. By integrating and modularizing pre-engineered standard products, we reduced our clients’ costs by up to 33 percent, reduce time to first oil by up to 30 percent and, using our digital twin technology, each site is monitored and controlled remotely – delivering new levels of insightful data to ensure uptime.</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iComplete™ uses standardized equipment that can be set up for any unconventional well in the world. The integrated system removes 80 percent of connections and reduces the need for manual intervention during operations thanks to our CyberFrac™ digital interface, which provides actionable data remotely. Our customers get to oil faster and reduce operating costs by 30 percent. This revolutionary approach is making our customers' frac pads faster, safer, and smarter.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June 2018, we broke ground on a new 52,000 square meter facility in Dhahran, Saudi Arabia, with work continuing throughout 2019. Despite the COVID-19 pandemic, work has progressed through 2020 and we are on track to open the facility by mid-2021. The facility, which will be comprised of two stories and a 13, 000 square meter manufacturing space, is part of our continued investment in the Middle East to reinforce our leading position in delivering local solutions that extend asset life and improve project returns. The new facility positions us to respond to the expected increase in activity in the area while strengthening our capabilities, providing a solid platform for us to grow in what is a strategic market for our surface business. The new facility will offer a broader range of capabilities and greater value-add in-country, supporting our full portfolio with high technology equipment in the drilling, completion, production, and pressure control sectors.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Capitalizing on Energy Transition</w:t>
      </w:r>
    </w:p>
    <w:p>
      <w:pPr>
        <w:spacing w:after="0" w:line="27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TechnipFMC continues to innovate and introduce new technologies across our portfolio of products and services. Leveraging our vast experience and competencies from decades of working in the transformation of the energy sector, we enable our clients to achieve their energy transition targets.</w:t>
      </w:r>
    </w:p>
    <w:p>
      <w:pPr>
        <w:spacing w:after="0" w:line="22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Subsea, we fundamentally changed the way we design, manage, and execute projects, starting with digital tools such as our Subsea Studio™. Our Subsea 2.0™ platform can greatly simplify subsea infrastructure, while reducing greenhouse gas emissions by nearly 50%. Combined with iEPCI™, our unique integrated model, it simplifies vessel installation campaigns, providing an even greater environmental and economic benefit. Our vision includes an “all-electric” system powered by renewable energy, with the potential to eliminate emissions.</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Technip Energies continues to break boundaries and accelerate the journey to a low-carbon society. With decades of experience in the energy industry, Technip Energies is using its engineering, process and technology competencies as well as R&amp;D facilities to find decarbonized solutions for a better environment. Technip Energies has structured its energy transition framework around four pillars: LNG, sustainable chemistry, decarbonization and carbon-free energy solutions. Technip Energies is a leader in gas treatment and liquefaction and has significant expertise and prospects in sustainable chemistry, such as its partnership with Neste’s for renewable diesel projects. It has expanded its footprint in the circular economy, including collaboration with Carbios to demonstrate its recycling technology. Technip Energies’ Genesis advisory services have a particular focus on energy transition. Technip Energies is a leader in hydrogen, with proven technology to deliver blue hydrogen and, through its investment in McPhy, it is well positioned for the emerging Green hydrogen market.</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Surface Technologies’ high-efficiency solutions enable our clients to reach hydrocarbons faster with fully optimized and environmentally compact systems. Our integrated service lines, such as iProduction™ and iComplete™, provide additional opportunities and benefits to our customers. For instance, a project utilizing our iProduction™ integrated production system allows the client to capture more than 50 percent of the greenhouse gases that are typically released into the atmosphere during the production phase of an unconventional development.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 w:name="page23"/>
    <w:bookmarkEnd w:id="22"/>
    <w:p>
      <w:pPr>
        <w:ind w:right="4540"/>
        <w:spacing w:after="0" w:line="451" w:lineRule="auto"/>
        <w:rPr>
          <w:sz w:val="20"/>
          <w:szCs w:val="20"/>
          <w:color w:val="auto"/>
        </w:rPr>
      </w:pPr>
      <w:r>
        <w:rPr>
          <w:rFonts w:ascii="Arial" w:cs="Arial" w:eastAsia="Arial" w:hAnsi="Arial"/>
          <w:sz w:val="18"/>
          <w:szCs w:val="18"/>
          <w:b w:val="1"/>
          <w:bCs w:val="1"/>
          <w:color w:val="auto"/>
        </w:rPr>
        <w:t xml:space="preserve">OTHER BUSINESS INFORMATION RELEVANT TO OUR BUSINESS SEGMENTS </w:t>
      </w:r>
      <w:r>
        <w:rPr>
          <w:rFonts w:ascii="Arial" w:cs="Arial" w:eastAsia="Arial" w:hAnsi="Arial"/>
          <w:sz w:val="18"/>
          <w:szCs w:val="18"/>
          <w:i w:val="1"/>
          <w:iCs w:val="1"/>
          <w:color w:val="auto"/>
        </w:rPr>
        <w:t>Sources and Availability of Raw Materials</w:t>
      </w:r>
    </w:p>
    <w:p>
      <w:pPr>
        <w:ind w:right="40"/>
        <w:spacing w:after="0" w:line="254" w:lineRule="auto"/>
        <w:rPr>
          <w:sz w:val="20"/>
          <w:szCs w:val="20"/>
          <w:color w:val="auto"/>
        </w:rPr>
      </w:pPr>
      <w:r>
        <w:rPr>
          <w:rFonts w:ascii="Arial" w:cs="Arial" w:eastAsia="Arial" w:hAnsi="Arial"/>
          <w:sz w:val="18"/>
          <w:szCs w:val="18"/>
          <w:color w:val="auto"/>
        </w:rPr>
        <w:t>Our business segments purchase carbon steel, stainless steel, aluminum, and steel castings and forgings from the global marketplace. We typically do not use single source suppliers for the majority of our raw material purchases; however, certain geographic areas of our businesses, or a project or group of projects, may heavily depend on certain suppliers for raw materials or supply of semi-finished goods. We believe the available supplies of raw materials are adequate to meet our needs.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engaged in R&amp;D activities directed toward the improvement of existing products and services, the design of specialized products to meet customer needs, and the development of new products, processes, and services. A large part of our product development spending has focused on the improved design and standardization of our Subsea and Technip Energies products to meet our customer needs.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 Trademarks, and Other Intellectual Property</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own a number of patents, trademarks, and licenses that are cumulatively important to our businesses. As part of our ongoing R&amp;D focus, we seek patents when appropriate for new products, product improvements, and related service innovations. We have approximately 7,300 issued patents and pending patent applications worldwide. Further, we license intellectual property rights to or from third parties. We also own numerous trademarks and trade names and have approximately 660 registrations and pending applications worldwide.</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protect and promote our intellectual property portfolio and take actions we deem appropriate to enforce and defend our intellectual property rights. We do not believe, however, that the loss of any one patent, trademark, or license, or group of related patents, trademarks, or licenses would have a material adverse effect on our overall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and Geographic Financial Information</w:t>
      </w: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consolidated revenue and segment operating profits are generated in markets outside of the United States. Each segment’s revenue is dependent upon worldwide oil and gas exploration, production and petrochemical activity. Financial information about our segments and geographic areas is incorporated herein by reference from Note 7 to our consolidated financial statements in Part II, Item 8 of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 Backlog</w:t>
      </w:r>
    </w:p>
    <w:p>
      <w:pPr>
        <w:spacing w:after="0" w:line="18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Information regarding order backlog is incorporated herein by reference from the section entitled “Inbound Orders and Order Backlog” in Part II, Item 7 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Website Access to Reports and Proxy Statement</w:t>
      </w:r>
    </w:p>
    <w:p>
      <w:pPr>
        <w:spacing w:after="0" w:line="27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Forms 3, 4, and 5 filed on behalf of directors and executive officers, and amendments to each of those reports and statements, are available free of charge through our website at www.technipfmc.com, under “Investors” as soon as reasonably practicable after such material is electronically filed with, or furnished to, the U.S. Securities and Exchange Commission (the “SEC”). Alternatively, our reports may be accessed through the website maintained by the SEC at www.sec.gov. Unless expressly noted, the information on our website or any other website is not incorporated by reference in this Annual Report on Form 10-K and should not be considered part of this Annual Report on Form 10-K or any other filing we make with the SEC.</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19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242424"/>
        </w:rPr>
        <w:t>In the first quarter of 2018, we developed a global framework and key performance indicators for 2018 and beyond to promote and accelerate the development of women in all functions of our global organization.</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242424"/>
        </w:rPr>
        <w:t>Our Advancing Gender Diversity objectives include the following:</w:t>
      </w:r>
    </w:p>
    <w:p>
      <w:pPr>
        <w:spacing w:after="0" w:line="252" w:lineRule="exact"/>
        <w:rPr>
          <w:sz w:val="20"/>
          <w:szCs w:val="20"/>
          <w:color w:val="auto"/>
        </w:rPr>
      </w:pPr>
    </w:p>
    <w:p>
      <w:pPr>
        <w:ind w:left="660" w:right="260" w:hanging="328"/>
        <w:spacing w:after="0" w:line="261" w:lineRule="auto"/>
        <w:tabs>
          <w:tab w:leader="none" w:pos="655" w:val="left"/>
        </w:tabs>
        <w:numPr>
          <w:ilvl w:val="0"/>
          <w:numId w:val="13"/>
        </w:numPr>
        <w:rPr>
          <w:rFonts w:ascii="Arial" w:cs="Arial" w:eastAsia="Arial" w:hAnsi="Arial"/>
          <w:sz w:val="18"/>
          <w:szCs w:val="18"/>
          <w:color w:val="242424"/>
        </w:rPr>
      </w:pPr>
      <w:r>
        <w:rPr>
          <w:rFonts w:ascii="Arial" w:cs="Arial" w:eastAsia="Arial" w:hAnsi="Arial"/>
          <w:sz w:val="18"/>
          <w:szCs w:val="18"/>
          <w:color w:val="242424"/>
        </w:rPr>
        <w:t>Ensure gender pay equality everywhere we operate and review all jobs to ensure gender pay equality and monitor them through a full review every three years.</w:t>
      </w:r>
    </w:p>
    <w:p>
      <w:pPr>
        <w:spacing w:after="0" w:line="224" w:lineRule="exact"/>
        <w:rPr>
          <w:rFonts w:ascii="Arial" w:cs="Arial" w:eastAsia="Arial" w:hAnsi="Arial"/>
          <w:sz w:val="18"/>
          <w:szCs w:val="18"/>
          <w:color w:val="242424"/>
        </w:rPr>
      </w:pPr>
    </w:p>
    <w:p>
      <w:pPr>
        <w:ind w:left="660" w:hanging="328"/>
        <w:spacing w:after="0"/>
        <w:tabs>
          <w:tab w:leader="none" w:pos="660" w:val="left"/>
        </w:tabs>
        <w:numPr>
          <w:ilvl w:val="0"/>
          <w:numId w:val="13"/>
        </w:numPr>
        <w:rPr>
          <w:rFonts w:ascii="Arial" w:cs="Arial" w:eastAsia="Arial" w:hAnsi="Arial"/>
          <w:sz w:val="18"/>
          <w:szCs w:val="18"/>
          <w:color w:val="242424"/>
        </w:rPr>
      </w:pPr>
      <w:r>
        <w:rPr>
          <w:rFonts w:ascii="Arial" w:cs="Arial" w:eastAsia="Arial" w:hAnsi="Arial"/>
          <w:sz w:val="18"/>
          <w:szCs w:val="18"/>
          <w:color w:val="242424"/>
        </w:rPr>
        <w:t>Improve gender balance in the organization, across all functions and levels.</w:t>
      </w:r>
    </w:p>
    <w:p>
      <w:pPr>
        <w:spacing w:after="0" w:line="252" w:lineRule="exact"/>
        <w:rPr>
          <w:rFonts w:ascii="Arial" w:cs="Arial" w:eastAsia="Arial" w:hAnsi="Arial"/>
          <w:sz w:val="18"/>
          <w:szCs w:val="18"/>
          <w:color w:val="242424"/>
        </w:rPr>
      </w:pPr>
    </w:p>
    <w:p>
      <w:pPr>
        <w:ind w:left="660" w:hanging="328"/>
        <w:spacing w:after="0"/>
        <w:tabs>
          <w:tab w:leader="none" w:pos="660" w:val="left"/>
        </w:tabs>
        <w:numPr>
          <w:ilvl w:val="0"/>
          <w:numId w:val="13"/>
        </w:numPr>
        <w:rPr>
          <w:rFonts w:ascii="Arial" w:cs="Arial" w:eastAsia="Arial" w:hAnsi="Arial"/>
          <w:sz w:val="18"/>
          <w:szCs w:val="18"/>
          <w:color w:val="242424"/>
        </w:rPr>
      </w:pPr>
      <w:r>
        <w:rPr>
          <w:rFonts w:ascii="Arial" w:cs="Arial" w:eastAsia="Arial" w:hAnsi="Arial"/>
          <w:sz w:val="18"/>
          <w:szCs w:val="18"/>
          <w:color w:val="242424"/>
        </w:rPr>
        <w:t>Promote women fairly and equally through the career development process.</w:t>
      </w:r>
    </w:p>
    <w:p>
      <w:pPr>
        <w:spacing w:after="0" w:line="3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2018, we reviewed 100 percent of job functions to ensure pay equity. We identified areas for improvement and completed all necessary salary adjustments in 2019 to ensure fair compensation for all of our employees. Continuous monitoring to ensure pay equity was a focus for 2020. Additionally, in 2020, we announced a global parental leave policy for 2021 implementation.</w:t>
      </w:r>
    </w:p>
    <w:p>
      <w:pPr>
        <w:spacing w:after="0" w:line="22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2019, to foster a diverse and inclusive culture, we launched its “Diversity &amp; Inclusion – It Matters!” e-learning module with an aim to raise awareness of our differences and help our employees improve as people and professionals. This e-learning module was added to new hire orientation in 2020 to promote our commitment to advancing gender diversity and an inclusive culture where all employees can reach their full potential. We also continued to improve gender balance in 2020 with a focus on increasing the representation of women hired as new graduates. 40 percent of all graduates hired globally in 2020 were women, surpassing our goal of 30 percent.</w:t>
      </w:r>
    </w:p>
    <w:p>
      <w:pPr>
        <w:spacing w:after="0" w:line="2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continued to foster Employee Resource Groups (“ERGs”) and encourage participation throughout the whole Company. Our CEO made the pledge to CEO Action for Diversity and Inclusion, committing to create a trusting environment where all ideas are welcomed and employees feel comfortable and empowered to draw on their unique experiences and backgrounds. Our seven ERGs continue to be instrumental in engaging employees and creating a platform to have complex, and sometimes difficult conversations about diversity and inclusion.</w:t>
      </w:r>
    </w:p>
    <w:p>
      <w:pPr>
        <w:spacing w:after="0" w:line="2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Continuous discussions around improving representation of women in the organization helps us promote women fairly and equally throughout their career development process within our Company. In 2020, our People and Culture team reviewed all senior management succession plans to ensure that female candidates were considered and included.</w:t>
      </w:r>
    </w:p>
    <w:p>
      <w:pPr>
        <w:spacing w:after="0" w:line="22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As a result, 76 percent of our senior management succession plans in 2020 include at least one woman versus 70 percent in 2019, which exceeded our 2020 goal to increase representation of women in succession plans by five percent.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TechnipFMC had the following number of employees: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2260" w:type="dxa"/>
            <w:vAlign w:val="bottom"/>
            <w:gridSpan w:val="3"/>
          </w:tcPr>
          <w:p>
            <w:pPr>
              <w:ind w:left="520"/>
              <w:spacing w:after="0"/>
              <w:rPr>
                <w:sz w:val="20"/>
                <w:szCs w:val="20"/>
                <w:color w:val="auto"/>
              </w:rPr>
            </w:pPr>
            <w:r>
              <w:rPr>
                <w:rFonts w:ascii="Arial" w:cs="Arial" w:eastAsia="Arial" w:hAnsi="Arial"/>
                <w:sz w:val="14"/>
                <w:szCs w:val="14"/>
                <w:b w:val="1"/>
                <w:bCs w:val="1"/>
                <w:color w:val="auto"/>
              </w:rPr>
              <w:t>Male Employees</w:t>
            </w:r>
          </w:p>
        </w:tc>
        <w:tc>
          <w:tcPr>
            <w:tcW w:w="1940" w:type="dxa"/>
            <w:vAlign w:val="bottom"/>
            <w:gridSpan w:val="3"/>
          </w:tcPr>
          <w:p>
            <w:pPr>
              <w:ind w:left="280"/>
              <w:spacing w:after="0"/>
              <w:rPr>
                <w:sz w:val="20"/>
                <w:szCs w:val="20"/>
                <w:color w:val="auto"/>
              </w:rPr>
            </w:pPr>
            <w:r>
              <w:rPr>
                <w:rFonts w:ascii="Arial" w:cs="Arial" w:eastAsia="Arial" w:hAnsi="Arial"/>
                <w:sz w:val="14"/>
                <w:szCs w:val="14"/>
                <w:b w:val="1"/>
                <w:bCs w:val="1"/>
                <w:color w:val="auto"/>
              </w:rPr>
              <w:t>Female Employees</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2"/>
          </w:tcPr>
          <w:p>
            <w:pPr>
              <w:ind w:left="480"/>
              <w:spacing w:after="0"/>
              <w:rPr>
                <w:sz w:val="20"/>
                <w:szCs w:val="20"/>
                <w:color w:val="auto"/>
              </w:rPr>
            </w:pPr>
            <w:r>
              <w:rPr>
                <w:rFonts w:ascii="Arial" w:cs="Arial" w:eastAsia="Arial" w:hAnsi="Arial"/>
                <w:sz w:val="14"/>
                <w:szCs w:val="14"/>
                <w:b w:val="1"/>
                <w:bCs w:val="1"/>
                <w:color w:val="auto"/>
              </w:rPr>
              <w:t>% of Female Employees</w:t>
            </w:r>
          </w:p>
        </w:tc>
      </w:tr>
      <w:tr>
        <w:trPr>
          <w:trHeight w:val="183"/>
        </w:trPr>
        <w:tc>
          <w:tcPr>
            <w:tcW w:w="220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officers</w:t>
            </w:r>
          </w:p>
        </w:tc>
        <w:tc>
          <w:tcPr>
            <w:tcW w:w="12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Senior managers</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84</w:t>
            </w: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108</w:t>
            </w:r>
          </w:p>
        </w:tc>
        <w:tc>
          <w:tcPr>
            <w:tcW w:w="82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22 %</w:t>
            </w:r>
          </w:p>
        </w:tc>
        <w:tc>
          <w:tcPr>
            <w:tcW w:w="108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Employees on payroll (overall)</w:t>
            </w:r>
          </w:p>
        </w:tc>
        <w:tc>
          <w:tcPr>
            <w:tcW w:w="12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28,760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8,407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37,167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35,086</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4" w:name="page25"/>
    <w:bookmarkEnd w:id="24"/>
    <w:p>
      <w:pPr>
        <w:jc w:val="both"/>
        <w:ind w:right="20"/>
        <w:spacing w:after="0" w:line="256" w:lineRule="auto"/>
        <w:rPr>
          <w:sz w:val="20"/>
          <w:szCs w:val="20"/>
          <w:color w:val="auto"/>
        </w:rPr>
      </w:pPr>
      <w:r>
        <w:rPr>
          <w:rFonts w:ascii="Arial" w:cs="Arial" w:eastAsia="Arial" w:hAnsi="Arial"/>
          <w:sz w:val="18"/>
          <w:szCs w:val="18"/>
          <w:color w:val="auto"/>
        </w:rPr>
        <w:t>We are committed to improving this dimension and took necessary steps in strengthening our succession plans and graduate intake in 2020. We have also developed an inclusive leadership curriculum, which, along with executive leadership team commitment and systemic changes to policy and talent standards, will help improve women representation in senior manager roles in the medium to long term.</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June 2020, we decided to broaden our inclusion focus by reflecting not only gender but also race, ethnicity, religion, sexual orientation and disability. This committee is renamed to “Inclusion and Diversity” empowering our people to be the difference through inclusion and exercising the value of diversity. This will be accomplished through our people, culture and internal and external partnerships.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Promoting Cultural and Ethnic Diversity</w:t>
      </w: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focus on our broad cultural and ethnic diversity, which we constantly promote and develop throughout the Company and our subsidiaries, through the internationalization of our teams, multicultural programs, and international mobility.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Providing Employment to People with Disabilities</w:t>
      </w:r>
    </w:p>
    <w:p>
      <w:pPr>
        <w:spacing w:after="0" w:line="270"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Three of our Foundational Beliefs – integrity, respect, and sustainability – are tangibly embedded in fair employment practices and equal opportunity. Our policy is that our employment decisions related to recruitment, selection, evaluation, compensation, and development, among others, are not influenced by unlawful or unfair discrimination on the basis of race, religion, gender, age, ethnic origin, nationality, sexual orientation, gender or gender reassignment, marital status, or disability.</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It is our policy to encourage and give full and fair consideration to applications for employment from disabled people, and to assist with their training and development in light of their aptitudes and abilities. If an existing employee becomes disabled, it is our policy wherever practicable to provide continuing employment under our usual terms and conditions, and to provide training, career development, and promotion opportunities to the disabled employee to the fullest extent possible.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Social Matters</w:t>
      </w:r>
    </w:p>
    <w:p>
      <w:pPr>
        <w:spacing w:after="0" w:line="2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People and culture are at the heart of our development strategy. People are our wealth and strength. We are committed to our employees, our employee guidelines are specified in our Code of Business Conduct, which applies to all employees, regardless of their roles and where they work.</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believe that all of our employees are entitled to fair treatment, courtesy, and respect, wherever they work: in the office, on vessels, on industrial and construction sites, or in client offices. We do not tolerate any form of abuse or harassment, and we will not tolerate any action, conduct, or behavior that is humiliating, intimidating, or hostile.</w:t>
      </w: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Furthermore, our hiring and employee development decisions are fair and objective. Employment decisions are based only on relevant qualifications, performance, demonstrated skills, experience, and other job-related factors, with our goal of creating a diverse, tolerant, and inclusive workforce.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Workforce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workforce consists of the following:</w:t>
      </w:r>
    </w:p>
    <w:p>
      <w:pPr>
        <w:spacing w:after="0" w:line="37"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60" w:type="dxa"/>
            <w:vAlign w:val="bottom"/>
            <w:tcBorders>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2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2020</w:t>
            </w:r>
          </w:p>
        </w:tc>
      </w:tr>
      <w:tr>
        <w:trPr>
          <w:trHeight w:val="18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Permanent employees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34,454</w:t>
            </w: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31,395</w:t>
            </w:r>
          </w:p>
        </w:tc>
      </w:tr>
      <w:tr>
        <w:trPr>
          <w:trHeight w:val="18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Temporary employees (fixed-term)</w:t>
            </w:r>
          </w:p>
        </w:tc>
        <w:tc>
          <w:tcPr>
            <w:tcW w:w="1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3,616</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2,713</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3,691</w:t>
            </w:r>
          </w:p>
        </w:tc>
      </w:tr>
      <w:tr>
        <w:trPr>
          <w:trHeight w:val="18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Employees on payroll</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37,167</w:t>
            </w: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35,086</w:t>
            </w:r>
          </w:p>
        </w:tc>
      </w:tr>
      <w:tr>
        <w:trPr>
          <w:trHeight w:val="18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Contracted workforce</w:t>
            </w:r>
          </w:p>
        </w:tc>
        <w:tc>
          <w:tcPr>
            <w:tcW w:w="1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5,310</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2,880</w:t>
            </w:r>
          </w:p>
        </w:tc>
      </w:tr>
      <w:tr>
        <w:trPr>
          <w:trHeight w:val="18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workforce</w:t>
            </w:r>
          </w:p>
        </w:tc>
        <w:tc>
          <w:tcPr>
            <w:tcW w:w="15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40,602</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42,477</w:t>
            </w:r>
          </w:p>
        </w:tc>
        <w:tc>
          <w:tcPr>
            <w:tcW w:w="100" w:type="dxa"/>
            <w:vAlign w:val="bottom"/>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37,966</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Developing and Keeping Talent</w:t>
      </w:r>
    </w:p>
    <w:p>
      <w:pPr>
        <w:spacing w:after="0" w:line="32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simplified the process of identifying key talents in the organization in 2020 and the new process helped us achieve significant and quality progress in a remote working environment. We also strengthened the depth of our succession planning for leadership roles in the organization.</w:t>
      </w:r>
    </w:p>
    <w:p>
      <w:pPr>
        <w:spacing w:after="0" w:line="2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Following the 2019 enhancement of our processes and practices, in 2020 we continued our journey of offering best-in-class development opportunities to our people:</w:t>
      </w:r>
    </w:p>
    <w:p>
      <w:pPr>
        <w:spacing w:after="0" w:line="225" w:lineRule="exact"/>
        <w:rPr>
          <w:sz w:val="20"/>
          <w:szCs w:val="20"/>
          <w:color w:val="auto"/>
        </w:rPr>
      </w:pPr>
    </w:p>
    <w:p>
      <w:pPr>
        <w:jc w:val="both"/>
        <w:ind w:left="660" w:right="24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introduced a new process called 'Talking Talents' in 2020 to identify and flag talents to develop in the key areas of Leadership, Technology and Project Management. This population represented 6 percent of our global population and will be the primary focus for development initiatives.</w:t>
      </w:r>
    </w:p>
    <w:p>
      <w:pPr>
        <w:spacing w:after="0" w:line="228"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new and improved performance appraisal process kicked off for all TechnipFMC employees in October 2020 and we concluded with 98 percent completion. A stronger focus was put on employees’ behaviors, as part of our core values framework, and a simplified workflow for employees and managers for an efficient performance appraisal process.</w:t>
      </w:r>
    </w:p>
    <w:p>
      <w:pPr>
        <w:spacing w:after="0" w:line="228" w:lineRule="exact"/>
        <w:rPr>
          <w:rFonts w:ascii="Arial" w:cs="Arial" w:eastAsia="Arial" w:hAnsi="Arial"/>
          <w:sz w:val="18"/>
          <w:szCs w:val="18"/>
          <w:color w:val="auto"/>
        </w:rPr>
      </w:pPr>
    </w:p>
    <w:p>
      <w:pPr>
        <w:ind w:left="660" w:right="120" w:hanging="328"/>
        <w:spacing w:after="0" w:line="25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continued to support our talent acquisition efforts by reinforcing the TechnipFMC employer brand in 2020, reflecting what our people say about TechnipFMC: we work on breakthrough projects, in a global playground and, as a result, our people live inspiring experiences. This is the key message we want potential future employees to associate with TechnipFMC. Initiatives, such as #technipfmcproud, launched in 2020 comprised of a series of webinars, inviting employees to share their own inspiring TechnipFMC experiences. This, along with other initiatives and onboarding of brand ambassadors, helped us put our employer brand into operation in 2020.</w:t>
      </w:r>
    </w:p>
    <w:p>
      <w:pPr>
        <w:spacing w:after="0" w:line="23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Enabling our people to grow and develop is a significant priority and during 2020 we launched and improved upon a number of learning and knowledge management initiatives to enhance the capabilities of our employees. While our ambition is to create a learning environment and tools and resources for everyone to succeed - some of our content is indeed focused on the following development pathways of Leadership, Technology and Project Management mentioned earlier.</w:t>
      </w:r>
    </w:p>
    <w:p>
      <w:pPr>
        <w:spacing w:after="0" w:line="231" w:lineRule="exact"/>
        <w:rPr>
          <w:sz w:val="20"/>
          <w:szCs w:val="20"/>
          <w:color w:val="auto"/>
        </w:rPr>
      </w:pPr>
    </w:p>
    <w:p>
      <w:pPr>
        <w:ind w:left="660" w:right="3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October 2020, we launched the global technical expertise program, onboarding more than 650 technical experts and laying the foundation for identifying and nurturing more technical experts who help us in creating differentiated technologies.</w:t>
      </w:r>
    </w:p>
    <w:p>
      <w:pPr>
        <w:spacing w:after="0" w:line="224" w:lineRule="exact"/>
        <w:rPr>
          <w:rFonts w:ascii="Arial" w:cs="Arial" w:eastAsia="Arial" w:hAnsi="Arial"/>
          <w:sz w:val="18"/>
          <w:szCs w:val="18"/>
          <w:color w:val="auto"/>
        </w:rPr>
      </w:pPr>
    </w:p>
    <w:p>
      <w:pPr>
        <w:ind w:left="660" w:right="200" w:hanging="328"/>
        <w:spacing w:after="0" w:line="23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Engagement in the iLearn learning platform gained significant traction in 2020 as we embraced a digital transformation of learning. This hub is a learning experience platform with a modern and easy-to-use interface. In 2020, there were more than 6,860 pieces of creative and innovative learning content available, with ongoing releases of new and meaningful courses, to support skills development for our employees and enhance their performance in their job. 50 percent of our training hours and 95 percent of our course completions were done in a digital or virtual environment, which resulted in 5.85 training hours per employee. The top five areas of learning in 2020 were Health, Safety, Environment and Security, Engineering, Manufacturing, Quality and Surface.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6" w:name="page27"/>
    <w:bookmarkEnd w:id="26"/>
    <w:p>
      <w:pPr>
        <w:ind w:left="660" w:right="180" w:hanging="328"/>
        <w:spacing w:after="0" w:line="23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2020 also saw significant progress in the knowledge management space with our knowledge repository “The Well” having over 646,000 visits with 16,674 employees having utilized it. Our second knowledge-sharing platform, The Bridge, which aligns with The Well, enables chartered global knowledge-sharing networks. It had a soft launch in May 2020, and now has 17 enterprise-wide business and technical communities with the expectation that there will be more than 50 by the end of 2021.</w:t>
      </w:r>
    </w:p>
    <w:p>
      <w:pPr>
        <w:spacing w:after="0" w:line="3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Employee attrition in 2020 was 2.5 percent compared to 6.2 percent in 2019 attributable to a major extent to our continued focus on learning and talent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Strengthening Social Dialogue</w:t>
      </w:r>
    </w:p>
    <w:p>
      <w:pPr>
        <w:spacing w:after="0" w:line="27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TechnipFMC has developed a culture that is based on the values of trust, mutual respect, and dialogue. In accordance with local legislation, regular meetings with trade union-appointed and/or works council representatives are organized for information and/or consultation. The European Works Council (“EWC”) meets at least twice a year and all of our European entities had joined the EWC by the end of 2019 with the EWC agreement signed by participants' representatives by the end of 2019. In the first quarter of 2020, the EWC elected its new member and held two meetings in 2020, first in May and the second in December.</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foster ERGs, which are voluntary, employee-led focus groups dedicated to a diverse and inclusive work environment. We currently have seven active ERGs with approximately 1,800 members in the United States, the United Kingdom, and Brazil, covering Diversity in Science, Technology, Engineering and Mathematics, Mothers Network, Black Organization for Leadership &amp; Development, Young Professionals Group, Military Veterans &amp; Friends Network, and Handicap Inclusion. ERGs discuss and promote topics related to diversity and inclusion, develop and organize workshops internally and externally, support local initiatives, and propose actions to improve accessibility and inclusivity for all at the workplace. TechnipFMC provides executive support to our ERGs to help maintain cordial employee relations and improve the wellbeing of our people.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Wellbeing</w:t>
      </w:r>
    </w:p>
    <w:p>
      <w:pPr>
        <w:spacing w:after="0" w:line="2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light of the global challenges faced in 2020 due to COVID-19 pandemic, we ran a global employee wellbeing survey in May to understand how our employees were coping with social distancing and other related domestic challenges during the pandemic. We received a strong response, with 19,954 (55 percent) employees responding globally which helped us develop policies to assist in the challenges our people are facing in these unprecedented times. 74 percent of responding employees answered favorably to the question on their overall wellbeing. The survey also gave us insights on other topics that helped in improving overall communication and employee engagement.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Communication</w:t>
      </w:r>
    </w:p>
    <w:p>
      <w:pPr>
        <w:spacing w:after="0" w:line="27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a robust internal communications strategy and support communication channels that ensure that all employees are communicated to within a timely and relevant way. The effectiveness of internal communication is continually monitored and adjusted based on a focus group feedback program that reaches multiple levels across the organization. Employees are regularly consulted and provided with information on changes and events that may affect them through channels such as regular meetings, employee representatives, and our intranet site. These consultations and meetings ensure that employees are kept informed of the financial and economic factors affecting our performance and matters of concern to them as employees.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Relations and Collective Agreements</w:t>
      </w:r>
    </w:p>
    <w:p>
      <w:pPr>
        <w:spacing w:after="0" w:line="270"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We seek to maintain constructive relationships with works councils and trade unions, and to comply with relevant local laws and collective agreements in relation to collective or individual labor relations. We also operate through local subsidiaries in many countries, a number of which, including France, Germany, Norway, and Italy, have legal requirements for works councils, which include employee representatives.</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send regular information to all employees to share information about business success, changes to the organizational structure, and any major impact to the business or company. The same approach of sharing information and maintaining a regular dialogue with employees exists at a local level through the action of the local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spacing w:after="0" w:line="253" w:lineRule="auto"/>
        <w:rPr>
          <w:sz w:val="20"/>
          <w:szCs w:val="20"/>
          <w:color w:val="auto"/>
        </w:rPr>
      </w:pPr>
      <w:r>
        <w:rPr>
          <w:rFonts w:ascii="Arial" w:cs="Arial" w:eastAsia="Arial" w:hAnsi="Arial"/>
          <w:sz w:val="18"/>
          <w:szCs w:val="18"/>
          <w:color w:val="auto"/>
        </w:rPr>
        <w:t>communications teams and the managers. In countries where staff representatives or works councils are in place, we seek to maintain an effective and regular dialogue. To get the direct feedback of employees, employees surveys are performed in some countries or business, such as Norway, Americas, and the Asia Pacific region. Every quarter, all employees receive a direct communication from the Chairman and CEO about our financial results and main business information. While travelling to a company center, the executive leadership team members take this as an opportunity to engage with employees, either through town halls or informal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Information regarding our executive officers called for by Item 401(b) of Regulation S-K is hereby included in Part I, Item 1 “Business” of this Annual Report on Form 10-K.</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indicates the names and ages of our executive officers as of March 5, 2021, including all offices and positions held by each in the past five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Age</w:t>
            </w:r>
          </w:p>
        </w:tc>
        <w:tc>
          <w:tcPr>
            <w:tcW w:w="100" w:type="dxa"/>
            <w:vAlign w:val="bottom"/>
            <w:tcBorders>
              <w:bottom w:val="single" w:sz="8" w:color="CCEEFF"/>
            </w:tcBorders>
          </w:tcPr>
          <w:p>
            <w:pPr>
              <w:spacing w:after="0"/>
              <w:rPr>
                <w:sz w:val="14"/>
                <w:szCs w:val="14"/>
                <w:color w:val="auto"/>
              </w:rPr>
            </w:pPr>
          </w:p>
        </w:tc>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Current Position and Business Experience (Start Date)</w:t>
            </w:r>
          </w:p>
        </w:tc>
      </w:tr>
      <w:tr>
        <w:trPr>
          <w:trHeight w:val="187"/>
        </w:trPr>
        <w:tc>
          <w:tcPr>
            <w:tcW w:w="224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4"/>
                <w:szCs w:val="14"/>
                <w:color w:val="auto"/>
              </w:rPr>
              <w:t xml:space="preserve">Douglas J. Pferdehirt </w:t>
            </w:r>
            <w:r>
              <w:rPr>
                <w:rFonts w:ascii="Arial" w:cs="Arial" w:eastAsia="Arial" w:hAnsi="Arial"/>
                <w:sz w:val="18"/>
                <w:szCs w:val="18"/>
                <w:color w:val="auto"/>
                <w:vertAlign w:val="superscript"/>
              </w:rPr>
              <w:t>(a)</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Chairman and Chief Executive Officer (2019)</w:t>
            </w:r>
          </w:p>
        </w:tc>
      </w:tr>
      <w:tr>
        <w:trPr>
          <w:trHeight w:val="162"/>
        </w:trPr>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Executive Officer (2017)</w:t>
            </w:r>
          </w:p>
        </w:tc>
      </w:tr>
      <w:tr>
        <w:trPr>
          <w:trHeight w:val="191"/>
        </w:trPr>
        <w:tc>
          <w:tcPr>
            <w:tcW w:w="2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President and Chief Executive Officer of FMC Technologies (2016)</w:t>
            </w:r>
          </w:p>
        </w:tc>
      </w:tr>
      <w:tr>
        <w:trPr>
          <w:trHeight w:val="194"/>
        </w:trPr>
        <w:tc>
          <w:tcPr>
            <w:tcW w:w="224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Alf Melin </w:t>
            </w:r>
            <w:r>
              <w:rPr>
                <w:rFonts w:ascii="Arial" w:cs="Arial" w:eastAsia="Arial" w:hAnsi="Arial"/>
                <w:sz w:val="18"/>
                <w:szCs w:val="18"/>
                <w:color w:val="auto"/>
                <w:vertAlign w:val="superscript"/>
              </w:rPr>
              <w:t>(a)</w:t>
            </w:r>
          </w:p>
        </w:tc>
        <w:tc>
          <w:tcPr>
            <w:tcW w:w="500" w:type="dxa"/>
            <w:vAlign w:val="bottom"/>
          </w:tcPr>
          <w:p>
            <w:pPr>
              <w:ind w:left="2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Executive Vice President and Chief Financial Officer (2021)</w:t>
            </w: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Senior Vice President, Finance Operations (2017)</w:t>
            </w:r>
          </w:p>
        </w:tc>
      </w:tr>
      <w:tr>
        <w:trPr>
          <w:trHeight w:val="17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Senior Vice President, Surface Americas (2017)</w:t>
            </w: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General Manager, Fluid Control (2015)</w:t>
            </w:r>
          </w:p>
        </w:tc>
      </w:tr>
      <w:tr>
        <w:trPr>
          <w:trHeight w:val="39"/>
        </w:trPr>
        <w:tc>
          <w:tcPr>
            <w:tcW w:w="2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0" w:type="dxa"/>
            <w:vAlign w:val="bottom"/>
          </w:tcPr>
          <w:p>
            <w:pPr>
              <w:spacing w:after="0"/>
              <w:rPr>
                <w:sz w:val="3"/>
                <w:szCs w:val="3"/>
                <w:color w:val="auto"/>
              </w:rPr>
            </w:pPr>
          </w:p>
        </w:tc>
      </w:tr>
      <w:tr>
        <w:trPr>
          <w:trHeight w:val="194"/>
        </w:trPr>
        <w:tc>
          <w:tcPr>
            <w:tcW w:w="22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4"/>
                <w:szCs w:val="14"/>
                <w:color w:val="auto"/>
              </w:rPr>
              <w:t xml:space="preserve">Victoria Lazar </w:t>
            </w:r>
            <w:r>
              <w:rPr>
                <w:rFonts w:ascii="Arial" w:cs="Arial" w:eastAsia="Arial" w:hAnsi="Arial"/>
                <w:sz w:val="18"/>
                <w:szCs w:val="18"/>
                <w:color w:val="auto"/>
                <w:vertAlign w:val="superscript"/>
              </w:rPr>
              <w:t>(a)</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Vice President, General Counsel and Secretary (2020)</w:t>
            </w:r>
          </w:p>
        </w:tc>
      </w:tr>
      <w:tr>
        <w:trPr>
          <w:trHeight w:val="162"/>
        </w:trPr>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Vice President, General Counsel and Corporate Secretary for Bristow Group (2020)</w:t>
            </w:r>
          </w:p>
        </w:tc>
      </w:tr>
      <w:tr>
        <w:trPr>
          <w:trHeight w:val="172"/>
        </w:trPr>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Counsel, M&amp;A, General Electric (2019)</w:t>
            </w: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Associate General Counsel, Baker Hughes, a GE Company (2018)</w:t>
            </w:r>
          </w:p>
        </w:tc>
      </w:tr>
      <w:tr>
        <w:trPr>
          <w:trHeight w:val="181"/>
        </w:trPr>
        <w:tc>
          <w:tcPr>
            <w:tcW w:w="2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Associate General Counsel, GE Oil &amp; Gas (2017)</w:t>
            </w:r>
          </w:p>
        </w:tc>
      </w:tr>
      <w:tr>
        <w:trPr>
          <w:trHeight w:val="194"/>
        </w:trPr>
        <w:tc>
          <w:tcPr>
            <w:tcW w:w="224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Justin Rounce </w:t>
            </w:r>
            <w:r>
              <w:rPr>
                <w:rFonts w:ascii="Arial" w:cs="Arial" w:eastAsia="Arial" w:hAnsi="Arial"/>
                <w:sz w:val="18"/>
                <w:szCs w:val="18"/>
                <w:color w:val="auto"/>
                <w:vertAlign w:val="superscript"/>
              </w:rPr>
              <w:t>(a)</w:t>
            </w:r>
          </w:p>
        </w:tc>
        <w:tc>
          <w:tcPr>
            <w:tcW w:w="500" w:type="dxa"/>
            <w:vAlign w:val="bottom"/>
          </w:tcPr>
          <w:p>
            <w:pPr>
              <w:ind w:left="2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Executive Vice President and Chief Technology Officer (2018)</w:t>
            </w: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President, Valves &amp; Measurement for Schlumberger Limited (2018)</w:t>
            </w:r>
          </w:p>
        </w:tc>
      </w:tr>
      <w:tr>
        <w:trPr>
          <w:trHeight w:val="17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Senior Vice President, Marketing &amp; Technology for Schlumberger Limited (2016)</w:t>
            </w:r>
          </w:p>
        </w:tc>
      </w:tr>
      <w:tr>
        <w:trPr>
          <w:trHeight w:val="39"/>
        </w:trPr>
        <w:tc>
          <w:tcPr>
            <w:tcW w:w="2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0" w:type="dxa"/>
            <w:vAlign w:val="bottom"/>
          </w:tcPr>
          <w:p>
            <w:pPr>
              <w:spacing w:after="0"/>
              <w:rPr>
                <w:sz w:val="3"/>
                <w:szCs w:val="3"/>
                <w:color w:val="auto"/>
              </w:rPr>
            </w:pPr>
          </w:p>
        </w:tc>
      </w:tr>
      <w:tr>
        <w:trPr>
          <w:trHeight w:val="194"/>
        </w:trPr>
        <w:tc>
          <w:tcPr>
            <w:tcW w:w="22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4"/>
                <w:szCs w:val="14"/>
                <w:color w:val="auto"/>
              </w:rPr>
              <w:t xml:space="preserve">Agnieszka Kmieciak </w:t>
            </w:r>
            <w:r>
              <w:rPr>
                <w:rFonts w:ascii="Arial" w:cs="Arial" w:eastAsia="Arial" w:hAnsi="Arial"/>
                <w:sz w:val="18"/>
                <w:szCs w:val="18"/>
                <w:color w:val="auto"/>
                <w:vertAlign w:val="superscript"/>
              </w:rPr>
              <w:t>(a)</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Vice President, People and Culture (2018)</w:t>
            </w:r>
          </w:p>
        </w:tc>
      </w:tr>
      <w:tr>
        <w:trPr>
          <w:trHeight w:val="162"/>
        </w:trPr>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HR Director, Production Group for Schlumberger Limited (2017)</w:t>
            </w:r>
          </w:p>
        </w:tc>
      </w:tr>
      <w:tr>
        <w:trPr>
          <w:trHeight w:val="191"/>
        </w:trPr>
        <w:tc>
          <w:tcPr>
            <w:tcW w:w="2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Talent Manager and Workforce Planning Manager for Schlumberger Limited (2015)</w:t>
            </w:r>
          </w:p>
        </w:tc>
      </w:tr>
      <w:tr>
        <w:trPr>
          <w:trHeight w:val="194"/>
        </w:trPr>
        <w:tc>
          <w:tcPr>
            <w:tcW w:w="224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Barry Glickman </w:t>
            </w:r>
            <w:r>
              <w:rPr>
                <w:rFonts w:ascii="Arial" w:cs="Arial" w:eastAsia="Arial" w:hAnsi="Arial"/>
                <w:sz w:val="18"/>
                <w:szCs w:val="18"/>
                <w:color w:val="auto"/>
                <w:vertAlign w:val="superscript"/>
              </w:rPr>
              <w:t>(a)</w:t>
            </w:r>
          </w:p>
        </w:tc>
        <w:tc>
          <w:tcPr>
            <w:tcW w:w="500" w:type="dxa"/>
            <w:vAlign w:val="bottom"/>
          </w:tcPr>
          <w:p>
            <w:pPr>
              <w:ind w:left="2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President, Surface Technologies (2019)</w:t>
            </w: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President, Engineering, Manufacturing and Supply Chain (2017)</w:t>
            </w:r>
          </w:p>
        </w:tc>
      </w:tr>
      <w:tr>
        <w:trPr>
          <w:trHeight w:val="17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Vice President, Subsea Services of FMC Technologies (2015)</w:t>
            </w:r>
          </w:p>
        </w:tc>
      </w:tr>
      <w:tr>
        <w:trPr>
          <w:trHeight w:val="39"/>
        </w:trPr>
        <w:tc>
          <w:tcPr>
            <w:tcW w:w="2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0" w:type="dxa"/>
            <w:vAlign w:val="bottom"/>
          </w:tcPr>
          <w:p>
            <w:pPr>
              <w:spacing w:after="0"/>
              <w:rPr>
                <w:sz w:val="3"/>
                <w:szCs w:val="3"/>
                <w:color w:val="auto"/>
              </w:rPr>
            </w:pPr>
          </w:p>
        </w:tc>
      </w:tr>
      <w:tr>
        <w:trPr>
          <w:trHeight w:val="194"/>
        </w:trPr>
        <w:tc>
          <w:tcPr>
            <w:tcW w:w="22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4"/>
                <w:szCs w:val="14"/>
                <w:color w:val="auto"/>
              </w:rPr>
              <w:t xml:space="preserve">Jonathan Landes </w:t>
            </w:r>
            <w:r>
              <w:rPr>
                <w:rFonts w:ascii="Arial" w:cs="Arial" w:eastAsia="Arial" w:hAnsi="Arial"/>
                <w:sz w:val="18"/>
                <w:szCs w:val="18"/>
                <w:color w:val="auto"/>
                <w:vertAlign w:val="superscript"/>
              </w:rPr>
              <w:t>(a)</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 Subsea (2020)</w:t>
            </w:r>
          </w:p>
        </w:tc>
      </w:tr>
      <w:tr>
        <w:trPr>
          <w:trHeight w:val="162"/>
        </w:trPr>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Vice President, Subsea Commercial (2017)</w:t>
            </w:r>
          </w:p>
        </w:tc>
      </w:tr>
      <w:tr>
        <w:trPr>
          <w:trHeight w:val="172"/>
        </w:trPr>
        <w:tc>
          <w:tcPr>
            <w:tcW w:w="2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 Subsea Projects North America (2017)</w:t>
            </w:r>
          </w:p>
        </w:tc>
      </w:tr>
      <w:tr>
        <w:trPr>
          <w:trHeight w:val="194"/>
        </w:trPr>
        <w:tc>
          <w:tcPr>
            <w:tcW w:w="2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Manager, Western Region Subsea (2015)</w:t>
            </w:r>
          </w:p>
        </w:tc>
      </w:tr>
      <w:tr>
        <w:trPr>
          <w:trHeight w:val="194"/>
        </w:trPr>
        <w:tc>
          <w:tcPr>
            <w:tcW w:w="224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Krisztina Doroghazi </w:t>
            </w:r>
            <w:r>
              <w:rPr>
                <w:rFonts w:ascii="Arial" w:cs="Arial" w:eastAsia="Arial" w:hAnsi="Arial"/>
                <w:sz w:val="18"/>
                <w:szCs w:val="18"/>
                <w:color w:val="auto"/>
                <w:vertAlign w:val="superscript"/>
              </w:rPr>
              <w:t>(b)</w:t>
            </w:r>
          </w:p>
        </w:tc>
        <w:tc>
          <w:tcPr>
            <w:tcW w:w="500" w:type="dxa"/>
            <w:vAlign w:val="bottom"/>
          </w:tcPr>
          <w:p>
            <w:pPr>
              <w:ind w:left="2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Senior Vice President, Controller, and Chief Accounting Officer (2018)</w:t>
            </w:r>
          </w:p>
        </w:tc>
      </w:tr>
      <w:tr>
        <w:trPr>
          <w:trHeight w:val="17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0" w:type="dxa"/>
            <w:vAlign w:val="bottom"/>
          </w:tcPr>
          <w:p>
            <w:pPr>
              <w:ind w:left="20"/>
              <w:spacing w:after="0"/>
              <w:rPr>
                <w:sz w:val="20"/>
                <w:szCs w:val="20"/>
                <w:color w:val="auto"/>
              </w:rPr>
            </w:pPr>
            <w:r>
              <w:rPr>
                <w:rFonts w:ascii="Arial" w:cs="Arial" w:eastAsia="Arial" w:hAnsi="Arial"/>
                <w:sz w:val="14"/>
                <w:szCs w:val="14"/>
                <w:color w:val="auto"/>
              </w:rPr>
              <w:t>Senior Vice President, Financing Planning and Reporting of MOL Group (2015)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Member of the Executive Leadership Team and a Rule 3b-7 executive officer and Section 16 officer under the Exchange Act.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Section 16 officer under the Exchange Act.</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 family relationships exist among any of the above-listed officers, and there are no arrangements or understandings between any of the above-listed officers and any other person pursuant to which they serve as an officer. During the past 10 years, none of the above-listed officers was involved in any legal proceedings as defined in Item 401(f) of Regulation S-K. All officers are appointed by the Board of Directors to hold office until their successors are appointed.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Important risk factors that could impact our ability to achieve our anticipated operating results and growth plan goals are presented below. The following risk factors should be read in conjunction with discussions of our business and the factors affecting our business located elsewhere in this Annual Report on Form 10-K and in our other filings with the SEC.</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Risk Factors</w:t>
      </w:r>
    </w:p>
    <w:p>
      <w:pPr>
        <w:spacing w:after="0" w:line="26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is a summary of some of the risks and uncertainties that could materially adversely affect our business, financial condition and results of operations. You should read this summary together with the more detailed description of each risk factor contained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74" w:lineRule="exact"/>
        <w:rPr>
          <w:sz w:val="20"/>
          <w:szCs w:val="20"/>
          <w:color w:val="auto"/>
        </w:rPr>
      </w:pPr>
    </w:p>
    <w:p>
      <w:pPr>
        <w:ind w:left="660" w:right="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our products and services depends on oil and gas industry activity and expenditure levels, which are directly affected by trends in the demand for and price of crude oil and natural gas.</w:t>
      </w:r>
    </w:p>
    <w:p>
      <w:pPr>
        <w:spacing w:after="0" w:line="224"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operate in a highly competitive environment and unanticipated changes relating to competitive factors in our industry, including ongoing industry consolidation, may impact our results of operations.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 depends on our ability to develop, implement, and protect new technologies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Cumulative loss of several major contracts, customers, or alliances may have an adverse effect on us.</w:t>
      </w:r>
    </w:p>
    <w:p>
      <w:pPr>
        <w:spacing w:after="0" w:line="252"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COVID-19 pandemic, the United Kingdom’s withdrawal from the European Union, disruptions in the political, regulatory, economic, and social conditions of the countries in which we conduct business, could adversely affect our business or results of operations.</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and Euroclear may cease to act as depository and clearing agencies for our shares.</w:t>
      </w:r>
    </w:p>
    <w:p>
      <w:pPr>
        <w:spacing w:after="0" w:line="252"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existing and future debt may limit cash flow available to invest in the ongoing needs of our business and could prevent us from fulfilling our obligations under our outstanding debt.</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downgrade in our debt rating could restrict our ability to access the capital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acquisition and divestiture activities involve substantial risks.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27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lose money on fixed-price contracts.</w:t>
      </w:r>
    </w:p>
    <w:p>
      <w:pPr>
        <w:spacing w:after="0" w:line="252"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capital asset construction projects for vessels and manufacturing facilities are subject to risks, including delays and cost overruns.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timely deliver our backlog could affect future sales, profitability, and customer relationships.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risks relating to our reliance on subcontractors, suppliers, and our joint venture partners.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failure of our IT infrastructure, including as a result of cyber-attacks, could adversely impact our business and results of operations.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Pirates endanger our maritime employees and assets.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Legal Proceedings, Tax, and Regulatory Matters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30" w:name="page31"/>
    <w:bookmarkEnd w:id="30"/>
    <w:p>
      <w:pPr>
        <w:ind w:left="660" w:hanging="328"/>
        <w:spacing w:after="0" w:line="29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industries in which we operate or have operated expose us to potential liabilities, including the installation or use of our products, which may not be covered by insurance or may be in excess of policy limits, or for which expected recoveries may not be realized.</w:t>
      </w:r>
    </w:p>
    <w:p>
      <w:pPr>
        <w:spacing w:after="0" w:line="200" w:lineRule="exact"/>
        <w:rPr>
          <w:rFonts w:ascii="Arial" w:cs="Arial" w:eastAsia="Arial" w:hAnsi="Arial"/>
          <w:sz w:val="17"/>
          <w:szCs w:val="17"/>
          <w:color w:val="auto"/>
        </w:rPr>
      </w:pPr>
    </w:p>
    <w:p>
      <w:pPr>
        <w:ind w:left="660" w:right="40" w:hanging="328"/>
        <w:spacing w:after="0" w:line="23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operations require us to comply with numerous laws and regulations, including those related to environmental protection and climate change, health and safety, privacy, data protection and data security, labor and employment, import/export controls, currency exchange, bribery and corruption, and taxation, violations of which could have a material adverse effect on our financial condition, results of operations, or cash flows.</w:t>
      </w:r>
    </w:p>
    <w:p>
      <w:pPr>
        <w:spacing w:after="0" w:line="231"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an English public limited company, we must meet certain additional financial requirements before we may declare dividends or repurchase shares and certain capital structure decisions may require stockholder approval which may limit our flexibility to manage our capital structure.</w:t>
      </w:r>
    </w:p>
    <w:p>
      <w:pPr>
        <w:spacing w:after="0" w:line="228"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Uninsured claims and litigation against us, including intellectual property litigation, could adversely impact our financial condition, results of operations, or cash flows.</w:t>
      </w:r>
    </w:p>
    <w:p>
      <w:pPr>
        <w:spacing w:after="0" w:line="224"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IRS may not agree that we should be treated as a foreign corporation for U.S. federal tax purposes and may seek to impose an excise tax on gains recognized by certain individuals;</w:t>
      </w:r>
    </w:p>
    <w:p>
      <w:pPr>
        <w:spacing w:after="0" w:line="224" w:lineRule="exact"/>
        <w:rPr>
          <w:rFonts w:ascii="Arial" w:cs="Arial" w:eastAsia="Arial" w:hAnsi="Arial"/>
          <w:sz w:val="18"/>
          <w:szCs w:val="18"/>
          <w:color w:val="auto"/>
        </w:rPr>
      </w:pPr>
    </w:p>
    <w:p>
      <w:pPr>
        <w:ind w:left="660" w:right="10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tax laws and/or guidance could also affect our ability to engage in certain acquisition strategies and certain internal restructurings.</w:t>
      </w:r>
    </w:p>
    <w:p>
      <w:pPr>
        <w:spacing w:after="0" w:line="224"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subject to the tax laws of numerous jurisdictions; challenges to the interpretation of, or future changes to, such laws could adversely affect us.</w:t>
      </w:r>
    </w:p>
    <w:p>
      <w:pPr>
        <w:spacing w:after="0" w:line="224"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intend to be treated exclusively as a resident of the United Kingdom for tax purposes, but French or other tax authorities may seek to treat us as a tax resident of another jurisdiction, and we may not qualify for benefits under tax treaties entered into between the United Kingdom and other countries.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Spin-off and the Related Transactions</w:t>
      </w:r>
    </w:p>
    <w:p>
      <w:pPr>
        <w:spacing w:after="0" w:line="27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Spin-off may subject us to future liabilities and may not achieve some or all of the anticipated benefits.</w:t>
      </w:r>
    </w:p>
    <w:p>
      <w:pPr>
        <w:spacing w:after="0" w:line="282"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are a significant shareholder of Technip Energies and the value of our investment in Technip Energies may fluctuate substantially and may result in a significant impact to our results of operations.</w:t>
      </w:r>
    </w:p>
    <w:p>
      <w:pPr>
        <w:spacing w:after="0" w:line="284" w:lineRule="exact"/>
        <w:rPr>
          <w:rFonts w:ascii="Arial" w:cs="Arial" w:eastAsia="Arial" w:hAnsi="Arial"/>
          <w:sz w:val="22"/>
          <w:szCs w:val="22"/>
          <w:color w:val="auto"/>
        </w:rPr>
      </w:pPr>
    </w:p>
    <w:p>
      <w:pPr>
        <w:ind w:left="660" w:right="220" w:hanging="328"/>
        <w:spacing w:after="0" w:line="22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may be required to refund the Purchase Price under the Share Purchase Agreement to BPI in the event that certain conditions thereunder are not met.</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27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businesses are dependent on the continuing services of our key managers and employees.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and weather conditions could adversely affect demand for our services and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exchange rate fluctuations could adversely affect our financial condition, results of operations, or cash flows.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exposed to risks in connection with our defined benefit pension plan commitments.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Demand for our products and services depends on oil and gas industry activity and expenditure levels, which are directly affected by trends in the demand for and price of crude oil and natural gas.</w:t>
      </w:r>
    </w:p>
    <w:p>
      <w:pPr>
        <w:sectPr>
          <w:pgSz w:w="11900" w:h="16838" w:orient="portrait"/>
          <w:cols w:equalWidth="0" w:num="1">
            <w:col w:w="11220"/>
          </w:cols>
          <w:pgMar w:left="320" w:top="9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31" w:name="page32"/>
    <w:bookmarkEnd w:id="31"/>
    <w:p>
      <w:pPr>
        <w:spacing w:after="0" w:line="252" w:lineRule="auto"/>
        <w:rPr>
          <w:sz w:val="20"/>
          <w:szCs w:val="20"/>
          <w:color w:val="auto"/>
        </w:rPr>
      </w:pPr>
      <w:r>
        <w:rPr>
          <w:rFonts w:ascii="Arial" w:cs="Arial" w:eastAsia="Arial" w:hAnsi="Arial"/>
          <w:sz w:val="18"/>
          <w:szCs w:val="18"/>
          <w:color w:val="auto"/>
        </w:rPr>
        <w:t>We are substantially dependent on conditions in the oil and gas industry, including (i) the level of exploration, development and production activity and (ii) capital spending.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 and are likely to continue to be volatile in the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prices of oil and natural gas include, but are not limited to, the following:</w:t>
      </w:r>
    </w:p>
    <w:p>
      <w:pPr>
        <w:spacing w:after="0" w:line="252" w:lineRule="exact"/>
        <w:rPr>
          <w:sz w:val="20"/>
          <w:szCs w:val="20"/>
          <w:color w:val="auto"/>
        </w:rPr>
      </w:pPr>
    </w:p>
    <w:p>
      <w:pPr>
        <w:ind w:left="660" w:right="30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for hydrocarbons, which is affected by worldwide population growth, economic growth rates, and general economic and business conditions, including reductions in travel and commerce relating to the COVID-19 pandemic;</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exploring for, producing, and delivering oil and natural gas;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252"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governmental laws, policies, regulations and subsidies related to or affecting the production, use, and exportation/importation of oil and natural gas;</w:t>
      </w:r>
    </w:p>
    <w:p>
      <w:pPr>
        <w:spacing w:after="0" w:line="224"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and the 10 other oil producing countries, including Russia, Mexico and Kazakhstan (“OPEC+”) to set and maintain production level for oil;</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oil refining and transportation capacity and shifts in end-customer preferences toward fuel efficiency and the use of natural gas;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252"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exploitation, relative price, and availability of alternative sources of energy and our customers’ shift of capital to the development of these sources;</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in, and access to, capital and credit markets, which may affect our customers’ activity levels, and spending for our products and services;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in investors’ interest in hydrocarbon producers because of environmental and sustainability initiatives;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5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The oil and natural gas market remains quite volatile, and price recovery and business activity levels are dependent on variables beyond our control, such as geopolitical stability, increasing attention to global climate change resulting in pressure upon shareholders, financial institutions and/or financial markets to modify their relationships with oil and gas companies and to limit investments and/or funding to such companies, increasing likelihood of governmental investigations and private litigation due to increasing attention to global climate change, OPEC+’s actions to regulate its production capacity, changes in demand patterns, and international sanctions and tariffs. Continued volatility or any future reduction in demand for oilfield services could further adversely affect our financial condition, results of operations, or cash flows.</w:t>
      </w:r>
    </w:p>
    <w:p>
      <w:pPr>
        <w:spacing w:after="0" w:line="21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We operate in a highly competitive environment and unanticipated changes relating to competitive factors in our industry, including ongoing industry consolidation, may impact our results of operations.</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compete on the basis of a number of different factors, such as product offerings, project execution, customer service, and price. In order to compete effectively we must develop and implement innovative technologies and</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32" w:name="page33"/>
    <w:bookmarkEnd w:id="32"/>
    <w:p>
      <w:pPr>
        <w:ind w:right="280"/>
        <w:spacing w:after="0" w:line="261" w:lineRule="auto"/>
        <w:rPr>
          <w:sz w:val="20"/>
          <w:szCs w:val="20"/>
          <w:color w:val="auto"/>
        </w:rPr>
      </w:pPr>
      <w:r>
        <w:rPr>
          <w:rFonts w:ascii="Arial" w:cs="Arial" w:eastAsia="Arial" w:hAnsi="Arial"/>
          <w:sz w:val="18"/>
          <w:szCs w:val="18"/>
          <w:color w:val="auto"/>
        </w:rPr>
        <w:t>processes, and execute our clients’ projects effectively. We can give no assurances that we will continue to be able to compete effectively with the products and services or prices offered by our competitors.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industry, including our customers and competitors, has experienced unanticipated changes in recent years. Moreover, the industry is undergoing consolidation to create economies of scale and control the value chain, which may affect demand for our products and services because of price concessions for our competitors or decreased customer capital spending. This consolidation activity could impact our ability to maintain market share, maintain or increase pricing for our products and services or negotiate favorable contract terms with our customers and suppliers, which could have a significant negative impact on our financial condition, results of operations or cash flows. We are unable to predict what effect consolidations and other competitive factors in the industry may have on prices, capital spending by our customers, our selling strategies, our competitive position, our ability to retain customers or our ability to negotiate favorable agreements with our customers.</w:t>
      </w:r>
    </w:p>
    <w:p>
      <w:pPr>
        <w:spacing w:after="0" w:line="19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The COVID-19 pandemic has significantly reduced demand for our products and services, and has had, and may continue to have, an adverse impact on our financial condition, results of operations, and cash flows.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COVID-19 pandemic, including actions taken by governments and businesses, has resulted in a significant reduction in global economic activity, including increased volatility in global oil and natural gas markets. Measures taken to address and limit the spread of the disease-such as stay-at-home orders, social distancing guidelines, and travel restrictions have adversely affected the economies and financial markets of many countries. The resulting disruption to our operations, communications, travel, and supply chain may continue or increase in the future, and could limit the ability of our employees, partners, or vendors to operate efficiently or at all, and has had, and is reasonably likely to continue to have, an adverse impact on our financial condition, operating results, and cash flows.</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Significant uncertainty remains as to the potential impact of the COVID-19 pandemic on our operations, and we are closely monitoring the effects of the pandemic on commodity demands and on our customers. These effects may include adverse revenue and net income effects; disruptions to our operations; potential project delays or cancellations; employee impacts from illness, school closures, and other community response measures, which may lead to disruptions and decreased productivity; and temporary closures of our facilities or the facilities of our customers and suppliers. Beginning in the first quarter of 2020, we have experienced operational impacts including supply chain disruptions, productivity declines and logistics constraints. We have also experienced incremental, direct costs as a result of COVID-19.</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COVID-19, and the volatile regional and global economic conditions stemming from the pandemic, could also aggravate the other risk factors discussed herein, including but not limited to risks related to the demand for oil and gas, which may not recover immediately. The full extent to which the COVID-19 pandemic will impact our results is unknown and evolving and will depend on various factors and consequences beyond our control, such as the severity, duration, and spread of COVID-19; the success of actions taken by governments and health organizations to combat the disease and treat its effects, including vaccine acceptance, distribution and effectiveness; decisions by our alliance partners and customers regarding their business plans and capital expenditures; and the extent to which, and the timing of, general economic and operating conditions recover.</w:t>
      </w:r>
    </w:p>
    <w:p>
      <w:pPr>
        <w:spacing w:after="0" w:line="200" w:lineRule="exact"/>
        <w:rPr>
          <w:sz w:val="20"/>
          <w:szCs w:val="20"/>
          <w:color w:val="auto"/>
        </w:rPr>
      </w:pPr>
    </w:p>
    <w:p>
      <w:pPr>
        <w:spacing w:after="0" w:line="25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Our success depends on our ability to develop, implement, and protect new technologies and services and the intellectual property related thereto.</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success depends on the ongoing development and implementation of new product designs, including the processes used by us to produce and market our products, and on our ability to protect and maintain critical intellectual property assets related to these developments. If we are not able to obtain patents, maintain trade secrets or obtain other protection of our intellectual property rights, if our patents are unenforceable or the claims allowed under our patents are not sufficient to protect our technology, or if we are not able to adequately protect our patents or trade secrets, we may not be able to continue to develop our services, products and related technologies. Additionally, our competitors may be able to independently develop technology that is similar to ours without infringing on our patents or gaining access to our trade secrets. If any of these events occurs, we may be unable to meet evolving industry requirements or do so at prices acceptable to our customers, which could adversely affect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3" w:name="page34"/>
    <w:bookmarkEnd w:id="33"/>
    <w:p>
      <w:pPr>
        <w:ind w:right="180"/>
        <w:spacing w:after="0" w:line="287" w:lineRule="auto"/>
        <w:rPr>
          <w:sz w:val="20"/>
          <w:szCs w:val="20"/>
          <w:color w:val="auto"/>
        </w:rPr>
      </w:pPr>
      <w:r>
        <w:rPr>
          <w:rFonts w:ascii="Arial" w:cs="Arial" w:eastAsia="Arial" w:hAnsi="Arial"/>
          <w:sz w:val="18"/>
          <w:szCs w:val="18"/>
          <w:b w:val="1"/>
          <w:bCs w:val="1"/>
          <w:i w:val="1"/>
          <w:iCs w:val="1"/>
          <w:color w:val="auto"/>
        </w:rPr>
        <w:t>Due to the types of contracts we enter into and the markets in which we operate, the cumulative loss of several major contracts, customers, or alliances may have an adverse effect on our results of operations.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often enter into large, long-term contracts that, collectively, represent a significant portion of our revenue. These agreements, if terminated or breached, may have a larger impact on our operating results or our financial condition than shorter-term contracts due to the value at risk. Moreover, the global market for the production, transportation, and transformation of hydrocarbons and by-products, as well as the other industrial markets in which we operate, is dominated by a small number of companies. As a result, our business relies on a limited number of customers. If we were to lose several key contracts, customers, or alliances over a relatively short period of time, we could experience a significant adverse impact on our financial condition, results of operations, or cash flows.</w:t>
      </w:r>
    </w:p>
    <w:p>
      <w:pPr>
        <w:spacing w:after="0" w:line="21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Disruptions in the political, regulatory, economic, and social conditions of the countries in which we conduct business could adversely affect our business or results of operations.</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operate in various countries across the world. Instability and unforeseen changes in any of the markets in which we conduct business, including economically and politically volatile areas could have an adverse effect on the demand for our services and products, our financial condition, or our results of operations. These factors include, but are not limited to, the following:</w:t>
      </w:r>
    </w:p>
    <w:p>
      <w:pPr>
        <w:spacing w:after="0" w:line="22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burdensome taxation;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inflationary and recessionary markets, including capital and equity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civil unrest, labor issues, political instability, disease outbreaks, terrorist attacks, cyber terrorism, military activity, and wars;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disruptions in key oil producing countries;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OPEC+ to set and maintain production levels and pricing;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restrictions, trade protection measures, price controls, or trade disputes;</w:t>
      </w:r>
    </w:p>
    <w:p>
      <w:pPr>
        <w:spacing w:after="0" w:line="252"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sanctions, such as prohibitions or restrictions by the United States against countries that are the targets of economic sanctions, or are designated as state sponsors of terrorism;</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52"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operations, trade practices, trade partners, and investment decisions resulting from domestic and foreign laws, and regulations;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regime changes;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and the administration of, treaties, laws, and regulations including in response to public health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repatriate income or capital;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the availability of qualified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or currency restrictions;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interest rate component of forward foreign currency rates.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and Euroclear may cease to act as depository and clearing agencies for our shares.</w:t>
      </w:r>
    </w:p>
    <w:p>
      <w:pPr>
        <w:sectPr>
          <w:pgSz w:w="11900" w:h="16838" w:orient="portrait"/>
          <w:cols w:equalWidth="0" w:num="1">
            <w:col w:w="11120"/>
          </w:cols>
          <w:pgMar w:left="320" w:top="88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86" w:right="459" w:bottom="1440" w:gutter="0" w:footer="0" w:header="0"/>
          <w:type w:val="continuous"/>
        </w:sectPr>
      </w:pPr>
    </w:p>
    <w:bookmarkStart w:id="34" w:name="page35"/>
    <w:bookmarkEnd w:id="34"/>
    <w:p>
      <w:pPr>
        <w:ind w:right="60"/>
        <w:spacing w:after="0" w:line="252" w:lineRule="auto"/>
        <w:rPr>
          <w:sz w:val="20"/>
          <w:szCs w:val="20"/>
          <w:color w:val="auto"/>
        </w:rPr>
      </w:pPr>
      <w:r>
        <w:rPr>
          <w:rFonts w:ascii="Arial" w:cs="Arial" w:eastAsia="Arial" w:hAnsi="Arial"/>
          <w:sz w:val="18"/>
          <w:szCs w:val="18"/>
          <w:color w:val="auto"/>
        </w:rPr>
        <w:t>Our shares were issued into the facilities of The Depository Trust Company (“DTC”) with respect to shares listed on the NYSE and Euroclear with respect to shares listed on Euronext Paris (DTC and Euroclear being referred to as the “Clearance Services”). The Clearance Services are widely used mechanisms that allow for rapid electronic transfers of securities between the participants in their respective systems, which include many large banks and brokerage firms. The Clearance Services have general discretion to cease to act as a depository and clearing agencies for our shares. If either of the Clearance Services determine at any time that our shares are not eligible for continued deposit and clearance within its facilities, then we believe that our shares would not be eligible for continued listing on the NYSE or Euronext Paris, as applicable, and trading in our shares would be disrupted. Any such disruption could have a material adverse effect on the trading price of our shares.</w:t>
      </w:r>
    </w:p>
    <w:p>
      <w:pPr>
        <w:spacing w:after="0" w:line="21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based in the United Kingdom and have operational headquarters in Paris, France; Houston, Texas, United States; and in London, United Kingdom, with worldwide operations, including material business operations in Europe. The United Kingdom withdrew from the European Union on January 31, 2020 (“Brexit”). In connection with Brexit, the United Kingdom and the European Union agreed on the Trade and Cooperation Agreement (“TCA”) that governs the future trading relationship between the United Kingdom and the European Union in specified areas. The TCA took effect on January 1, 2021. The United Kingdom is no longer in the European Union customs union and is outside of the European Union single market. The TCA addresses trade, economic arrangements, law enforcement, judicial cooperation and</w:t>
      </w:r>
    </w:p>
    <w:p>
      <w:pPr>
        <w:spacing w:after="0" w:line="16"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whether the terms of the relationship will differ materially from the terms before withdrawal.</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developments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there is a lack of clarity about the future United Kingdom laws and regulations as the United Kingdom determines which European Union laws to replicate or replace,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further decrease foreign direct investment in the United Kingdom. For example, any divergence in the United Kingdom from European Union law could eliminate the benefit of certain tax-related European Union directives currently applicable to United Kingdom companies such as us, including the Parent-Subsidiary Directive and the Interest and Royalties Directive, which could, subject to any relief under an available tax treaty, raise our tax cost.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have a material adverse effect on our business, financial condition, or results of operations.</w:t>
      </w:r>
    </w:p>
    <w:p>
      <w:pPr>
        <w:spacing w:after="0" w:line="23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substantial existing debt. As of December 31, 2020, our total debt was $4.0 billion. In addition, in connection with Spin-off, we obtained commitments from a syndicate of financial institutions for a senior secured revolving credit facility of up to $1.0 billion. We will also have the capacity under our debt agreements to incur substantial additional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level of debt could have important consequences. For example, it could:</w:t>
      </w:r>
    </w:p>
    <w:p>
      <w:pPr>
        <w:spacing w:after="0" w:line="23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52" w:lineRule="exact"/>
        <w:rPr>
          <w:rFonts w:ascii="Arial" w:cs="Arial" w:eastAsia="Arial" w:hAnsi="Arial"/>
          <w:sz w:val="18"/>
          <w:szCs w:val="18"/>
          <w:color w:val="auto"/>
        </w:rPr>
      </w:pPr>
    </w:p>
    <w:p>
      <w:pPr>
        <w:ind w:left="660" w:right="160" w:hanging="328"/>
        <w:spacing w:after="0" w:line="291"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the payment of debt service, reducing the availability of our cash flow to fund working capital, capital expenditures, acquisitions, distributions, and other general partnership purposes;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react to changes in our business;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5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Additionally, any failure to meet required payments on our debt or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 Such default could also trigger a cross default or our other debt.</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London Interbank Offered Rate (“LIBOR”), the Euro Interbank Offered Rate and certain other interest “benchmarks” may be subject to further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the continuation of LIBOR on the current basis cannot and will not be guaranteed after 2021 and it is unclear if LIBOR will cease to exist or if new methods of calculating LIBOR will evolve. If LIBOR ceases to exist or if the methods of calculating LIBOR change from their current form, interest rates on our current or future debt obligations may be adversely affected.</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The terms of the agreements governing our existing indebtedness restrict our current and future operations, particularly our ability to respond to changes or to take certain actions.</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terms of the agreements governing our indebtedness contain a number of restrictive covenants that limit our flexibility in conducting our business and restrict our ability to take specific actions, including (subject to various exceptions) restrictions on incurring indebtedness, paying dividends, making certain loans and investments, selling assets or incurring liens which may limit our ability to compete effectively, or to take advantage of new business opportunities. In addition, the restrictive covenants in the credit agreement, dated February 16, 2021, that governs our $1,000,000,000 three-year senior secured multicurrency revolving credit facility (the “Revolving Credit Facility”) require us to maintain specified financial ratios and satisfy other financial condition tests.</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breach of the covenants or restrictions under our existing indebtedness could result in an event of default under the applicable indebtedness. Such default may allow the creditors to accelerate the related debt and may result in the acceleration of any other debt to which a cross-acceleration or cross-default provision applies. An event of default under our Revolving Credit Facility would also permit the lenders to terminate all commitments to extend further credit under that facility. Furthermore, if we were unable to repay the amounts due and payable under our Revolving Credit Facility, lenders thereunder could proceed against the collateral granted to them to secure that indebtedness. In the event our lenders or noteholders accelerate the repayment of our borrowings, we and our subsidiaries may not have sufficient assets to repay that indebtedness.</w:t>
      </w:r>
    </w:p>
    <w:p>
      <w:pPr>
        <w:spacing w:after="0" w:line="234"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color w:val="auto"/>
        </w:rPr>
        <w:t>These restrictions may affect our ability to grow in accordance with our strategy. In addition, our financial results, our substantial indebtedness and our credit ratings could adversely affect the availability and terms of our financing.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and divestiture activities involve substantial risks.</w:t>
      </w:r>
    </w:p>
    <w:p>
      <w:pPr>
        <w:spacing w:after="0" w:line="26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made and expect to continue to pursue acquisitions, dispositions, or other investments that may strategically fit our business and/or growth objectives. We cannot provide assurances that we will be able to locate suitable acquisitions, dispositions, or investments, or that we will be able to consummate any such transactions on terms and conditions acceptable to us. Even if we do successfully execute such transactions, they may not result in anticipated benefits, which could have a material adverse effect on our financial results. If we are unable to successfully integrate and develop acquired businesses, we could fail to achieve anticipated synergies and cost savings, including any expected increases in revenues and operating results. We may not be able to successfully cause a buyer of a divested business to assume the liabilities of that business or, even if such liabilities are assumed, we may have difficulties enforcing our rights, contractual or otherwise, against the buyer. We may invest in companies or businesses that fail, causing a loss of all or part of our investment. In addition, if we determine that an other-than-temporary decline in the fair value exists for a company in which we have invested, we may have to write down that investment to its fair value and recognize the related write-down as an investment loss.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ind w:right="200"/>
        <w:spacing w:after="0" w:line="254" w:lineRule="auto"/>
        <w:rPr>
          <w:sz w:val="20"/>
          <w:szCs w:val="20"/>
          <w:color w:val="auto"/>
        </w:rPr>
      </w:pPr>
      <w:r>
        <w:rPr>
          <w:rFonts w:ascii="Arial" w:cs="Arial" w:eastAsia="Arial" w:hAnsi="Arial"/>
          <w:sz w:val="18"/>
          <w:szCs w:val="18"/>
          <w:color w:val="auto"/>
        </w:rPr>
        <w:t>In connection with the Spin-off, we agreed to indemnify Technip Energies for certain liabilities and Technip Energies agreed to indemnify us for certain liabilities. If we are required to act on these indemnities to Technip Energies, our financial results could be negatively impacted. Additionally, any indemnity from Technip Energies may not be sufficient to insure us against the full amount of liabilities for which we are responsible and Technip Energies may not be able to satisfy its indemnification obligations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money on fixed-price contracts.</w:t>
      </w:r>
    </w:p>
    <w:p>
      <w:pPr>
        <w:spacing w:after="0" w:line="2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customary for some of our projects, we often agree to provide products and services under fixed-price contracts. We are subject to material risks in connection with such fixed-price contracts. It is not possible to estimate with complete certainty the final cost or margin of a project at the time of bidding or during the early phases of its execution. Actual expenses incurred in executing these fixed-price contracts can vary substantially from those originally anticipated for several reasons including, but not limited to, the following:</w:t>
      </w:r>
    </w:p>
    <w:p>
      <w:pPr>
        <w:spacing w:after="0" w:line="231" w:lineRule="exact"/>
        <w:rPr>
          <w:sz w:val="20"/>
          <w:szCs w:val="20"/>
          <w:color w:val="auto"/>
        </w:rPr>
      </w:pPr>
    </w:p>
    <w:p>
      <w:pPr>
        <w:ind w:left="660" w:right="1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additional costs related to the purchase of substantial equipment necessary for contract fulfillment or labor shortages in the markets where the contracts are performed;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mechanical failure of our production equipment and machinery;</w:t>
      </w:r>
    </w:p>
    <w:p>
      <w:pPr>
        <w:spacing w:after="0" w:line="252"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caused by local weather conditions and/or natural disasters (including earthquakes, floods and public health crises such as the COVID-19 pandemic);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failure of suppliers, subcontractors, or joint venture partners to perform their contractual obligations.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realization of any material risks and unforeseen circumstances could also lead to delays in the execution schedule of a project. We may be held liable to a customer should we fail to meet project milestones or deadlines or to comply with other contractual provisions. Additionally, delays in certain projects could lead to delays in subsequent projects that were scheduled to use equipment and machinery still being utilized on a delayed project.</w:t>
      </w:r>
    </w:p>
    <w:p>
      <w:pPr>
        <w:spacing w:after="0" w:line="23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Pursuant to the terms of fixed-price contracts, we are not always able to increase the price of the contract to reflect factors that were unforeseen at the time our bid was submitted, and this risk may be heightened for projects with longer terms. Depending on the size of a project, variations from estimated contract performance, or variations in multiple contracts, could have a significant impact on our financial condition, results of operations or cash flows.</w:t>
      </w:r>
    </w:p>
    <w:p>
      <w:pPr>
        <w:spacing w:after="0" w:line="20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New capital asset construction projects for vessels and manufacturing facilities are subject to risks, including delays and cost overruns, which could have a material adverse effect on our financial condition, or results of operations.</w:t>
      </w:r>
    </w:p>
    <w:p>
      <w:pPr>
        <w:spacing w:after="0" w:line="20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From time to time, we carry out capital asset construction projects to maintain, upgrade, and develop our asset base, and such projects are subject to risks of delay and cost overruns that are inherent in any large construction project, resulting from numerous factors including, but not limited to, the following:</w:t>
      </w:r>
    </w:p>
    <w:p>
      <w:pPr>
        <w:spacing w:after="0" w:line="22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delivery of ordered materials and equipment;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and engineering issues;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shipyard delays and performance issues.</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Failure to complete construction in time, or the inability to complete construction in accordance with design specifications, may result in the loss of revenue. Additionally, capital expenditures for construction projects could materially exceed the initially planned investments, or there could be delays in putting such assets into operation.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timely deliver our backlog could affect future sales, profitability, and relationships with our customers.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7" w:name="page38"/>
    <w:bookmarkEnd w:id="37"/>
    <w:p>
      <w:pPr>
        <w:ind w:right="60"/>
        <w:spacing w:after="0" w:line="252" w:lineRule="auto"/>
        <w:rPr>
          <w:sz w:val="20"/>
          <w:szCs w:val="20"/>
          <w:color w:val="auto"/>
        </w:rPr>
      </w:pPr>
      <w:r>
        <w:rPr>
          <w:rFonts w:ascii="Arial" w:cs="Arial" w:eastAsia="Arial" w:hAnsi="Arial"/>
          <w:sz w:val="18"/>
          <w:szCs w:val="18"/>
          <w:color w:val="auto"/>
        </w:rPr>
        <w:t>Many of the contracts we enter into with our customers require long manufacturing lead times due to complex technical and logistical requirements. These contracts may contain clauses related to liquidated damages or financial incentives regarding on-time delivery, and a failure by us to deliver in accordance with customer expectations could subject us to liquidated damages or loss of financial incentives, reduce our margins on these contracts, or result in damage to existing customer relationships. The ability to meet customer delivery schedules for this backlog is dependent upon a number of factors, including, but not limited to, access to the raw materials required for production, an adequately trained and capable workforce, subcontractor performance, project engineering expertise and execution, sufficient manufacturing plant capacity, and appropriate planning and scheduling of manufacturing resources. Failure to deliver backlog in accordance with expectations could negatively impact our financial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our reliance on subcontractors, suppliers, and our joint venture partners.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generally rely on subcontractors, suppliers, and our joint venture partners for the performance of our contracts. Although we are not dependent upon any single supplier, certain geographic areas of our business or a project or group of projects may depend heavily on certain suppliers for raw materials or semi-finished goods.</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Any difficulty in engaging suitable subcontractors or acquiring equipment and materials could compromise our ability to generate a significant margin on a project or to complete such project within the allocated time frame. If subcontractors, suppliers or joint venture partners refuse to adhere to their contractual obligations with us or are unable to do so due to a deterioration of their financial condition, we may be unable to find a suitable replacement at a comparable price, or at all. Moreover, the failure of one of our joint venture partners to perform their obligations in a timely and satisfactory manner could lead to additional obligations and costs being imposed on us as we may be obligated to assume our defaulting partner’s obligations or compensate our customers.</w:t>
      </w:r>
    </w:p>
    <w:p>
      <w:pPr>
        <w:spacing w:after="0" w:line="2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Any delay, failure to meet contractual obligations, or other event beyond our control or not foreseeable by us, that is attributable to a subcontractor, supplier or joint venture partner, could lead to delays in the overall progress of the project and/or generate significant extra costs. Even if we are entitled to make a claim for these extra costs against the defaulting supplier, subcontractor or joint venture partner, we may be unable to recover the entirety of these costs and this could materially adversely affect our business, financial condition or results of operations.</w:t>
      </w:r>
    </w:p>
    <w:p>
      <w:pPr>
        <w:spacing w:after="0" w:line="210"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A failure of our IT infrastructure, including as a result of cyber-attacks, could adversely impact our business and results of operations.</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efficient operation of our business is dependent on our IT systems. Accordingly, we rely upon the capacity, reliability, and security of our IT hardware and software infrastructure and our ability to expand and update this infrastructure in response to changing needs. We have been subject to cyber-attacks in the past, including phishing, malware, and ransomware. No such attack has had a material adverse effect on our business, however this may not be the case with future attacks. Our systems may be vulnerable to damages from such attacks, as well as from natural disasters, failures in hardware or software, power fluctuations, unauthorized access to data and systems, loss or destruction of data (including confidential customer information), human error, and other similar disruptions, and we cannot give assurance that any security measures we have implemented or may in the future implement will be sufficient to identify and prevent or mitigate such disruptions. In response to the COVID-19 pandemic, we have transitioned many of our employees to remote working arrangements which presents increased cybersecurity risks. If a cyber-attack, power outage, connectivity issue, or other event occurred that impacted our employees’ ability to work remotely, it may be difficult or, in certain cases, impossible, for us to continue our business for a substantial period of time.</w:t>
      </w:r>
    </w:p>
    <w:p>
      <w:pPr>
        <w:spacing w:after="0" w:line="22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rely on third parties to support the operation of our IT hardware, software infrastructure, and cloud services, and in certain instances, utilize web-based and software-as-a-service applications. The security and privacy measures implemented by such third parties, as well as the measures implemented by any entities we acquire or with whom we do business, may not be sufficient to identify or prevent cyber-attacks, and any such attacks may have a material adverse effect on our business. While our IT vendor agreements typically contain provisions that seek to eliminate or limit our exposure to liability for damages from a cyber attack, we cannot ensure such provisions will withstand legal challenges or cover all or any such damages.</w:t>
      </w:r>
    </w:p>
    <w:p>
      <w:pPr>
        <w:spacing w:after="0" w:line="23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Threats to our IT systems arise from numerous sources, not all of which are within our control, including fraud or malice on the part of third parties, accidental technological failure, electrical or telecommunication outages, failures of computer servers or other damage to our property or assets, outbreaks of hostilities, or terrorist acts. The failure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right="120"/>
        <w:spacing w:after="0" w:line="251" w:lineRule="auto"/>
        <w:rPr>
          <w:sz w:val="20"/>
          <w:szCs w:val="20"/>
          <w:color w:val="auto"/>
        </w:rPr>
      </w:pPr>
      <w:r>
        <w:rPr>
          <w:rFonts w:ascii="Arial" w:cs="Arial" w:eastAsia="Arial" w:hAnsi="Arial"/>
          <w:sz w:val="18"/>
          <w:szCs w:val="18"/>
          <w:color w:val="auto"/>
        </w:rPr>
        <w:t>of our IT systems or those of our vendors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including personal data, regulatory action and fines included for a breach of data protection laws, reputational harm, regulatory fines or investigations, increased overhead costs, and loss of important information, which could have a material adverse effect on our business and results of operations. In addition, we may be required to incur significant costs to protect against or to mitigate damage caused by these disruptions or security breaches in the future. Our insurance coverage may not cover all of the costs and liabilities we incur as the result of any disruptions or security breaches, and if our business continuity and/or disaster recovery plans do not effectively and timely resolve issues resulting from a cyber-attack, we may suffer material adverse effects on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Pirates endanger our maritime employees and assets.</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face material piracy risks in the Gulf of Guinea, the Somali Basin, and the Gulf of Aden, and, to a lesser extent, in Southeast Asia, Malacca, and the Singapore Straits. Piracy represents a risk for both our projects and our vessels, which operate and transport through sensitive maritime areas. Such risks have the potential to significantly harm our crews and to negatively impact the execution schedule for our projects. If our maritime employees or assets are endangered, additional time may be required to find an alternative solution, which may delay project realization and negatively impact our business, financial condition, or results of operations.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Proceedings, Tax, and Regulatory Matters</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industries in which we operate or have operated expose us to potential liabilities, including the installation or use of our products, which may not be covered by insurance or may be in excess of policy limits, or for which expected recoveries may not be realized.</w:t>
      </w:r>
    </w:p>
    <w:p>
      <w:pPr>
        <w:spacing w:after="0" w:line="22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are subject to potential liabilities arising from, among other possibilities, equipment malfunctions, equipment misuse, personal injuries, and natural disasters, any of which may result in hazardous situations, including uncontrollable flows of gas or well fluids, fires, and explosions. Our insurance against these risks may not be adequate to cover our liabilities. Further, the insurance may not generally be available in the future or, if available, premiums may not be commercially justifiable. If we incur substantial liability and the damages are not covered by insurance or are in excess of policy limits, or if we were to incur liability at a time when we were not able to obtain liability insurance, such potential liabilities could have a material adverse effect on our business, results of operations, financial condition or cash flows.</w:t>
      </w:r>
    </w:p>
    <w:p>
      <w:pPr>
        <w:spacing w:after="0" w:line="21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operations require us to comply with numerous regulations, violations of which could have a material adverse effect on our financial condition, results of operations, or cash flows.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operations and manufacturing activities are governed by international, regional, transnational, and national laws and regulations in every place where we operate relating to matters such as environmental protection, health and safety, labor and employment, import/export controls, currency exchange, bribery and corruption, and taxation. These laws and regulations are complex, frequently change, and have tended to become more stringent over time. In the event the scope of these laws and regulations expand in the future, the incremental cost of compliance could adversely impact our financial condition, results of operations, or cash flows.</w:t>
      </w:r>
    </w:p>
    <w:p>
      <w:pPr>
        <w:spacing w:after="0" w:line="23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international operations are subject to anti-corruption laws and regulations, such as the U.S. Foreign Corrupt Practices Act (“FCPA”), the U.K. Bribery Act of 2010 (the “Bribery Act”), the anti-corruption provisions of French law n° 2016-1691 dated December 9, 2016 relating to Transparency, Anti-corruption and Modernization of the Business Practice (“Sapin II Law”), the Brazilian law nº 12,846/13, or the Brazilian Anti-Bribery Act (also known as the Brazilian Clean Company Act), and economic and trade sanctions, including those administered by the United Nations, the European Union, the Office of Foreign Assets Control of the U.S. Department of the Treasury (“U.S. Treasury”), and the U.S. Department of State. The FCPA prohibits corruptly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our transactions or dealings with certain sanctioned countries, territories, and designated persons.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right="20"/>
        <w:spacing w:after="0" w:line="251" w:lineRule="auto"/>
        <w:rPr>
          <w:sz w:val="20"/>
          <w:szCs w:val="20"/>
          <w:color w:val="auto"/>
        </w:rPr>
      </w:pPr>
      <w:r>
        <w:rPr>
          <w:rFonts w:ascii="Arial" w:cs="Arial" w:eastAsia="Arial" w:hAnsi="Arial"/>
          <w:sz w:val="18"/>
          <w:szCs w:val="18"/>
          <w:color w:val="auto"/>
        </w:rPr>
        <w:t>As a result of doing business in countries throughout the world, including through partners and agents, we are exposed to a risk of violating anti-corruption laws and sanctions regulations. Some of the international locations in which we currently operate or may, in the future, operate, have developing legal systems and may have higher levels of corruption than more developed nations. Our continued expansion and worldwide operations, including in developing countries, our development of joint venture relationships worldwide, and the employment of local agents in the countries in which we operate increases the risk of violations of anti-corruption laws and economic and trade sanctions. Violations of anti-corruption laws and economic and trade sanctions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implemented internal controls designed to minimize and detect potential violations of laws and regulations in a timely manner but we can provide no assurance that such policies and procedures will be followed at all times or will effectively detect and prevent violations of the applicable laws by one or more of our employees, consultants, agents, or partners. The occurrence of any such violation could subject us to penalties and material adverse consequences on our business, financial condition, results of operations, or cash flows.</w:t>
      </w:r>
    </w:p>
    <w:p>
      <w:pPr>
        <w:spacing w:after="0" w:line="20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Compliance with environmental and climate change-related laws and regulations may adversely affect our business and results of operations.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Environmental laws and regulations in various countries affect the equipment, systems, and services we design, market, and sell, as well as the facilities where we manufacture our equipment and systems, and any other operations we undertake.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the issuance of orders enjoining our operations, or other claims and complaints. Additionally, our insurance and compliance costs may increase as a result of changes in environmental laws and regulations or changes in enforcement. These laws and regulations, as well as any new laws and regulations affecting exploration and development of drilling for crude oil and natural gas, are becoming increasingly strict and could adversely affect our business and operating results by increasing our costs, limiting the demand for our products and services, or restricting our operations.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Regulatory requirements related to Environmental, Social and Governance (ESG) (including sustainability) matters have been, and are being, implemented in the European Union in particular in relation to financial market participants. Such regulatory requirements are being implemented on a phased basis. We expect regulatory requirements related to, and investor focus on, ESG (including sustainability) matters to continue to expand in the EU, the United States, and more globally. We establish ESG objectives that align with our foundational beliefs and corporate strategy with an aim toward reducing our carbon footprint, raising awareness and making advancements in inclusion and diversity. If, in relation to ESG (including sustainability) matters, we are not able to meet current and future regulatory requirements, the reporting requirements of regulators, or the current and future expectations of investors, customers or other stakeholders, our business and ability to raise capital may be adversely affected.</w:t>
      </w:r>
    </w:p>
    <w:p>
      <w:pPr>
        <w:spacing w:after="0" w:line="210"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Existing or future laws and regulations relating to greenhouse gas emissions and climate change may adversely affect our business.</w:t>
      </w:r>
    </w:p>
    <w:p>
      <w:pPr>
        <w:spacing w:after="0" w:line="20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Climate change continues to attract considerable public and scientific attention. As a result, numerous laws, regulations, and proposals have been made and are likely to continue to be made at the international, national, regional, and state levels of government to monitor and limit emissions of carbon dioxide, methane, and other “greenhouse gases” (“GHGs”). These efforts have included cap-and-trade programs, carbon taxes, GHG reporting and tracking programs and regulations that directly limit GHG emissions from certain sources. Such existing or future laws, regulations, and proposals concerning the release of GHGs or that concern climate change (including laws, regulations, and proposals that seek to mitigate the effects of climate change) may adversely impact demand for the equipment, systems and services we design, market and sell. For example, oil and natural gas exploration and production may decline as a result of such laws, regulations, and proposals, and as a consequence, demand for our equipment, systems and services may also decline. In addition, such laws, regulations, and proposals may also result in more onerous obligations with respect to our operations, including the facilities where we manufacture our equipment and systems. Such decline in demand for our equipment, systems and services and such onerous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obligations in respect of our operations may adversely affect our financial condition, results of operations, or cash flows.</w:t>
      </w:r>
    </w:p>
    <w:p>
      <w:pPr>
        <w:spacing w:after="0" w:line="23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As an English public limited company, we must meet certain additional financial requirements before we may declare dividends or repurchase shares and certain capital structure decisions may require stockholder approval which may limit our flexibility to manage our capital structure. We may not be able to pay dividends or repurchase shares of our ordinary shares in accordance with our announced intent, or at all.</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as a public limited company incorporated in England and Wales, we may only make a distribution if the amount of our net assets is not less than the aggregate of our called-up share capital and non-distributable reserves and to the extent that the distribution does not reduce the amount of those assets to less than that aggregate.</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articles of association permit us by ordinary resolution of the stockholders to declare dividends, provided that the directors have made a recommendation as to its amount. The dividend shall not exceed the amount recommended by the Board of Directors. The directors may also decide to pay interim dividends if it appears to them that the profits available for distribution justify the payment. When recommending or declaring payment of a dividend, the directors are required under English law to comply with their duties, including considering our future financial requirements.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 Board of Directors’ determinations regarding dividends and share repurchases will depend on a variety of other factors, including our net income, cash flow generated from operations or other sources, liquidity position, and potential alternative uses of cash, such as acquisitions, as well as economic conditions and expected future financial results. Our ability to declare and pay future dividends and make future share repurchases will depend on our future financial performance, which in turn depends on the successful implementation of our strategy and on financial, competitive, regulatory, technical, general economic conditions, demand and selling prices for our products and services, and other factors specific to our industry or specific projects, many of which are beyond our control. Therefore, our ability to generate cash depends on the performance of our operations and could be limited by decreases in our profitability or increases in costs, regulatory changes, capital expenditures, or debt servicing requirements.</w:t>
      </w:r>
    </w:p>
    <w:p>
      <w:pPr>
        <w:spacing w:after="0" w:line="2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Any failure to pay dividends or repurchase shares of our ordinary shares could negatively impact our reputation, harm investor confidence in us, and cause the market price of our ordinary shares to decline.</w:t>
      </w:r>
    </w:p>
    <w:p>
      <w:pPr>
        <w:spacing w:after="0" w:line="2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Uninsured claims and litigation against us, including intellectual property litigation, could adversely impact our financial condition, results of operations, or cash flows.</w:t>
      </w:r>
    </w:p>
    <w:p>
      <w:pPr>
        <w:spacing w:after="0" w:line="20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could be impacted by the outcome of pending litigation, as well as unexpected litigation or proceedings. We have insurance coverage against operating hazards, including product liability claims and personal injury claims related to our products or operating environments in which our employees operate, to the extent deemed prudent by our management and to the extent insurance is available. However, our insurance policies are subject to exclusions, limitations, and other conditions and may not apply in all cases, for example where willful wrongdoing on our part is alleged. Additionally, the nature and amount of that insurance may not be sufficient to fully indemnify us against liabilities arising out of pending and future claims and litigation. Additionally, in individual circumstances, certain proceedings or cases may also lead to our formal or informal exclusion from tenders or the revocation or loss of business licenses or permits. Our financial condition, results of operations, or cash flows could be adversely affected by unexpected claims not covered by insurance.</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the tools, techniques, methodologies, programs, and components we use to provide our services may infringe upon the intellectual property rights of others. Infringement claims generally result in significant legal and other costs. The resolution of these claims could require us to pay damages, enter into license agreements or develop alternative technologies. The development of these technologies or the payment of royalties under licenses from third parties, if available, would increase our costs. If a license were not available, or we are not able to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right="100"/>
        <w:spacing w:after="0" w:line="261" w:lineRule="auto"/>
        <w:rPr>
          <w:sz w:val="20"/>
          <w:szCs w:val="20"/>
          <w:color w:val="auto"/>
        </w:rPr>
      </w:pPr>
      <w:r>
        <w:rPr>
          <w:rFonts w:ascii="Arial" w:cs="Arial" w:eastAsia="Arial" w:hAnsi="Arial"/>
          <w:sz w:val="18"/>
          <w:szCs w:val="18"/>
          <w:color w:val="auto"/>
        </w:rPr>
        <w:t>develop alternative technologies, we might not be able to continue providing a particular service or product, which could adversely affect our financial condition, results of operations, or cash flows.</w:t>
      </w:r>
    </w:p>
    <w:p>
      <w:pPr>
        <w:spacing w:after="0" w:line="2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are subject to international data protection laws, such as the General Data Protection Regulation, or GDPR, in the European Economic Area, or EEA, and the United Kingdom (“UK”) GDPR and Data Protection Act 2018 in the UK. The GDPR and implementing legislation in the EEA and UK impose several stringent requirements for controllers and processors of personal data which have increased our obligations, including, for example, by requiring more robust disclosures to individuals, notifications, in some cases, of data breaches to regulators and data subjects, and a record of processing and other policies and procedures to be maintained to adhere to the accountability principle. In addition, we are subject to the GDPR’s rules on transferring personal data outside of the EEA and UK (including to the United States), and recent legal developments in Europe have created complexity and uncertainty regarding such transfers. In addition, the UK’s withdrawal from the European Union may mean that in future we are required to find alternative solutions for the compliant transfer of personal data into the UK.</w:t>
      </w:r>
    </w:p>
    <w:p>
      <w:pPr>
        <w:spacing w:after="0" w:line="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Failure to comply with the requirements of GDPR and the local laws implementing or supplementing the GDPR could result in fines of up to €20,000,000 or up to 4% of the total worldwide annual turnover of the preceding financial year, whichever is higher, as well as other administrative penalties. The UK GDPR mirrors the fines under the GDPR. In addition, a breach of the GDPR or UK GDPR could result in regulatory investigations and enforcement action, reputational damage, and civil claims including representative actions and other class action type litigation.</w:t>
      </w:r>
    </w:p>
    <w:p>
      <w:pPr>
        <w:spacing w:after="0" w:line="2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likely to be required to expend significant capital and other resources to ensure ongoing compliance with the GDPR and UK GDPR and other applicable data protection legislation, and we may be required to put in place additional control mechanisms which could be onerous and adversely affect our business, financial condition, results of operations, or cash flows.</w:t>
      </w:r>
    </w:p>
    <w:p>
      <w:pPr>
        <w:spacing w:after="0" w:line="20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The IRS may not agree that we should be treated as a foreign corporation for U.S. federal tax purposes and may seek to impose an excise tax on gains recognized by certain individuals.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are incorporated in the United Kingdom, the U.S. Internal Revenue Service (the “IRS”) may assert that we should be treated as a U.S. “domestic” corporation (and, therefore, a U.S. tax resident) for U.S. federal income tax purposes pursuant to Section 7874 of the U.S. Internal Revenue Code of 1986, as amended (the “Code”). For U.S. federal income tax purposes, a corporation (i) is generally considered a “domestic” corporation (or U.S. tax resident) if it is organized in the United States or of any state or political subdivision therein, and (ii) is generally considered a “foreign” corporation (or non-U.S. tax resident) if it is not considered a domestic corporation. Because we are a U.K. incorporated entity, we would be considered a foreign corporation (and, therefore, a non-U.S. tax resident) under these rules. Section 7874 of the Code (“Section 7874”) provides an exception under which a foreign incorporated entity may, in certain circumstances, be treated as a domestic corporation for U.S. federal income tax purposes.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believe this exception applies. However, the Section 7874 rules are complex and subject to detailed regulations, the application of which is uncertain in various respects. It is possible that the IRS will not agree with our position. Should the IRS successfully challenge our position, it is also possible that an excise tax under Section 4985 of the Code (the “Section 4985 Excise Tax”) may be assessed against certain “disqualified individuals” (including former officers and directors of FMC Technologies, Inc.) on certain stock-based compensation held thereby. We may, if we determine that it is appropriate, provide disqualified individuals with a payment with respect to the Section 4985 Excise Tax, so that, on a net after-tax basis, they would be in the same position as if no such Section 4985 Excise Tax had been applied.</w:t>
      </w:r>
    </w:p>
    <w:p>
      <w:pPr>
        <w:spacing w:after="0" w:line="23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addition, there can be no assurance that there will not be a change in law or interpretation, including with retroactive effect, that might cause us to be treated as a domestic corporation for U.S. federal income tax purposes.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laws and/or guidance could affect our ability to engage in certain acquisition strategies and certain internal restructurings.</w:t>
      </w:r>
    </w:p>
    <w:p>
      <w:pPr>
        <w:spacing w:after="0" w:line="27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Even if we are treated as a foreign corporation for U.S. federal income tax purposes, Section 7874, U.S. Treasury regulations, and other guidance promulgated thereunder may adversely affect our ability to engage in certain future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2" w:name="page43"/>
    <w:bookmarkEnd w:id="42"/>
    <w:p>
      <w:pPr>
        <w:ind w:right="520"/>
        <w:spacing w:after="0" w:line="261" w:lineRule="auto"/>
        <w:rPr>
          <w:sz w:val="20"/>
          <w:szCs w:val="20"/>
          <w:color w:val="auto"/>
        </w:rPr>
      </w:pPr>
      <w:r>
        <w:rPr>
          <w:rFonts w:ascii="Arial" w:cs="Arial" w:eastAsia="Arial" w:hAnsi="Arial"/>
          <w:sz w:val="18"/>
          <w:szCs w:val="18"/>
          <w:color w:val="auto"/>
        </w:rPr>
        <w:t>acquisitions of U.S. businesses or to restructure the non-U.S. members of our group. These limitations, if applicable, may affect the tax efficiencies that otherwise might be achieved in such potential future transactions or restructurings.</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the IRS and the U.S. Treasury have issued final and temporary regulations providing that, even if we are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Although recent guidance from the U.S. Treasury removes certain documentation requirements that would otherwise be imposed with respect to covered debt instruments, announces an intention to further modify and possibly withdraw certain classification rules relating to covered debt instruments, and further indicates that these rules generally are the subject of continuing study and may be further materially modified, the current regulations may adversely affect our future effective tax rate and could also impact our ability to engage in future restructurings if such transactions cause an existing intercompany debt instrument to be treated as reissued for U.S. federal income tax purposes.</w:t>
      </w:r>
    </w:p>
    <w:p>
      <w:pPr>
        <w:spacing w:after="0" w:line="21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are subject to the tax laws of numerous jurisdictions; challenges to the interpretation of, or future changes to, such laws could adversely affect us.</w:t>
      </w:r>
    </w:p>
    <w:p>
      <w:pPr>
        <w:spacing w:after="0" w:line="20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and our subsidiaries are subject to tax laws and regulations in the United Kingdom, the United States, France, and numerous other jurisdictions in which we and our subsidiaries operate. These laws and regulations are inherently complex, and we are, and will continue to be, obligated to make judgments and interpretations about the application of these laws and regulations to our operations and businesses. The interpretation and application of these laws and regulations could be challenged by the relevant governmental authorities, which could result in administrative or judicial procedures, actions, or sanctions, which could be material.</w:t>
      </w:r>
    </w:p>
    <w:p>
      <w:pPr>
        <w:spacing w:after="0" w:line="23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On December 22, 2017, the Tax Cuts and Jobs Act was signed into law in the United States, which made extensive changes to the U.S. taxation of multinational companies, and is subject to continuing regulatory and possible legislative changes, especially given the new Administration and Congress in the United States. In addition, the U.S. Congress, the U.K. Government, the European Union, the Organization for Economic Co-operation and Development (the “OECD”), and other government agencies in jurisdictions where we and our affiliates do business have had an extended focus on issues related to the taxation of multinational corporations. New tax initiatives, directives, and rules, such as the U.S. Tax Cuts and Jobs Act, the OECD’s Base Erosion and Profit Shifting initiative, and the European Union’s Anti-Tax Avoidance Directives, may increase our tax burden and require additional compliance-related expenditures. As a result, our financial condition, results of operations, or cash flows may be adversely affected. Further changes, including with retroactive effect, in the tax laws of the United States, the United Kingdom, the European Union, or other countries in which we and our affiliates do business could also adversely affect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tax treaties entered into between the United Kingdom and other countries.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operate in a manner such that we believe we are eligible for benefits under tax treaties between the United Kingdom and other countries. However, our ability to qualify for such benefits will depend on whether we are treated as a U.K. tax resident, the requirements contained in each treaty and applicable domestic laws, on the facts and circumstances surrounding our operations and management, and on the relevant interpretation of the tax authorities and courts. For example, because of Brexit, we may lose some or all of the benefits of tax treaties between the United States and the remaining members of the European Union, and face higher tax liabilities, which may be significant. Another example is the Multilateral Convention to Implement Tax Treaty Related Measures to Prevent Base Erosion and Profit Shifting (the “MLI”), which entered into force for participating jurisdictions on July 1, 2018. The MLI recommends that countries adopt a “limitation-on-benefit” (“LOB”) rule and/or a “principal purpose test” (“PPT”) rule with regards to their tax treaties. The application of the LOB rule or the PPT rule could deny us treaty benefits (such as a reduced rate of withholding tax) that were previously available and as such there remains uncertainty as to whether and, if so, to what extent such treaty benefits will continue to be available. The position is likely to remain uncertain for a number of years.</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failure by us or our subsidiaries to qualify for benefits under tax treaties entered into between the United Kingdom and other countries could result in adverse tax consequences to us (including an increased tax burden and increased filing obligations) and could result in certain tax consequences of owning and disposing of our shares.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right="200"/>
        <w:spacing w:after="0" w:line="287" w:lineRule="auto"/>
        <w:rPr>
          <w:sz w:val="20"/>
          <w:szCs w:val="20"/>
          <w:color w:val="auto"/>
        </w:rPr>
      </w:pPr>
      <w:r>
        <w:rPr>
          <w:rFonts w:ascii="Arial" w:cs="Arial" w:eastAsia="Arial" w:hAnsi="Arial"/>
          <w:sz w:val="18"/>
          <w:szCs w:val="18"/>
          <w:b w:val="1"/>
          <w:bCs w:val="1"/>
          <w:i w:val="1"/>
          <w:iCs w:val="1"/>
          <w:color w:val="auto"/>
        </w:rPr>
        <w:t>We intend to be treated exclusively as a resident of the United Kingdom for tax purposes, but French or other tax authorities may seek to treat us as a tax resident of another jurisdiction.</w:t>
      </w: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are incorporated in the United Kingdom. English law currently provides that we will be regarded as a U.K. resident for tax purposes from incorporation and shall remain so unless (i) we are concurrently a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23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 this regard, we have a permanent establishment in France to satisfy certain French tax requirements imposed by the French Tax Code with respect to the Merger. Although it is intended that we will be treated as having our exclusive place of tax residence in the United Kingdom, the French tax authorities may claim that we are a tax resident of France if we were to fail to maintain our “place of effective management” in the United Kingdom. Any such claim would be settled between the French and U.K. tax authorities pursuant to the mutual assistance procedure provided for by the tax treaty concluded between France and the United Kingdom. There is no assurance that these authorities would reach an agreement that we will remain exclusively a U.K. tax resident; an adverse determination could materially and adversely affect our business, financial condition, results of operations, or cash flows. A failure to maintain exclusive tax residency in the United Kingdom could result in adverse tax consequences to us and our subsidiaries and could result in certain adverse changes in the tax consequences of owning and disposing of our shares.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Spin-off and the Other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 may subject us to future liabilities.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16, 2021, we completed the Spin-off, resulting in Technip Energies, which holds our former Technip Energies business segment, becoming a stand-alone publicly traded corporation. Pursuant to agreements we entered into with Technip Energies in connection with the Spin-off, we and Technip Energies are each generally responsible for the obligations and liabilities related to our respective businesses. Pursuant to those agreements, we and Technip Energies each agreed to cross-indemnities principally designed to allocate financial responsibility for the obligations and liabilities of our business to us and those of Technip Energies’ business to it. However, third parties, including governmental agencies, could seek to hold us responsible for obligations and liabilities that Technip Energies agreed to retain or assume, and there can be no assurance that the indemnification from Technip Energies will be sufficient to protect us against the full amount of such obligations and liabilities, or that Technip Energies will be able to fully satisfy its indemnification obligations. Additionally, if a court were to determine that the Spin-off or related transactions were consummated with the actual intent to hinder, delay or defraud current or future creditors or resulted in Technip Energies receiving less than reasonably equivalent value when it was insolvent, or that it was rendered insolvent, inadequately capitalized or unable to pay its debts as they become due, then it is possible that the court could disregard the allocation of obligations and liabilities agreed to between us and Technip Energies, impose substantial obligations and liabilities on us and void some or all of the transactions related to the Spin-off. Any of the foregoing could adversely affect our results of operations and financial position.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 may not achieve some or all of the anticipated benefits.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not realize some or all of the anticipated strategic, financial, operational or other benefits from the Spin-off. As independent publicly-traded companies, we and Technip Energies are smaller, less diversified companies with a narrower business focus, and may be more vulnerable to changing market conditions, which could materially adversely affect our and its results of operations, cash flows and financial position.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other events outside of our control, including, but not limited to, political climate, the severity and duration of the pandemic, and regulatory or legislative changes, could also adversely affect our ability to realize the anticipated benefits from the Spin-off. Any such difficulties could have an adverse effect on our business, financial condition, or results of operations, and cause the combined market value of us and Technip Energies after the Spin-off to fall short of the market value of our shares prior to the Spin-off.</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a significant shareholder of Technip Energies and the value of our investment in Technip Energies may fluctuate substantially.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4" w:name="page45"/>
    <w:bookmarkEnd w:id="44"/>
    <w:p>
      <w:pPr>
        <w:jc w:val="both"/>
        <w:spacing w:after="0" w:line="270" w:lineRule="auto"/>
        <w:rPr>
          <w:sz w:val="20"/>
          <w:szCs w:val="20"/>
          <w:color w:val="auto"/>
        </w:rPr>
      </w:pPr>
      <w:r>
        <w:rPr>
          <w:rFonts w:ascii="Arial" w:cs="Arial" w:eastAsia="Arial" w:hAnsi="Arial"/>
          <w:sz w:val="17"/>
          <w:szCs w:val="17"/>
          <w:color w:val="auto"/>
        </w:rPr>
        <w:t>Following completion of the Spin-off, we own approximately 49.9% of the outstanding shares of common stock of Technip Energies. The value of our investment in Technip Energies may be adversely affected by negative changes in its results of operations, cash flows and financial position, which may occur as a result of the many risks attendant with operating in the onshore/offshore industry, including the effect of laws and regulations on the operation of Technip Energies’ business and the development of its assets, increased competition, loss of contract commitments, delays in the timing of or the failure to complete projects, lack of access to capital and operating risks and hazards. The value of our investment in Technip Energies may fluctuate substantially and may result in a significant impact to our results of operations.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significantly reduce our shareholding in Technip Energies over the 18 months following the Spin-off, including in connection with the sale of Technip Energies shares to BPI (as defined herein) pursuant to the Investment (as defined herein). However, we can offer no guarantee that we will be able to complete such disposition or, if completed, the extent to which we will reduce our shareholding or the value that we will realize in connection with such disposition. The occurrence of any of these and other risks faced by Technip Energies could adversely affect the value of our investment in Technip Energies.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required to refund the Purchase Price under the Share Purchase Agreement to BPI in the event that certain conditions thereunder are not met.</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the Spin-off, we entered into the Share Purchase Agreement with BPI, pursuant to which BPI agreed to purchase from us for $200.0 million, subject to a purchase price adjustment as described below (the “Purchase Price”), a number of Technip Energies shares (the “Purchased Shares”) determined based upon a thirty day volume-weighted average price of Technip Energies’ shares, less a six percent discount (the “Investment”). Pursuant to the Share Purchase Agreement, BPI paid us the Purchase Price on February 25, 2021, however (i) if the number of Purchased Shares due from us to BPI is less than 11.82% of the number of Technip Energies shares outstanding immediately following completion of the Spin-off, then BPI may, upon written notice to us, terminate the Share Purchase Agreement and we will be required to refund the Purchase Price to BPI or (ii) if the number of Purchased Shares due from us to BPI exceeds 17.25% of the number of Technip Energies shares outstanding immediately following completion of the Spin-off (the “Cap”), then we will transfer to BPI an aggregate number of Technip Energies shares equal to the Cap and will pay to BPI, as a reduction of the Purchase Price, an amount equal to (x) the difference between the number of Technip Energies shares that we would have delivered to BPI but for the Cap and the number of Technip Energies shares that we actually delivered to BPI, multiplied by (y) the applicable price per Technip Energy share. Any such refund or reduction of the Purchase Price could have a material adverse effect on our financial condition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dependent on the continuing services of our key managers and employees.</w:t>
      </w:r>
    </w:p>
    <w:p>
      <w:pPr>
        <w:spacing w:after="0" w:line="2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depend on key personnel. The loss of any key personnel could adversely impact our business if we are unable to implement key strategies or transactions in their absence. The loss of qualified employees or failure to retain and motivate additional highly-skilled employees required for the operation and expansion of our business could hinder our ability to successfully conduct research activities and develop marketable products and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weather conditions could adversely affect demand for our services and operations.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business may be materially affected by variation from normal weather patterns, such as cooler or warmer summers and winters. Adverse weather conditions, such as hurricanes in the Gulf of Mexico or extreme winter conditions in Canada, Russia, and the North Sea, may interrupt or curtail our operations, or our customers’ operations, cause supply disruptions or loss of productivity, and may result in a loss of revenue or damage to our equipment and facilities, which may or may not be insured. Increasing concentrations of greenhouse gases in the Earth’s atmosphere may produce climate changes that increase variation from normal weather patterns, such as increased frequency and severity of storms, floods, droughts, and other climatic events, which could further impact our operations. Significant physical effects of climate change could also have a direct effect on our operations and an indirect effect on our business by interrupting the operations of those with whom we do business. Any of these events or outcomes could have a material adverse effect on our business, financial condition, cash flows,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Currency exchange rate fluctuations could adversely affect our financial condition, results of operations, or cash flows.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conduct operations around the world in many different currencies. Because a significant portion of our revenue is denominated in currencies other than our reporting currency, the U.S. dollar, changes in exchange rates will produce fluctuations in our revenue, costs, and earnings, and may also affect the book value of our assets and liabilities and related equity. We hedge transaction impacts on margins and earnings where a transaction is not in the functional currency of the business unit, but we do not hedge translation impacts on earnings. Our efforts to minimize our currency exposure through such hedging transactions may not be successful depending on market and business conditions. Moreover, certain currencies in which we conduct operations, specifically currencies in countries such as Angola and Nigeria, do not actively trade in the global foreign exchange markets and may subject us to increased foreign currency exposures. As a result, fluctuations in foreign currency exchange rates may adversely affect our financial condition,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in connection with our defined benefit pension plan commitments.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funded and unfunded defined benefit pension plans, which provide defined benefits based on years of service and salary. We are required to recognize the funded status of defined benefit post-retirement plans as an asset or liability in the consolidated balance sheet and recognize changes in that funded status in comprehensive income in the year in which the changes occur. Further, we are required to measure each plan’s assets and its obligations that determine its funded status as of the date of the consolidated balance sheet. Each defined benefit pension plan’s assets are invested in different asset classes and their value may fluctuate in accordance with market conditions. Any deterioration in the value of the defined benefit pension plan assets could therefore increase our obligations. Any such increases in our net pension obligations could adversely affect our financial condition due to increased additional outflow of funds to finance the pension obligations.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applicable law and/or the terms of the relevant defined benefit pension plan may require us to make cash contributions or provide financial support upon the occurrence of certain events. We cannot predict whether, or to what extent, changing market or economic conditions, regulatory changes or other factors will further increase our pension expense or funding obligations. For further information regarding our pension liabilities, see Note 22 for further information.</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Our corporate headquarters is in London, England. We also maintain corporate offices in Houston, Texas and Paris, France, where significant worldwide global support activity occurs. In addition, we own or lease numerous properties throughout the world.</w:t>
      </w:r>
    </w:p>
    <w:p>
      <w:pPr>
        <w:spacing w:after="0" w:line="22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believe our properties and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principal properties by reporting segment as of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Borders>
              <w:bottom w:val="single" w:sz="8" w:color="auto"/>
            </w:tcBorders>
          </w:tcPr>
          <w:p>
            <w:pPr>
              <w:ind w:left="346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36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Segment</w:t>
            </w:r>
          </w:p>
        </w:tc>
      </w:tr>
      <w:tr>
        <w:trPr>
          <w:trHeight w:val="215"/>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Africa</w:t>
            </w:r>
          </w:p>
        </w:tc>
        <w:tc>
          <w:tcPr>
            <w:tcW w:w="3640" w:type="dxa"/>
            <w:vAlign w:val="bottom"/>
            <w:shd w:val="clear" w:color="auto" w:fill="CCEEFF"/>
          </w:tcPr>
          <w:p>
            <w:pPr>
              <w:spacing w:after="0"/>
              <w:rPr>
                <w:sz w:val="18"/>
                <w:szCs w:val="18"/>
                <w:color w:val="auto"/>
              </w:rPr>
            </w:pP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Dande, Angola</w:t>
            </w:r>
          </w:p>
        </w:tc>
        <w:tc>
          <w:tcPr>
            <w:tcW w:w="3640" w:type="dxa"/>
            <w:vAlign w:val="bottom"/>
          </w:tcPr>
          <w:p>
            <w:pPr>
              <w:ind w:left="20"/>
              <w:spacing w:after="0"/>
              <w:rPr>
                <w:sz w:val="20"/>
                <w:szCs w:val="20"/>
                <w:color w:val="auto"/>
              </w:rPr>
            </w:pPr>
            <w:r>
              <w:rPr>
                <w:rFonts w:ascii="Arial" w:cs="Arial" w:eastAsia="Arial" w:hAnsi="Arial"/>
                <w:sz w:val="14"/>
                <w:szCs w:val="14"/>
                <w:color w:val="auto"/>
              </w:rPr>
              <w:t>Subsea</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Hassi-Messaoud, Algeria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Lagos, Nigeria</w:t>
            </w:r>
          </w:p>
        </w:tc>
        <w:tc>
          <w:tcPr>
            <w:tcW w:w="3640" w:type="dxa"/>
            <w:vAlign w:val="bottom"/>
          </w:tcPr>
          <w:p>
            <w:pPr>
              <w:ind w:left="20"/>
              <w:spacing w:after="0"/>
              <w:rPr>
                <w:sz w:val="20"/>
                <w:szCs w:val="20"/>
                <w:color w:val="auto"/>
              </w:rPr>
            </w:pPr>
            <w:r>
              <w:rPr>
                <w:rFonts w:ascii="Arial" w:cs="Arial" w:eastAsia="Arial" w:hAnsi="Arial"/>
                <w:sz w:val="14"/>
                <w:szCs w:val="14"/>
                <w:color w:val="auto"/>
              </w:rPr>
              <w:t>Subsea</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Lobito, Angola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Luanda, Angola</w:t>
            </w:r>
          </w:p>
        </w:tc>
        <w:tc>
          <w:tcPr>
            <w:tcW w:w="3640" w:type="dxa"/>
            <w:vAlign w:val="bottom"/>
          </w:tcPr>
          <w:p>
            <w:pPr>
              <w:ind w:left="20"/>
              <w:spacing w:after="0"/>
              <w:rPr>
                <w:sz w:val="20"/>
                <w:szCs w:val="20"/>
                <w:color w:val="auto"/>
              </w:rPr>
            </w:pPr>
            <w:r>
              <w:rPr>
                <w:rFonts w:ascii="Arial" w:cs="Arial" w:eastAsia="Arial" w:hAnsi="Arial"/>
                <w:sz w:val="14"/>
                <w:szCs w:val="14"/>
                <w:color w:val="auto"/>
              </w:rPr>
              <w:t>Subsea</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Malabo, Equatorial Guinea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Port Harcourt, Nigeria</w:t>
            </w:r>
          </w:p>
        </w:tc>
        <w:tc>
          <w:tcPr>
            <w:tcW w:w="3640" w:type="dxa"/>
            <w:vAlign w:val="bottom"/>
          </w:tcPr>
          <w:p>
            <w:pPr>
              <w:ind w:left="20"/>
              <w:spacing w:after="0"/>
              <w:rPr>
                <w:sz w:val="20"/>
                <w:szCs w:val="20"/>
                <w:color w:val="auto"/>
              </w:rPr>
            </w:pPr>
            <w:r>
              <w:rPr>
                <w:rFonts w:ascii="Arial" w:cs="Arial" w:eastAsia="Arial" w:hAnsi="Arial"/>
                <w:sz w:val="14"/>
                <w:szCs w:val="14"/>
                <w:color w:val="auto"/>
              </w:rPr>
              <w:t>Subsea</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Takoradi, Ghana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4"/>
                <w:szCs w:val="14"/>
                <w:b w:val="1"/>
                <w:bCs w:val="1"/>
                <w:color w:val="auto"/>
              </w:rPr>
              <w:t>Asia</w:t>
            </w:r>
          </w:p>
        </w:tc>
        <w:tc>
          <w:tcPr>
            <w:tcW w:w="3640" w:type="dxa"/>
            <w:vAlign w:val="bottom"/>
          </w:tcPr>
          <w:p>
            <w:pPr>
              <w:spacing w:after="0"/>
              <w:rPr>
                <w:sz w:val="18"/>
                <w:szCs w:val="18"/>
                <w:color w:val="auto"/>
              </w:rPr>
            </w:pP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Chennai, India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Dahej, India</w:t>
            </w:r>
          </w:p>
        </w:tc>
        <w:tc>
          <w:tcPr>
            <w:tcW w:w="3640" w:type="dxa"/>
            <w:vAlign w:val="bottom"/>
          </w:tcPr>
          <w:p>
            <w:pPr>
              <w:ind w:left="20"/>
              <w:spacing w:after="0"/>
              <w:rPr>
                <w:sz w:val="20"/>
                <w:szCs w:val="20"/>
                <w:color w:val="auto"/>
              </w:rPr>
            </w:pPr>
            <w:r>
              <w:rPr>
                <w:rFonts w:ascii="Arial" w:cs="Arial" w:eastAsia="Arial" w:hAnsi="Arial"/>
                <w:sz w:val="14"/>
                <w:szCs w:val="14"/>
                <w:color w:val="auto"/>
              </w:rPr>
              <w:t>Technip Energies</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Hyderabad, India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Jakarta, Indonesia</w:t>
            </w:r>
          </w:p>
        </w:tc>
        <w:tc>
          <w:tcPr>
            <w:tcW w:w="3640" w:type="dxa"/>
            <w:vAlign w:val="bottom"/>
          </w:tcPr>
          <w:p>
            <w:pPr>
              <w:ind w:left="20"/>
              <w:spacing w:after="0"/>
              <w:rPr>
                <w:sz w:val="20"/>
                <w:szCs w:val="20"/>
                <w:color w:val="auto"/>
              </w:rPr>
            </w:pPr>
            <w:r>
              <w:rPr>
                <w:rFonts w:ascii="Arial" w:cs="Arial" w:eastAsia="Arial" w:hAnsi="Arial"/>
                <w:sz w:val="14"/>
                <w:szCs w:val="14"/>
                <w:color w:val="auto"/>
              </w:rPr>
              <w:t>Surface</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Johor, Malaysia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Kuala Lumpur, Malaysia</w:t>
            </w:r>
          </w:p>
        </w:tc>
        <w:tc>
          <w:tcPr>
            <w:tcW w:w="3640" w:type="dxa"/>
            <w:vAlign w:val="bottom"/>
          </w:tcPr>
          <w:p>
            <w:pPr>
              <w:ind w:left="20"/>
              <w:spacing w:after="0"/>
              <w:rPr>
                <w:sz w:val="20"/>
                <w:szCs w:val="20"/>
                <w:color w:val="auto"/>
              </w:rPr>
            </w:pPr>
            <w:r>
              <w:rPr>
                <w:rFonts w:ascii="Arial" w:cs="Arial" w:eastAsia="Arial" w:hAnsi="Arial"/>
                <w:sz w:val="14"/>
                <w:szCs w:val="14"/>
                <w:color w:val="auto"/>
              </w:rPr>
              <w:t>Subsea, Surface, Technip Energies</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Mumbai, India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New Delhi, India</w:t>
            </w:r>
          </w:p>
        </w:tc>
        <w:tc>
          <w:tcPr>
            <w:tcW w:w="3640" w:type="dxa"/>
            <w:vAlign w:val="bottom"/>
          </w:tcPr>
          <w:p>
            <w:pPr>
              <w:ind w:left="20"/>
              <w:spacing w:after="0"/>
              <w:rPr>
                <w:sz w:val="20"/>
                <w:szCs w:val="20"/>
                <w:color w:val="auto"/>
              </w:rPr>
            </w:pPr>
            <w:r>
              <w:rPr>
                <w:rFonts w:ascii="Arial" w:cs="Arial" w:eastAsia="Arial" w:hAnsi="Arial"/>
                <w:sz w:val="14"/>
                <w:szCs w:val="14"/>
                <w:color w:val="auto"/>
              </w:rPr>
              <w:t>Technip Energies</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Noida, India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 Surface, Technip Energies</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Nusajaya, Malaysia</w:t>
            </w:r>
          </w:p>
        </w:tc>
        <w:tc>
          <w:tcPr>
            <w:tcW w:w="3640" w:type="dxa"/>
            <w:vAlign w:val="bottom"/>
          </w:tcPr>
          <w:p>
            <w:pPr>
              <w:ind w:left="20"/>
              <w:spacing w:after="0"/>
              <w:rPr>
                <w:sz w:val="20"/>
                <w:szCs w:val="20"/>
                <w:color w:val="auto"/>
              </w:rPr>
            </w:pPr>
            <w:r>
              <w:rPr>
                <w:rFonts w:ascii="Arial" w:cs="Arial" w:eastAsia="Arial" w:hAnsi="Arial"/>
                <w:sz w:val="14"/>
                <w:szCs w:val="14"/>
                <w:color w:val="auto"/>
              </w:rPr>
              <w:t>Subsea, Surface</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Singapore</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 Surface</w:t>
            </w: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4"/>
                <w:szCs w:val="14"/>
                <w:b w:val="1"/>
                <w:bCs w:val="1"/>
                <w:color w:val="auto"/>
              </w:rPr>
              <w:t>Australia</w:t>
            </w:r>
          </w:p>
        </w:tc>
        <w:tc>
          <w:tcPr>
            <w:tcW w:w="3640" w:type="dxa"/>
            <w:vAlign w:val="bottom"/>
          </w:tcPr>
          <w:p>
            <w:pPr>
              <w:spacing w:after="0"/>
              <w:rPr>
                <w:sz w:val="18"/>
                <w:szCs w:val="18"/>
                <w:color w:val="auto"/>
              </w:rPr>
            </w:pP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Henderson, Australia</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Perth, Australia</w:t>
            </w:r>
          </w:p>
        </w:tc>
        <w:tc>
          <w:tcPr>
            <w:tcW w:w="3640" w:type="dxa"/>
            <w:vAlign w:val="bottom"/>
          </w:tcPr>
          <w:p>
            <w:pPr>
              <w:ind w:left="20"/>
              <w:spacing w:after="0"/>
              <w:rPr>
                <w:sz w:val="20"/>
                <w:szCs w:val="20"/>
                <w:color w:val="auto"/>
              </w:rPr>
            </w:pPr>
            <w:r>
              <w:rPr>
                <w:rFonts w:ascii="Arial" w:cs="Arial" w:eastAsia="Arial" w:hAnsi="Arial"/>
                <w:sz w:val="14"/>
                <w:szCs w:val="14"/>
                <w:color w:val="auto"/>
              </w:rPr>
              <w:t>Subsea, Technip Energies</w:t>
            </w:r>
          </w:p>
        </w:tc>
      </w:tr>
      <w:tr>
        <w:trPr>
          <w:trHeight w:val="222"/>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Europe</w:t>
            </w:r>
          </w:p>
        </w:tc>
        <w:tc>
          <w:tcPr>
            <w:tcW w:w="3640" w:type="dxa"/>
            <w:vAlign w:val="bottom"/>
            <w:shd w:val="clear" w:color="auto" w:fill="CCEEFF"/>
          </w:tcPr>
          <w:p>
            <w:pPr>
              <w:spacing w:after="0"/>
              <w:rPr>
                <w:sz w:val="19"/>
                <w:szCs w:val="19"/>
                <w:color w:val="auto"/>
              </w:rPr>
            </w:pP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Aberdeen, United Kingdom</w:t>
            </w:r>
          </w:p>
        </w:tc>
        <w:tc>
          <w:tcPr>
            <w:tcW w:w="3640" w:type="dxa"/>
            <w:vAlign w:val="bottom"/>
          </w:tcPr>
          <w:p>
            <w:pPr>
              <w:ind w:left="20"/>
              <w:spacing w:after="0"/>
              <w:rPr>
                <w:sz w:val="20"/>
                <w:szCs w:val="20"/>
                <w:color w:val="auto"/>
              </w:rPr>
            </w:pPr>
            <w:r>
              <w:rPr>
                <w:rFonts w:ascii="Arial" w:cs="Arial" w:eastAsia="Arial" w:hAnsi="Arial"/>
                <w:sz w:val="14"/>
                <w:szCs w:val="14"/>
                <w:color w:val="auto"/>
              </w:rPr>
              <w:t>Subsea, Surface</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Aktau, Kazakhstan</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Arnhem, The Netherlands</w:t>
            </w:r>
          </w:p>
        </w:tc>
        <w:tc>
          <w:tcPr>
            <w:tcW w:w="3640" w:type="dxa"/>
            <w:vAlign w:val="bottom"/>
          </w:tcPr>
          <w:p>
            <w:pPr>
              <w:ind w:left="20"/>
              <w:spacing w:after="0"/>
              <w:rPr>
                <w:sz w:val="20"/>
                <w:szCs w:val="20"/>
                <w:color w:val="auto"/>
              </w:rPr>
            </w:pPr>
            <w:r>
              <w:rPr>
                <w:rFonts w:ascii="Arial" w:cs="Arial" w:eastAsia="Arial" w:hAnsi="Arial"/>
                <w:sz w:val="14"/>
                <w:szCs w:val="14"/>
                <w:color w:val="auto"/>
              </w:rPr>
              <w:t>Surface</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Atyrau, Kazakhstan</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Barcelona, Spain</w:t>
            </w:r>
          </w:p>
        </w:tc>
        <w:tc>
          <w:tcPr>
            <w:tcW w:w="3640" w:type="dxa"/>
            <w:vAlign w:val="bottom"/>
          </w:tcPr>
          <w:p>
            <w:pPr>
              <w:ind w:left="20"/>
              <w:spacing w:after="0"/>
              <w:rPr>
                <w:sz w:val="20"/>
                <w:szCs w:val="20"/>
                <w:color w:val="auto"/>
              </w:rPr>
            </w:pPr>
            <w:r>
              <w:rPr>
                <w:rFonts w:ascii="Arial" w:cs="Arial" w:eastAsia="Arial" w:hAnsi="Arial"/>
                <w:sz w:val="14"/>
                <w:szCs w:val="14"/>
                <w:color w:val="auto"/>
              </w:rPr>
              <w:t>Technip Energies</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Bergen, Norway</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Compiegne, France</w:t>
            </w:r>
          </w:p>
        </w:tc>
        <w:tc>
          <w:tcPr>
            <w:tcW w:w="3640" w:type="dxa"/>
            <w:vAlign w:val="bottom"/>
          </w:tcPr>
          <w:p>
            <w:pPr>
              <w:ind w:left="20"/>
              <w:spacing w:after="0"/>
              <w:rPr>
                <w:sz w:val="20"/>
                <w:szCs w:val="20"/>
                <w:color w:val="auto"/>
              </w:rPr>
            </w:pPr>
            <w:r>
              <w:rPr>
                <w:rFonts w:ascii="Arial" w:cs="Arial" w:eastAsia="Arial" w:hAnsi="Arial"/>
                <w:sz w:val="14"/>
                <w:szCs w:val="14"/>
                <w:color w:val="auto"/>
              </w:rPr>
              <w:t>Technip Energies</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Courbevoie (Paris - La Défense), France</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 Technip Energies</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Dunfermline, United Kingdom</w:t>
            </w:r>
          </w:p>
        </w:tc>
        <w:tc>
          <w:tcPr>
            <w:tcW w:w="3640" w:type="dxa"/>
            <w:vAlign w:val="bottom"/>
          </w:tcPr>
          <w:p>
            <w:pPr>
              <w:ind w:left="20"/>
              <w:spacing w:after="0"/>
              <w:rPr>
                <w:sz w:val="20"/>
                <w:szCs w:val="20"/>
                <w:color w:val="auto"/>
              </w:rPr>
            </w:pPr>
            <w:r>
              <w:rPr>
                <w:rFonts w:ascii="Arial" w:cs="Arial" w:eastAsia="Arial" w:hAnsi="Arial"/>
                <w:sz w:val="14"/>
                <w:szCs w:val="14"/>
                <w:color w:val="auto"/>
              </w:rPr>
              <w:t>Subsea, Surface</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Ellerbek, Germany</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Evanton, United Kingdom</w:t>
            </w:r>
          </w:p>
        </w:tc>
        <w:tc>
          <w:tcPr>
            <w:tcW w:w="3640" w:type="dxa"/>
            <w:vAlign w:val="bottom"/>
          </w:tcPr>
          <w:p>
            <w:pPr>
              <w:ind w:left="20"/>
              <w:spacing w:after="0"/>
              <w:rPr>
                <w:sz w:val="20"/>
                <w:szCs w:val="20"/>
                <w:color w:val="auto"/>
              </w:rPr>
            </w:pPr>
            <w:r>
              <w:rPr>
                <w:rFonts w:ascii="Arial" w:cs="Arial" w:eastAsia="Arial" w:hAnsi="Arial"/>
                <w:sz w:val="14"/>
                <w:szCs w:val="14"/>
                <w:color w:val="auto"/>
              </w:rPr>
              <w:t>Subsea</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Horten, Norway</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Kongsberg, Norway</w:t>
            </w:r>
          </w:p>
        </w:tc>
        <w:tc>
          <w:tcPr>
            <w:tcW w:w="3640" w:type="dxa"/>
            <w:vAlign w:val="bottom"/>
          </w:tcPr>
          <w:p>
            <w:pPr>
              <w:ind w:left="20"/>
              <w:spacing w:after="0"/>
              <w:rPr>
                <w:sz w:val="20"/>
                <w:szCs w:val="20"/>
                <w:color w:val="auto"/>
              </w:rPr>
            </w:pPr>
            <w:r>
              <w:rPr>
                <w:rFonts w:ascii="Arial" w:cs="Arial" w:eastAsia="Arial" w:hAnsi="Arial"/>
                <w:sz w:val="14"/>
                <w:szCs w:val="14"/>
                <w:color w:val="auto"/>
              </w:rPr>
              <w:t>Subsea, Surface</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Krakow, Poland</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r>
      <w:tr>
        <w:trPr>
          <w:trHeight w:val="210"/>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La Garenne-Colombes, France</w:t>
            </w:r>
          </w:p>
        </w:tc>
        <w:tc>
          <w:tcPr>
            <w:tcW w:w="3640" w:type="dxa"/>
            <w:vAlign w:val="bottom"/>
          </w:tcPr>
          <w:p>
            <w:pPr>
              <w:ind w:left="20"/>
              <w:spacing w:after="0"/>
              <w:rPr>
                <w:sz w:val="20"/>
                <w:szCs w:val="20"/>
                <w:color w:val="auto"/>
              </w:rPr>
            </w:pPr>
            <w:r>
              <w:rPr>
                <w:rFonts w:ascii="Arial" w:cs="Arial" w:eastAsia="Arial" w:hAnsi="Arial"/>
                <w:sz w:val="14"/>
                <w:szCs w:val="14"/>
                <w:color w:val="auto"/>
              </w:rPr>
              <w:t>Technip Energies</w:t>
            </w:r>
          </w:p>
        </w:tc>
      </w:tr>
      <w:tr>
        <w:trPr>
          <w:trHeight w:val="222"/>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Le Trait, France</w:t>
            </w:r>
          </w:p>
        </w:tc>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 Surface</w:t>
            </w:r>
          </w:p>
        </w:tc>
      </w:tr>
      <w:tr>
        <w:trPr>
          <w:trHeight w:val="204"/>
        </w:trPr>
        <w:tc>
          <w:tcPr>
            <w:tcW w:w="7600" w:type="dxa"/>
            <w:vAlign w:val="bottom"/>
            <w:gridSpan w:val="2"/>
          </w:tcPr>
          <w:p>
            <w:pPr>
              <w:ind w:left="360"/>
              <w:spacing w:after="0"/>
              <w:rPr>
                <w:sz w:val="20"/>
                <w:szCs w:val="20"/>
                <w:color w:val="auto"/>
              </w:rPr>
            </w:pPr>
            <w:r>
              <w:rPr>
                <w:rFonts w:ascii="Arial" w:cs="Arial" w:eastAsia="Arial" w:hAnsi="Arial"/>
                <w:sz w:val="14"/>
                <w:szCs w:val="14"/>
                <w:color w:val="auto"/>
              </w:rPr>
              <w:t>Lisbon, Portugal</w:t>
            </w:r>
          </w:p>
        </w:tc>
        <w:tc>
          <w:tcPr>
            <w:tcW w:w="3640" w:type="dxa"/>
            <w:vAlign w:val="bottom"/>
          </w:tcPr>
          <w:p>
            <w:pPr>
              <w:ind w:left="20"/>
              <w:spacing w:after="0"/>
              <w:rPr>
                <w:sz w:val="20"/>
                <w:szCs w:val="20"/>
                <w:color w:val="auto"/>
              </w:rPr>
            </w:pPr>
            <w:r>
              <w:rPr>
                <w:rFonts w:ascii="Arial" w:cs="Arial" w:eastAsia="Arial" w:hAnsi="Arial"/>
                <w:sz w:val="14"/>
                <w:szCs w:val="14"/>
                <w:color w:val="auto"/>
              </w:rPr>
              <w:t>Subsea</w:t>
            </w:r>
          </w:p>
        </w:tc>
      </w:tr>
    </w:tbl>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London, United Kingdom</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Subsea, Technip Energies</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Lyon, France</w:t>
            </w:r>
          </w:p>
        </w:tc>
        <w:tc>
          <w:tcPr>
            <w:tcW w:w="5920" w:type="dxa"/>
            <w:vAlign w:val="bottom"/>
          </w:tcPr>
          <w:p>
            <w:pPr>
              <w:ind w:left="2300"/>
              <w:spacing w:after="0"/>
              <w:rPr>
                <w:sz w:val="20"/>
                <w:szCs w:val="20"/>
                <w:color w:val="auto"/>
              </w:rPr>
            </w:pPr>
            <w:r>
              <w:rPr>
                <w:rFonts w:ascii="Arial" w:cs="Arial" w:eastAsia="Arial" w:hAnsi="Arial"/>
                <w:sz w:val="14"/>
                <w:szCs w:val="14"/>
                <w:color w:val="auto"/>
              </w:rPr>
              <w:t>Technip Energies</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Lysaker, Norway</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Subsea, Technip Energies</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Moscow, Russia</w:t>
            </w:r>
          </w:p>
        </w:tc>
        <w:tc>
          <w:tcPr>
            <w:tcW w:w="5920" w:type="dxa"/>
            <w:vAlign w:val="bottom"/>
          </w:tcPr>
          <w:p>
            <w:pPr>
              <w:ind w:left="2300"/>
              <w:spacing w:after="0"/>
              <w:rPr>
                <w:sz w:val="20"/>
                <w:szCs w:val="20"/>
                <w:color w:val="auto"/>
              </w:rPr>
            </w:pPr>
            <w:r>
              <w:rPr>
                <w:rFonts w:ascii="Arial" w:cs="Arial" w:eastAsia="Arial" w:hAnsi="Arial"/>
                <w:sz w:val="14"/>
                <w:szCs w:val="14"/>
                <w:color w:val="auto"/>
              </w:rPr>
              <w:t>Subsea, Surface, Technip Energies</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Newcastle, United Kingdom</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Subsea</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Orkanger, Norway</w:t>
            </w:r>
          </w:p>
        </w:tc>
        <w:tc>
          <w:tcPr>
            <w:tcW w:w="5920" w:type="dxa"/>
            <w:vAlign w:val="bottom"/>
          </w:tcPr>
          <w:p>
            <w:pPr>
              <w:ind w:left="2300"/>
              <w:spacing w:after="0"/>
              <w:rPr>
                <w:sz w:val="20"/>
                <w:szCs w:val="20"/>
                <w:color w:val="auto"/>
              </w:rPr>
            </w:pPr>
            <w:r>
              <w:rPr>
                <w:rFonts w:ascii="Arial" w:cs="Arial" w:eastAsia="Arial" w:hAnsi="Arial"/>
                <w:sz w:val="14"/>
                <w:szCs w:val="14"/>
                <w:color w:val="auto"/>
              </w:rPr>
              <w:t>Subsea</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Rome, Italy</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Technip Energies</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Sens, France</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 Technip Energies</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 Petersburg, Russia</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Technip Energies</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Stavanger, Norway</w:t>
            </w:r>
          </w:p>
        </w:tc>
        <w:tc>
          <w:tcPr>
            <w:tcW w:w="5920" w:type="dxa"/>
            <w:vAlign w:val="bottom"/>
          </w:tcPr>
          <w:p>
            <w:pPr>
              <w:ind w:left="2300"/>
              <w:spacing w:after="0"/>
              <w:rPr>
                <w:sz w:val="20"/>
                <w:szCs w:val="20"/>
                <w:color w:val="auto"/>
              </w:rPr>
            </w:pPr>
            <w:r>
              <w:rPr>
                <w:rFonts w:ascii="Arial" w:cs="Arial" w:eastAsia="Arial" w:hAnsi="Arial"/>
                <w:sz w:val="14"/>
                <w:szCs w:val="14"/>
                <w:color w:val="auto"/>
              </w:rPr>
              <w:t>Subsea, Surface</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Veenord, Netherlands</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Surface</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Zoetermeer, Netherlands</w:t>
            </w:r>
          </w:p>
        </w:tc>
        <w:tc>
          <w:tcPr>
            <w:tcW w:w="5920" w:type="dxa"/>
            <w:vAlign w:val="bottom"/>
          </w:tcPr>
          <w:p>
            <w:pPr>
              <w:ind w:left="2300"/>
              <w:spacing w:after="0"/>
              <w:rPr>
                <w:sz w:val="20"/>
                <w:szCs w:val="20"/>
                <w:color w:val="auto"/>
              </w:rPr>
            </w:pPr>
            <w:r>
              <w:rPr>
                <w:rFonts w:ascii="Arial" w:cs="Arial" w:eastAsia="Arial" w:hAnsi="Arial"/>
                <w:sz w:val="14"/>
                <w:szCs w:val="14"/>
                <w:color w:val="auto"/>
              </w:rPr>
              <w:t>Technip Energies</w:t>
            </w:r>
          </w:p>
        </w:tc>
      </w:tr>
      <w:tr>
        <w:trPr>
          <w:trHeight w:val="222"/>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Middle East</w:t>
            </w:r>
          </w:p>
        </w:tc>
        <w:tc>
          <w:tcPr>
            <w:tcW w:w="5920" w:type="dxa"/>
            <w:vAlign w:val="bottom"/>
            <w:shd w:val="clear" w:color="auto" w:fill="CCEEFF"/>
          </w:tcPr>
          <w:p>
            <w:pPr>
              <w:spacing w:after="0"/>
              <w:rPr>
                <w:sz w:val="19"/>
                <w:szCs w:val="19"/>
                <w:color w:val="auto"/>
              </w:rPr>
            </w:pP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Abu Dhabi, United Arab Emirates</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 Technip Energies</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Al-Khobar, Saudi Arabia</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Technip Energies</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Dammam, Saudi Arabia</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Doha, Qatar</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Technip Energies</w:t>
            </w:r>
          </w:p>
        </w:tc>
      </w:tr>
      <w:tr>
        <w:trPr>
          <w:trHeight w:val="21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5920" w:type="dxa"/>
            <w:vAlign w:val="bottom"/>
          </w:tcPr>
          <w:p>
            <w:pPr>
              <w:spacing w:after="0"/>
              <w:rPr>
                <w:sz w:val="18"/>
                <w:szCs w:val="18"/>
                <w:color w:val="auto"/>
              </w:rPr>
            </w:pP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Brighton (Colorado), United States</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Surface</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Calgary (Alberta), Canada</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Davis (California), United States</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Subsea</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Erie (Pennsylvania), United States</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Houston (Texas), United States</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Subsea, Surface, Technip Energies</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Odessa (Texas), United States</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Oklahoma City (Oklahoma), United States</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Surface</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San Antonio (Texas), United States</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Speers (Pennsylvania), United States</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Surface</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St. John’s (Newfoundland), Canada</w:t>
            </w:r>
          </w:p>
        </w:tc>
        <w:tc>
          <w:tcPr>
            <w:tcW w:w="5920" w:type="dxa"/>
            <w:vAlign w:val="bottom"/>
          </w:tcPr>
          <w:p>
            <w:pPr>
              <w:ind w:left="2300"/>
              <w:spacing w:after="0"/>
              <w:rPr>
                <w:sz w:val="20"/>
                <w:szCs w:val="20"/>
                <w:color w:val="auto"/>
              </w:rPr>
            </w:pPr>
            <w:r>
              <w:rPr>
                <w:rFonts w:ascii="Arial" w:cs="Arial" w:eastAsia="Arial" w:hAnsi="Arial"/>
                <w:sz w:val="14"/>
                <w:szCs w:val="14"/>
                <w:color w:val="auto"/>
              </w:rPr>
              <w:t>Subsea</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Stephenville (Texas), United States</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Surface</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Theodore (Alabama), United States</w:t>
            </w:r>
          </w:p>
        </w:tc>
        <w:tc>
          <w:tcPr>
            <w:tcW w:w="5920" w:type="dxa"/>
            <w:vAlign w:val="bottom"/>
          </w:tcPr>
          <w:p>
            <w:pPr>
              <w:ind w:left="2300"/>
              <w:spacing w:after="0"/>
              <w:rPr>
                <w:sz w:val="20"/>
                <w:szCs w:val="20"/>
                <w:color w:val="auto"/>
              </w:rPr>
            </w:pPr>
            <w:r>
              <w:rPr>
                <w:rFonts w:ascii="Arial" w:cs="Arial" w:eastAsia="Arial" w:hAnsi="Arial"/>
                <w:sz w:val="14"/>
                <w:szCs w:val="14"/>
                <w:color w:val="auto"/>
              </w:rPr>
              <w:t>Subsea</w:t>
            </w:r>
          </w:p>
        </w:tc>
      </w:tr>
      <w:tr>
        <w:trPr>
          <w:trHeight w:val="222"/>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South America</w:t>
            </w:r>
          </w:p>
        </w:tc>
        <w:tc>
          <w:tcPr>
            <w:tcW w:w="5920" w:type="dxa"/>
            <w:vAlign w:val="bottom"/>
            <w:shd w:val="clear" w:color="auto" w:fill="CCEEFF"/>
          </w:tcPr>
          <w:p>
            <w:pPr>
              <w:spacing w:after="0"/>
              <w:rPr>
                <w:sz w:val="19"/>
                <w:szCs w:val="19"/>
                <w:color w:val="auto"/>
              </w:rPr>
            </w:pP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Bogota, Colombia</w:t>
            </w:r>
          </w:p>
        </w:tc>
        <w:tc>
          <w:tcPr>
            <w:tcW w:w="5920" w:type="dxa"/>
            <w:vAlign w:val="bottom"/>
          </w:tcPr>
          <w:p>
            <w:pPr>
              <w:ind w:left="2300"/>
              <w:spacing w:after="0"/>
              <w:rPr>
                <w:sz w:val="20"/>
                <w:szCs w:val="20"/>
                <w:color w:val="auto"/>
              </w:rPr>
            </w:pPr>
            <w:r>
              <w:rPr>
                <w:rFonts w:ascii="Arial" w:cs="Arial" w:eastAsia="Arial" w:hAnsi="Arial"/>
                <w:sz w:val="14"/>
                <w:szCs w:val="14"/>
                <w:color w:val="auto"/>
              </w:rPr>
              <w:t>Technip Energies</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Macaé, Brazil</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Subsea</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Neuquén, Argentina</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Rio de Janeiro, Brazil</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Subsea, Surface</w:t>
            </w:r>
          </w:p>
        </w:tc>
      </w:tr>
      <w:tr>
        <w:trPr>
          <w:trHeight w:val="210"/>
        </w:trPr>
        <w:tc>
          <w:tcPr>
            <w:tcW w:w="5320" w:type="dxa"/>
            <w:vAlign w:val="bottom"/>
          </w:tcPr>
          <w:p>
            <w:pPr>
              <w:ind w:left="360"/>
              <w:spacing w:after="0"/>
              <w:rPr>
                <w:sz w:val="20"/>
                <w:szCs w:val="20"/>
                <w:color w:val="auto"/>
              </w:rPr>
            </w:pPr>
            <w:r>
              <w:rPr>
                <w:rFonts w:ascii="Arial" w:cs="Arial" w:eastAsia="Arial" w:hAnsi="Arial"/>
                <w:sz w:val="14"/>
                <w:szCs w:val="14"/>
                <w:color w:val="auto"/>
              </w:rPr>
              <w:t>São João da Barra, Brazil</w:t>
            </w:r>
          </w:p>
        </w:tc>
        <w:tc>
          <w:tcPr>
            <w:tcW w:w="5920" w:type="dxa"/>
            <w:vAlign w:val="bottom"/>
          </w:tcPr>
          <w:p>
            <w:pPr>
              <w:ind w:left="2300"/>
              <w:spacing w:after="0"/>
              <w:rPr>
                <w:sz w:val="20"/>
                <w:szCs w:val="20"/>
                <w:color w:val="auto"/>
              </w:rPr>
            </w:pPr>
            <w:r>
              <w:rPr>
                <w:rFonts w:ascii="Arial" w:cs="Arial" w:eastAsia="Arial" w:hAnsi="Arial"/>
                <w:sz w:val="14"/>
                <w:szCs w:val="14"/>
                <w:color w:val="auto"/>
              </w:rPr>
              <w:t>Subsea</w:t>
            </w:r>
          </w:p>
        </w:tc>
      </w:tr>
      <w:tr>
        <w:trPr>
          <w:trHeight w:val="222"/>
        </w:trPr>
        <w:tc>
          <w:tcPr>
            <w:tcW w:w="5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Veracruz, Mexico</w:t>
            </w:r>
          </w:p>
        </w:tc>
        <w:tc>
          <w:tcPr>
            <w:tcW w:w="5920" w:type="dxa"/>
            <w:vAlign w:val="bottom"/>
            <w:shd w:val="clear" w:color="auto" w:fill="CCEEFF"/>
          </w:tcPr>
          <w:p>
            <w:pPr>
              <w:ind w:left="2300"/>
              <w:spacing w:after="0"/>
              <w:rPr>
                <w:sz w:val="20"/>
                <w:szCs w:val="20"/>
                <w:color w:val="auto"/>
              </w:rPr>
            </w:pPr>
            <w:r>
              <w:rPr>
                <w:rFonts w:ascii="Arial" w:cs="Arial" w:eastAsia="Arial" w:hAnsi="Arial"/>
                <w:sz w:val="14"/>
                <w:szCs w:val="14"/>
                <w:color w:val="auto"/>
              </w:rPr>
              <w:t>Surface</w:t>
            </w:r>
          </w:p>
        </w:tc>
      </w:tr>
      <w:tr>
        <w:trPr>
          <w:trHeight w:val="204"/>
        </w:trPr>
        <w:tc>
          <w:tcPr>
            <w:tcW w:w="5320" w:type="dxa"/>
            <w:vAlign w:val="bottom"/>
          </w:tcPr>
          <w:p>
            <w:pPr>
              <w:ind w:left="360"/>
              <w:spacing w:after="0"/>
              <w:rPr>
                <w:sz w:val="20"/>
                <w:szCs w:val="20"/>
                <w:color w:val="auto"/>
              </w:rPr>
            </w:pPr>
            <w:r>
              <w:rPr>
                <w:rFonts w:ascii="Arial" w:cs="Arial" w:eastAsia="Arial" w:hAnsi="Arial"/>
                <w:sz w:val="14"/>
                <w:szCs w:val="14"/>
                <w:color w:val="auto"/>
              </w:rPr>
              <w:t>Yopal, Colombia</w:t>
            </w:r>
          </w:p>
        </w:tc>
        <w:tc>
          <w:tcPr>
            <w:tcW w:w="5920" w:type="dxa"/>
            <w:vAlign w:val="bottom"/>
          </w:tcPr>
          <w:p>
            <w:pPr>
              <w:ind w:left="2300"/>
              <w:spacing w:after="0"/>
              <w:rPr>
                <w:sz w:val="20"/>
                <w:szCs w:val="20"/>
                <w:color w:val="auto"/>
              </w:rPr>
            </w:pPr>
            <w:r>
              <w:rPr>
                <w:rFonts w:ascii="Arial" w:cs="Arial" w:eastAsia="Arial" w:hAnsi="Arial"/>
                <w:sz w:val="14"/>
                <w:szCs w:val="14"/>
                <w:color w:val="auto"/>
              </w:rPr>
              <w:t>Surface</w:t>
            </w:r>
          </w:p>
        </w:tc>
      </w:tr>
    </w:tbl>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shows marine vessels in which we held an interest or operated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Vessel Name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Vessel Type</w:t>
            </w:r>
          </w:p>
        </w:tc>
        <w:tc>
          <w:tcPr>
            <w:tcW w:w="100" w:type="dxa"/>
            <w:vAlign w:val="bottom"/>
            <w:tcBorders>
              <w:bottom w:val="single" w:sz="8" w:color="CCEEFF"/>
            </w:tcBorders>
          </w:tcPr>
          <w:p>
            <w:pPr>
              <w:spacing w:after="0"/>
              <w:rPr>
                <w:sz w:val="16"/>
                <w:szCs w:val="16"/>
                <w:color w:val="auto"/>
              </w:rPr>
            </w:pP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Special Equipment</w:t>
            </w:r>
          </w:p>
        </w:tc>
      </w:tr>
      <w:tr>
        <w:trPr>
          <w:trHeight w:val="18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Deep Blue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Reeled pipelay/flexible pipelay/umbilical systems</w:t>
            </w:r>
          </w:p>
        </w:tc>
      </w:tr>
      <w:tr>
        <w:trPr>
          <w:trHeight w:val="189"/>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Deep Energy</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120" w:type="dxa"/>
            <w:vAlign w:val="bottom"/>
          </w:tcPr>
          <w:p>
            <w:pPr>
              <w:ind w:left="20"/>
              <w:spacing w:after="0"/>
              <w:rPr>
                <w:sz w:val="20"/>
                <w:szCs w:val="20"/>
                <w:color w:val="auto"/>
              </w:rPr>
            </w:pPr>
            <w:r>
              <w:rPr>
                <w:rFonts w:ascii="Arial" w:cs="Arial" w:eastAsia="Arial" w:hAnsi="Arial"/>
                <w:sz w:val="14"/>
                <w:szCs w:val="14"/>
                <w:color w:val="auto"/>
              </w:rPr>
              <w:t>Reeled pipelay/flexible pipelay/umbilical systems</w:t>
            </w:r>
          </w:p>
        </w:tc>
      </w:tr>
      <w:tr>
        <w:trPr>
          <w:trHeight w:val="18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Apache II</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Reeled pipelay/umbilical systems</w:t>
            </w:r>
          </w:p>
        </w:tc>
      </w:tr>
      <w:tr>
        <w:trPr>
          <w:trHeight w:val="189"/>
        </w:trPr>
        <w:tc>
          <w:tcPr>
            <w:tcW w:w="470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Global 1200 </w:t>
            </w:r>
            <w:r>
              <w:rPr>
                <w:rFonts w:ascii="Arial" w:cs="Arial" w:eastAsia="Arial" w:hAnsi="Arial"/>
                <w:sz w:val="18"/>
                <w:szCs w:val="18"/>
                <w:color w:val="auto"/>
                <w:vertAlign w:val="superscript"/>
              </w:rPr>
              <w:t>(a)</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PLSV/HCV</w:t>
            </w:r>
          </w:p>
        </w:tc>
        <w:tc>
          <w:tcPr>
            <w:tcW w:w="5120" w:type="dxa"/>
            <w:vAlign w:val="bottom"/>
          </w:tcPr>
          <w:p>
            <w:pPr>
              <w:ind w:left="20"/>
              <w:spacing w:after="0"/>
              <w:rPr>
                <w:sz w:val="20"/>
                <w:szCs w:val="20"/>
                <w:color w:val="auto"/>
              </w:rPr>
            </w:pPr>
            <w:r>
              <w:rPr>
                <w:rFonts w:ascii="Arial" w:cs="Arial" w:eastAsia="Arial" w:hAnsi="Arial"/>
                <w:sz w:val="14"/>
                <w:szCs w:val="14"/>
                <w:color w:val="auto"/>
              </w:rPr>
              <w:t>Conventional pipelay/Heavy handling operations</w:t>
            </w:r>
          </w:p>
        </w:tc>
      </w:tr>
      <w:tr>
        <w:trPr>
          <w:trHeight w:val="18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Deep Orient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HCV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189"/>
        </w:trPr>
        <w:tc>
          <w:tcPr>
            <w:tcW w:w="470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North Sea Atlantic </w:t>
            </w:r>
            <w:r>
              <w:rPr>
                <w:rFonts w:ascii="Arial" w:cs="Arial" w:eastAsia="Arial" w:hAnsi="Arial"/>
                <w:sz w:val="18"/>
                <w:szCs w:val="18"/>
                <w:color w:val="auto"/>
                <w:vertAlign w:val="superscript"/>
              </w:rPr>
              <w:t>(b)</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HCV</w:t>
            </w:r>
          </w:p>
        </w:tc>
        <w:tc>
          <w:tcPr>
            <w:tcW w:w="5120" w:type="dxa"/>
            <w:vAlign w:val="bottom"/>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189"/>
        </w:trPr>
        <w:tc>
          <w:tcPr>
            <w:tcW w:w="47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Skandi Africa </w:t>
            </w:r>
            <w:r>
              <w:rPr>
                <w:rFonts w:ascii="Arial" w:cs="Arial" w:eastAsia="Arial" w:hAnsi="Arial"/>
                <w:sz w:val="18"/>
                <w:szCs w:val="18"/>
                <w:color w:val="auto"/>
                <w:vertAlign w:val="superscript"/>
              </w:rPr>
              <w:t>(b)</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HCV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Construction/installation systems</w:t>
            </w:r>
          </w:p>
        </w:tc>
      </w:tr>
      <w:tr>
        <w:trPr>
          <w:trHeight w:val="189"/>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Deep Arctic</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DSV/HCV</w:t>
            </w:r>
          </w:p>
        </w:tc>
        <w:tc>
          <w:tcPr>
            <w:tcW w:w="5120" w:type="dxa"/>
            <w:vAlign w:val="bottom"/>
          </w:tcPr>
          <w:p>
            <w:pPr>
              <w:ind w:left="20"/>
              <w:spacing w:after="0"/>
              <w:rPr>
                <w:sz w:val="20"/>
                <w:szCs w:val="20"/>
                <w:color w:val="auto"/>
              </w:rPr>
            </w:pPr>
            <w:r>
              <w:rPr>
                <w:rFonts w:ascii="Arial" w:cs="Arial" w:eastAsia="Arial" w:hAnsi="Arial"/>
                <w:sz w:val="14"/>
                <w:szCs w:val="14"/>
                <w:color w:val="auto"/>
              </w:rPr>
              <w:t>Diver support systems</w:t>
            </w:r>
          </w:p>
        </w:tc>
      </w:tr>
      <w:tr>
        <w:trPr>
          <w:trHeight w:val="18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Deep Discoverer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DSV/HCV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Diver support systems</w:t>
            </w:r>
          </w:p>
        </w:tc>
      </w:tr>
      <w:tr>
        <w:trPr>
          <w:trHeight w:val="189"/>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Deep Explorer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DSV/HCV</w:t>
            </w:r>
          </w:p>
        </w:tc>
        <w:tc>
          <w:tcPr>
            <w:tcW w:w="5120" w:type="dxa"/>
            <w:vAlign w:val="bottom"/>
          </w:tcPr>
          <w:p>
            <w:pPr>
              <w:ind w:left="20"/>
              <w:spacing w:after="0"/>
              <w:rPr>
                <w:sz w:val="20"/>
                <w:szCs w:val="20"/>
                <w:color w:val="auto"/>
              </w:rPr>
            </w:pPr>
            <w:r>
              <w:rPr>
                <w:rFonts w:ascii="Arial" w:cs="Arial" w:eastAsia="Arial" w:hAnsi="Arial"/>
                <w:sz w:val="14"/>
                <w:szCs w:val="14"/>
                <w:color w:val="auto"/>
              </w:rPr>
              <w:t>Diver support systems</w:t>
            </w:r>
          </w:p>
        </w:tc>
      </w:tr>
      <w:tr>
        <w:trPr>
          <w:trHeight w:val="18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Skandi Vitória</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189"/>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Skandi Niterói</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12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18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Coral do Atlantico</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189"/>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Deep Star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12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18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Skandi Açu</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189"/>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Skandi Búzios</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12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18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Skandi Olinda</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PLSV</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Flexible pipelay/umbilical systems</w:t>
            </w:r>
          </w:p>
        </w:tc>
      </w:tr>
      <w:tr>
        <w:trPr>
          <w:trHeight w:val="190"/>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Skandi Recife</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PLSV</w:t>
            </w:r>
          </w:p>
        </w:tc>
        <w:tc>
          <w:tcPr>
            <w:tcW w:w="5120" w:type="dxa"/>
            <w:vAlign w:val="bottom"/>
          </w:tcPr>
          <w:p>
            <w:pPr>
              <w:ind w:left="20"/>
              <w:spacing w:after="0"/>
              <w:rPr>
                <w:sz w:val="20"/>
                <w:szCs w:val="20"/>
                <w:color w:val="auto"/>
              </w:rPr>
            </w:pPr>
            <w:r>
              <w:rPr>
                <w:rFonts w:ascii="Arial" w:cs="Arial" w:eastAsia="Arial" w:hAnsi="Arial"/>
                <w:sz w:val="14"/>
                <w:szCs w:val="14"/>
                <w:color w:val="auto"/>
              </w:rPr>
              <w:t>Flexible pipelay/umbilical systems</w:t>
            </w:r>
          </w:p>
        </w:tc>
      </w:tr>
    </w:tbl>
    <w:p>
      <w:pPr>
        <w:spacing w:after="0" w:line="16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 December 31, 2020, this vessel is held for sale.</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Vessels under long term charter.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PLSV: Pipelay Support Vessel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HCV: Heavy Duty Construction Vessel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DSV: Diving Support Vessel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are listed on the NYSE and the regulated market of Euronext Paris, in each case trading under the “FTI” symbol.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dividends, see Note 17 “Stockholders’ Equity” to the Consolidated Financial Statements in Item 8.</w:t>
      </w:r>
    </w:p>
    <w:p>
      <w:pPr>
        <w:spacing w:after="0" w:line="17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February 25, 2021, according to data provided by our transfer agent, there were 101 shareholders of record. However, many of our shareholders hold their shares in "street name" by a nominee of Depository Trust Company, which is a single shareholder of record. We estimate that there were approximately 20,500 shareholders whose shares were held in “street name” by banks, brokers, or other financial institutions at February 25,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1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May Yet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Average Price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rPr>
              <w:t>as Part of Publicly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8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Announced Plans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11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Paid per Share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rPr>
              <w:t>or Programs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7"/>
                <w:szCs w:val="17"/>
                <w:b w:val="1"/>
                <w:bCs w:val="1"/>
                <w:color w:val="auto"/>
                <w:vertAlign w:val="superscript"/>
              </w:rPr>
              <w:t>(a)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October 1, 2020 – October 31, 2020</w:t>
            </w: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November 1, 2020 – November 30, 2020</w:t>
            </w:r>
          </w:p>
        </w:tc>
        <w:tc>
          <w:tcPr>
            <w:tcW w:w="118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68"/>
              <w:spacing w:after="0"/>
              <w:rPr>
                <w:sz w:val="20"/>
                <w:szCs w:val="20"/>
                <w:color w:val="auto"/>
              </w:rPr>
            </w:pPr>
            <w:r>
              <w:rPr>
                <w:rFonts w:ascii="Arial" w:cs="Arial" w:eastAsia="Arial" w:hAnsi="Arial"/>
                <w:sz w:val="14"/>
                <w:szCs w:val="14"/>
                <w:color w:val="auto"/>
              </w:rPr>
              <w:t>$</w:t>
            </w:r>
          </w:p>
        </w:tc>
        <w:tc>
          <w:tcPr>
            <w:tcW w:w="2000" w:type="dxa"/>
            <w:vAlign w:val="bottom"/>
            <w:gridSpan w:val="3"/>
          </w:tcPr>
          <w:p>
            <w:pPr>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1, 2020 – December 31, 2020</w:t>
            </w: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Total</w:t>
            </w:r>
          </w:p>
        </w:tc>
        <w:tc>
          <w:tcPr>
            <w:tcW w:w="11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right="100" w:hanging="332"/>
        <w:spacing w:after="0" w:line="258"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December 2018, our Board of Directors authorized an extension of our share repurchase program for $300 million for the purchase of ordinary shares. As of December 31, 2020, $207.8 million remained authorized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graph below compares the cumulative total shareholder return on our ordinary shares for the period from January 17, 2017 to December 31, 2020 with the Standard &amp; Poor’s 500 Index (“S&amp;P 500 Index”) and PHLX Oil Services Index. The comparison assumes $100 was invested, including reinvestment of dividends, if any, in our ordinary shares on January 17, 2017 and in both of the indexes on the same date. The results shown in the graph below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353060</wp:posOffset>
            </wp:positionV>
            <wp:extent cx="5863590" cy="3669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359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TechnipFMC plc</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w:t>
            </w: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114.56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178.32</w:t>
            </w: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PHLX Oil Services Index</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tables set forth selected financial data for each of the five years in the period ended December 31, 2020. This information should be read in conjunction with Part I, Item 1 “Business,” Part II, Item 7 “Management’s Discussion and Analysis of Financial Condition and Results of Operations” and the audited consolidated financial statements and notes thereto included in Part II, Item 8 of this Annual Report on Form 10-K.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10"/>
          </w:tcPr>
          <w:p>
            <w:pPr>
              <w:jc w:val="center"/>
              <w:ind w:left="40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r>
      <w:tr>
        <w:trPr>
          <w:trHeight w:val="16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Statement of income data</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Total revenue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13,050.6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ind w:left="140"/>
              <w:spacing w:after="0"/>
              <w:rPr>
                <w:sz w:val="20"/>
                <w:szCs w:val="20"/>
                <w:color w:val="auto"/>
              </w:rPr>
            </w:pPr>
            <w:r>
              <w:rPr>
                <w:rFonts w:ascii="Arial" w:cs="Arial" w:eastAsia="Arial" w:hAnsi="Arial"/>
                <w:sz w:val="14"/>
                <w:szCs w:val="14"/>
                <w:color w:val="auto"/>
              </w:rPr>
              <w:t>13,409.1</w:t>
            </w:r>
          </w:p>
        </w:tc>
        <w:tc>
          <w:tcPr>
            <w:tcW w:w="3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12,552.9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15,056.9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9,199.6</w:t>
            </w:r>
          </w:p>
        </w:tc>
        <w:tc>
          <w:tcPr>
            <w:tcW w:w="40" w:type="dxa"/>
            <w:vAlign w:val="bottom"/>
          </w:tcPr>
          <w:p>
            <w:pPr>
              <w:spacing w:after="0"/>
              <w:rPr>
                <w:sz w:val="16"/>
                <w:szCs w:val="16"/>
                <w:color w:val="auto"/>
              </w:rPr>
            </w:pPr>
          </w:p>
        </w:tc>
      </w:tr>
      <w:tr>
        <w:trPr>
          <w:trHeight w:val="18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15,936.2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14,935.8</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13,470.5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14,091.7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8,743.6</w:t>
            </w:r>
          </w:p>
        </w:tc>
        <w:tc>
          <w:tcPr>
            <w:tcW w:w="40" w:type="dxa"/>
            <w:vAlign w:val="bottom"/>
          </w:tcPr>
          <w:p>
            <w:pPr>
              <w:spacing w:after="0"/>
              <w:rPr>
                <w:sz w:val="16"/>
                <w:szCs w:val="16"/>
                <w:color w:val="auto"/>
              </w:rPr>
            </w:pPr>
          </w:p>
        </w:tc>
      </w:tr>
      <w:tr>
        <w:trPr>
          <w:trHeight w:val="18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(3,237.9)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(2,412.1)</w:t>
            </w:r>
          </w:p>
        </w:tc>
        <w:tc>
          <w:tcPr>
            <w:tcW w:w="3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(1,910.8)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371.1</w:t>
            </w:r>
          </w:p>
        </w:tc>
        <w:tc>
          <w:tcPr>
            <w:tcW w:w="40" w:type="dxa"/>
            <w:vAlign w:val="bottom"/>
          </w:tcPr>
          <w:p>
            <w:pPr>
              <w:spacing w:after="0"/>
              <w:rPr>
                <w:sz w:val="16"/>
                <w:szCs w:val="16"/>
                <w:color w:val="auto"/>
              </w:rPr>
            </w:pPr>
          </w:p>
        </w:tc>
      </w:tr>
      <w:tr>
        <w:trPr>
          <w:trHeight w:val="18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TechnipFMC plc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393.3</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Earnings (loss) per share from continuing operations attributable to TechnipFMC plc</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Basic earnings (loss) 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(5.39)</w:t>
            </w:r>
          </w:p>
        </w:tc>
        <w:tc>
          <w:tcPr>
            <w:tcW w:w="3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3.29</w:t>
            </w:r>
          </w:p>
        </w:tc>
        <w:tc>
          <w:tcPr>
            <w:tcW w:w="40" w:type="dxa"/>
            <w:vAlign w:val="bottom"/>
          </w:tcPr>
          <w:p>
            <w:pPr>
              <w:spacing w:after="0"/>
              <w:rPr>
                <w:sz w:val="16"/>
                <w:szCs w:val="16"/>
                <w:color w:val="auto"/>
              </w:rPr>
            </w:pPr>
          </w:p>
        </w:tc>
      </w:tr>
      <w:tr>
        <w:trPr>
          <w:trHeight w:val="18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earnings (loss) per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40" w:type="dxa"/>
            <w:vAlign w:val="bottom"/>
          </w:tcPr>
          <w:p>
            <w:pPr>
              <w:spacing w:after="0"/>
              <w:rPr>
                <w:sz w:val="16"/>
                <w:szCs w:val="16"/>
                <w:color w:val="auto"/>
              </w:rPr>
            </w:pPr>
          </w:p>
        </w:tc>
      </w:tr>
      <w:tr>
        <w:trPr>
          <w:trHeight w:val="378"/>
        </w:trPr>
        <w:tc>
          <w:tcPr>
            <w:tcW w:w="5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9"/>
          </w:tcPr>
          <w:p>
            <w:pPr>
              <w:jc w:val="center"/>
              <w:ind w:right="168"/>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3"/>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4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r>
      <w:tr>
        <w:trPr>
          <w:trHeight w:val="16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Balance sheet data</w:t>
            </w: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r>
      <w:tr>
        <w:trPr>
          <w:trHeight w:val="18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19,692.6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23,518.8</w:t>
            </w:r>
          </w:p>
        </w:tc>
        <w:tc>
          <w:tcPr>
            <w:tcW w:w="3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24,784.5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28,263.7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18,679.3</w:t>
            </w:r>
          </w:p>
        </w:tc>
        <w:tc>
          <w:tcPr>
            <w:tcW w:w="40" w:type="dxa"/>
            <w:vAlign w:val="bottom"/>
          </w:tcPr>
          <w:p>
            <w:pPr>
              <w:spacing w:after="0"/>
              <w:rPr>
                <w:sz w:val="16"/>
                <w:szCs w:val="16"/>
                <w:color w:val="auto"/>
              </w:rPr>
            </w:pPr>
          </w:p>
        </w:tc>
      </w:tr>
      <w:tr>
        <w:trPr>
          <w:trHeight w:val="18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3,980.0</w:t>
            </w:r>
          </w:p>
        </w:tc>
        <w:tc>
          <w:tcPr>
            <w:tcW w:w="3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4,124.3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3,777.9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1,869.3</w:t>
            </w:r>
          </w:p>
        </w:tc>
        <w:tc>
          <w:tcPr>
            <w:tcW w:w="40" w:type="dxa"/>
            <w:vAlign w:val="bottom"/>
            <w:shd w:val="clear" w:color="auto" w:fill="CCEEFF"/>
          </w:tcPr>
          <w:p>
            <w:pPr>
              <w:spacing w:after="0"/>
              <w:rPr>
                <w:sz w:val="16"/>
                <w:szCs w:val="16"/>
                <w:color w:val="auto"/>
              </w:rPr>
            </w:pPr>
          </w:p>
        </w:tc>
      </w:tr>
      <w:tr>
        <w:trPr>
          <w:trHeight w:val="191"/>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Total TechnipFMC plc stockholders’ equity</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4,154.2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7,659.3</w:t>
            </w:r>
          </w:p>
        </w:tc>
        <w:tc>
          <w:tcPr>
            <w:tcW w:w="3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10,357.6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13,345.9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5,013.8</w:t>
            </w:r>
          </w:p>
        </w:tc>
        <w:tc>
          <w:tcPr>
            <w:tcW w:w="40" w:type="dxa"/>
            <w:vAlign w:val="bottom"/>
          </w:tcPr>
          <w:p>
            <w:pPr>
              <w:spacing w:after="0"/>
              <w:rPr>
                <w:sz w:val="16"/>
                <w:szCs w:val="16"/>
                <w:color w:val="auto"/>
              </w:rPr>
            </w:pPr>
          </w:p>
        </w:tc>
      </w:tr>
      <w:tr>
        <w:trPr>
          <w:trHeight w:val="377"/>
        </w:trPr>
        <w:tc>
          <w:tcPr>
            <w:tcW w:w="5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center"/>
              <w:ind w:left="44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3"/>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4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5"/>
                <w:szCs w:val="15"/>
                <w:color w:val="auto"/>
              </w:rPr>
            </w:pPr>
          </w:p>
        </w:tc>
      </w:tr>
      <w:tr>
        <w:trPr>
          <w:trHeight w:val="16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Other financial information</w:t>
            </w: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r>
      <w:tr>
        <w:trPr>
          <w:trHeight w:val="18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454.4</w:t>
            </w:r>
          </w:p>
        </w:tc>
        <w:tc>
          <w:tcPr>
            <w:tcW w:w="3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368.1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312.9</w:t>
            </w:r>
          </w:p>
        </w:tc>
        <w:tc>
          <w:tcPr>
            <w:tcW w:w="40" w:type="dxa"/>
            <w:vAlign w:val="bottom"/>
          </w:tcPr>
          <w:p>
            <w:pPr>
              <w:spacing w:after="0"/>
              <w:rPr>
                <w:sz w:val="16"/>
                <w:szCs w:val="16"/>
                <w:color w:val="auto"/>
              </w:rPr>
            </w:pPr>
          </w:p>
        </w:tc>
      </w:tr>
      <w:tr>
        <w:trPr>
          <w:trHeight w:val="18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flows provided (required) by operating activities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848.5</w:t>
            </w:r>
          </w:p>
        </w:tc>
        <w:tc>
          <w:tcPr>
            <w:tcW w:w="3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493.8</w:t>
            </w:r>
          </w:p>
        </w:tc>
        <w:tc>
          <w:tcPr>
            <w:tcW w:w="40" w:type="dxa"/>
            <w:vAlign w:val="bottom"/>
            <w:shd w:val="clear" w:color="auto" w:fill="CCEEFF"/>
          </w:tcPr>
          <w:p>
            <w:pPr>
              <w:spacing w:after="0"/>
              <w:rPr>
                <w:sz w:val="16"/>
                <w:szCs w:val="16"/>
                <w:color w:val="auto"/>
              </w:rPr>
            </w:pPr>
          </w:p>
        </w:tc>
      </w:tr>
      <w:tr>
        <w:trPr>
          <w:trHeight w:val="18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Net cash</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853.9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714.8</w:t>
            </w:r>
          </w:p>
        </w:tc>
        <w:tc>
          <w:tcPr>
            <w:tcW w:w="3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1,348.3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2,882.4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3,716.4</w:t>
            </w:r>
          </w:p>
        </w:tc>
        <w:tc>
          <w:tcPr>
            <w:tcW w:w="40" w:type="dxa"/>
            <w:vAlign w:val="bottom"/>
          </w:tcPr>
          <w:p>
            <w:pPr>
              <w:spacing w:after="0"/>
              <w:rPr>
                <w:sz w:val="16"/>
                <w:szCs w:val="16"/>
                <w:color w:val="auto"/>
              </w:rPr>
            </w:pPr>
          </w:p>
        </w:tc>
      </w:tr>
      <w:tr>
        <w:trPr>
          <w:trHeight w:val="18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Order backlog</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21,388.2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24,251.1</w:t>
            </w:r>
          </w:p>
        </w:tc>
        <w:tc>
          <w:tcPr>
            <w:tcW w:w="3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12,982.8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15,002.0</w:t>
            </w:r>
          </w:p>
        </w:tc>
        <w:tc>
          <w:tcPr>
            <w:tcW w:w="4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results of our operations for the year ended December 31, 2020 include goodwill and long-lived asset impairment charges of $3,083.4 million and $204.0 million, respectively. The results of our operations for the year ended December 31, 2019 include goodwill and long-lived asset impairment charges of $1,988.7 million and $495.4 million, respectively. The results of our operations for the year ended December 31, 2018 include goodwill and vessels impairment charges of $1,383.0 million and $ 372.9 million, respectively, and a legal provision of $280.0 million. See Notes 19 and 20 to our consolidated financial statements for further details.</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results of our operations for the year ended December 31, 2017 consist of the combined results of operations of Technip and FMC Technologies. Due to the Merger, FMC Technologies’ results of operations have been included in our financial statements for periods subsequent to the consummation of the Merger on January 16, 2017 and as a result, data presented for the year December 31, 2017 is not comparable to actual results presented in prior periods. Technip was the accounting acquirer, therefore results for the years ended December 31, 2016 represent Technip only.</w:t>
      </w:r>
    </w:p>
    <w:p>
      <w:pPr>
        <w:spacing w:after="0" w:line="1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Net cash consists of cash and cash equivalents less short-term debt, long-term debt and the current portion of long-term debt. Net cash is a non-GAAP measure that management uses to evaluate our capital structure and financial leverage. See “Liquidity and Capital Resources” in Part II, Item 7 of this Annual Report on Form 10-K for additional discussion and reconciliations of net cash.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52" w:name="page53"/>
    <w:bookmarkEnd w:id="52"/>
    <w:p>
      <w:pPr>
        <w:ind w:right="1300"/>
        <w:spacing w:after="0" w:line="45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EXECUTIVE OVERVIEW</w:t>
      </w:r>
    </w:p>
    <w:p>
      <w:pPr>
        <w:ind w:right="140"/>
        <w:spacing w:after="0" w:line="253" w:lineRule="auto"/>
        <w:rPr>
          <w:sz w:val="20"/>
          <w:szCs w:val="20"/>
          <w:color w:val="auto"/>
        </w:rPr>
      </w:pPr>
      <w:r>
        <w:rPr>
          <w:rFonts w:ascii="Arial" w:cs="Arial" w:eastAsia="Arial" w:hAnsi="Arial"/>
          <w:sz w:val="18"/>
          <w:szCs w:val="18"/>
          <w:color w:val="auto"/>
        </w:rPr>
        <w:t>We are a global leader in energy projects, technologies, systems and services. We have manufacturing operations worldwide, strategically located to facilitate efficient delivery of these products, technologies, systems and services to our customers. We report our results of operations in the following segments: Subsea, Technip Energies and Surface Technologies. Management’s determination of our reporting segments was made on the basis of our strategic priorities and corresponds to the manner in which our Chief Executive Officer reviews and evaluates operating performance to make decisions about resource allocations to each segment.</w:t>
      </w:r>
    </w:p>
    <w:p>
      <w:pPr>
        <w:spacing w:after="0" w:line="15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 description of our products and services and annual financial data for each segment can be found in Part I, Item 1, “Business” and Note 7 to our consolidated financial statements.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focus on economic- and industry-specific drivers and key risk factors affecting our business segments as we formulate our strategic plans and make decisions related to allocating capital and human resources. The results of our segments are primarily driven by changes in capital spending by oil and gas companies, which largely depend upon current and anticipated future crude oil and natural gas demand, production volumes, and consequently, commodity prices. We use crude oil and natural gas prices as an indicator of demand. Additionally, we use both onshore and offshore rig count as an indicator of demand, which consequently influences the level of worldwide production activity and spending decisions. We also focus on key risk factors when determining our overall strategy and making decisions for capital allocation. These factors include risks associated with the global economic outlook, product obsolescence and the competitive environment. We address these risks in our business strategies, which incorporate continuing development of leading edge technologies and cultivating strong customer relationships.</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Subsea segment is affected by changes in commodity prices and trends in deepwater oil and natural gas production. Our Technip Energies segment is impacted by change in commodity prices, population growth and demand for natural gas, although the onshore market is typically more resilient to these changes impacting the segment. Our Subsea and Technip Energies segments both benefit from the current market fundamentals supporting the demand for new liquefied natural gas facilities. Technip Energies also benefits from the construction of petrochemical and fertilizer plants.</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Surface Technologies segment is primarily affected by changes in commodity prices and trends in land-based and shallow water oil and natural gas production. We have developed close working relationships with our customers. Our results reflect our ability to build long-term alliances with oil and natural gas companies and to provide solutions for their needs in a timely and cost-effective manner. We believe that by closely working with our customers, we enhance our competitive advantage, improve our operating results and strengthen our market positions.</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we evaluate our operating results, we consider business segment performance indicators like segment revenue, operating profit and capital employed, in addition to the level of inbound orders and order backlog. A significant proportion of our revenue is recognized under the percentage of completion method of accounting. Cash receipts from such arrangements typically occur at milestones achieved under stated contract terms. Consequently, the timing of revenue recognition is not always correlated with the timing of customer payments. We aim to structure our contracts to receive advance payments that we typically use to fund engineering efforts and inventory purchases. Working capital (excluding cash) and net cash are therefore key performance indicators of cash flows.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each of our segments, we serve customers from around the world. During 2020, approximately 84 percent of our total sales were recognized outside of the United States. We evaluate international markets and pursue opportunities that fit our technological capabilities and strategies.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6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February 16, 2021, we completed the separation of the Technip Energies business segment. The transaction was structured as a Spin-off, which occurred by way of a Distribution to our shareholders of 50.1 percent of the outstanding shares in Technip Energies N.V. Each of our shareholders received one ordinary share of Technip Energies N.V. for every five ordinary shares of TechnipFMC held at 5:00 p.m., New York City time on the record date, February 17, 2021. Technip Energies N.V. is now an independent public company and its shares trade under the ticker symbol “TE” on the Euronext Paris stock exchange.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53" w:name="page54"/>
    <w:bookmarkEnd w:id="53"/>
    <w:p>
      <w:pPr>
        <w:ind w:right="80"/>
        <w:spacing w:after="0" w:line="252" w:lineRule="auto"/>
        <w:rPr>
          <w:sz w:val="20"/>
          <w:szCs w:val="20"/>
          <w:color w:val="auto"/>
        </w:rPr>
      </w:pPr>
      <w:r>
        <w:rPr>
          <w:rFonts w:ascii="Arial" w:cs="Arial" w:eastAsia="Arial" w:hAnsi="Arial"/>
          <w:sz w:val="18"/>
          <w:szCs w:val="18"/>
          <w:color w:val="auto"/>
        </w:rPr>
        <w:t>In connection with the Spin-off, on January 7, 2021, BPI, which has been one of our substantial shareholders since 2009, entered into a Share Purchase Agreement with us pursuant to which BPI agreed to purchase a portion of our retained stake in Technip Energies N.V. for $200.0 million. On February 25, 2021, BPI paid $200.0 million in connection with the Share Purchase Agreement. The Purchase Price is subject to adjustment, and BPI’s ownership stake will be determined based upon a thirty day volume-weighted average price of Technip Energies N.V.’ shares (with BPI’s ownership collared between an 11.82 percentage floor and a 17.25 percentage cap), less a six percent discount. The BPI Investment is subject to customary conditions and regulatory approval. We intend to significantly reduce our shareholding in Technip Energies N.V. over the 18 months following the Spin-off, including in connection with the sale of shares to BPI pursuant to the BPI Investment.</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Beginning in the first quarter of 2021, Technip Energies’ historical financial results for periods prior to the Distribution will be reflected in our consolidated financial statements as discontinued operations.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 xml:space="preserve">Overall outlook </w:t>
      </w:r>
      <w:r>
        <w:rPr>
          <w:rFonts w:ascii="Arial" w:cs="Arial" w:eastAsia="Arial" w:hAnsi="Arial"/>
          <w:sz w:val="18"/>
          <w:szCs w:val="18"/>
          <w:color w:val="auto"/>
        </w:rPr>
        <w:t>– While economic activity continues to be impacted by the COVID-19 pandemic, the short-term outlook for crude oil has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as the OPEC+ countries better manage the oversupplied market. Long-term demand for energy is still forecast to rise, and we believe this outlook will ultimately provide our customers with the confidence to increase investments in new sources of oil and natural gas production.</w:t>
      </w:r>
    </w:p>
    <w:p>
      <w:pPr>
        <w:spacing w:after="0" w:line="22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Subsequent to the Spin-off, we will operate under two reporting segments: Subsea and Surface Technologies, therefore the discussion below relates to these two reporting segments only.</w:t>
      </w:r>
    </w:p>
    <w:p>
      <w:pPr>
        <w:spacing w:after="0" w:line="20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Subsea </w:t>
      </w:r>
      <w:r>
        <w:rPr>
          <w:rFonts w:ascii="Arial" w:cs="Arial" w:eastAsia="Arial" w:hAnsi="Arial"/>
          <w:sz w:val="18"/>
          <w:szCs w:val="18"/>
          <w:color w:val="auto"/>
        </w:rPr>
        <w:t>– The volatile, and generally low crude oil price environment of the last several years led many of our customers to reduce their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plans and defer new deepwater projects. Order activity in 2020 was particularly impacted by the sharp decline in commodity prices, driven in part by the reduced economic activity, and the general uncertainty related to the pandemic. The reduction and deferral of new projects resulted in delayed subsea project inbound for the industry.</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trajectory and pace of further recovery and expansion in the subsea market is subject to more stringent capital discipline and the allocation of capital our clients dedicate to developing offshore oil and gas fields amongst their entire portfolio of projects. The risk of project sanctioning delays still exists in the current environment; however, innovative approaches to subsea projects, like our iEPCI solution, have improved project economics, and many offshore discoveries can be developed economically at today’s crude oil prices. In the long-term, deepwater development is expected to remain a significant part of many of our customers’ portfolios.</w:t>
      </w:r>
    </w:p>
    <w:p>
      <w:pPr>
        <w:spacing w:after="0" w:line="232"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As the subsea industry continues to evolve, we have taken actions to further streamline our organization, achieve standardization, and reduce cycle times. The rationalization of our global footprint will also further leverage the benefits of our integrated offering. We aim to continuously align our operations with activity levels, while preserving our core capacity in order to deliver current projects in backlog and future order activity.</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experienced renewed operator confidence in advancing subsea activity as a result of the improved economic outlook, lower market volatility and higher oil price. With crude now trending back above $50 per barrel, the opportunity set of large subsea projects to be sanctioned over the next 24 months has expanded.</w:t>
      </w:r>
    </w:p>
    <w:p>
      <w:pPr>
        <w:spacing w:after="0" w:line="229"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FEED activity is also improving, with solid momentum experienced in the second half of 2020. FEED activity in the current year is expected to return to the more robust levels seen in 2019, which further supports our view of a sustainable recovery for deepwater. We expect at least 60% of the projects undergoing studies in 2021 to include an iEPCI solution, many of which could be directly awarded to our Company upon reaching final investment decision.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TechnipFMC is increasingly less dependent on larger, publicly tendered projects.</w:t>
      </w: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anticipate that an increasing share of our inbound orders will result from projects that will be direct awarded to our Company, many of which come from our alliance partners;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anticipate higher activity in subsea services, with the industry’s largest installed base;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expect a higher mix of iEPCI project awards, demonstrating strong geographic diversity and new adopters of our unique, integrated approach to subsea development.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2021, we believe that Subsea inbound orders will meet or exceed the $4 billion achieved in 2020. We expect Brazil to be the most active region of the world for new project orders, driven by continued investment in the pre-salt field discoveries. We see additional market growth potential coming from the North Sea, Asia Pacific and Africa. The strong front end activity we are experiencing today should further support project award momentum into 2022.</w:t>
      </w:r>
    </w:p>
    <w:p>
      <w:pPr>
        <w:spacing w:after="0" w:line="213" w:lineRule="exact"/>
        <w:rPr>
          <w:sz w:val="20"/>
          <w:szCs w:val="20"/>
          <w:color w:val="auto"/>
        </w:rPr>
      </w:pPr>
    </w:p>
    <w:p>
      <w:pPr>
        <w:jc w:val="both"/>
        <w:ind w:right="540"/>
        <w:spacing w:after="0" w:line="266" w:lineRule="auto"/>
        <w:rPr>
          <w:sz w:val="20"/>
          <w:szCs w:val="20"/>
          <w:color w:val="auto"/>
        </w:rPr>
      </w:pPr>
      <w:r>
        <w:rPr>
          <w:rFonts w:ascii="Arial" w:cs="Arial" w:eastAsia="Arial" w:hAnsi="Arial"/>
          <w:sz w:val="18"/>
          <w:szCs w:val="18"/>
          <w:i w:val="1"/>
          <w:iCs w:val="1"/>
          <w:color w:val="auto"/>
        </w:rPr>
        <w:t xml:space="preserve">Surface Technologies </w:t>
      </w:r>
      <w:r>
        <w:rPr>
          <w:rFonts w:ascii="Arial" w:cs="Arial" w:eastAsia="Arial" w:hAnsi="Arial"/>
          <w:sz w:val="18"/>
          <w:szCs w:val="18"/>
          <w:color w:val="auto"/>
        </w:rPr>
        <w:t>– Surface Technologies’ performance is typically driven by variations in global drilling activity, creating a dynamic</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Operating results can be further impacted by stimulation activity and the completions intensity of shale applications in the Americas.</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North America shale market is sensitive to oil price fluctuations. The average rig count declined by just over 50 percent in 2020, with drilling and completion spending estimated to have declined by a similar amount. North America activity improved over the second half of the year as the rig count increased following the rising oil price. The rig count exited 2020 below prior year-end levels but has experienced further improvement in the current year.</w:t>
      </w:r>
    </w:p>
    <w:p>
      <w:pPr>
        <w:spacing w:after="0" w:line="2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2021, we expect our completions-related revenue to outperform the overall market, driven by increased market adoption of iComplete – our fully integrated, digitally-enabled pressure control system. iComplete has already achieved significant market penetration since its introduction in the third quarter of 2020, with 10 customers utilizing the new integrated system.</w:t>
      </w:r>
    </w:p>
    <w:p>
      <w:pPr>
        <w:spacing w:after="0" w:line="22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Despite the sequential improvement in market activity, full year revenue for North America is expected to be flat to down modestly versus 2020.</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Drilling activity in international markets is less cyclical than North America as most activity is driven by national oil companies, which tend to maintain a longer term view that exhibits less variability in capital spend. Additionally, we continue to benefit from our exposure to the Middle East and Asia Pacific, both of which are being supported by strength in gas-related activity. The average rig count in these two regions declined by a more modest 17 percent in 2020 versus the prior year.</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International revenue has been gaining significance in our total segment revenue, representing over 60 percent in 2020. We expect a gradual and steady recovery in well count in 2021 to drive modest international market growth, with spending increases led by national oil companies, particularly in the Middle East.</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unique capabilities in the international markets, which demand higher specification equipment, global services and local content, provide a platform for us to extend our leadership positions. We remain levered to these more resilient markets where we expect to source approximately 65% of our full year revenue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section of this Form 10-K generally discusses 2020 and 2019 items and year-to-year comparisons between 2020 and 2019. Discussions of 2018 items and year-to-year comparisons between 2019 and 2018 that are not included in this Form 10-K can be found in “Management’s Discussion and Analysis of Financial Condition and Results of Operations” in Part II, Item 7 of our Annual Report on Form 10-K for the year ended December 31,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5"/>
                <w:szCs w:val="15"/>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4"/>
          </w:tcPr>
          <w:p>
            <w:pPr>
              <w:ind w:left="360"/>
              <w:spacing w:after="0"/>
              <w:rPr>
                <w:sz w:val="20"/>
                <w:szCs w:val="20"/>
                <w:color w:val="auto"/>
              </w:rPr>
            </w:pPr>
            <w:r>
              <w:rPr>
                <w:rFonts w:ascii="Arial" w:cs="Arial" w:eastAsia="Arial" w:hAnsi="Arial"/>
                <w:sz w:val="14"/>
                <w:szCs w:val="14"/>
                <w:b w:val="1"/>
                <w:bCs w:val="1"/>
                <w:color w:val="auto"/>
              </w:rPr>
              <w:t>2020 vs. 2019</w:t>
            </w:r>
          </w:p>
        </w:tc>
        <w:tc>
          <w:tcPr>
            <w:tcW w:w="300" w:type="dxa"/>
            <w:vAlign w:val="bottom"/>
          </w:tcPr>
          <w:p>
            <w:pPr>
              <w:spacing w:after="0"/>
              <w:rPr>
                <w:sz w:val="15"/>
                <w:szCs w:val="15"/>
                <w:color w:val="auto"/>
              </w:rPr>
            </w:pPr>
          </w:p>
        </w:tc>
        <w:tc>
          <w:tcPr>
            <w:tcW w:w="1260" w:type="dxa"/>
            <w:vAlign w:val="bottom"/>
            <w:gridSpan w:val="3"/>
          </w:tcPr>
          <w:p>
            <w:pPr>
              <w:ind w:left="300"/>
              <w:spacing w:after="0"/>
              <w:rPr>
                <w:sz w:val="20"/>
                <w:szCs w:val="20"/>
                <w:color w:val="auto"/>
              </w:rPr>
            </w:pPr>
            <w:r>
              <w:rPr>
                <w:rFonts w:ascii="Arial" w:cs="Arial" w:eastAsia="Arial" w:hAnsi="Arial"/>
                <w:sz w:val="14"/>
                <w:szCs w:val="14"/>
                <w:b w:val="1"/>
                <w:bCs w:val="1"/>
                <w:color w:val="auto"/>
              </w:rPr>
              <w:t>2019 vs. 2018</w:t>
            </w:r>
          </w:p>
        </w:tc>
        <w:tc>
          <w:tcPr>
            <w:tcW w:w="560" w:type="dxa"/>
            <w:vAlign w:val="bottom"/>
          </w:tcPr>
          <w:p>
            <w:pPr>
              <w:spacing w:after="0"/>
              <w:rPr>
                <w:sz w:val="15"/>
                <w:szCs w:val="15"/>
                <w:color w:val="auto"/>
              </w:rPr>
            </w:pPr>
          </w:p>
        </w:tc>
      </w:tr>
      <w:tr>
        <w:trPr>
          <w:trHeight w:val="18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13,050.6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13,409.1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12,552.9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(358.5)</w:t>
            </w: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856.2</w:t>
            </w: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6.8 %</w:t>
            </w: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9"/>
        </w:trPr>
        <w:tc>
          <w:tcPr>
            <w:tcW w:w="370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11,209.4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10,950.7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10,273.0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258.7</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677.7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6.6 %</w:t>
            </w:r>
          </w:p>
        </w:tc>
      </w:tr>
      <w:tr>
        <w:trPr>
          <w:trHeight w:val="189"/>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r>
      <w:tr>
        <w:trPr>
          <w:trHeight w:val="189"/>
        </w:trPr>
        <w:tc>
          <w:tcPr>
            <w:tcW w:w="370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89"/>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36.0 %</w:t>
            </w:r>
          </w:p>
        </w:tc>
      </w:tr>
      <w:tr>
        <w:trPr>
          <w:trHeight w:val="189"/>
        </w:trPr>
        <w:tc>
          <w:tcPr>
            <w:tcW w:w="3700" w:type="dxa"/>
            <w:vAlign w:val="bottom"/>
          </w:tcPr>
          <w:p>
            <w:pPr>
              <w:ind w:left="220"/>
              <w:spacing w:after="0"/>
              <w:rPr>
                <w:sz w:val="20"/>
                <w:szCs w:val="20"/>
                <w:color w:val="auto"/>
              </w:rPr>
            </w:pPr>
            <w:r>
              <w:rPr>
                <w:rFonts w:ascii="Arial" w:cs="Arial" w:eastAsia="Arial" w:hAnsi="Arial"/>
                <w:sz w:val="14"/>
                <w:szCs w:val="14"/>
                <w:color w:val="auto"/>
              </w:rPr>
              <w:t>Separation costs</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9"/>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15,936.2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14,935.8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13,470.5</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1,000.4</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1,465.3</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10.9 %</w:t>
            </w:r>
          </w:p>
        </w:tc>
      </w:tr>
      <w:tr>
        <w:trPr>
          <w:trHeight w:val="216"/>
        </w:trPr>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89"/>
        </w:trPr>
        <w:tc>
          <w:tcPr>
            <w:tcW w:w="370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114.1 %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31.9 %</w:t>
            </w:r>
          </w:p>
        </w:tc>
      </w:tr>
      <w:tr>
        <w:trPr>
          <w:trHeight w:val="189"/>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89"/>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interest expense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35.1 %</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183"/>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r>
      <w:tr>
        <w:trPr>
          <w:trHeight w:val="189"/>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r>
      <w:tr>
        <w:trPr>
          <w:trHeight w:val="183"/>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(3,237.9)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(2,412.1)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(1,910.8)</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(825.8)</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(501.3)</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183"/>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profit attributable to non-controlling interests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71.3 %</w:t>
            </w:r>
          </w:p>
        </w:tc>
      </w:tr>
      <w:tr>
        <w:trPr>
          <w:trHeight w:val="20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TechnipFMC plc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(872.4)</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(493.6)</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in 2020 Compared to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decreased by $358.5 million in 2020 compared to 2019. Subsea revenue decreased year-over-year primarily due to decreased project activity in the Gulf of Mexico and the North Sea. Increased revenue in Technip Energies was primarily driven by the continued ramp-up of Arctic LNG 2, increased activity on downstream projects and in the Process Technology business, which more than offset the decline in revenue from Yamal LNG. Technip Energies revenue was also favorably impacted by the result of a litigation settlement. Surface Technologies revenue decreased, primarily as a result of the significant decline in operator activity in North America, with partial positive impact from order intake timing in international markets. In addition, our consolidated revenues were negatively impacted by operational challenges associated with the COVID-19 related disruptions.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Gross profit (revenue less cost of sales) as a percentage of sales decreased to 14.1% in 2020 compared to 18.3% in 2019. Subsea gross profit decreased due to a more competitively priced backlog and the negative operational impacts related to COVID-19. Gross profit declined in Technip Energies due in large part to a reduced contribution from Yamal LNG as the project reached physical completion last year and is progressing through the warranty phase. Surface Technologies gross profit was negatively impacted by the year-over-year decline in North American drilling and completions activity, which was partially offset by the lower costs from our accelerated cost reduction initiative implemented during 2020.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Selling, general and administrative expense decreased by $ 161.9 million year-over-year, primarily as a result of decreased corporate expenses. During the beginning of 2020, in response to the deteriorated market environment, driven in part by the COVID-19 pandemic, we implemented a series of cost reduction initiatives that resulted in significant savings and extended to all business segments and support functions.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incurred $3,501.3 million of restructuring, impairment and other expenses in 2020. These charges primarily included $3,083.4 million of goodwill impairment, $204.0 million of long-lived assets impairment, $101.8 million of COVID-19 related expenses, and $112.1 million for restructuring and severance expenses. 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 During 2019, we incurred $2,490.8 million of restructuring, impairment and other expenses, which included $1,988.7 million and $495.4 million of goodwill and long-lived assets impairments, respectively. See Note 19 to our consolidated financial statements for further details.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costs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year ended December 31, 2020, we incurred $39.5 million of separation costs associated with the preparation of the separation transaction. During the first quarter of 2020, we incurred $27.1 million of separation costs associated with the separation transaction, which was postponed due to the COVID-19 pandemic, the significant decline in commodity prices, and the heightened volatility in global equity markets. During the fourth quarter of 2020, we incurred $12.4 million of separation costs associated with the January 2021 announcement of the resumption of activities toward the separation of Technip Energies. During the year ended December 31, 2019, we incurred $72.1 million of separation costs associated with the separation transaction. See Note 3 to our consolidated financial statements for further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Prior to the initial announcement of the planned separation transaction in August 2019, we incurred merger transaction and integration costs of $31.2 million during the first half of 2019 relating to the continuation of the integration activities following the Merger. No such costs were incurred subsequently in 2019 or in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gains and losses on sales of property, plant and equipment and other non-operating gains and losses. During 2020, we recognized $31.1 million of other income, which primarily included $23.1 million of gains on sales of property, plant and equipment and other assets. During 2019, we recognized $220.7 million of other expenses, which primarily included $146.9 million of net foreign exchange losses and $54.6 million of legal provision, net of settlements. The change in foreign exchange losses is primarily due to a reduction in foreign exchange losses from unhedged currencies, more favorable hedging costs, and the effects of a weakened U.S. dollar on naturally hedged projects.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Net interest expense decreased $ 158.3 million in 2020 compared to 2019, primarily due to the change in the fair value of the redeemable financial liability. We revalued the mandatorily redeemable financial liability to reflect current expectations about the obligation and recognized a charge of $202.0 million, as compared to $423.1 million recognized in 2019. See Note 24 to our consolidated financial statements for further details. Net interest expense, excluding the fair value measurement of the mandatorily redeemable financial liability and including interest income decreased by $62.8 million during 2020.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provision for income taxes for 2020 and 2019 reflected effective tax rates of (5.0)% and (12.9)%, respectively. The year-over-year change in the effective tax rate was primarily due to the impact of nondeductible goodwill impairments, increase in adjustment on prior year taxes, offset in part by the amount of tax expense associated with movements in valuation allowances.</w:t>
      </w:r>
    </w:p>
    <w:p>
      <w:pPr>
        <w:spacing w:after="0" w:line="14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effective tax rate can fluctuate depending on our country mix of earnings, which may change based on changes in the jurisdictions in which we operate.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OF BUSINESS SEGMENTS</w:t>
      </w:r>
    </w:p>
    <w:p>
      <w:pPr>
        <w:spacing w:after="0" w:line="193"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7 to our consolidated financial statements for further details.</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report our results of operations in U.S. dollars; however, our earnings are generated in various currencies worldwide. In order to provide worldwide consolidated results, the earnings of subsidiaries functioning in their local currencies are translated into U.S. dollars based upon the average exchange rate during the period. While the U.S. dollar results reported reflect the actual economics of the period reported upon, the variances from prior periods include the impact of translating earnings at different rates.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728"/>
              <w:spacing w:after="0"/>
              <w:rPr>
                <w:sz w:val="20"/>
                <w:szCs w:val="20"/>
                <w:color w:val="auto"/>
              </w:rPr>
            </w:pPr>
            <w:r>
              <w:rPr>
                <w:rFonts w:ascii="Arial" w:cs="Arial" w:eastAsia="Arial" w:hAnsi="Arial"/>
                <w:sz w:val="14"/>
                <w:szCs w:val="14"/>
                <w:b w:val="1"/>
                <w:bCs w:val="1"/>
                <w:color w:val="auto"/>
              </w:rPr>
              <w:t>Favorable/(Unfavorable)</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83"/>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2020 vs. 2019</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vs. 2018</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18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5,471.4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5,523.0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4,840.0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(51.6)</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683.0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14.1</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26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(2,815.5)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(1,447.7)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(1,529.5)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(1,367.8)</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(94.5)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48"/>
              <w:spacing w:after="0"/>
              <w:rPr>
                <w:sz w:val="20"/>
                <w:szCs w:val="20"/>
                <w:color w:val="auto"/>
              </w:rPr>
            </w:pPr>
            <w:r>
              <w:rPr>
                <w:rFonts w:ascii="Arial" w:cs="Arial" w:eastAsia="Arial" w:hAnsi="Arial"/>
                <w:sz w:val="14"/>
                <w:szCs w:val="14"/>
                <w:color w:val="auto"/>
              </w:rPr>
              <w:t>81.8</w:t>
            </w:r>
          </w:p>
        </w:tc>
        <w:tc>
          <w:tcPr>
            <w:tcW w:w="320" w:type="dxa"/>
            <w:vAlign w:val="bottom"/>
          </w:tcPr>
          <w:p>
            <w:pPr>
              <w:jc w:val="right"/>
              <w:spacing w:after="0"/>
              <w:rPr>
                <w:sz w:val="20"/>
                <w:szCs w:val="20"/>
                <w:color w:val="auto"/>
              </w:rPr>
            </w:pPr>
            <w:r>
              <w:rPr>
                <w:rFonts w:ascii="Arial" w:cs="Arial" w:eastAsia="Arial" w:hAnsi="Arial"/>
                <w:sz w:val="14"/>
                <w:szCs w:val="14"/>
                <w:color w:val="auto"/>
              </w:rPr>
              <w:t>5.3</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3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90"/>
        </w:trPr>
        <w:tc>
          <w:tcPr>
            <w:tcW w:w="3260" w:type="dxa"/>
            <w:vAlign w:val="bottom"/>
          </w:tcPr>
          <w:p>
            <w:pPr>
              <w:ind w:left="20"/>
              <w:spacing w:after="0"/>
              <w:rPr>
                <w:sz w:val="20"/>
                <w:szCs w:val="20"/>
                <w:color w:val="auto"/>
              </w:rPr>
            </w:pPr>
            <w:r>
              <w:rPr>
                <w:rFonts w:ascii="Arial" w:cs="Arial" w:eastAsia="Arial" w:hAnsi="Arial"/>
                <w:sz w:val="14"/>
                <w:szCs w:val="14"/>
                <w:color w:val="auto"/>
              </w:rPr>
              <w:t>Operating loss as a percentage of revenue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(25.3) pts.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5.4</w:t>
            </w:r>
          </w:p>
        </w:tc>
        <w:tc>
          <w:tcPr>
            <w:tcW w:w="300" w:type="dxa"/>
            <w:vAlign w:val="bottom"/>
          </w:tcPr>
          <w:p>
            <w:pPr>
              <w:jc w:val="right"/>
              <w:spacing w:after="0"/>
              <w:rPr>
                <w:sz w:val="20"/>
                <w:szCs w:val="20"/>
                <w:color w:val="auto"/>
              </w:rPr>
            </w:pPr>
            <w:r>
              <w:rPr>
                <w:rFonts w:ascii="Arial" w:cs="Arial" w:eastAsia="Arial" w:hAnsi="Arial"/>
                <w:sz w:val="14"/>
                <w:szCs w:val="14"/>
                <w:color w:val="auto"/>
              </w:rPr>
              <w:t>pts.</w:t>
            </w:r>
          </w:p>
        </w:tc>
      </w:tr>
    </w:tbl>
    <w:p>
      <w:pPr>
        <w:spacing w:after="0" w:line="200" w:lineRule="exact"/>
        <w:rPr>
          <w:sz w:val="20"/>
          <w:szCs w:val="20"/>
          <w:color w:val="auto"/>
        </w:rPr>
      </w:pPr>
    </w:p>
    <w:p>
      <w:pPr>
        <w:spacing w:after="0" w:line="36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Subsea revenue decreased $51.6 million, or (0.9)% year-over-year, primarily due to operational challenges driven by the COVID-19 pandemic. However, despite these challenges and related disruptions, we continued to demonstrate strong execution of our backlog.</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Subsea operating loss is primarily due to significant impairment and other non-recurring charges. The operating loss included $2,957.5 million of goodwill and long-lived assets impairments, restructuring and other charges and COVID-19 related expenses compared to $1,752.2 million in 2019. Non-recurring charges incurred related to COVID-19 disruptions during 2020 were $50.1 million. See Note 19 to our consolidated financial statements for further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 Energies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728"/>
              <w:spacing w:after="0"/>
              <w:rPr>
                <w:sz w:val="20"/>
                <w:szCs w:val="20"/>
                <w:color w:val="auto"/>
              </w:rPr>
            </w:pPr>
            <w:r>
              <w:rPr>
                <w:rFonts w:ascii="Arial" w:cs="Arial" w:eastAsia="Arial" w:hAnsi="Arial"/>
                <w:sz w:val="14"/>
                <w:szCs w:val="14"/>
                <w:b w:val="1"/>
                <w:bCs w:val="1"/>
                <w:color w:val="auto"/>
              </w:rPr>
              <w:t>Favorable/(Unfavorable)</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2020 vs. 2019</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vs. 2018</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6,520.0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6,268.8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6,120.7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251.2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148.1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683.6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959.6</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824.0</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(276.0)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68"/>
              <w:spacing w:after="0"/>
              <w:rPr>
                <w:sz w:val="20"/>
                <w:szCs w:val="20"/>
                <w:color w:val="auto"/>
              </w:rPr>
            </w:pPr>
            <w:r>
              <w:rPr>
                <w:rFonts w:ascii="Arial" w:cs="Arial" w:eastAsia="Arial" w:hAnsi="Arial"/>
                <w:sz w:val="14"/>
                <w:szCs w:val="14"/>
                <w:color w:val="auto"/>
              </w:rPr>
              <w:t>135.6</w:t>
            </w:r>
          </w:p>
        </w:tc>
        <w:tc>
          <w:tcPr>
            <w:tcW w:w="320" w:type="dxa"/>
            <w:vAlign w:val="bottom"/>
          </w:tcPr>
          <w:p>
            <w:pPr>
              <w:jc w:val="right"/>
              <w:spacing w:after="0"/>
              <w:rPr>
                <w:sz w:val="20"/>
                <w:szCs w:val="20"/>
                <w:color w:val="auto"/>
              </w:rPr>
            </w:pPr>
            <w:r>
              <w:rPr>
                <w:rFonts w:ascii="Arial" w:cs="Arial" w:eastAsia="Arial" w:hAnsi="Arial"/>
                <w:sz w:val="14"/>
                <w:szCs w:val="14"/>
                <w:color w:val="auto"/>
                <w:w w:val="95"/>
              </w:rPr>
              <w:t>16.5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3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(4.8) pts.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jc w:val="right"/>
              <w:spacing w:after="0"/>
              <w:rPr>
                <w:sz w:val="20"/>
                <w:szCs w:val="20"/>
                <w:color w:val="auto"/>
              </w:rPr>
            </w:pPr>
            <w:r>
              <w:rPr>
                <w:rFonts w:ascii="Arial" w:cs="Arial" w:eastAsia="Arial" w:hAnsi="Arial"/>
                <w:sz w:val="14"/>
                <w:szCs w:val="14"/>
                <w:color w:val="auto"/>
              </w:rPr>
              <w:t>pts.</w:t>
            </w:r>
          </w:p>
        </w:tc>
      </w:tr>
    </w:tbl>
    <w:p>
      <w:pPr>
        <w:spacing w:after="0" w:line="200" w:lineRule="exact"/>
        <w:rPr>
          <w:sz w:val="20"/>
          <w:szCs w:val="20"/>
          <w:color w:val="auto"/>
        </w:rPr>
      </w:pPr>
    </w:p>
    <w:p>
      <w:pPr>
        <w:spacing w:after="0" w:line="36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Technip Energies revenue increased $ 251.2 million year-over-year. Revenue benefited from the continued ramp-up of Arctic LNG 2 and higher activity on downstream projects in Africa, North America and India, which more than offset the decline in revenue from Yamal LNG. COVID-19 related operational efficiencies and business disruption also impeded revenue growth during 2020. Revenue during the period benefited from a $113.2 million litigation settlement.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8" w:name="page59"/>
    <w:bookmarkEnd w:id="58"/>
    <w:p>
      <w:pPr>
        <w:jc w:val="both"/>
        <w:ind w:right="360"/>
        <w:spacing w:after="0" w:line="256" w:lineRule="auto"/>
        <w:rPr>
          <w:sz w:val="20"/>
          <w:szCs w:val="20"/>
          <w:color w:val="auto"/>
        </w:rPr>
      </w:pPr>
      <w:r>
        <w:rPr>
          <w:rFonts w:ascii="Arial" w:cs="Arial" w:eastAsia="Arial" w:hAnsi="Arial"/>
          <w:sz w:val="18"/>
          <w:szCs w:val="18"/>
          <w:color w:val="auto"/>
        </w:rPr>
        <w:t>Operating profit decreased year-over-year, primarily due to a reduced contribution from Yamal LNG and lower margin realization on early stage projects, including Arctic LNG 2. Project execution remained strong across the portfolio. Non-recurring charges incurred related to COVID-19 disruptions during the period were $44.0 million.</w:t>
      </w:r>
    </w:p>
    <w:p>
      <w:pPr>
        <w:spacing w:after="0" w:line="130"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more information regarding our segment operating results. Subsequent to the Spin-off, we operate under two reporting segments: Subsea and Surface Technologies, for further details see Note 3 to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Favorable/(Unfavorable)</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24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3"/>
          </w:tcPr>
          <w:p>
            <w:pPr>
              <w:ind w:left="380"/>
              <w:spacing w:after="0"/>
              <w:rPr>
                <w:sz w:val="20"/>
                <w:szCs w:val="20"/>
                <w:color w:val="auto"/>
              </w:rPr>
            </w:pPr>
            <w:r>
              <w:rPr>
                <w:rFonts w:ascii="Arial" w:cs="Arial" w:eastAsia="Arial" w:hAnsi="Arial"/>
                <w:sz w:val="14"/>
                <w:szCs w:val="14"/>
                <w:b w:val="1"/>
                <w:bCs w:val="1"/>
                <w:color w:val="auto"/>
              </w:rPr>
              <w:t>2020 vs. 2019</w:t>
            </w:r>
          </w:p>
        </w:tc>
        <w:tc>
          <w:tcPr>
            <w:tcW w:w="260" w:type="dxa"/>
            <w:vAlign w:val="bottom"/>
          </w:tcPr>
          <w:p>
            <w:pPr>
              <w:spacing w:after="0"/>
              <w:rPr>
                <w:sz w:val="15"/>
                <w:szCs w:val="15"/>
                <w:color w:val="auto"/>
              </w:rPr>
            </w:pPr>
          </w:p>
        </w:tc>
        <w:tc>
          <w:tcPr>
            <w:tcW w:w="174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2019 vs. 2018</w:t>
            </w:r>
          </w:p>
        </w:tc>
        <w:tc>
          <w:tcPr>
            <w:tcW w:w="220" w:type="dxa"/>
            <w:vAlign w:val="bottom"/>
          </w:tcPr>
          <w:p>
            <w:pPr>
              <w:spacing w:after="0"/>
              <w:rPr>
                <w:sz w:val="15"/>
                <w:szCs w:val="15"/>
                <w:color w:val="auto"/>
              </w:rPr>
            </w:pPr>
          </w:p>
        </w:tc>
      </w:tr>
      <w:tr>
        <w:trPr>
          <w:trHeight w:val="182"/>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1,059.2</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1,617.3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1,592.2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(558.1)</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25.1</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(429.3)</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(656.1)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226.8</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(828.9)</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(479.7)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3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spacing w:after="0"/>
              <w:rPr>
                <w:sz w:val="14"/>
                <w:szCs w:val="14"/>
                <w:color w:val="auto"/>
              </w:rPr>
            </w:pP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0.1 pts.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(51.5) pts.</w:t>
            </w:r>
          </w:p>
        </w:tc>
      </w:tr>
    </w:tbl>
    <w:p>
      <w:pPr>
        <w:spacing w:after="0" w:line="200" w:lineRule="exact"/>
        <w:rPr>
          <w:sz w:val="20"/>
          <w:szCs w:val="20"/>
          <w:color w:val="auto"/>
        </w:rPr>
      </w:pPr>
    </w:p>
    <w:p>
      <w:pPr>
        <w:spacing w:after="0" w:line="36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Surface Technologies revenue decreased $558.1 million, or (34.5)% year-over-year, primarily driven by the significant reduction in operator activity in North America. Revenue outside of North America displayed resilience, with a more modest decline due to reduced activity levels. Nearly 64% of total segment revenue was generated outside of North America in the period.</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Surface Technologies operating loss was primarily due to impairment and other non-recurring charges. The operating loss included $440.2 million of goodwill and long-lived assets impairments, restructuring and other charges and COVID-19 related expenses compared to $704.2 million incurred in 2019. Operating loss was also negatively impacted by the reduced demand in North America driven by the significant decline in rig count and completions-related activity, which was partially offset by lower costs from our accelerated cost reduction actions initiated in the first quarter of 2020. Non-recurring charges incurred related to COVID-19 disruptions during the period were $7.7 million. See Note 19 to our consolidated financial statements for further details.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Favorable/(Unfavorable)</w:t>
            </w:r>
          </w:p>
        </w:tc>
        <w:tc>
          <w:tcPr>
            <w:tcW w:w="900" w:type="dxa"/>
            <w:vAlign w:val="bottom"/>
            <w:tcBorders>
              <w:bottom w:val="single" w:sz="8" w:color="auto"/>
            </w:tcBorders>
          </w:tcPr>
          <w:p>
            <w:pPr>
              <w:spacing w:after="0"/>
              <w:rPr>
                <w:sz w:val="16"/>
                <w:szCs w:val="16"/>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200" w:type="dxa"/>
            <w:vAlign w:val="bottom"/>
          </w:tcPr>
          <w:p>
            <w:pPr>
              <w:spacing w:after="0"/>
              <w:rPr>
                <w:sz w:val="15"/>
                <w:szCs w:val="15"/>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ind w:left="240"/>
              <w:spacing w:after="0"/>
              <w:rPr>
                <w:sz w:val="20"/>
                <w:szCs w:val="20"/>
                <w:color w:val="auto"/>
              </w:rPr>
            </w:pPr>
            <w:r>
              <w:rPr>
                <w:rFonts w:ascii="Arial" w:cs="Arial" w:eastAsia="Arial" w:hAnsi="Arial"/>
                <w:sz w:val="14"/>
                <w:szCs w:val="14"/>
                <w:b w:val="1"/>
                <w:bCs w:val="1"/>
                <w:color w:val="auto"/>
              </w:rPr>
              <w:t>2020 vs. 2019</w:t>
            </w:r>
          </w:p>
        </w:tc>
        <w:tc>
          <w:tcPr>
            <w:tcW w:w="340" w:type="dxa"/>
            <w:vAlign w:val="bottom"/>
          </w:tcPr>
          <w:p>
            <w:pPr>
              <w:spacing w:after="0"/>
              <w:rPr>
                <w:sz w:val="15"/>
                <w:szCs w:val="15"/>
                <w:color w:val="auto"/>
              </w:rPr>
            </w:pPr>
          </w:p>
        </w:tc>
        <w:tc>
          <w:tcPr>
            <w:tcW w:w="172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2019 vs. 2018</w:t>
            </w:r>
          </w:p>
        </w:tc>
      </w:tr>
      <w:tr>
        <w:trPr>
          <w:trHeight w:val="18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expense</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191.9</w:t>
            </w:r>
          </w:p>
        </w:tc>
        <w:tc>
          <w:tcPr>
            <w:tcW w:w="9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84.6</w:t>
            </w:r>
          </w:p>
        </w:tc>
        <w:tc>
          <w:tcPr>
            <w:tcW w:w="90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18%</w:t>
            </w:r>
          </w:p>
        </w:tc>
      </w:tr>
    </w:tbl>
    <w:p>
      <w:pPr>
        <w:spacing w:after="0" w:line="200" w:lineRule="exact"/>
        <w:rPr>
          <w:sz w:val="20"/>
          <w:szCs w:val="20"/>
          <w:color w:val="auto"/>
        </w:rPr>
      </w:pPr>
    </w:p>
    <w:p>
      <w:pPr>
        <w:spacing w:after="0" w:line="3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Corporate expenses decreased by $191.9 million during 2020. The reduction in corporate expenses is primarily due to $54.6 million decrease in legal provision, net of settlements; $38.6 million decrease due to lower activity and the impact of cost reductions implemented in 2020; $32.7 million decrease in separation costs; $31.2 million decrease in integration expenses and $16.6 million decrease in restructuring and impairment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more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income (loss), excluding charges and credits, as well as measures derived from it (excluding charges and credits;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Income (loss) before net interest expense and income taxes, excluding charges and credits (“Adjusted Operating profit”);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Adjusted diluted earnings per share attributable to TechnipFMC plc;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Depreciation and amortization, excluding charges and credits (“Adjusted Depreciation and amortization”);</w:t>
      </w:r>
    </w:p>
    <w:p>
      <w:pPr>
        <w:spacing w:after="0" w:line="171" w:lineRule="exact"/>
        <w:rPr>
          <w:sz w:val="20"/>
          <w:szCs w:val="20"/>
          <w:color w:val="auto"/>
        </w:rPr>
      </w:pPr>
    </w:p>
    <w:p>
      <w:pPr>
        <w:ind w:left="660" w:right="620" w:hanging="324"/>
        <w:spacing w:after="0" w:line="261" w:lineRule="auto"/>
        <w:rPr>
          <w:sz w:val="20"/>
          <w:szCs w:val="20"/>
          <w:color w:val="auto"/>
        </w:rPr>
      </w:pPr>
      <w:r>
        <w:rPr>
          <w:rFonts w:ascii="Arial" w:cs="Arial" w:eastAsia="Arial" w:hAnsi="Arial"/>
          <w:sz w:val="18"/>
          <w:szCs w:val="18"/>
          <w:color w:val="auto"/>
        </w:rPr>
        <w:t>– Earnings before net interest expense, income taxes, depreciation and amortization, excluding charges and credits (“Adjusted EBITDA”);</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Corporate expenses excluding charges and credits;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cash; and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Free cash flow.</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our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ectPr>
          <w:pgSz w:w="11900" w:h="16838" w:orient="portrait"/>
          <w:cols w:equalWidth="0" w:num="1">
            <w:col w:w="11180"/>
          </w:cols>
          <w:pgMar w:left="320" w:top="10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Year Ended</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December 31, 2020</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7"/>
              </w:rPr>
              <w:t>Net income (loss)</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Net income (loss)</w:t>
            </w: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3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attributable to non-</w:t>
            </w:r>
          </w:p>
        </w:tc>
        <w:tc>
          <w:tcPr>
            <w:tcW w:w="100" w:type="dxa"/>
            <w:vAlign w:val="bottom"/>
          </w:tcPr>
          <w:p>
            <w:pPr>
              <w:spacing w:after="0"/>
              <w:rPr>
                <w:sz w:val="10"/>
                <w:szCs w:val="10"/>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7"/>
              </w:rPr>
              <w:t>Provision for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Net interest</w:t>
            </w:r>
          </w:p>
        </w:tc>
        <w:tc>
          <w:tcPr>
            <w:tcW w:w="12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interest expense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80" w:type="dxa"/>
            <w:vAlign w:val="bottom"/>
          </w:tcPr>
          <w:p>
            <w:pPr>
              <w:spacing w:after="0"/>
              <w:rPr>
                <w:sz w:val="10"/>
                <w:szCs w:val="10"/>
                <w:color w:val="auto"/>
              </w:rPr>
            </w:pPr>
          </w:p>
        </w:tc>
        <w:tc>
          <w:tcPr>
            <w:tcW w:w="112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28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9"/>
              </w:rPr>
              <w:t>interests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income taxes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9"/>
              </w:rPr>
              <w:t>expense</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amortization</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(2,344.3)</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3,271.0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3,287.4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3,287.4</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68"/>
        </w:trPr>
        <w:tc>
          <w:tcPr>
            <w:tcW w:w="286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83.7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Litigation settlement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0" w:type="dxa"/>
            <w:vAlign w:val="bottom"/>
          </w:tcPr>
          <w:p>
            <w:pPr>
              <w:spacing w:after="0"/>
              <w:rPr>
                <w:sz w:val="1"/>
                <w:szCs w:val="1"/>
                <w:color w:val="auto"/>
              </w:rPr>
            </w:pPr>
          </w:p>
        </w:tc>
      </w:tr>
      <w:tr>
        <w:trPr>
          <w:trHeight w:val="167"/>
        </w:trPr>
        <w:tc>
          <w:tcPr>
            <w:tcW w:w="2860" w:type="dxa"/>
            <w:vAlign w:val="bottom"/>
          </w:tcPr>
          <w:p>
            <w:pPr>
              <w:ind w:left="220"/>
              <w:spacing w:after="0"/>
              <w:rPr>
                <w:sz w:val="20"/>
                <w:szCs w:val="20"/>
                <w:color w:val="auto"/>
              </w:rPr>
            </w:pPr>
            <w:r>
              <w:rPr>
                <w:rFonts w:ascii="Arial" w:cs="Arial" w:eastAsia="Arial" w:hAnsi="Arial"/>
                <w:sz w:val="13"/>
                <w:szCs w:val="13"/>
                <w:color w:val="auto"/>
              </w:rPr>
              <w:t>Separation costs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Diluted earnings (loss) per share attributable to</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tcPr>
          <w:p>
            <w:pPr>
              <w:ind w:left="20"/>
              <w:spacing w:after="0" w:line="129" w:lineRule="exact"/>
              <w:rPr>
                <w:sz w:val="20"/>
                <w:szCs w:val="20"/>
                <w:color w:val="auto"/>
              </w:rPr>
            </w:pPr>
            <w:r>
              <w:rPr>
                <w:rFonts w:ascii="Arial" w:cs="Arial" w:eastAsia="Arial" w:hAnsi="Arial"/>
                <w:sz w:val="13"/>
                <w:szCs w:val="13"/>
                <w:color w:val="auto"/>
                <w:w w:val="98"/>
              </w:rPr>
              <w:t>Adjusted diluted earnings per share attributable to</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60" w:type="dxa"/>
            <w:vAlign w:val="bottom"/>
          </w:tcPr>
          <w:p>
            <w:pPr>
              <w:ind w:left="20"/>
              <w:spacing w:after="0"/>
              <w:rPr>
                <w:sz w:val="20"/>
                <w:szCs w:val="20"/>
                <w:color w:val="auto"/>
              </w:rPr>
            </w:pPr>
            <w:r>
              <w:rPr>
                <w:rFonts w:ascii="Arial" w:cs="Arial" w:eastAsia="Arial" w:hAnsi="Arial"/>
                <w:sz w:val="13"/>
                <w:szCs w:val="13"/>
                <w:color w:val="auto"/>
              </w:rPr>
              <w:t>TechnipFMC plc</w:t>
            </w:r>
          </w:p>
        </w:tc>
        <w:tc>
          <w:tcPr>
            <w:tcW w:w="1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Year Ended</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December 31, 2019</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7"/>
              </w:rPr>
              <w:t>Net income (loss)</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Net income (loss)</w:t>
            </w: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3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attributable to non-</w:t>
            </w:r>
          </w:p>
        </w:tc>
        <w:tc>
          <w:tcPr>
            <w:tcW w:w="100" w:type="dxa"/>
            <w:vAlign w:val="bottom"/>
          </w:tcPr>
          <w:p>
            <w:pPr>
              <w:spacing w:after="0"/>
              <w:rPr>
                <w:sz w:val="10"/>
                <w:szCs w:val="10"/>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7"/>
              </w:rPr>
              <w:t>Provision for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Net interest</w:t>
            </w:r>
          </w:p>
        </w:tc>
        <w:tc>
          <w:tcPr>
            <w:tcW w:w="12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interest expense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80" w:type="dxa"/>
            <w:vAlign w:val="bottom"/>
          </w:tcPr>
          <w:p>
            <w:pPr>
              <w:spacing w:after="0"/>
              <w:rPr>
                <w:sz w:val="10"/>
                <w:szCs w:val="10"/>
                <w:color w:val="auto"/>
              </w:rPr>
            </w:pPr>
          </w:p>
        </w:tc>
        <w:tc>
          <w:tcPr>
            <w:tcW w:w="112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28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9"/>
              </w:rPr>
              <w:t>interests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income taxes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9"/>
              </w:rPr>
              <w:t>expense</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amortization</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(1,684.5)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(1,174.9)</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2,364.2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2,484.1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2,484.1</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29"/>
        </w:trPr>
        <w:tc>
          <w:tcPr>
            <w:tcW w:w="2860" w:type="dxa"/>
            <w:vAlign w:val="bottom"/>
          </w:tcPr>
          <w:p>
            <w:pPr>
              <w:ind w:left="220"/>
              <w:spacing w:after="0" w:line="129" w:lineRule="exact"/>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60"/>
        </w:trPr>
        <w:tc>
          <w:tcPr>
            <w:tcW w:w="2860" w:type="dxa"/>
            <w:vAlign w:val="bottom"/>
          </w:tcPr>
          <w:p>
            <w:pPr>
              <w:ind w:left="22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Separation costs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0" w:type="dxa"/>
            <w:vAlign w:val="bottom"/>
          </w:tcPr>
          <w:p>
            <w:pPr>
              <w:spacing w:after="0"/>
              <w:rPr>
                <w:sz w:val="1"/>
                <w:szCs w:val="1"/>
                <w:color w:val="auto"/>
              </w:rPr>
            </w:pPr>
          </w:p>
        </w:tc>
      </w:tr>
      <w:tr>
        <w:trPr>
          <w:trHeight w:val="168"/>
        </w:trPr>
        <w:tc>
          <w:tcPr>
            <w:tcW w:w="2860" w:type="dxa"/>
            <w:vAlign w:val="bottom"/>
          </w:tcPr>
          <w:p>
            <w:pPr>
              <w:ind w:left="220"/>
              <w:spacing w:after="0"/>
              <w:rPr>
                <w:sz w:val="20"/>
                <w:szCs w:val="20"/>
                <w:color w:val="auto"/>
              </w:rPr>
            </w:pPr>
            <w:r>
              <w:rPr>
                <w:rFonts w:ascii="Arial" w:cs="Arial" w:eastAsia="Arial" w:hAnsi="Arial"/>
                <w:sz w:val="13"/>
                <w:szCs w:val="13"/>
                <w:color w:val="auto"/>
              </w:rPr>
              <w:t>Reorganization</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Legal provision, net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68"/>
        </w:trPr>
        <w:tc>
          <w:tcPr>
            <w:tcW w:w="2860" w:type="dxa"/>
            <w:vAlign w:val="bottom"/>
          </w:tcPr>
          <w:p>
            <w:pPr>
              <w:ind w:left="22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330.5</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268.9</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451.3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1,053.8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475.6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1,529.4</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60" w:type="dxa"/>
            <w:vAlign w:val="bottom"/>
          </w:tcPr>
          <w:p>
            <w:pPr>
              <w:ind w:left="20"/>
              <w:spacing w:after="0" w:line="129" w:lineRule="exact"/>
              <w:rPr>
                <w:sz w:val="20"/>
                <w:szCs w:val="20"/>
                <w:color w:val="auto"/>
              </w:rPr>
            </w:pPr>
            <w:r>
              <w:rPr>
                <w:rFonts w:ascii="Arial" w:cs="Arial" w:eastAsia="Arial" w:hAnsi="Arial"/>
                <w:sz w:val="13"/>
                <w:szCs w:val="13"/>
                <w:color w:val="auto"/>
              </w:rPr>
              <w:t>Diluted earnings per share attributable to</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(5.39)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8"/>
              </w:rPr>
              <w:t>Adjusted diluted earnings per share attributable to</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0.74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w:t>
            </w:r>
          </w:p>
        </w:tc>
        <w:tc>
          <w:tcPr>
            <w:tcW w:w="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3"/>
          </w:tcPr>
          <w:p>
            <w:pPr>
              <w:jc w:val="center"/>
              <w:ind w:left="530"/>
              <w:spacing w:after="0"/>
              <w:rPr>
                <w:sz w:val="20"/>
                <w:szCs w:val="20"/>
                <w:color w:val="auto"/>
              </w:rPr>
            </w:pPr>
            <w:r>
              <w:rPr>
                <w:rFonts w:ascii="Arial" w:cs="Arial" w:eastAsia="Arial" w:hAnsi="Arial"/>
                <w:sz w:val="13"/>
                <w:szCs w:val="13"/>
                <w:b w:val="1"/>
                <w:bCs w:val="1"/>
                <w:color w:val="auto"/>
                <w:w w:val="95"/>
              </w:rPr>
              <w:t>Year Ended</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5"/>
              </w:rPr>
              <w:t>December 31, 2020</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20" w:type="dxa"/>
            <w:vAlign w:val="bottom"/>
            <w:vMerge w:val="restart"/>
          </w:tcPr>
          <w:p>
            <w:pPr>
              <w:spacing w:after="0"/>
              <w:rPr>
                <w:sz w:val="10"/>
                <w:szCs w:val="10"/>
                <w:color w:val="auto"/>
              </w:rPr>
            </w:pP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99"/>
              </w:rPr>
              <w:t>Technip Energies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220"/>
              <w:spacing w:after="0" w:line="122" w:lineRule="exact"/>
              <w:rPr>
                <w:sz w:val="20"/>
                <w:szCs w:val="20"/>
                <w:color w:val="auto"/>
              </w:rPr>
            </w:pPr>
            <w:r>
              <w:rPr>
                <w:rFonts w:ascii="Arial" w:cs="Arial" w:eastAsia="Arial" w:hAnsi="Arial"/>
                <w:sz w:val="13"/>
                <w:szCs w:val="13"/>
                <w:b w:val="1"/>
                <w:bCs w:val="1"/>
                <w:color w:val="auto"/>
              </w:rPr>
              <w:t>Surface</w:t>
            </w:r>
          </w:p>
        </w:tc>
        <w:tc>
          <w:tcPr>
            <w:tcW w:w="18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60" w:type="dxa"/>
            <w:vAlign w:val="bottom"/>
            <w:gridSpan w:val="2"/>
          </w:tcPr>
          <w:p>
            <w:pPr>
              <w:ind w:left="200"/>
              <w:spacing w:after="0" w:line="122" w:lineRule="exact"/>
              <w:rPr>
                <w:sz w:val="20"/>
                <w:szCs w:val="20"/>
                <w:color w:val="auto"/>
              </w:rPr>
            </w:pPr>
            <w:r>
              <w:rPr>
                <w:rFonts w:ascii="Arial" w:cs="Arial" w:eastAsia="Arial" w:hAnsi="Arial"/>
                <w:sz w:val="13"/>
                <w:szCs w:val="13"/>
                <w:b w:val="1"/>
                <w:bCs w:val="1"/>
                <w:color w:val="auto"/>
              </w:rPr>
              <w:t>Foreign</w:t>
            </w:r>
          </w:p>
        </w:tc>
        <w:tc>
          <w:tcPr>
            <w:tcW w:w="260" w:type="dxa"/>
            <w:vAlign w:val="bottom"/>
          </w:tcPr>
          <w:p>
            <w:pPr>
              <w:spacing w:after="0"/>
              <w:rPr>
                <w:sz w:val="10"/>
                <w:szCs w:val="10"/>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3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Technologies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Exchange, net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5,471.4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6,520.0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1,059.2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13,050.6</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(2,815.5)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(2,791.5)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2,854.5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419.3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3,287.4</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89"/>
        </w:trPr>
        <w:tc>
          <w:tcPr>
            <w:tcW w:w="3800" w:type="dxa"/>
            <w:vAlign w:val="bottom"/>
          </w:tcPr>
          <w:p>
            <w:pPr>
              <w:ind w:left="220"/>
              <w:spacing w:after="0"/>
              <w:rPr>
                <w:sz w:val="20"/>
                <w:szCs w:val="20"/>
                <w:color w:val="auto"/>
              </w:rPr>
            </w:pPr>
            <w:r>
              <w:rPr>
                <w:rFonts w:ascii="Arial" w:cs="Arial" w:eastAsia="Arial" w:hAnsi="Arial"/>
                <w:sz w:val="14"/>
                <w:szCs w:val="14"/>
                <w:color w:val="auto"/>
              </w:rPr>
              <w:t>Direct COVID-19 expenses</w:t>
            </w:r>
          </w:p>
        </w:tc>
        <w:tc>
          <w:tcPr>
            <w:tcW w:w="24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9"/>
        </w:trPr>
        <w:tc>
          <w:tcPr>
            <w:tcW w:w="3800" w:type="dxa"/>
            <w:vAlign w:val="bottom"/>
          </w:tcPr>
          <w:p>
            <w:pPr>
              <w:ind w:left="220"/>
              <w:spacing w:after="0"/>
              <w:rPr>
                <w:sz w:val="20"/>
                <w:szCs w:val="20"/>
                <w:color w:val="auto"/>
              </w:rPr>
            </w:pPr>
            <w:r>
              <w:rPr>
                <w:rFonts w:ascii="Arial" w:cs="Arial" w:eastAsia="Arial" w:hAnsi="Arial"/>
                <w:sz w:val="14"/>
                <w:szCs w:val="14"/>
                <w:color w:val="auto"/>
              </w:rPr>
              <w:t>Separation costs</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price accounting adjustments</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3800" w:type="dxa"/>
            <w:vAlign w:val="bottom"/>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2,966.0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440.2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3,436.1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150.5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664.0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644.6</w:t>
            </w: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316.4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466.9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698.2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1,083.3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*On December 30, 2019, we completed the acquisition of the remaining 50% of Technip Odebrecht PLSV CV. A $7.3 million gain was recorded within restructuring and other charges in the Subsea segment during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3"/>
          </w:tcPr>
          <w:p>
            <w:pPr>
              <w:jc w:val="center"/>
              <w:ind w:left="530"/>
              <w:spacing w:after="0"/>
              <w:rPr>
                <w:sz w:val="20"/>
                <w:szCs w:val="20"/>
                <w:color w:val="auto"/>
              </w:rPr>
            </w:pPr>
            <w:r>
              <w:rPr>
                <w:rFonts w:ascii="Arial" w:cs="Arial" w:eastAsia="Arial" w:hAnsi="Arial"/>
                <w:sz w:val="13"/>
                <w:szCs w:val="13"/>
                <w:b w:val="1"/>
                <w:bCs w:val="1"/>
                <w:color w:val="auto"/>
                <w:w w:val="95"/>
              </w:rPr>
              <w:t>Year Ended</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5"/>
              </w:rPr>
              <w:t>December 31, 2019</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20" w:type="dxa"/>
            <w:vAlign w:val="bottom"/>
            <w:vMerge w:val="restart"/>
          </w:tcPr>
          <w:p>
            <w:pPr>
              <w:spacing w:after="0"/>
              <w:rPr>
                <w:sz w:val="10"/>
                <w:szCs w:val="10"/>
                <w:color w:val="auto"/>
              </w:rPr>
            </w:pP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99"/>
              </w:rPr>
              <w:t>Technip Energies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220"/>
              <w:spacing w:after="0" w:line="122" w:lineRule="exact"/>
              <w:rPr>
                <w:sz w:val="20"/>
                <w:szCs w:val="20"/>
                <w:color w:val="auto"/>
              </w:rPr>
            </w:pPr>
            <w:r>
              <w:rPr>
                <w:rFonts w:ascii="Arial" w:cs="Arial" w:eastAsia="Arial" w:hAnsi="Arial"/>
                <w:sz w:val="13"/>
                <w:szCs w:val="13"/>
                <w:b w:val="1"/>
                <w:bCs w:val="1"/>
                <w:color w:val="auto"/>
              </w:rPr>
              <w:t>Surface</w:t>
            </w:r>
          </w:p>
        </w:tc>
        <w:tc>
          <w:tcPr>
            <w:tcW w:w="18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60" w:type="dxa"/>
            <w:vAlign w:val="bottom"/>
            <w:gridSpan w:val="2"/>
          </w:tcPr>
          <w:p>
            <w:pPr>
              <w:ind w:left="200"/>
              <w:spacing w:after="0" w:line="122" w:lineRule="exact"/>
              <w:rPr>
                <w:sz w:val="20"/>
                <w:szCs w:val="20"/>
                <w:color w:val="auto"/>
              </w:rPr>
            </w:pPr>
            <w:r>
              <w:rPr>
                <w:rFonts w:ascii="Arial" w:cs="Arial" w:eastAsia="Arial" w:hAnsi="Arial"/>
                <w:sz w:val="13"/>
                <w:szCs w:val="13"/>
                <w:b w:val="1"/>
                <w:bCs w:val="1"/>
                <w:color w:val="auto"/>
              </w:rPr>
              <w:t>Foreign</w:t>
            </w:r>
          </w:p>
        </w:tc>
        <w:tc>
          <w:tcPr>
            <w:tcW w:w="260" w:type="dxa"/>
            <w:vAlign w:val="bottom"/>
          </w:tcPr>
          <w:p>
            <w:pPr>
              <w:spacing w:after="0"/>
              <w:rPr>
                <w:sz w:val="10"/>
                <w:szCs w:val="10"/>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3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Technologies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Exchange, net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5,523.0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6,268.8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1,617.3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13,409.1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(1,447.7)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(656.1)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(146.9)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(1,684.5)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1,798.6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685.5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2,484.1</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9"/>
        </w:trPr>
        <w:tc>
          <w:tcPr>
            <w:tcW w:w="3800" w:type="dxa"/>
            <w:vAlign w:val="bottom"/>
          </w:tcPr>
          <w:p>
            <w:pPr>
              <w:ind w:left="22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Separation costs</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89"/>
        </w:trPr>
        <w:tc>
          <w:tcPr>
            <w:tcW w:w="3800" w:type="dxa"/>
            <w:vAlign w:val="bottom"/>
          </w:tcPr>
          <w:p>
            <w:pPr>
              <w:ind w:left="220"/>
              <w:spacing w:after="0"/>
              <w:rPr>
                <w:sz w:val="20"/>
                <w:szCs w:val="20"/>
                <w:color w:val="auto"/>
              </w:rPr>
            </w:pPr>
            <w:r>
              <w:rPr>
                <w:rFonts w:ascii="Arial" w:cs="Arial" w:eastAsia="Arial" w:hAnsi="Arial"/>
                <w:sz w:val="14"/>
                <w:szCs w:val="14"/>
                <w:color w:val="auto"/>
              </w:rPr>
              <w:t>Reorganization</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Legal provision, net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Purchase price accounting 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1,786.2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725.3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2,738.3</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338.5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1,001.9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(208.9)</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(146.9)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1,053.8</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475.6</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650.1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1,040.6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177.1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(146.9)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1,529.4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*On December 30, 2019, we completed the acquisition of the remaining 50 percent of Technip Odebrecht PLSV CV, which resulted in a net loss of $0.9 million that was recorded in the Subsea segment. The net loss was comprised of an impairment charge of $84.2 million included within impairment and other charges and a gain on bargain purchase of $83.3 million included within restructuring and other charges.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decline in commodity prices, due in part to the lower demand resulting from COVID-19 contributed to the decrease in the inbound orders during 2020.</w:t>
      </w:r>
    </w:p>
    <w:tbl>
      <w:tblPr>
        <w:tblLayout w:type="fixed"/>
        <w:tblInd w:w="0" w:type="dxa"/>
        <w:tblCellMar>
          <w:top w:w="0" w:type="dxa"/>
          <w:left w:w="0" w:type="dxa"/>
          <w:bottom w:w="0" w:type="dxa"/>
          <w:right w:w="0" w:type="dxa"/>
        </w:tblCellMar>
      </w:tblPr>
      <w:tr>
        <w:trPr>
          <w:trHeight w:val="155"/>
        </w:trPr>
        <w:tc>
          <w:tcPr>
            <w:tcW w:w="8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Inbound Orders</w:t>
            </w:r>
          </w:p>
        </w:tc>
        <w:tc>
          <w:tcPr>
            <w:tcW w:w="920" w:type="dxa"/>
            <w:vAlign w:val="bottom"/>
          </w:tcPr>
          <w:p>
            <w:pPr>
              <w:spacing w:after="0"/>
              <w:rPr>
                <w:sz w:val="13"/>
                <w:szCs w:val="13"/>
                <w:color w:val="auto"/>
              </w:rPr>
            </w:pPr>
          </w:p>
        </w:tc>
      </w:tr>
      <w:tr>
        <w:trPr>
          <w:trHeight w:val="176"/>
        </w:trPr>
        <w:tc>
          <w:tcPr>
            <w:tcW w:w="8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4,003.0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7,992.6</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5,001.3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13,080.5</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1,061.2</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1,619.9</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Total inbound orders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10,065.5</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22,693.0</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520"/>
        <w:spacing w:after="0" w:line="245"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Backlog reflects the current expectations for the timing of project execution. The scheduling of some future work included in our order backlog has been impacted by COVID-19 related disruptions and remains subject to future adjustment. See Note 6 to our consolidated financial statements for further details.</w:t>
      </w: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tcPr>
          <w:p>
            <w:pPr>
              <w:jc w:val="right"/>
              <w:spacing w:after="0" w:line="159" w:lineRule="exact"/>
              <w:rPr>
                <w:sz w:val="20"/>
                <w:szCs w:val="20"/>
                <w:color w:val="auto"/>
              </w:rPr>
            </w:pPr>
            <w:r>
              <w:rPr>
                <w:rFonts w:ascii="Arial" w:cs="Arial" w:eastAsia="Arial" w:hAnsi="Arial"/>
                <w:sz w:val="14"/>
                <w:szCs w:val="14"/>
                <w:b w:val="1"/>
                <w:bCs w:val="1"/>
                <w:color w:val="auto"/>
              </w:rPr>
              <w:t>Order Backlog</w:t>
            </w:r>
          </w:p>
        </w:tc>
        <w:tc>
          <w:tcPr>
            <w:tcW w:w="940" w:type="dxa"/>
            <w:vAlign w:val="bottom"/>
          </w:tcPr>
          <w:p>
            <w:pPr>
              <w:spacing w:after="0"/>
              <w:rPr>
                <w:sz w:val="13"/>
                <w:szCs w:val="13"/>
                <w:color w:val="auto"/>
              </w:rPr>
            </w:pPr>
          </w:p>
        </w:tc>
      </w:tr>
      <w:tr>
        <w:trPr>
          <w:trHeight w:val="176"/>
        </w:trPr>
        <w:tc>
          <w:tcPr>
            <w:tcW w:w="8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6,876.0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8,479.8</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14,098.7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15,298.1</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413.5</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473.2</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21,388.2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24,251.1</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as of December 31, 2020, decreased by $1.6 billion from December 31, 2019. Subsea backlog of $6.9</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as of December 31, 2020, was composed of various subsea projects, including Total Mozambique LNG; Eni Coral and Merakes; Petrobras Mero I and Mero II; Energean Karish; ExxonMobil Payara; Reliance MJ-1; Equinor Johan Sverdrup Phase 2; Husky West White Rose; BP Platina; Chevron Gorgon Stage 2; and Woodside Pyxis and Lambert Deep.</w:t>
      </w:r>
    </w:p>
    <w:p>
      <w:pPr>
        <w:spacing w:after="0" w:line="20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Technip Energies order backlog as of December 31, 2020, decreased by $1.2 billion compared to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Technip Energies backlog of $14.1 billion as of December 31, 2020 was composed of various projects, including Arctic LNG 2, Yamal LNG; Midor refinery expansion; BP Tortue FPSO; Long Son Petrochemicals; ExxonMobil Beaumont refinery expansion; HURL fertilizer plants; Petronas Kasawari; Energean Karish; Neste bio-diesel expansion; and Motor Oil Hellas New Naphtha Complex. Subsequent to the Spin-off, we will operate under two reporting segments: Subsea and Surface Technologies, for further details see Note 3 to our consolidated financial statements.</w:t>
      </w:r>
    </w:p>
    <w:p>
      <w:pPr>
        <w:spacing w:after="0" w:line="13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as of December 31, 2020, decreased by $59.7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mainly driven by the transfer of the Loading Systems business unit from Surface Technologies to Technip Energies. Given the short-cycle nature of the business, most orders are quickly converted into sales revenue; longer contracts are typically converted within twelve months.</w:t>
      </w:r>
    </w:p>
    <w:p>
      <w:pPr>
        <w:spacing w:after="0" w:line="126"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rPr>
              <w:t>Non-consolidated</w:t>
            </w:r>
          </w:p>
        </w:tc>
        <w:tc>
          <w:tcPr>
            <w:tcW w:w="0" w:type="dxa"/>
            <w:vAlign w:val="bottom"/>
          </w:tcPr>
          <w:p>
            <w:pPr>
              <w:spacing w:after="0"/>
              <w:rPr>
                <w:sz w:val="1"/>
                <w:szCs w:val="1"/>
                <w:color w:val="auto"/>
              </w:rPr>
            </w:pPr>
          </w:p>
        </w:tc>
      </w:tr>
      <w:tr>
        <w:trPr>
          <w:trHeight w:val="176"/>
        </w:trPr>
        <w:tc>
          <w:tcPr>
            <w:tcW w:w="9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order backlog</w:t>
            </w:r>
          </w:p>
        </w:tc>
        <w:tc>
          <w:tcPr>
            <w:tcW w:w="0" w:type="dxa"/>
            <w:vAlign w:val="bottom"/>
          </w:tcPr>
          <w:p>
            <w:pPr>
              <w:spacing w:after="0"/>
              <w:rPr>
                <w:sz w:val="1"/>
                <w:szCs w:val="1"/>
                <w:color w:val="auto"/>
              </w:rPr>
            </w:pPr>
          </w:p>
        </w:tc>
      </w:tr>
      <w:tr>
        <w:trPr>
          <w:trHeight w:val="142"/>
        </w:trPr>
        <w:tc>
          <w:tcPr>
            <w:tcW w:w="9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42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96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640.2</w:t>
            </w:r>
          </w:p>
        </w:tc>
        <w:tc>
          <w:tcPr>
            <w:tcW w:w="0" w:type="dxa"/>
            <w:vAlign w:val="bottom"/>
          </w:tcPr>
          <w:p>
            <w:pPr>
              <w:spacing w:after="0"/>
              <w:rPr>
                <w:sz w:val="1"/>
                <w:szCs w:val="1"/>
                <w:color w:val="auto"/>
              </w:rPr>
            </w:pPr>
          </w:p>
        </w:tc>
      </w:tr>
      <w:tr>
        <w:trPr>
          <w:trHeight w:val="18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Technip Energies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1,890.3</w:t>
            </w:r>
          </w:p>
        </w:tc>
        <w:tc>
          <w:tcPr>
            <w:tcW w:w="0" w:type="dxa"/>
            <w:vAlign w:val="bottom"/>
          </w:tcPr>
          <w:p>
            <w:pPr>
              <w:spacing w:after="0"/>
              <w:rPr>
                <w:sz w:val="1"/>
                <w:szCs w:val="1"/>
                <w:color w:val="auto"/>
              </w:rPr>
            </w:pPr>
          </w:p>
        </w:tc>
      </w:tr>
      <w:tr>
        <w:trPr>
          <w:trHeight w:val="20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2,530.5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Most of our cash is managed centrally and flows through centralized bank accounts controlled and maintained by TechnipFMC globally and in many operating jurisdictions to best meet the liquidity needs of our global operations.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Net Cash - </w:t>
      </w:r>
      <w:r>
        <w:rPr>
          <w:rFonts w:ascii="Arial" w:cs="Arial" w:eastAsia="Arial" w:hAnsi="Arial"/>
          <w:sz w:val="18"/>
          <w:szCs w:val="18"/>
          <w:color w:val="auto"/>
        </w:rPr>
        <w:t>Net cash, is a non-GAAP financial measure reflecting cash and cash equivalents, net of debt. Management uses this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to evaluate our capital structure and financial leverage. We believe net cash is a meaningful financial measure that may assist investors in understanding our financial condition and recognizing underlying trends in our capital structure. Net cash should not be considered an alternative to, or more meaningful than, cash and cash equivalents as determined in accordance with GAAP or as an indicator of our operating performance or liquidity.</w:t>
      </w:r>
    </w:p>
    <w:p>
      <w:pPr>
        <w:spacing w:after="0" w:line="15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following table provides a reconciliation of our cash and cash equivalents to net cash, utilizing details of classifications from our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4,807.8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5,190.2</w:t>
            </w:r>
          </w:p>
        </w:tc>
      </w:tr>
      <w:tr>
        <w:trPr>
          <w:trHeight w:val="189"/>
        </w:trPr>
        <w:tc>
          <w:tcPr>
            <w:tcW w:w="790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(636.2)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(495.4)</w:t>
            </w: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(3,317.7)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(3,980.0)</w:t>
            </w:r>
          </w:p>
        </w:tc>
      </w:tr>
      <w:tr>
        <w:trPr>
          <w:trHeight w:val="18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714.8</w:t>
            </w: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the years ended December 31, 2020, 2019 and 2018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(required) by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Cash required by investing activities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(460.2)</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required by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w:t>
            </w:r>
          </w:p>
        </w:tc>
      </w:t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Decrease in cash and cash equivalents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(759.0)</w:t>
            </w: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w:t>
            </w:r>
          </w:p>
        </w:tc>
      </w:tr>
    </w:tbl>
    <w:p>
      <w:pPr>
        <w:spacing w:after="0" w:line="19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Operating cash flows - </w:t>
      </w:r>
      <w:r>
        <w:rPr>
          <w:rFonts w:ascii="Arial" w:cs="Arial" w:eastAsia="Arial" w:hAnsi="Arial"/>
          <w:sz w:val="18"/>
          <w:szCs w:val="18"/>
          <w:color w:val="auto"/>
        </w:rPr>
        <w:t>During 2020, we generated $656.9 million in cash flows from operating activities as compared to $848.5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in 2019, resulting in a $191.6 million decrease compared to 2019. The decrease in operating cash flows is primarily driven by the decrease in cash generated by our operations during the year due to the overall decline in activity.</w:t>
      </w:r>
    </w:p>
    <w:p>
      <w:pPr>
        <w:spacing w:after="0" w:line="12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Investing cash flows - </w:t>
      </w:r>
      <w:r>
        <w:rPr>
          <w:rFonts w:ascii="Arial" w:cs="Arial" w:eastAsia="Arial" w:hAnsi="Arial"/>
          <w:sz w:val="18"/>
          <w:szCs w:val="18"/>
          <w:color w:val="auto"/>
        </w:rPr>
        <w:t>Investing activities used $180.6 million and $419.8 million of cash in 2020 and 2019, respectively.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by investing activities was due primarily to decreased capital expenditures, decreased payments to acquire debt securities and increased proceeds from sale of assets and debt securities during 2020. In 2019, we purchased a deepwater dive support vessel, Deep Discoverer for $116.8 million, that was subsequently funded through a sale-leaseback transaction.</w:t>
      </w:r>
    </w:p>
    <w:p>
      <w:pPr>
        <w:spacing w:after="0" w:line="207"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i w:val="1"/>
          <w:iCs w:val="1"/>
          <w:color w:val="auto"/>
        </w:rPr>
        <w:t xml:space="preserve">Financing cash flows - </w:t>
      </w:r>
      <w:r>
        <w:rPr>
          <w:rFonts w:ascii="Arial" w:cs="Arial" w:eastAsia="Arial" w:hAnsi="Arial"/>
          <w:sz w:val="17"/>
          <w:szCs w:val="17"/>
          <w:color w:val="auto"/>
        </w:rPr>
        <w:t>Financing activities used $1,082.2 million and $ 784.4 million in 2020 and 2019, respectively. The increase of $297.8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cash required for financing activities was due primarily to the increased debt pay down activity during 2020 of $883.6 million, partially offset by $338.6 million reduction in settlements of mandatorily redeemable financial liability and our efforts and commitment to preserve cash, which included reduction in cash dividends of $173.6 million and reduction in share repurchases of $92.7 million .</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represents total changes in operating current assets and liabilities.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65" w:name="page66"/>
    <w:bookmarkEnd w:id="65"/>
    <w:p>
      <w:pPr>
        <w:ind w:right="480"/>
        <w:spacing w:after="0" w:line="291" w:lineRule="auto"/>
        <w:rPr>
          <w:sz w:val="20"/>
          <w:szCs w:val="20"/>
          <w:color w:val="auto"/>
        </w:rPr>
      </w:pPr>
      <w:r>
        <w:rPr>
          <w:rFonts w:ascii="Arial" w:cs="Arial" w:eastAsia="Arial" w:hAnsi="Arial"/>
          <w:sz w:val="17"/>
          <w:szCs w:val="17"/>
          <w:color w:val="auto"/>
        </w:rPr>
        <w:t>Free cash flow is defined as operating cash flows less capital expenditures. The following table reconciles cash provided by operating activities, which is directly comparable financial measure determined in accordance with GAAP, to free cash flow (non-GAAP measure).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70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(required) by 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rPr>
              <w:t>656.9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rPr>
              <w:t>848.5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(291.8)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w w:val="99"/>
              </w:rPr>
              <w:t>(454.4)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(368.1)</w:t>
            </w:r>
          </w:p>
        </w:tc>
      </w:tr>
      <w:tr>
        <w:trPr>
          <w:trHeight w:val="20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rPr>
              <w:t>365.1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rPr>
              <w:t>394.1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24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i w:val="1"/>
          <w:iCs w:val="1"/>
          <w:color w:val="auto"/>
        </w:rPr>
        <w:t xml:space="preserve">Significant Funding and Liquidity Activities </w:t>
      </w:r>
      <w:r>
        <w:rPr>
          <w:rFonts w:ascii="Arial" w:cs="Arial" w:eastAsia="Arial" w:hAnsi="Arial"/>
          <w:sz w:val="18"/>
          <w:szCs w:val="18"/>
          <w:color w:val="auto"/>
        </w:rPr>
        <w:t>- During 2020, we completed the following transactions in order to enhance our total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w:t>
      </w:r>
    </w:p>
    <w:p>
      <w:pPr>
        <w:spacing w:after="0" w:line="21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Repaid $233.9 million of 5.00% 2010 private placement notes;</w:t>
      </w:r>
    </w:p>
    <w:p>
      <w:pPr>
        <w:spacing w:after="0" w:line="39" w:lineRule="exact"/>
        <w:rPr>
          <w:rFonts w:ascii="Arial" w:cs="Arial" w:eastAsia="Arial" w:hAnsi="Arial"/>
          <w:sz w:val="22"/>
          <w:szCs w:val="22"/>
          <w:color w:val="auto"/>
        </w:rPr>
      </w:pPr>
    </w:p>
    <w:p>
      <w:pPr>
        <w:ind w:left="660" w:right="600" w:hanging="328"/>
        <w:spacing w:after="0" w:line="225"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Repaid the remaining outstanding balance of $190.0 million of the term loan assumed in connection with the acquisition of the remaining 50% interest in TOP CV.</w:t>
      </w:r>
    </w:p>
    <w:p>
      <w:pPr>
        <w:spacing w:after="0" w:line="41" w:lineRule="exact"/>
        <w:rPr>
          <w:rFonts w:ascii="Arial" w:cs="Arial" w:eastAsia="Arial" w:hAnsi="Arial"/>
          <w:sz w:val="22"/>
          <w:szCs w:val="22"/>
          <w:color w:val="auto"/>
        </w:rPr>
      </w:pPr>
    </w:p>
    <w:p>
      <w:pPr>
        <w:ind w:left="660" w:right="60" w:hanging="328"/>
        <w:spacing w:after="0" w:line="237"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Issued €200 million aggregate principal amount of 4.500% Private Placement Notes due June 30, 2025. Within three months of the effective date of the Spin-off of Technip Energies, if there is a downgrade by a nationally recognized rating agency of the corporate rating of TechnipFMC from an investment grade to a non-investment grade rating or a withdrawal of any such rating, the interest rate applicable to the Private Placement Notes will be increased to 5.75%;</w:t>
      </w:r>
    </w:p>
    <w:p>
      <w:pPr>
        <w:spacing w:after="0" w:line="41" w:lineRule="exact"/>
        <w:rPr>
          <w:rFonts w:ascii="Arial" w:cs="Arial" w:eastAsia="Arial" w:hAnsi="Arial"/>
          <w:sz w:val="22"/>
          <w:szCs w:val="22"/>
          <w:color w:val="auto"/>
        </w:rPr>
      </w:pPr>
    </w:p>
    <w:p>
      <w:pPr>
        <w:ind w:left="660" w:right="480" w:hanging="328"/>
        <w:spacing w:after="0" w:line="225"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Entered into a new, six-month €500 million senior unsecured revolving credit facility agreement, which may be extended for two additional three-month periods (the “Euro Facility”); and</w:t>
      </w:r>
    </w:p>
    <w:p>
      <w:pPr>
        <w:ind w:left="660" w:right="1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Entered into the Bank of England’s COVID Corporate Financing Facility program (the “CCFF Program”), which allows us to issue up to £600 million of unsecured commercial paper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as of December 31, 2020 and 2019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460" w:type="dxa"/>
            <w:vAlign w:val="bottom"/>
            <w:tcBorders>
              <w:bottom w:val="single" w:sz="8" w:color="CCEEFF"/>
            </w:tcBorders>
          </w:tcPr>
          <w:p>
            <w:pPr>
              <w:spacing w:after="0"/>
              <w:rPr>
                <w:sz w:val="15"/>
                <w:szCs w:val="15"/>
                <w:color w:val="auto"/>
              </w:rPr>
            </w:pPr>
          </w:p>
        </w:tc>
        <w:tc>
          <w:tcPr>
            <w:tcW w:w="77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1,525.9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1,967.0</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Synthetic bonds due 2021</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551.2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492.9</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5.00% Notes due 2020</w:t>
            </w:r>
          </w:p>
        </w:tc>
        <w:tc>
          <w:tcPr>
            <w:tcW w:w="8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224.6</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3.40%</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2022</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168.5</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3.15%</w:t>
            </w:r>
          </w:p>
        </w:tc>
        <w:tc>
          <w:tcPr>
            <w:tcW w:w="778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146.0</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140.4</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4.50% Notes due 2025</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245.4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2027</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84.2</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4.00%</w:t>
            </w:r>
          </w:p>
        </w:tc>
        <w:tc>
          <w:tcPr>
            <w:tcW w:w="7780" w:type="dxa"/>
            <w:vAlign w:val="bottom"/>
          </w:tcPr>
          <w:p>
            <w:pPr>
              <w:ind w:left="20"/>
              <w:spacing w:after="0"/>
              <w:rPr>
                <w:sz w:val="20"/>
                <w:szCs w:val="20"/>
                <w:color w:val="auto"/>
              </w:rPr>
            </w:pPr>
            <w:r>
              <w:rPr>
                <w:rFonts w:ascii="Arial" w:cs="Arial" w:eastAsia="Arial" w:hAnsi="Arial"/>
                <w:sz w:val="14"/>
                <w:szCs w:val="14"/>
                <w:color w:val="auto"/>
              </w:rPr>
              <w:t>Notes due 2032</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112.3</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3.75%</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2033</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112.3</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Bank borrowings and Other</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536.3</w:t>
            </w:r>
          </w:p>
        </w:tc>
      </w:tr>
      <w:tr>
        <w:trPr>
          <w:trHeight w:val="18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Unamortized debt issuance costs and discounts</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3"/>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borrowings</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3,953.9</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4,475.4</w:t>
            </w:r>
          </w:p>
        </w:tc>
      </w:tr>
      <w:tr>
        <w:trPr>
          <w:trHeight w:val="20"/>
        </w:trPr>
        <w:tc>
          <w:tcPr>
            <w:tcW w:w="4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 xml:space="preserve">Credit Facilities - </w:t>
      </w:r>
      <w:r>
        <w:rPr>
          <w:rFonts w:ascii="Arial" w:cs="Arial" w:eastAsia="Arial" w:hAnsi="Arial"/>
          <w:sz w:val="18"/>
          <w:szCs w:val="18"/>
          <w:color w:val="auto"/>
        </w:rPr>
        <w:t>The following is a summary of our credit facilities as of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Paper</w:t>
            </w:r>
          </w:p>
        </w:tc>
        <w:tc>
          <w:tcPr>
            <w:tcW w:w="22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Letters</w:t>
            </w:r>
          </w:p>
        </w:tc>
        <w:tc>
          <w:tcPr>
            <w:tcW w:w="200" w:type="dxa"/>
            <w:vAlign w:val="bottom"/>
          </w:tcPr>
          <w:p>
            <w:pPr>
              <w:spacing w:after="0"/>
              <w:rPr>
                <w:sz w:val="11"/>
                <w:szCs w:val="11"/>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Unused</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of Credit</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Capacity</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Revolving credit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1,792.0</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4"/>
                <w:szCs w:val="14"/>
                <w:color w:val="auto"/>
              </w:rPr>
              <w:t>CCFF Program</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March 2021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February 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4"/>
                <w:szCs w:val="14"/>
                <w:color w:val="auto"/>
              </w:rPr>
              <w:t>Bilateral credit facility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May 2021</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40" w:right="340" w:hanging="251"/>
        <w:spacing w:after="0" w:line="258"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Committed credit available under our revolving credit facilities provides the ability to issue our commercial paper obligations on a long-term basis. We had $708.0 million of commercial paper issued under our facilities as of December 31, 2020. In addition, we had $817.9 million of Notes outstanding under the CCFF Program. When we have both the ability and intent to refinance certain obligations on a long-term basis, the obligations are classified as long-term, as such, the commercial paper borrowings were classified as long-term debt in our consolidated balance sheet as of December 31, 2020.</w:t>
      </w:r>
    </w:p>
    <w:p>
      <w:pPr>
        <w:spacing w:after="0" w:line="22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June 12, 2020, we entered into Amendment No. 1 to the Facility Agreement and into an Amendment and Restatement Agreement to our Euro Facility. The amendments, which are effective through the respective expirations of the Facility Agreement and Euro Facility, permit us to include the gross book value of $3.2 billion of goodwill (fully impaired in the quarter ended March 31, 2020) in the calculation of consolidated net worth, which is used in the calculation of our quarterly compliance with the total capitalization ratio under the Facility Agreement and Euro Facility.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amended and restated Facility Agreement and Euro Facility contain usual and customary covenants, representations and warranties, and events of default for credit facilities of this type, including financial covenants requiring that our total capitalization ratio not exceed 60% at the end of any financial quarter. The Facility Agreement and Euro Facility also contain covenants restricting our ability and our subsidiaries’ ability to incur additional liens and indebtedness, enter into asset sales, or make certain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were in compliance with all restrictive covenants under our credit facilities.</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Note 24 to our consolidated financial statements included in Part II, Item 8 of this Annual Report on Form 10-K for further information related to credit risk.</w:t>
      </w:r>
    </w:p>
    <w:p>
      <w:pPr>
        <w:spacing w:after="0" w:line="12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 xml:space="preserve">Credit Ratings </w:t>
      </w:r>
      <w:r>
        <w:rPr>
          <w:rFonts w:ascii="Arial" w:cs="Arial" w:eastAsia="Arial" w:hAnsi="Arial"/>
          <w:sz w:val="18"/>
          <w:szCs w:val="18"/>
          <w:color w:val="auto"/>
        </w:rPr>
        <w:t>- As of February 25, 2021, our credit ratings with Standard and Poor’s (S&amp;P) are BB+ for our long-term secured debt and B for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program. Our credit ratings with Moody’s are Ba1 for our long-term secured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 Valuations of derivative assets and liabilities reflect the fair value of the instruments, including the values associated with counterparty risk. These values must also take into account our credit standing, thus including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23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income approach was used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w:t>
      </w:r>
    </w:p>
    <w:p>
      <w:pPr>
        <w:spacing w:after="0" w:line="2" w:lineRule="exact"/>
        <w:rPr>
          <w:sz w:val="20"/>
          <w:szCs w:val="20"/>
          <w:color w:val="auto"/>
        </w:rPr>
      </w:pPr>
    </w:p>
    <w:p>
      <w:pPr>
        <w:jc w:val="both"/>
        <w:ind w:right="840"/>
        <w:spacing w:after="0" w:line="256" w:lineRule="auto"/>
        <w:rPr>
          <w:sz w:val="20"/>
          <w:szCs w:val="20"/>
          <w:color w:val="auto"/>
        </w:rPr>
      </w:pPr>
      <w:r>
        <w:rPr>
          <w:rFonts w:ascii="Arial" w:cs="Arial" w:eastAsia="Arial" w:hAnsi="Arial"/>
          <w:sz w:val="18"/>
          <w:szCs w:val="18"/>
          <w:color w:val="auto"/>
        </w:rPr>
        <w:t>Our credit spread, and the credit spread of other counterparties not publicly available, are approximated using the spread of similar companies in the same industry, of similar size, and with the same credit rating. See Notes 24 and 25 to our consolidated financial statements for further details.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7" w:name="page68"/>
    <w:bookmarkEnd w:id="67"/>
    <w:p>
      <w:pPr>
        <w:ind w:right="200"/>
        <w:spacing w:after="0" w:line="246" w:lineRule="auto"/>
        <w:rPr>
          <w:sz w:val="20"/>
          <w:szCs w:val="20"/>
          <w:color w:val="auto"/>
        </w:rPr>
      </w:pPr>
      <w:r>
        <w:rPr>
          <w:rFonts w:ascii="Arial" w:cs="Arial" w:eastAsia="Arial" w:hAnsi="Arial"/>
          <w:sz w:val="18"/>
          <w:szCs w:val="18"/>
          <w:color w:val="auto"/>
        </w:rPr>
        <w:t>At this time, we have no credit-risk-related contingent features in our agreements with the financial institutions that would require us to post collateral for derivative positions in a liability position.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Outlook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7"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We are committed to a strong balance sheet and ample liquidity that that will enable us to avoid distress in cyclical troughs and access capital markets throughout the cycle. We believe our liquidity has and continues to exceed the level required to achieve this goal.</w:t>
      </w:r>
    </w:p>
    <w:p>
      <w:pPr>
        <w:spacing w:after="0" w:line="2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objective in financing our business is to maintain sufficient liquidity, adequate financial resources and financial flexibility in order to fund the requirements of our business. Our capital expenditures can be adjusted and managed to match market demand and activity levels. Based on current market conditions and our future expectations, our capital expenditures for 2021 are estimated to be approximately $250.0 million. Projected capital expenditures do not include any contingent capital that may be needed to respond to a contract award.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w:t>
      </w:r>
    </w:p>
    <w:p>
      <w:pPr>
        <w:spacing w:after="0" w:line="25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connection with the Spin-off, we executed a series of refinancing transactions, in order to provide a capital structure with sufficient cash resources to support future operating and investment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w:t>
      </w:r>
    </w:p>
    <w:p>
      <w:pPr>
        <w:spacing w:after="0" w:line="25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On February 16, 2021, we entered into Revolving Credit Facility that provides for aggregate revolving capacity of up to $1.0 billion. Availability of borrowings under the Revolving Credit Facility is reduced by any outstanding letters of credit issued against the facility. At February 25, 2021, there were no outstanding letters of credit and availability of borrowings under the Revolving Credit Facility was $800 million.</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29, 2021, we issued $1.0 billion of 6.5% senior notes due 2026 (the “2021 Notes”). The interest on the 2021 Notes is paid semi-annually on February 1 and August 1 of each year, beginning on August 1, 2021. The 2021 Notes are senior unsecured obligations and are guaranteed on a senior unsecured basis by substantially all of our wholly-owned U.S. subsidiaries and non-U.S. subsidiaries in Brazil, the Netherlands, Norway, Singapore and the United Kingdom.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23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repayment of all $522.8 million of the outstanding Synthetic Convertible Bonds that matured in January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w:t>
      </w:r>
    </w:p>
    <w:p>
      <w:pPr>
        <w:spacing w:after="0" w:line="117" w:lineRule="exact"/>
        <w:rPr>
          <w:rFonts w:ascii="Arial" w:cs="Arial" w:eastAsia="Arial" w:hAnsi="Arial"/>
          <w:sz w:val="18"/>
          <w:szCs w:val="18"/>
          <w:color w:val="auto"/>
        </w:rPr>
      </w:pPr>
    </w:p>
    <w:p>
      <w:pPr>
        <w:ind w:left="660" w:right="60" w:hanging="328"/>
        <w:spacing w:after="0" w:line="254"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termination of the $2.5 billion senior unsecured revolving credit facility we entered into on January 17, 2017; the termination of the €500.0 million Euro Facility and the CCFF Program we entered into on May 19, 2020. In connection with the termination of these credit facilities, we repaid most of the outstanding commercial paper borrowings, which were $1,525.9 million as of December 31, 2020.</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continue to be strategically focused on cash and liquidity preservation. Subsequent to the completion of the Spin-off, we own 49.9% of the outstanding shares of Technip Energies. The ownership percentage will be further reduced by the sale of shares to BPI pursuant to the Share Purchase Agreement, for further details see section “The Spin-off” in “Item 1. Business.” We intend to conduct an orderly sale of our stake in Technip Energies over time and will use the proceeds from future sales to further reduce our net leverage.</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contractual obligations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2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1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center"/>
              <w:ind w:right="248"/>
              <w:spacing w:after="0" w:line="142"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528"/>
              <w:spacing w:after="0" w:line="142"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Debt </w:t>
            </w:r>
            <w:r>
              <w:rPr>
                <w:rFonts w:ascii="Arial" w:cs="Arial" w:eastAsia="Arial" w:hAnsi="Arial"/>
                <w:sz w:val="18"/>
                <w:szCs w:val="18"/>
                <w:color w:val="auto"/>
                <w:vertAlign w:val="superscript"/>
              </w:rPr>
              <w:t>(a)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434.6</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Interest on debt </w:t>
            </w:r>
            <w:r>
              <w:rPr>
                <w:rFonts w:ascii="Arial" w:cs="Arial" w:eastAsia="Arial" w:hAnsi="Arial"/>
                <w:sz w:val="18"/>
                <w:szCs w:val="18"/>
                <w:color w:val="auto"/>
                <w:vertAlign w:val="superscript"/>
              </w:rPr>
              <w:t>(a)</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Operating leases </w:t>
            </w:r>
            <w:r>
              <w:rPr>
                <w:rFonts w:ascii="Arial" w:cs="Arial" w:eastAsia="Arial" w:hAnsi="Arial"/>
                <w:sz w:val="18"/>
                <w:szCs w:val="18"/>
                <w:color w:val="auto"/>
                <w:vertAlign w:val="superscript"/>
              </w:rPr>
              <w:t>(b)</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Purchase obligations </w:t>
            </w:r>
            <w:r>
              <w:rPr>
                <w:rFonts w:ascii="Arial" w:cs="Arial" w:eastAsia="Arial" w:hAnsi="Arial"/>
                <w:sz w:val="18"/>
                <w:szCs w:val="18"/>
                <w:color w:val="auto"/>
                <w:vertAlign w:val="superscript"/>
              </w:rPr>
              <w:t>(c)</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5,709.4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4,587.5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Pension and other post-retirement benefits </w:t>
            </w:r>
            <w:r>
              <w:rPr>
                <w:rFonts w:ascii="Arial" w:cs="Arial" w:eastAsia="Arial" w:hAnsi="Arial"/>
                <w:sz w:val="18"/>
                <w:szCs w:val="18"/>
                <w:color w:val="auto"/>
                <w:vertAlign w:val="superscript"/>
              </w:rPr>
              <w:t>(d)</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Unrecognized tax benefits </w:t>
            </w:r>
            <w:r>
              <w:rPr>
                <w:rFonts w:ascii="Arial" w:cs="Arial" w:eastAsia="Arial" w:hAnsi="Arial"/>
                <w:sz w:val="18"/>
                <w:szCs w:val="18"/>
                <w:color w:val="auto"/>
                <w:vertAlign w:val="superscript"/>
              </w:rPr>
              <w:t>(e)</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Other contractual obligations </w:t>
            </w:r>
            <w:r>
              <w:rPr>
                <w:rFonts w:ascii="Arial" w:cs="Arial" w:eastAsia="Arial" w:hAnsi="Arial"/>
                <w:sz w:val="18"/>
                <w:szCs w:val="18"/>
                <w:color w:val="auto"/>
                <w:vertAlign w:val="superscript"/>
              </w:rPr>
              <w:t>(f)</w:t>
            </w: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11,355.3</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5,578.1</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4,104.8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693.3</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979.1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right="220" w:hanging="332"/>
        <w:spacing w:after="0" w:line="249"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available debt is dependent upon our compliance with covenants, including negative covenants related to liens and our total capitalization ratio. Any violation of covenants or other events of default, which are not waived or cured, or changes in our credit rating could have a material impact on our ability to maintain our committed financing arrangements.</w:t>
      </w:r>
    </w:p>
    <w:p>
      <w:pPr>
        <w:spacing w:after="0" w:line="146" w:lineRule="exact"/>
        <w:rPr>
          <w:rFonts w:ascii="Arial" w:cs="Arial" w:eastAsia="Arial" w:hAnsi="Arial"/>
          <w:sz w:val="14"/>
          <w:szCs w:val="14"/>
          <w:color w:val="auto"/>
        </w:rPr>
      </w:pPr>
    </w:p>
    <w:p>
      <w:pPr>
        <w:ind w:left="340" w:right="40"/>
        <w:spacing w:after="0" w:line="258" w:lineRule="auto"/>
        <w:rPr>
          <w:rFonts w:ascii="Arial" w:cs="Arial" w:eastAsia="Arial" w:hAnsi="Arial"/>
          <w:sz w:val="14"/>
          <w:szCs w:val="14"/>
          <w:color w:val="auto"/>
        </w:rPr>
      </w:pPr>
      <w:r>
        <w:rPr>
          <w:rFonts w:ascii="Arial" w:cs="Arial" w:eastAsia="Arial" w:hAnsi="Arial"/>
          <w:sz w:val="14"/>
          <w:szCs w:val="14"/>
          <w:color w:val="auto"/>
        </w:rPr>
        <w:t>Due to our intent and ability to refinance commercial paper obligations on a long-term basis under our revolving credit facility and the variable interest rates associated with these debt instruments, only interest on our Senior Notes is included in the table. During 2020, we paid $107.0 million for interest charges, net of interest capitalized.</w:t>
      </w:r>
    </w:p>
    <w:p>
      <w:pPr>
        <w:spacing w:after="0" w:line="139" w:lineRule="exact"/>
        <w:rPr>
          <w:rFonts w:ascii="Arial" w:cs="Arial" w:eastAsia="Arial" w:hAnsi="Arial"/>
          <w:sz w:val="14"/>
          <w:szCs w:val="14"/>
          <w:color w:val="auto"/>
        </w:rPr>
      </w:pPr>
    </w:p>
    <w:p>
      <w:pPr>
        <w:ind w:left="340" w:right="480"/>
        <w:spacing w:after="0" w:line="258" w:lineRule="auto"/>
        <w:rPr>
          <w:rFonts w:ascii="Arial" w:cs="Arial" w:eastAsia="Arial" w:hAnsi="Arial"/>
          <w:sz w:val="14"/>
          <w:szCs w:val="14"/>
          <w:color w:val="auto"/>
        </w:rPr>
      </w:pPr>
      <w:r>
        <w:rPr>
          <w:rFonts w:ascii="Arial" w:cs="Arial" w:eastAsia="Arial" w:hAnsi="Arial"/>
          <w:sz w:val="14"/>
          <w:szCs w:val="14"/>
          <w:color w:val="auto"/>
        </w:rPr>
        <w:t>Subsequent to the Spin-off, we expect the total future principal payments on debt and total future interest payments to be approximately $2,376.8 million and $556.1 million, respectively.</w:t>
      </w:r>
    </w:p>
    <w:p>
      <w:pPr>
        <w:spacing w:after="0" w:line="139" w:lineRule="exact"/>
        <w:rPr>
          <w:rFonts w:ascii="Arial" w:cs="Arial" w:eastAsia="Arial" w:hAnsi="Arial"/>
          <w:sz w:val="14"/>
          <w:szCs w:val="14"/>
          <w:color w:val="auto"/>
        </w:rPr>
      </w:pPr>
    </w:p>
    <w:p>
      <w:pPr>
        <w:ind w:left="340" w:right="140" w:hanging="332"/>
        <w:spacing w:after="0" w:line="258"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lease office space, manufacturing facilities and various types of manufacturing and data processing equipment. Leases of real estate generally provide for payment of property taxes, insurance and repairs by us. Substantially all of our leases are classified as operating leases.</w:t>
      </w:r>
    </w:p>
    <w:p>
      <w:pPr>
        <w:spacing w:after="0" w:line="139" w:lineRule="exact"/>
        <w:rPr>
          <w:rFonts w:ascii="Arial" w:cs="Arial" w:eastAsia="Arial" w:hAnsi="Arial"/>
          <w:sz w:val="14"/>
          <w:szCs w:val="14"/>
          <w:color w:val="auto"/>
        </w:rPr>
      </w:pPr>
    </w:p>
    <w:p>
      <w:pPr>
        <w:ind w:left="340" w:right="240" w:hanging="332"/>
        <w:spacing w:after="0" w:line="247"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normal course of business, we enter into agreements with our suppliers to purchase raw materials or services. These agreements include a requirement that our supplier provide products or services to our specifications and require us to make a firm purchase commitment to our supplier. As substantially all of these commitments are associated with purchases made to fulfill our customers’ orders, the costs associated with these agreements will ultimately be reflected in cost of sales in our consolidated statements of income. Subsequent to the Spin-off, we expect the total remaining future purchase obligations to be approximately $1,094.1 million.</w:t>
      </w:r>
    </w:p>
    <w:p>
      <w:pPr>
        <w:spacing w:after="0" w:line="147" w:lineRule="exact"/>
        <w:rPr>
          <w:rFonts w:ascii="Arial" w:cs="Arial" w:eastAsia="Arial" w:hAnsi="Arial"/>
          <w:sz w:val="14"/>
          <w:szCs w:val="14"/>
          <w:color w:val="auto"/>
        </w:rPr>
      </w:pPr>
    </w:p>
    <w:p>
      <w:pPr>
        <w:ind w:left="340" w:right="140" w:hanging="332"/>
        <w:spacing w:after="0" w:line="247"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expect to contribute approximately $20.7 million to our international pension plans during 2021. Required contributions for future years depend on factors that cannot be determined at this time. Additionally, we expect to pay directly to beneficiaries approximately $14.3 million for international unfunded pension plan and $4.7 million for U.S. Non-Qualified unfunded pension plan during 2021. Subsequent to the Spin-off, we expect to contribute approximately $18.9 million to our international pension plans during 2021.</w:t>
      </w:r>
    </w:p>
    <w:p>
      <w:pPr>
        <w:spacing w:after="0" w:line="147" w:lineRule="exact"/>
        <w:rPr>
          <w:rFonts w:ascii="Arial" w:cs="Arial" w:eastAsia="Arial" w:hAnsi="Arial"/>
          <w:sz w:val="14"/>
          <w:szCs w:val="14"/>
          <w:color w:val="auto"/>
        </w:rPr>
      </w:pPr>
    </w:p>
    <w:p>
      <w:pPr>
        <w:ind w:left="340" w:right="180" w:hanging="332"/>
        <w:spacing w:after="0" w:line="249"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It is reasonably possible that $4.2 million of liabilities for unrecognized tax benefits will be settled during 2021, and this amount is reflected in income taxes payable in our consolidated balance sheet as of December 31, 2020. Although unrecognized tax benefits are not contractual obligations, they are presented in this table because they represent demands on our liquidity.</w:t>
      </w:r>
    </w:p>
    <w:p>
      <w:pPr>
        <w:spacing w:after="0" w:line="146" w:lineRule="exact"/>
        <w:rPr>
          <w:rFonts w:ascii="Arial" w:cs="Arial" w:eastAsia="Arial" w:hAnsi="Arial"/>
          <w:sz w:val="14"/>
          <w:szCs w:val="14"/>
          <w:color w:val="auto"/>
        </w:rPr>
      </w:pPr>
    </w:p>
    <w:p>
      <w:pPr>
        <w:ind w:left="340" w:hanging="332"/>
        <w:spacing w:after="0" w:line="247"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contractual obligations represent our share of the mandatorily redeemable financial liability, which is recorded at its fair value. The mandatorily redeemable financial liability relates to our voting control interests in legal Technip Energies contract entities which own and account for the design, engineering and construction of the Yamal LNG plant. During the year ended December 31, 2020 we revalued the liability to reflect current expectations about the obligation. See Note 24 to our consolidated financial statements for further details.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off-balance sheet arrangements for our consolidated subsidiaries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Amount of Commitment Expiration per Period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2"/>
                <w:szCs w:val="12"/>
                <w:color w:val="auto"/>
              </w:rPr>
            </w:pPr>
          </w:p>
        </w:tc>
        <w:tc>
          <w:tcPr>
            <w:tcW w:w="1100" w:type="dxa"/>
            <w:vAlign w:val="bottom"/>
          </w:tcPr>
          <w:p>
            <w:pPr>
              <w:jc w:val="center"/>
              <w:ind w:right="248"/>
              <w:spacing w:after="0" w:line="142"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28"/>
              <w:spacing w:after="0" w:line="142"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1 year</w:t>
            </w:r>
          </w:p>
        </w:tc>
        <w:tc>
          <w:tcPr>
            <w:tcW w:w="3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5"/>
                <w:szCs w:val="15"/>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3"/>
        </w:trPr>
        <w:tc>
          <w:tcPr>
            <w:tcW w:w="36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4,659.6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1,968.0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0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off-balance sheet arrangements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2,172.1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2,050.3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right="60" w:hanging="332"/>
        <w:spacing w:after="0" w:line="258"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69" w:name="page70"/>
    <w:bookmarkEnd w:id="69"/>
    <w:p>
      <w:pPr>
        <w:ind w:left="340" w:right="320" w:hanging="332"/>
        <w:spacing w:after="0" w:line="258"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consolidated financial statements for further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majority of our revenue is derived from long-term contracts that can span several years. We account for revenue in accordance with Accounting Standard Codification (“ASC”) Topic 606, Revenues from Contracts with Customers. The unit of account in ASC Topic 606 is a performance obligation. A contract’s transaction price is allocated to each distinct performance obligation and recognized as revenue when, or as, the performance obligation is satisfied. Our performance obligations are satisfied over time as work progresses or at a point in time.</w:t>
      </w:r>
    </w:p>
    <w:p>
      <w:pPr>
        <w:spacing w:after="0" w:line="1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significant portion of our total revenue recognized over time relates to our Technip Energies and Subsea segments, primarily for the entire range of onshore facilities, fixed and floating offshore oil and gas facilities, and subsea exploration and production equipment projects that involve the design, engineering, manufacturing, construction, and assembly of complex, customer-specific systems.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that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w:t>
      </w:r>
    </w:p>
    <w:p>
      <w:pPr>
        <w:spacing w:after="0" w:line="15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 and cost at completion is complex, subject to many variables, and requires significant judgment. It is common for our long-term contracts to contain award fees, incentive fees, or other provisions that can either increase or decrease the transaction price. We include estimated amounts in the transaction price when we believe we have an enforceable right to the modification, the amount can be estimated reliably, and its realization is probable. The estimated amounts are included in the transaction price to the extent it is probable that a significant reversal of cumulative revenue recognized will not occur when the uncertainty associated with the variable consideration is resolved.</w:t>
      </w:r>
    </w:p>
    <w:p>
      <w:pPr>
        <w:spacing w:after="0" w:line="15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execute contracts with our customers that clearly describe the equipment, systems, and/or services.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0" w:name="page71"/>
    <w:bookmarkEnd w:id="70"/>
    <w:p>
      <w:pPr>
        <w:ind w:right="40"/>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all of which can affect the accuracy of our cost estimates, and ultimately, our future profitability.</w:t>
      </w:r>
    </w:p>
    <w:p>
      <w:pPr>
        <w:spacing w:after="0" w:line="15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operating loss for the year ended December 31, 2020 was positively impacted by approximately $ 457.9 million, as a result of changes in contract estimates related to projects that were in progress as of December 31, 2019. During the year ended December 31, 2020, we recognized changes in our estimates that had an impact on our margin in the amounts of $519.5 million, $ (56.5) million and $(5.1) million in our Technip Energies, Subsea and Surface Technologies segments, respectively. The changes in contract estimates are attributed to better, than expected performance throughout our execution of our projects.</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operating loss for the year ended December 31, 2019 was positively impacted by approximately $1,114.3 million, as a result of changes in contract estimates related to projects that were in progress as of December 31, 2018. During the year ended December 31, 2019, we recognized changes in our estimates that had an impact on our margin in the amounts of $797.2 million, $ 324.7 million and $(7.6) million in our Technip Energies, Subsea and Surface Technologies segments, respectively. The changes in contract estimates are attributed to better, than expected performance throughout our execution of our projects.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operating profit for the year ended December 31, 2018 was positively impacted by approximately $553.4 million, as a result of changes in contract estimates related to projects that were in progress as of December 31, 2017. During the year ended December 31, 2018, we recognized changes in our estimates that had an impact on our margin in the amounts of $ 379.2 million, $169.9 million and $4.3 million in our Technip Energies, Subsea and Surface technologies segments, respectively. The changes in contract estimates are attributed to better, than expected performance throughout our execution of our projects.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14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determining our current income tax provision, we assess temporary differences resulting from differing treatments of items for tax and accounting purposes. These differences result in deferred tax assets and liabilities, which are recorded in our consolidated balance sheets. When we maintain deferred tax assets, we must assess the likelihood that these assets will be recovered through adjustments to future taxable income. To the extent, we believe recovery is not likely, we establish a valuation allowance. We record a valuation allowance to reduce the asset to a value we believe will be recoverable based on our 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our judgment related to the expected realizability of a deferred tax asset results in an adjustment to the associated valuation allowance.</w:t>
      </w:r>
    </w:p>
    <w:p>
      <w:pPr>
        <w:spacing w:after="0" w:line="15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December 31, 2020, we have provided a valuation allowance against the related deferred tax assets where we believe it is not more likely than not that we will generate future taxable income sufficient to realize such assets.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line="252" w:lineRule="auto"/>
        <w:rPr>
          <w:sz w:val="20"/>
          <w:szCs w:val="20"/>
          <w:color w:val="auto"/>
        </w:rPr>
      </w:pPr>
      <w:r>
        <w:rPr>
          <w:rFonts w:ascii="Arial" w:cs="Arial" w:eastAsia="Arial" w:hAnsi="Arial"/>
          <w:sz w:val="18"/>
          <w:szCs w:val="18"/>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9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determination of the projected benefit obligations of our pension and other post-retirement benefit plans are important to the recorded amounts of such obligations in our consolidated balance sheets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 of our plan assets, respectively. The timing and amount of cash outflows related to the bonds included in the indices matches it estimated defined benefits payments. These measures are critical accounting estimates because they are subject to management’s judgment and can materially affect net income.</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actuarial assumptions and estimates made by management in determining our pension benefit obligations may materially differ from actual results as a result of changing market and economic conditions and changes in plan participant assumptions. While we believe the assumptions and estimates used are appropriate, differences in actual experience or changes in plan participant assumptions may materially affect our financial position or results of operations.</w:t>
      </w:r>
    </w:p>
    <w:p>
      <w:pPr>
        <w:spacing w:after="0" w:line="150"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following table illustrates the sensitivity of changes in the discount rate and expected long-term return on plan assets on pension expense and the projected benefit obligation: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180" w:type="dxa"/>
            <w:vAlign w:val="bottom"/>
            <w:gridSpan w:val="2"/>
          </w:tcPr>
          <w:p>
            <w:pPr>
              <w:ind w:left="1580"/>
              <w:spacing w:after="0"/>
              <w:rPr>
                <w:sz w:val="20"/>
                <w:szCs w:val="20"/>
                <w:color w:val="auto"/>
              </w:rPr>
            </w:pPr>
            <w:r>
              <w:rPr>
                <w:rFonts w:ascii="Arial" w:cs="Arial" w:eastAsia="Arial" w:hAnsi="Arial"/>
                <w:sz w:val="14"/>
                <w:szCs w:val="14"/>
                <w:b w:val="1"/>
                <w:bCs w:val="1"/>
                <w:color w:val="auto"/>
              </w:rPr>
              <w:t>Increase (Decrease) in</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Increase (Decrease) in</w:t>
            </w:r>
          </w:p>
        </w:tc>
        <w:tc>
          <w:tcPr>
            <w:tcW w:w="0" w:type="dxa"/>
            <w:vAlign w:val="bottom"/>
          </w:tcPr>
          <w:p>
            <w:pPr>
              <w:spacing w:after="0"/>
              <w:rPr>
                <w:sz w:val="1"/>
                <w:szCs w:val="1"/>
                <w:color w:val="auto"/>
              </w:rPr>
            </w:pPr>
          </w:p>
        </w:tc>
      </w:tr>
      <w:tr>
        <w:trPr>
          <w:trHeight w:val="135"/>
        </w:trPr>
        <w:tc>
          <w:tcPr>
            <w:tcW w:w="6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rPr>
              <w:t>2020 Pension</w:t>
            </w:r>
          </w:p>
        </w:tc>
        <w:tc>
          <w:tcPr>
            <w:tcW w:w="180" w:type="dxa"/>
            <w:vAlign w:val="bottom"/>
          </w:tcPr>
          <w:p>
            <w:pPr>
              <w:spacing w:after="0"/>
              <w:rPr>
                <w:sz w:val="11"/>
                <w:szCs w:val="11"/>
                <w:color w:val="auto"/>
              </w:rPr>
            </w:pPr>
          </w:p>
        </w:tc>
        <w:tc>
          <w:tcPr>
            <w:tcW w:w="14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Projected Benefit</w:t>
            </w:r>
          </w:p>
        </w:tc>
        <w:tc>
          <w:tcPr>
            <w:tcW w:w="0" w:type="dxa"/>
            <w:vAlign w:val="bottom"/>
          </w:tcPr>
          <w:p>
            <w:pPr>
              <w:spacing w:after="0"/>
              <w:rPr>
                <w:sz w:val="1"/>
                <w:szCs w:val="1"/>
                <w:color w:val="auto"/>
              </w:rPr>
            </w:pPr>
          </w:p>
        </w:tc>
      </w:tr>
      <w:tr>
        <w:trPr>
          <w:trHeight w:val="135"/>
        </w:trPr>
        <w:tc>
          <w:tcPr>
            <w:tcW w:w="6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basis points)</w:t>
            </w:r>
          </w:p>
        </w:tc>
        <w:tc>
          <w:tcPr>
            <w:tcW w:w="1720" w:type="dxa"/>
            <w:vAlign w:val="bottom"/>
          </w:tcPr>
          <w:p>
            <w:pPr>
              <w:spacing w:after="0"/>
              <w:rPr>
                <w:sz w:val="11"/>
                <w:szCs w:val="11"/>
                <w:color w:val="auto"/>
              </w:rPr>
            </w:pPr>
          </w:p>
        </w:tc>
        <w:tc>
          <w:tcPr>
            <w:tcW w:w="14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rPr>
              <w:t>Expense Before</w:t>
            </w:r>
          </w:p>
        </w:tc>
        <w:tc>
          <w:tcPr>
            <w:tcW w:w="180" w:type="dxa"/>
            <w:vAlign w:val="bottom"/>
          </w:tcPr>
          <w:p>
            <w:pPr>
              <w:spacing w:after="0"/>
              <w:rPr>
                <w:sz w:val="11"/>
                <w:szCs w:val="11"/>
                <w:color w:val="auto"/>
              </w:rPr>
            </w:pPr>
          </w:p>
        </w:tc>
        <w:tc>
          <w:tcPr>
            <w:tcW w:w="14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Obligation as of</w:t>
            </w:r>
          </w:p>
        </w:tc>
        <w:tc>
          <w:tcPr>
            <w:tcW w:w="0" w:type="dxa"/>
            <w:vAlign w:val="bottom"/>
          </w:tcPr>
          <w:p>
            <w:pPr>
              <w:spacing w:after="0"/>
              <w:rPr>
                <w:sz w:val="1"/>
                <w:szCs w:val="1"/>
                <w:color w:val="auto"/>
              </w:rPr>
            </w:pPr>
          </w:p>
        </w:tc>
      </w:tr>
      <w:tr>
        <w:trPr>
          <w:trHeight w:val="175"/>
        </w:trPr>
        <w:tc>
          <w:tcPr>
            <w:tcW w:w="638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tcPr>
          <w:p>
            <w:pPr>
              <w:jc w:val="center"/>
              <w:ind w:right="128"/>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5"/>
                <w:szCs w:val="15"/>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basis point decrease in discount rate</w:t>
            </w:r>
          </w:p>
        </w:tc>
        <w:tc>
          <w:tcPr>
            <w:tcW w:w="17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25 basis point increase in discount rate</w:t>
            </w:r>
          </w:p>
        </w:tc>
        <w:tc>
          <w:tcPr>
            <w:tcW w:w="1720" w:type="dxa"/>
            <w:vAlign w:val="bottom"/>
          </w:tcPr>
          <w:p>
            <w:pPr>
              <w:ind w:left="1580"/>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928"/>
              <w:spacing w:after="0"/>
              <w:rPr>
                <w:sz w:val="20"/>
                <w:szCs w:val="20"/>
                <w:color w:val="auto"/>
              </w:rPr>
            </w:pPr>
            <w:r>
              <w:rPr>
                <w:rFonts w:ascii="Arial" w:cs="Arial" w:eastAsia="Arial" w:hAnsi="Arial"/>
                <w:sz w:val="14"/>
                <w:szCs w:val="14"/>
                <w:color w:val="auto"/>
              </w:rPr>
              <w:t>(3.2)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basis point decrease in expected long-term rate of return on plan assets</w:t>
            </w:r>
          </w:p>
        </w:tc>
        <w:tc>
          <w:tcPr>
            <w:tcW w:w="17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0"/>
        </w:trPr>
        <w:tc>
          <w:tcPr>
            <w:tcW w:w="6380" w:type="dxa"/>
            <w:vAlign w:val="bottom"/>
          </w:tcPr>
          <w:p>
            <w:pPr>
              <w:ind w:left="20"/>
              <w:spacing w:after="0"/>
              <w:rPr>
                <w:sz w:val="20"/>
                <w:szCs w:val="20"/>
                <w:color w:val="auto"/>
              </w:rPr>
            </w:pPr>
            <w:r>
              <w:rPr>
                <w:rFonts w:ascii="Arial" w:cs="Arial" w:eastAsia="Arial" w:hAnsi="Arial"/>
                <w:sz w:val="14"/>
                <w:szCs w:val="14"/>
                <w:color w:val="auto"/>
              </w:rPr>
              <w:t>25 basis point increase in expected long-term rate of return on plan assets</w:t>
            </w:r>
          </w:p>
        </w:tc>
        <w:tc>
          <w:tcPr>
            <w:tcW w:w="1720" w:type="dxa"/>
            <w:vAlign w:val="bottom"/>
          </w:tcPr>
          <w:p>
            <w:pPr>
              <w:ind w:left="1580"/>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928"/>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6"/>
                <w:szCs w:val="16"/>
                <w:color w:val="auto"/>
              </w:rPr>
            </w:pPr>
          </w:p>
        </w:tc>
        <w:tc>
          <w:tcPr>
            <w:tcW w:w="1460" w:type="dxa"/>
            <w:vAlign w:val="bottom"/>
          </w:tcPr>
          <w:p>
            <w:pPr>
              <w:ind w:left="12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9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See Note 2 to our consolidated financial statements for further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Intangible Assets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Long-lived assets, including vessels, property, plant and equipment, identifiable intangible assets being amortized and capitalized software costs are reviewed for impairment whenever events or changes in circumstances indicate the carrying amount of the long-lived asset may not be recoverable. The carrying amount of a long-lived asset is not recoverable if it exceeds the sum of the undiscounted cash flows expected to result from the use and eventual disposition of the asset. If it is determined that an impairment loss has occurred, the loss is measured as the amount by which the carrying amount of the long-lived asset exceeds its fair value. The determination of future cash flows as well as the estimated fair value of long-lived assets involves significant estimates on the part of management. Because there usually is a lack of quoted market prices for long-lived assets, fair value of impaired assets is typically determined based on the present values of expected future cash flows using discount rates believed to be consistent with those used by principal market participants, or based on a multiple of operating cash flows validated with historical market transactions of similar assets where possible. The expected future cash flows used for impairment reviews and related fair value calculations are based on judgmental assessments of revenue, forecasted utilization, operating costs and capital decisions and all available information at the date of review. If future market conditions deteriorate beyond our current expectations and assumptions, impairments of long-lived assets may be identified if we conclude that the carrying amounts are no longer recoverable.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Goodwill represents the excess of cost over the fair market value of net assets acquired in business combinations. Goodwill is not subject to amortization but is tested for impairment at a reporting unit level on an annual basis, or more frequently if impairment indicators arise. We have established October 31 as the date of our annual test for impairment of goodwill. We identify a potential impairment by comparing the fair value of the applicable reporting unit to its net book value, including goodwill. If the net book value exceeds the fair value of the reporting unit, we measure the impairment by comparing the carrying value of the reporting unit to its fair value. Reporting units with goodwill are tested for impairment using a quantitative impairment test.</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using the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73" w:name="page74"/>
    <w:bookmarkEnd w:id="73"/>
    <w:p>
      <w:pPr>
        <w:ind w:right="20"/>
        <w:spacing w:after="0" w:line="252"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Under the market multiple approach, we determine the estimated fair value of each of our reporting units by applying transaction multiples to each reporting unit’s projected EBITDA and then averaging that estimate with similar historical calculations using either a one, two or three year average. Our reporting unit valuations were determined primarily by utilizing the income approach, with a lesser weighting attributed the market multiple approach.</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first quarter of 2020 a severe decline in the Company’s market capitalization, significant decline in crude oil prices and the growing pandemic caused by COVID-19 triggered the need for an impairment test at March 31, 2020. We utilized a market approach to measure the fair value of our reporting units as of March 31, 2020. In measuring a fair value of the Company we used the Company’s market capitalization. An appropriate control premium was considered for each of the reporting units and applied to the output of the market approach. An interim impairment test during the first quarter of 2020 resulted in $2,747.5 million and $335.9 million of goodwill impairment charges recorded in our Subsea and Surface Technologies segments, respectively.</w:t>
      </w:r>
    </w:p>
    <w:p>
      <w:pPr>
        <w:spacing w:after="0" w:line="15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During our annual impairment test the following significant estimates were used by management in determining the fair values of our reporting units in order to test the remaining goodwill at October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18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of cash flows before terminal value</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29"/>
        </w:trPr>
        <w:tc>
          <w:tcPr>
            <w:tcW w:w="6400" w:type="dxa"/>
            <w:vAlign w:val="bottom"/>
          </w:tcPr>
          <w:p>
            <w:pPr>
              <w:ind w:left="20"/>
              <w:spacing w:after="0"/>
              <w:rPr>
                <w:sz w:val="20"/>
                <w:szCs w:val="20"/>
                <w:color w:val="auto"/>
              </w:rPr>
            </w:pPr>
            <w:r>
              <w:rPr>
                <w:rFonts w:ascii="Arial" w:cs="Arial" w:eastAsia="Arial" w:hAnsi="Arial"/>
                <w:sz w:val="14"/>
                <w:szCs w:val="14"/>
                <w:color w:val="auto"/>
              </w:rPr>
              <w:t>Discount rates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0.15</w:t>
            </w:r>
          </w:p>
        </w:tc>
        <w:tc>
          <w:tcPr>
            <w:tcW w:w="120" w:type="dxa"/>
            <w:vAlign w:val="bottom"/>
          </w:tcPr>
          <w:p>
            <w:pPr>
              <w:spacing w:after="0"/>
              <w:rPr>
                <w:sz w:val="19"/>
                <w:szCs w:val="19"/>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color w:val="auto"/>
              </w:rPr>
              <w:t>12.5% to 15.0%</w:t>
            </w:r>
          </w:p>
        </w:tc>
        <w:tc>
          <w:tcPr>
            <w:tcW w:w="1540" w:type="dxa"/>
            <w:vAlign w:val="bottom"/>
          </w:tcPr>
          <w:p>
            <w:pPr>
              <w:ind w:left="260"/>
              <w:spacing w:after="0"/>
              <w:rPr>
                <w:sz w:val="20"/>
                <w:szCs w:val="20"/>
                <w:color w:val="auto"/>
              </w:rPr>
            </w:pPr>
            <w:r>
              <w:rPr>
                <w:rFonts w:ascii="Arial" w:cs="Arial" w:eastAsia="Arial" w:hAnsi="Arial"/>
                <w:sz w:val="14"/>
                <w:szCs w:val="14"/>
                <w:color w:val="auto"/>
              </w:rPr>
              <w:t>12.0% to 13.0%</w:t>
            </w:r>
          </w:p>
        </w:tc>
      </w:tr>
      <w:tr>
        <w:trPr>
          <w:trHeight w:val="189"/>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 multiples</w:t>
            </w: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6.0 - 8.5x</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7.0 - 8.5x</w:t>
            </w:r>
          </w:p>
        </w:tc>
      </w:tr>
    </w:tbl>
    <w:p>
      <w:pPr>
        <w:spacing w:after="0" w:line="200" w:lineRule="exact"/>
        <w:rPr>
          <w:sz w:val="20"/>
          <w:szCs w:val="20"/>
          <w:color w:val="auto"/>
        </w:rPr>
      </w:pPr>
    </w:p>
    <w:p>
      <w:pPr>
        <w:spacing w:after="0" w:line="31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During the year ended December 31, 2020, the significant estimates used by management in determining the fair value described above relate to Technip Energies reporting unit only. Based on the impairment tests performed during the year ended December 31, 2020 we recorded $2,747.5 million and $335.9 million of goodwill impairment charges recorded in our Subsea and Surface Technologies reporting units, respectively. No goodwill impairment charges were recorded in our Technip Energies reporting unit. The fair value over carrying amount for our Technip Energies segment was in excess of 300% of its carrying amount at our annual impairment test date that is October 31, 2020.</w:t>
      </w:r>
    </w:p>
    <w:p>
      <w:pPr>
        <w:spacing w:after="0" w:line="15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During the year ended December 31, 2019, we recorded $1,321.9 million and $666.8 million of goodwill impairment charges in our Subsea and Surface Technologies segments, respectively.</w:t>
      </w:r>
    </w:p>
    <w:p>
      <w:pPr>
        <w:spacing w:after="0" w:line="143" w:lineRule="exact"/>
        <w:rPr>
          <w:sz w:val="20"/>
          <w:szCs w:val="20"/>
          <w:color w:val="auto"/>
        </w:rPr>
      </w:pPr>
    </w:p>
    <w:p>
      <w:pPr>
        <w:ind w:right="940"/>
        <w:spacing w:after="0" w:line="491" w:lineRule="auto"/>
        <w:rPr>
          <w:sz w:val="20"/>
          <w:szCs w:val="20"/>
          <w:color w:val="auto"/>
        </w:rPr>
      </w:pPr>
      <w:r>
        <w:rPr>
          <w:rFonts w:ascii="Arial" w:cs="Arial" w:eastAsia="Arial" w:hAnsi="Arial"/>
          <w:sz w:val="18"/>
          <w:szCs w:val="18"/>
          <w:color w:val="auto"/>
        </w:rPr>
        <w:t xml:space="preserve">During the year ended December 31, 2018, we recorded $1,383.0 million of goodwill impairment charges in our Subsea segment. See Notes 15 and 19 to our consolidated financial statements for further details. </w:t>
      </w:r>
      <w:r>
        <w:rPr>
          <w:rFonts w:ascii="Arial" w:cs="Arial" w:eastAsia="Arial" w:hAnsi="Arial"/>
          <w:sz w:val="18"/>
          <w:szCs w:val="18"/>
          <w:b w:val="1"/>
          <w:bCs w:val="1"/>
          <w:color w:val="auto"/>
        </w:rPr>
        <w:t>OTHER MATTERS</w:t>
      </w:r>
    </w:p>
    <w:p>
      <w:pPr>
        <w:spacing w:after="0" w:line="26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contacted and are cooperating with French authorities (the Parquet National Financier (“PNF”)) about these existing matters.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4 to our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As of December 31, 2020 and 2019, substantially all of our derivative holdings consisted of foreign currency forward contracts and foreign currency instruments embedded in purchase and sale contracts.</w:t>
      </w:r>
    </w:p>
    <w:p>
      <w:pPr>
        <w:spacing w:after="0" w:line="151"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as of December 31, 2020, would have changed our revenue and income before income taxes attributable to TechnipFMC by approximately $813.0 million and $38.0 million, respectively.</w:t>
      </w:r>
    </w:p>
    <w:p>
      <w:pPr>
        <w:spacing w:after="0" w:line="15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our foreign currency forward contracts hedging anticipated transactions that are accounted for as cash flow hedges, a 10% increase in the value of the U.S. dollar would have resulted in an additional loss of $68.4 million in the net fair value of cash flow hedges reflected in our consolidated balance sheet as of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December 31, 2020, we had commercial paper of approximately $1.5 billion with a weighted average interest rate of 0.26%. Using sensitivity analysis to measure the impact of a 10% adverse movement in the interest rate, or three basis points, would result in an increase to interest expense of $0.5 million.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6" w:name="page77"/>
    <w:bookmarkEnd w:id="76"/>
    <w:p>
      <w:pPr>
        <w:spacing w:after="0" w:line="268" w:lineRule="auto"/>
        <w:rPr>
          <w:sz w:val="20"/>
          <w:szCs w:val="20"/>
          <w:color w:val="auto"/>
        </w:rPr>
      </w:pPr>
      <w:r>
        <w:rPr>
          <w:rFonts w:ascii="Arial" w:cs="Arial" w:eastAsia="Arial" w:hAnsi="Arial"/>
          <w:sz w:val="17"/>
          <w:szCs w:val="17"/>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do not have significant exposure in the unrealized valuation of our forward foreign currency contracts to relative changes in interest rates between countries in our results of operations. To the extent any one interest rate increases by 10% across all tenors and other countries’ interest rates remain fixed, and assuming no change in discount rates, we would expect to recognize a decrease of $1.5 million in unrealized earnings in the period of change. Based on our portfolio at December 31, 2020, we have material positions with exposure to interest rates in the United States, Canada, Australia, Brazil, the United Kingdom, Singapore, the European Community, and Norway.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TechnipFMC plc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We have audited the accompanying consolidated balance sheets of TechnipFMC plc and its subsidiaries (the “Company”) as of December 31, 2020 and 2019, and the related consolidated statements of income, of comprehensive income, of changes in stockholders’ equity and of cash flows for each of the three years in the period ended December 31, 2020, including the related notes and schedule of valuation and qualifying accounts for each of the three years in the period ended December 31, 2020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3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Change in Accounting Principle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61"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78" w:name="page79"/>
    <w:bookmarkEnd w:id="78"/>
    <w:p>
      <w:pPr>
        <w:ind w:right="160"/>
        <w:spacing w:after="0" w:line="237" w:lineRule="auto"/>
        <w:rPr>
          <w:sz w:val="20"/>
          <w:szCs w:val="20"/>
          <w:color w:val="auto"/>
        </w:rPr>
      </w:pPr>
      <w:r>
        <w:rPr>
          <w:rFonts w:ascii="Arial" w:cs="Arial" w:eastAsia="Arial" w:hAnsi="Arial"/>
          <w:sz w:val="18"/>
          <w:szCs w:val="18"/>
          <w:color w:val="auto"/>
        </w:rPr>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6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Determination of Estimated Costs to Complete for Long-Term Contracts</w:t>
      </w:r>
    </w:p>
    <w:p>
      <w:pPr>
        <w:spacing w:after="0" w:line="2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in Note 6 to the consolidated financial statements, approximately 86% of the total revenue of $13.1 billion for the year ended December 31, 2020 is generated from long-term contracts. As disclosed by management, for the Company’s long-term contracts,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it best depicts the transfer of control to the customer which occurs as the Company incurs costs on the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Due to the nature of the work required to be performed on many of the performance obligations, management’s estimation of total revenue and cost at completion is complex, subject to many variables and requires significant judgment. There are many factors, including, but not limited to, the ability to properly execute the engineering and design phases consistent with customers’ expectations, the availability and costs of labor and materials resources, productivity and weather, all of which can affect the accuracy of cost estimates, and ultimately, future profitability.</w:t>
      </w:r>
    </w:p>
    <w:p>
      <w:pPr>
        <w:spacing w:after="0" w:line="23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determination of estimated costs to complete for long-term contracts is a critical audit matter are the significant judgment by management when determining the estimated costs to complete for long-term contracts, which in turn led to a high degree of auditor judgment, subjectivity and effort in performing procedures and evaluating management’s significant assumptions related to the estimates of costs to complete.</w:t>
      </w:r>
    </w:p>
    <w:p>
      <w:pPr>
        <w:spacing w:after="0" w:line="23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costs to complete for long-term contracts. These procedures also included, among others, testing management’s process for determining the estimated costs to complete for a selection of long-term contracts by (i) obtaining executed purchase orders and agreements, (ii) evaluating the appropriateness of the method to measure progress towards completion, (iii) testing the completeness and accuracy of the underlying data used by management, and (iv) evaluating the reasonableness of significant assumptions related to the estimates of costs to complete. Evaluating the reasonableness of significant assumptions involved assessing management’s ability to reasonably estimate costs to complete long-term contracts, as applicable, by (i) performing procedures to assess the reasonableness of estimated costs to complete, (ii) testing management’s process to evaluate the timely identification of circumstances which may warrant a modification to a previous cost estimate, (iii) testing management’s process to evaluate contract contingencies relative to the contractual terms and actual progress of contracts, and (iv) performing procedures to assess the reasonableness of changes in life of project margin.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Long-Lived Asset Impairments - Certain Asset Groups in the Subsea and Surface Segments</w:t>
      </w:r>
    </w:p>
    <w:p>
      <w:pPr>
        <w:spacing w:after="0" w:line="25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described in Notes 1, 14, and 19 to the consolidated financial statements, the Company’s consolidated net property, plant and equipment was $2,861.8 million as of December 31, 2020. For the year ended December 31, 2020, the Company recorded impairment charges in relation to certain asset groups in the Subsea and Surface segments in the amount of $88.4 million and $82.0 million, respectively. Management conducts impairment tests on long-lived assets whenever events or changes in circumstances indicate the carrying value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 Due to the substantial decline in global demand for oil caused by the COVID-19 pandemic, management reviewed the corresponding impact on the asset group’s service potential and determined the carrying amount of the asset groups exceeded their fair value. As disclosed by management, the determination of future cash flows as well as the estimated fair value of long-lived assets involves significant estimates on the part of management. The expected future cash flows used for impairment reviews and related fair value calculations are based on judgmental assessments of future revenue, forecasted utilization, operating costs, and capital decisions and all available information at the date of review.</w:t>
      </w:r>
    </w:p>
    <w:p>
      <w:pPr>
        <w:spacing w:after="0" w:line="23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long-lived asset impairments – certain asset groups in the Subsea and Surface segments is a critical audit matter are the significant judgment by management when determining the fair value estimates, which in turn led to a high degree of auditor judgment, subjectivity and effort in performing procedures and evaluating management’s significant assumptions related to future revenue for certain asset groups in the Subsea segment and future revenue and operating costs for certain asset groups in the Surface segment.</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long-lived assets impairment assessments, including controls over management’s determination of the fair value of certain asset groups in the Subsea and Surface segments. These procedures also included, among others, testing management’s process for developing the fair value estimates, by (i) evaluating the appropriateness of the method used; (ii) testing the completeness and accuracy of the underlying data used in estimating the net future cash flows; and (iii) evaluating the reasonableness of significant assumptions related to future revenue for certain asset groups in the Subsea segment and future revenue and operating costs for certain asset groups in the Surface segment. Evaluating management’s significant assumptions involved evaluating whether the significant assumptions used by management were reasonable considering the current and past performance of the business in which the assets operate in and whether they were consistent with evidence obtained in other areas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Houston, Texas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6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Service revenue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9,708.2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9,789.7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9,057.6</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Product 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3,352.9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3,272.6</w:t>
            </w:r>
          </w:p>
        </w:tc>
      </w:tr>
      <w:tr>
        <w:trPr>
          <w:trHeight w:val="18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Lease revenue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12,552.9</w:t>
            </w:r>
          </w:p>
        </w:tc>
      </w:tr>
      <w:tr>
        <w:trPr>
          <w:trHeight w:val="216"/>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Cost of service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8,261.9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7,767.2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7,452.7</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product 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2,676.9</w:t>
            </w: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Cost of lease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143.4</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1,140.6</w:t>
            </w: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189.2</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 (Note 19)</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1,831.2</w:t>
            </w: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Separation costs (Note 3)</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15,936.2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14,935.8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13,470.5</w:t>
            </w:r>
          </w:p>
        </w:tc>
      </w:tr>
      <w:tr>
        <w:trPr>
          <w:trHeight w:val="216"/>
        </w:trPr>
        <w:tc>
          <w:tcPr>
            <w:tcW w:w="6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(323.9)</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12)</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color w:val="auto"/>
              </w:rPr>
              <w:t>Loss before interest income, interest expense and income taxes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(2,791.5)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(1,684.5)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(1,127.2)</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w:t>
            </w:r>
          </w:p>
        </w:tc>
      </w:tr>
      <w:tr>
        <w:trPr>
          <w:trHeight w:val="18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(1,488.1)</w:t>
            </w:r>
          </w:p>
        </w:tc>
      </w:tr>
      <w:tr>
        <w:trPr>
          <w:trHeight w:val="18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income taxes (Note 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422.7</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(1,910.8)</w:t>
            </w:r>
          </w:p>
        </w:tc>
      </w:tr>
      <w:tr>
        <w:trPr>
          <w:trHeight w:val="18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profit attributable to non-controlling interests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r>
      <w:tr>
        <w:trPr>
          <w:trHeight w:val="20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TechnipFMC plc</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Earnings (loss) per share attributable to TechnipFMC plc (Note 8)</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40" w:type="dxa"/>
            <w:vAlign w:val="bottom"/>
          </w:tcPr>
          <w:p>
            <w:pPr>
              <w:ind w:left="36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189"/>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Weighted average shares outstanding (Note 8)</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458.0</w:t>
            </w:r>
          </w:p>
        </w:tc>
      </w:tr>
      <w:tr>
        <w:trPr>
          <w:trHeight w:val="190"/>
        </w:trPr>
        <w:tc>
          <w:tcPr>
            <w:tcW w:w="6740" w:type="dxa"/>
            <w:vAlign w:val="bottom"/>
          </w:tcPr>
          <w:p>
            <w:pPr>
              <w:ind w:left="36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458.0</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(1,910.8)</w:t>
            </w:r>
          </w:p>
        </w:tc>
      </w:tr>
      <w:tr>
        <w:trPr>
          <w:trHeight w:val="189"/>
        </w:trPr>
        <w:tc>
          <w:tcPr>
            <w:tcW w:w="6700" w:type="dxa"/>
            <w:vAlign w:val="bottom"/>
          </w:tcPr>
          <w:p>
            <w:pPr>
              <w:ind w:left="140"/>
              <w:spacing w:after="0"/>
              <w:rPr>
                <w:sz w:val="20"/>
                <w:szCs w:val="20"/>
                <w:color w:val="auto"/>
              </w:rPr>
            </w:pPr>
            <w:r>
              <w:rPr>
                <w:rFonts w:ascii="Arial" w:cs="Arial" w:eastAsia="Arial" w:hAnsi="Arial"/>
                <w:sz w:val="14"/>
                <w:szCs w:val="14"/>
                <w:i w:val="1"/>
                <w:iCs w:val="1"/>
                <w:color w:val="auto"/>
              </w:rPr>
              <w:t>Foreign currency translation adjustments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gain (losses) arising during the period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Reclassification adjustment for net gains included in net income</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182"/>
        </w:trPr>
        <w:tc>
          <w:tcPr>
            <w:tcW w:w="67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Foreign currency translation adjustments</w:t>
            </w:r>
            <w:r>
              <w:rPr>
                <w:rFonts w:ascii="Arial" w:cs="Arial" w:eastAsia="Arial" w:hAnsi="Arial"/>
                <w:sz w:val="18"/>
                <w:szCs w:val="18"/>
                <w:b w:val="1"/>
                <w:bCs w:val="1"/>
                <w:color w:val="auto"/>
                <w:vertAlign w:val="superscript"/>
              </w:rPr>
              <w:t>(a)</w:t>
            </w: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w:t>
            </w: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gains (losses) on hedging instruments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net losses (gains) included in net income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6700" w:type="dxa"/>
            <w:vAlign w:val="bottom"/>
          </w:tcPr>
          <w:p>
            <w:pPr>
              <w:ind w:left="20"/>
              <w:spacing w:after="0" w:line="182" w:lineRule="exact"/>
              <w:rPr>
                <w:sz w:val="20"/>
                <w:szCs w:val="20"/>
                <w:color w:val="auto"/>
              </w:rPr>
            </w:pPr>
            <w:r>
              <w:rPr>
                <w:rFonts w:ascii="Arial" w:cs="Arial" w:eastAsia="Arial" w:hAnsi="Arial"/>
                <w:sz w:val="14"/>
                <w:szCs w:val="14"/>
                <w:b w:val="1"/>
                <w:bCs w:val="1"/>
                <w:color w:val="auto"/>
              </w:rPr>
              <w:t xml:space="preserve">Net gains (losses) on hedging instruments </w:t>
            </w:r>
            <w:r>
              <w:rPr>
                <w:rFonts w:ascii="Arial" w:cs="Arial" w:eastAsia="Arial" w:hAnsi="Arial"/>
                <w:sz w:val="18"/>
                <w:szCs w:val="18"/>
                <w:b w:val="1"/>
                <w:bCs w:val="1"/>
                <w:color w:val="auto"/>
                <w:vertAlign w:val="superscript"/>
              </w:rPr>
              <w:t>(b)</w:t>
            </w:r>
          </w:p>
        </w:tc>
        <w:tc>
          <w:tcPr>
            <w:tcW w:w="3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(60.7)</w:t>
            </w:r>
          </w:p>
        </w:tc>
      </w:tr>
      <w:tr>
        <w:trPr>
          <w:trHeight w:val="216"/>
        </w:trPr>
        <w:tc>
          <w:tcPr>
            <w:tcW w:w="6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Pension and other post-retirement benefits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losses arising during the period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Prior service cost arising during the period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settlement losses (gains) included in net income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amortization of net actuarial loss included in net income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r>
      <w:tr>
        <w:trPr>
          <w:trHeight w:val="183"/>
        </w:trPr>
        <w:tc>
          <w:tcPr>
            <w:tcW w:w="6700" w:type="dxa"/>
            <w:vAlign w:val="bottom"/>
            <w:tcBorders>
              <w:bottom w:val="single" w:sz="8" w:color="CCEEFF"/>
            </w:tcBorders>
          </w:tcPr>
          <w:p>
            <w:pPr>
              <w:ind w:left="20"/>
              <w:spacing w:after="0" w:line="182" w:lineRule="exact"/>
              <w:rPr>
                <w:sz w:val="20"/>
                <w:szCs w:val="20"/>
                <w:color w:val="auto"/>
              </w:rPr>
            </w:pPr>
            <w:r>
              <w:rPr>
                <w:rFonts w:ascii="Arial" w:cs="Arial" w:eastAsia="Arial" w:hAnsi="Arial"/>
                <w:sz w:val="14"/>
                <w:szCs w:val="14"/>
                <w:b w:val="1"/>
                <w:bCs w:val="1"/>
                <w:color w:val="auto"/>
              </w:rPr>
              <w:t xml:space="preserve">Net pension and other post-retirement benefits </w:t>
            </w:r>
            <w:r>
              <w:rPr>
                <w:rFonts w:ascii="Arial" w:cs="Arial" w:eastAsia="Arial" w:hAnsi="Arial"/>
                <w:sz w:val="18"/>
                <w:szCs w:val="18"/>
                <w:b w:val="1"/>
                <w:bCs w:val="1"/>
                <w:color w:val="auto"/>
                <w:vertAlign w:val="superscript"/>
              </w:rPr>
              <w:t>(c)</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w:t>
            </w:r>
          </w:p>
        </w:tc>
      </w:tr>
      <w:tr>
        <w:trPr>
          <w:trHeight w:val="183"/>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loss, net of tax</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(3,452.3)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(2,271.4)</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attributable to non-controlling interest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Comprehensive loss attributable to TechnipFMC plc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(2,463.0)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(2,277.6)</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of income tax (expense) benefit of nil, $7.9 and $3.6 for the years ended December 31, 2020, 2019 and 2018, respectively.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of income tax (expense) benefit of $(9.7), $(6.9) and $16.6 for the years ended December 31, 2020, 2019 and 2018, respectively.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of income tax (expense) benefit of $25.5, $20.3 and $15.5 for the years ended December 31, 2020, 2019 and 2018, respectively.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 except par value data)</w:t>
            </w: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Assets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3"/>
                <w:szCs w:val="13"/>
                <w:b w:val="1"/>
                <w:bCs w:val="1"/>
                <w:color w:val="auto"/>
              </w:rPr>
              <w:t>2020</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1"/>
        </w:trPr>
        <w:tc>
          <w:tcPr>
            <w:tcW w:w="824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4,807.8</w:t>
            </w:r>
          </w:p>
        </w:tc>
        <w:tc>
          <w:tcPr>
            <w:tcW w:w="100" w:type="dxa"/>
            <w:vAlign w:val="bottom"/>
          </w:tcPr>
          <w:p>
            <w:pPr>
              <w:spacing w:after="0"/>
              <w:rPr>
                <w:sz w:val="14"/>
                <w:szCs w:val="14"/>
                <w:color w:val="auto"/>
              </w:rPr>
            </w:pPr>
          </w:p>
        </w:tc>
        <w:tc>
          <w:tcPr>
            <w:tcW w:w="4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5,190.2</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receivables, net of allowances of $108.9 in 2020 and $95.4 in 2019</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2,289.8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2,287.1</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Contract assets, net of allowances of $1.0 in 2020 and $2.5 in 2019</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1,267.6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1,520.0</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Inventories, net (Note 9)</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1,416.0</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Derivative financial instruments (Note 23)</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 receivable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264.6</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Advances paid to suppliers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203.6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242.9</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assets (Note 10)</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863.7</w:t>
            </w:r>
          </w:p>
        </w:tc>
        <w:tc>
          <w:tcPr>
            <w:tcW w:w="0" w:type="dxa"/>
            <w:vAlign w:val="bottom"/>
          </w:tcPr>
          <w:p>
            <w:pPr>
              <w:spacing w:after="0"/>
              <w:rPr>
                <w:sz w:val="1"/>
                <w:szCs w:val="1"/>
                <w:color w:val="auto"/>
              </w:rPr>
            </w:pPr>
          </w:p>
        </w:tc>
      </w:tr>
      <w:tr>
        <w:trPr>
          <w:trHeight w:val="161"/>
        </w:trPr>
        <w:tc>
          <w:tcPr>
            <w:tcW w:w="8240" w:type="dxa"/>
            <w:vAlign w:val="bottom"/>
          </w:tcPr>
          <w:p>
            <w:pPr>
              <w:ind w:left="480"/>
              <w:spacing w:after="0"/>
              <w:rPr>
                <w:sz w:val="20"/>
                <w:szCs w:val="20"/>
                <w:color w:val="auto"/>
              </w:rPr>
            </w:pPr>
            <w:r>
              <w:rPr>
                <w:rFonts w:ascii="Arial" w:cs="Arial" w:eastAsia="Arial" w:hAnsi="Arial"/>
                <w:sz w:val="13"/>
                <w:szCs w:val="13"/>
                <w:color w:val="auto"/>
              </w:rPr>
              <w:t>Total current assets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11,444.7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11,886.4</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Investments in equity affiliates (Note 12)</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300.4</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Property, plant and equipment, net (Note 14)</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2,861.8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3,162.0</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right-of-use assets (Note 5)</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892.6</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Finance lease right-of-use assets (Note 5)</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Goodwill (Note 15)</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2,512.5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5,598.3</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Intangible assets, net (Note 15)</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981.1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1,086.6</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income taxes (Note 21)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260.5</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Derivative financial instruments (Note 23)</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77"/>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assets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292.5</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19,692.6</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23,518.8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rPr>
                <w:sz w:val="20"/>
                <w:szCs w:val="20"/>
                <w:color w:val="auto"/>
              </w:rPr>
            </w:pPr>
            <w:r>
              <w:rPr>
                <w:rFonts w:ascii="Arial" w:cs="Arial" w:eastAsia="Arial" w:hAnsi="Arial"/>
                <w:sz w:val="13"/>
                <w:szCs w:val="13"/>
                <w:i w:val="1"/>
                <w:iCs w:val="1"/>
                <w:color w:val="auto"/>
              </w:rPr>
              <w:t>Liabilities and equity</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Short-term debt and current portion of long-term debt (Note 16)</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495.4</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Operating lease liabilities (Note 5)</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247.0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275.1</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Finance lease liabilities (Note 5)</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Accounts payable, trade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2,740.3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2,659.8</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Contract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4,736.1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4,585.1</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Accrued payroll</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418.8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411.5</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23)</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Income taxes payable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liabilities (Note 10)</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1,494.5</w:t>
            </w:r>
          </w:p>
        </w:tc>
        <w:tc>
          <w:tcPr>
            <w:tcW w:w="0" w:type="dxa"/>
            <w:vAlign w:val="bottom"/>
          </w:tcPr>
          <w:p>
            <w:pPr>
              <w:spacing w:after="0"/>
              <w:rPr>
                <w:sz w:val="1"/>
                <w:szCs w:val="1"/>
                <w:color w:val="auto"/>
              </w:rPr>
            </w:pPr>
          </w:p>
        </w:tc>
      </w:tr>
      <w:tr>
        <w:trPr>
          <w:trHeight w:val="161"/>
        </w:trPr>
        <w:tc>
          <w:tcPr>
            <w:tcW w:w="8240" w:type="dxa"/>
            <w:vAlign w:val="bottom"/>
          </w:tcPr>
          <w:p>
            <w:pPr>
              <w:ind w:left="360"/>
              <w:spacing w:after="0"/>
              <w:rPr>
                <w:sz w:val="20"/>
                <w:szCs w:val="20"/>
                <w:color w:val="auto"/>
              </w:rPr>
            </w:pPr>
            <w:r>
              <w:rPr>
                <w:rFonts w:ascii="Arial" w:cs="Arial" w:eastAsia="Arial" w:hAnsi="Arial"/>
                <w:sz w:val="13"/>
                <w:szCs w:val="13"/>
                <w:color w:val="auto"/>
              </w:rPr>
              <w:t>Total current liabilities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10,415.2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10,138.4</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Long-term debt, less current portion (Note 16)</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3,317.7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3,980.0</w:t>
            </w:r>
          </w:p>
        </w:tc>
        <w:tc>
          <w:tcPr>
            <w:tcW w:w="0" w:type="dxa"/>
            <w:vAlign w:val="bottom"/>
          </w:tcPr>
          <w:p>
            <w:pPr>
              <w:spacing w:after="0"/>
              <w:rPr>
                <w:sz w:val="1"/>
                <w:szCs w:val="1"/>
                <w:color w:val="auto"/>
              </w:rPr>
            </w:pPr>
          </w:p>
        </w:tc>
      </w:tr>
      <w:tr>
        <w:trPr>
          <w:trHeight w:val="168"/>
        </w:trPr>
        <w:tc>
          <w:tcPr>
            <w:tcW w:w="8240" w:type="dxa"/>
            <w:vAlign w:val="bottom"/>
          </w:tcPr>
          <w:p>
            <w:pPr>
              <w:ind w:left="220"/>
              <w:spacing w:after="0"/>
              <w:rPr>
                <w:sz w:val="20"/>
                <w:szCs w:val="20"/>
                <w:color w:val="auto"/>
              </w:rPr>
            </w:pPr>
            <w:r>
              <w:rPr>
                <w:rFonts w:ascii="Arial" w:cs="Arial" w:eastAsia="Arial" w:hAnsi="Arial"/>
                <w:sz w:val="13"/>
                <w:szCs w:val="13"/>
                <w:color w:val="auto"/>
              </w:rPr>
              <w:t>Operating lease liabilities, less current portion (Note 5)</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881.0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681.7</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income taxes (Note 21)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w:t>
            </w:r>
          </w:p>
        </w:tc>
        <w:tc>
          <w:tcPr>
            <w:tcW w:w="0" w:type="dxa"/>
            <w:vAlign w:val="bottom"/>
          </w:tcPr>
          <w:p>
            <w:pPr>
              <w:spacing w:after="0"/>
              <w:rPr>
                <w:sz w:val="1"/>
                <w:szCs w:val="1"/>
                <w:color w:val="auto"/>
              </w:rPr>
            </w:pPr>
          </w:p>
        </w:tc>
      </w:tr>
      <w:tr>
        <w:trPr>
          <w:trHeight w:val="167"/>
        </w:trPr>
        <w:tc>
          <w:tcPr>
            <w:tcW w:w="8240" w:type="dxa"/>
            <w:vAlign w:val="bottom"/>
          </w:tcPr>
          <w:p>
            <w:pPr>
              <w:ind w:left="220"/>
              <w:spacing w:after="0"/>
              <w:rPr>
                <w:sz w:val="20"/>
                <w:szCs w:val="20"/>
                <w:color w:val="auto"/>
              </w:rPr>
            </w:pPr>
            <w:r>
              <w:rPr>
                <w:rFonts w:ascii="Arial" w:cs="Arial" w:eastAsia="Arial" w:hAnsi="Arial"/>
                <w:sz w:val="13"/>
                <w:szCs w:val="13"/>
                <w:color w:val="auto"/>
              </w:rPr>
              <w:t>Accrued pension and other post-retirement benefits, less current portion (Note 22)</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420.8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368.6</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23)</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6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297.1</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430.0</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Total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15,434.6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15,789.6</w:t>
            </w:r>
          </w:p>
        </w:tc>
        <w:tc>
          <w:tcPr>
            <w:tcW w:w="0" w:type="dxa"/>
            <w:vAlign w:val="bottom"/>
          </w:tcPr>
          <w:p>
            <w:pPr>
              <w:spacing w:after="0"/>
              <w:rPr>
                <w:sz w:val="1"/>
                <w:szCs w:val="1"/>
                <w:color w:val="auto"/>
              </w:rPr>
            </w:pPr>
          </w:p>
        </w:tc>
      </w:tr>
      <w:tr>
        <w:trPr>
          <w:trHeight w:val="148"/>
        </w:trPr>
        <w:tc>
          <w:tcPr>
            <w:tcW w:w="8240" w:type="dxa"/>
            <w:vAlign w:val="bottom"/>
          </w:tcPr>
          <w:p>
            <w:pPr>
              <w:ind w:left="220"/>
              <w:spacing w:after="0" w:line="139" w:lineRule="exact"/>
              <w:rPr>
                <w:sz w:val="20"/>
                <w:szCs w:val="20"/>
                <w:color w:val="auto"/>
              </w:rPr>
            </w:pPr>
            <w:r>
              <w:rPr>
                <w:rFonts w:ascii="Arial" w:cs="Arial" w:eastAsia="Arial" w:hAnsi="Arial"/>
                <w:sz w:val="13"/>
                <w:szCs w:val="13"/>
                <w:color w:val="auto"/>
              </w:rPr>
              <w:t>Commitments and contingent liabilities (Note 20)</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Mezzanine equity</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Redeemable non-controlling interest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 (Note 17)</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40" w:type="dxa"/>
            <w:vAlign w:val="bottom"/>
          </w:tcPr>
          <w:p>
            <w:pPr>
              <w:ind w:left="220"/>
              <w:spacing w:after="0" w:line="129" w:lineRule="exact"/>
              <w:rPr>
                <w:sz w:val="20"/>
                <w:szCs w:val="20"/>
                <w:color w:val="auto"/>
              </w:rPr>
            </w:pPr>
            <w:r>
              <w:rPr>
                <w:rFonts w:ascii="Arial" w:cs="Arial" w:eastAsia="Arial" w:hAnsi="Arial"/>
                <w:sz w:val="13"/>
                <w:szCs w:val="13"/>
                <w:color w:val="auto"/>
                <w:w w:val="97"/>
              </w:rPr>
              <w:t>Ordinary shares, $1 par value; 618.3 shares authorized in 2020 and 2019; 449.5 shares and 447.1 shares issued and outstanding in 2020 and</w:t>
            </w: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449.5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447.1</w:t>
            </w:r>
          </w:p>
        </w:tc>
        <w:tc>
          <w:tcPr>
            <w:tcW w:w="0" w:type="dxa"/>
            <w:vAlign w:val="bottom"/>
          </w:tcPr>
          <w:p>
            <w:pPr>
              <w:spacing w:after="0"/>
              <w:rPr>
                <w:sz w:val="1"/>
                <w:szCs w:val="1"/>
                <w:color w:val="auto"/>
              </w:rPr>
            </w:pPr>
          </w:p>
        </w:tc>
      </w:tr>
      <w:tr>
        <w:trPr>
          <w:trHeight w:val="160"/>
        </w:trPr>
        <w:tc>
          <w:tcPr>
            <w:tcW w:w="8240" w:type="dxa"/>
            <w:vAlign w:val="bottom"/>
          </w:tcPr>
          <w:p>
            <w:pPr>
              <w:ind w:left="220"/>
              <w:spacing w:after="0"/>
              <w:rPr>
                <w:sz w:val="20"/>
                <w:szCs w:val="20"/>
                <w:color w:val="auto"/>
              </w:rPr>
            </w:pPr>
            <w:r>
              <w:rPr>
                <w:rFonts w:ascii="Arial" w:cs="Arial" w:eastAsia="Arial" w:hAnsi="Arial"/>
                <w:sz w:val="13"/>
                <w:szCs w:val="13"/>
                <w:color w:val="auto"/>
              </w:rPr>
              <w:t>2019, respectively; nil and 4.0 shares canceled in 2020 and 2019, respectively</w:t>
            </w: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Capital in excess of par value of ordinary shares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10,182.8</w:t>
            </w:r>
          </w:p>
        </w:tc>
        <w:tc>
          <w:tcPr>
            <w:tcW w:w="0" w:type="dxa"/>
            <w:vAlign w:val="bottom"/>
          </w:tcPr>
          <w:p>
            <w:pPr>
              <w:spacing w:after="0"/>
              <w:rPr>
                <w:sz w:val="1"/>
                <w:szCs w:val="1"/>
                <w:color w:val="auto"/>
              </w:rPr>
            </w:pPr>
          </w:p>
        </w:tc>
      </w:tr>
      <w:tr>
        <w:trPr>
          <w:trHeight w:val="167"/>
        </w:trPr>
        <w:tc>
          <w:tcPr>
            <w:tcW w:w="8240" w:type="dxa"/>
            <w:vAlign w:val="bottom"/>
          </w:tcPr>
          <w:p>
            <w:pPr>
              <w:ind w:left="220"/>
              <w:spacing w:after="0"/>
              <w:rPr>
                <w:sz w:val="20"/>
                <w:szCs w:val="20"/>
                <w:color w:val="auto"/>
              </w:rPr>
            </w:pPr>
            <w:r>
              <w:rPr>
                <w:rFonts w:ascii="Arial" w:cs="Arial" w:eastAsia="Arial" w:hAnsi="Arial"/>
                <w:sz w:val="13"/>
                <w:szCs w:val="13"/>
                <w:color w:val="auto"/>
              </w:rPr>
              <w:t>Accumulated deficit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(4,915.2)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(1,563.1)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Accumulated other comprehensive loss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0" w:type="dxa"/>
            <w:vAlign w:val="bottom"/>
          </w:tcPr>
          <w:p>
            <w:pPr>
              <w:spacing w:after="0"/>
              <w:rPr>
                <w:sz w:val="1"/>
                <w:szCs w:val="1"/>
                <w:color w:val="auto"/>
              </w:rPr>
            </w:pPr>
          </w:p>
        </w:tc>
      </w:tr>
      <w:tr>
        <w:trPr>
          <w:trHeight w:val="161"/>
        </w:trPr>
        <w:tc>
          <w:tcPr>
            <w:tcW w:w="8240" w:type="dxa"/>
            <w:vAlign w:val="bottom"/>
          </w:tcPr>
          <w:p>
            <w:pPr>
              <w:ind w:left="360"/>
              <w:spacing w:after="0"/>
              <w:rPr>
                <w:sz w:val="20"/>
                <w:szCs w:val="20"/>
                <w:color w:val="auto"/>
              </w:rPr>
            </w:pPr>
            <w:r>
              <w:rPr>
                <w:rFonts w:ascii="Arial" w:cs="Arial" w:eastAsia="Arial" w:hAnsi="Arial"/>
                <w:sz w:val="13"/>
                <w:szCs w:val="13"/>
                <w:color w:val="auto"/>
              </w:rPr>
              <w:t>Total TechnipFMC plc stockholders’ equity</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4,154.2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7,659.3</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6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equity</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4,214.3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19,692.6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16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(3,237.9)</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(2,412.1)</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(1,910.8)</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cash provided (required) by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367.8</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Impairments (Note 19)</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3,287.4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1,792.6</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benefit plan and share-based compensation costs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Deferred income tax provision (benefit),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48.8</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Income from equity affiliates, net of dividends received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(110.7)</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 and contract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(664.1)</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Inventories,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(339.4)</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trade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(1,248.7)</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762.7</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 (receivable), net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Other current assets and liabilities,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921.2</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 and liabilities, net</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w:t>
            </w:r>
          </w:p>
        </w:tc>
      </w:tr>
      <w:tr>
        <w:trPr>
          <w:trHeight w:val="196"/>
        </w:trPr>
        <w:tc>
          <w:tcPr>
            <w:tcW w:w="6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Cash required by investing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Payment to acquire debt securities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debt securities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Acquisition of equity securities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Cash received from (used by) divestitures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Proceeds from repayment of advance to joint venture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required by investing activities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(180.6)</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(460.2)</w:t>
            </w:r>
          </w:p>
        </w:tc>
      </w:tr>
      <w:tr>
        <w:trPr>
          <w:trHeight w:val="196"/>
        </w:trPr>
        <w:tc>
          <w:tcPr>
            <w:tcW w:w="6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Cash required by 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decrease in short-term debt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Net increase (decrease) in commercial paper</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496.6</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Repayments of long-term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ordinary shares</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Dividends paid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(238.1)</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related to taxes withheld on share-based compensation</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Settlements of mandatorily redeemable financial liability</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(225.8)</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non-controlling interest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required by financing activities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(1,082.2)</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(784.4)</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(444.8)</w:t>
            </w:r>
          </w:p>
        </w:tc>
      </w:tr>
      <w:tr>
        <w:trPr>
          <w:trHeight w:val="183"/>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r>
      <w:tr>
        <w:trPr>
          <w:trHeight w:val="183"/>
        </w:trPr>
        <w:tc>
          <w:tcPr>
            <w:tcW w:w="6700" w:type="dxa"/>
            <w:vAlign w:val="bottom"/>
          </w:tcPr>
          <w:p>
            <w:pPr>
              <w:ind w:left="140"/>
              <w:spacing w:after="0"/>
              <w:rPr>
                <w:sz w:val="20"/>
                <w:szCs w:val="20"/>
                <w:color w:val="auto"/>
              </w:rPr>
            </w:pPr>
            <w:r>
              <w:rPr>
                <w:rFonts w:ascii="Arial" w:cs="Arial" w:eastAsia="Arial" w:hAnsi="Arial"/>
                <w:sz w:val="14"/>
                <w:szCs w:val="14"/>
                <w:color w:val="auto"/>
              </w:rPr>
              <w:t>Decrease in cash and cash equivalents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(349.8)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(1,197.4)</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5,540.0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6,737.4</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Cash and cash equivalents, end of year</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4,807.8</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5,190.2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5,540.0</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48"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16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Supplemental disclosures of cash flow information</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Cash paid for interest (net of interest capitalized)</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107.0</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income taxes (net of refunds received)</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410.6</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98" w:right="35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Ordinary</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Shares Held in</w:t>
            </w:r>
          </w:p>
        </w:tc>
        <w:tc>
          <w:tcPr>
            <w:tcW w:w="100" w:type="dxa"/>
            <w:vAlign w:val="bottom"/>
          </w:tcPr>
          <w:p>
            <w:pPr>
              <w:spacing w:after="0"/>
              <w:rPr>
                <w:sz w:val="10"/>
                <w:szCs w:val="10"/>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9"/>
              </w:rPr>
              <w:t>Capital in</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Retained</w:t>
            </w: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Treasury and</w:t>
            </w: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0"/>
                <w:szCs w:val="10"/>
                <w:color w:val="auto"/>
              </w:rPr>
            </w:pPr>
          </w:p>
        </w:tc>
        <w:tc>
          <w:tcPr>
            <w:tcW w:w="100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Ordinary</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Employee</w:t>
            </w:r>
          </w:p>
        </w:tc>
        <w:tc>
          <w:tcPr>
            <w:tcW w:w="100" w:type="dxa"/>
            <w:vAlign w:val="bottom"/>
          </w:tcPr>
          <w:p>
            <w:pPr>
              <w:spacing w:after="0"/>
              <w:rPr>
                <w:sz w:val="10"/>
                <w:szCs w:val="10"/>
                <w:color w:val="auto"/>
              </w:rPr>
            </w:pPr>
          </w:p>
        </w:tc>
        <w:tc>
          <w:tcPr>
            <w:tcW w:w="11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Excess of Par</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0"/>
                <w:szCs w:val="10"/>
                <w:color w:val="auto"/>
              </w:rPr>
            </w:pPr>
          </w:p>
        </w:tc>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Benefit</w:t>
            </w:r>
          </w:p>
        </w:tc>
        <w:tc>
          <w:tcPr>
            <w:tcW w:w="100" w:type="dxa"/>
            <w:vAlign w:val="bottom"/>
          </w:tcPr>
          <w:p>
            <w:pPr>
              <w:spacing w:after="0"/>
              <w:rPr>
                <w:sz w:val="10"/>
                <w:szCs w:val="10"/>
                <w:color w:val="auto"/>
              </w:rPr>
            </w:pPr>
          </w:p>
        </w:tc>
        <w:tc>
          <w:tcPr>
            <w:tcW w:w="11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Value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120" w:type="dxa"/>
            <w:vAlign w:val="bottom"/>
          </w:tcPr>
          <w:p>
            <w:pPr>
              <w:spacing w:after="0"/>
              <w:rPr>
                <w:sz w:val="10"/>
                <w:szCs w:val="10"/>
                <w:color w:val="auto"/>
              </w:rPr>
            </w:pPr>
          </w:p>
        </w:tc>
        <w:tc>
          <w:tcPr>
            <w:tcW w:w="10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2"/>
        </w:trPr>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Trust</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Ordinary Shares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Deficit)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Interest</w:t>
            </w:r>
          </w:p>
        </w:tc>
        <w:tc>
          <w:tcPr>
            <w:tcW w:w="12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13,367.4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Adoption of accounting standards (Note 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(91.5)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9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(1,910.8)</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(360.6)</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treasury shares (Note 17)</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(442.8)</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Issuance of ordinary shares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7"/>
        </w:trPr>
        <w:tc>
          <w:tcPr>
            <w:tcW w:w="26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Net sales of ordinary shares for employee</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trust</w:t>
            </w: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($0.52 per share)</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(238.1)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(238.1)</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(Note 17)</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(Note 18)</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10,388.9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Adoption of accounting standards (Note 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9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(2,412.1)</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treasury shares (Note 17)</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Issuance of ordinary shares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37"/>
        </w:trPr>
        <w:tc>
          <w:tcPr>
            <w:tcW w:w="26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Net sales of ordinary shares for employee</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trust</w:t>
            </w: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($0.52 per share)</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(232.8)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(232.8)</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(Note 17)</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(Note 18)</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16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20"/>
              <w:spacing w:after="0"/>
              <w:rPr>
                <w:sz w:val="20"/>
                <w:szCs w:val="20"/>
                <w:color w:val="auto"/>
              </w:rPr>
            </w:pPr>
            <w:r>
              <w:rPr>
                <w:rFonts w:ascii="Arial" w:cs="Arial" w:eastAsia="Arial" w:hAnsi="Arial"/>
                <w:sz w:val="13"/>
                <w:szCs w:val="13"/>
                <w:color w:val="auto"/>
              </w:rPr>
              <w:t>Adoption of accounting standards (Note 4)</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9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(3,237.9)</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(214.4)</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ordinary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($0.13 per share)</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(Note 17)</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(Note 18)</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Acquisition of non-controlling interest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77"/>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449.5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10,242.4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(4,915.2)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(1,622.5)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60.1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4,214.3</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TechnipFMC plc and consolidated subsidiaries (“TechnipFMC,” “we,” “us” or “our”) is a global leader in oil and gas</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technologies, systems and services through our business segments: Subsea, Technip Energies and Surface Technologies. We have manufacturing operations worldwide, strategically located to facilitate delivery of our products, systems and services to our customers. On February 16, 2021, we completed the separation of Technip Energies segment (the “Spin-off”). Subsequent to the Spin-off, we will operate under two reporting segments: Subsea and Surface Technologies.</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this Annual Report on Form 10-K, we are reporting the results of our operations for the year ended December 31, 2020. Beginning in the first quarter of 2021, Technip Energies’ historical financial results for periods prior to the Spin-off will be reflected in our consolidated financial statements as discontinued operations.</w:t>
      </w:r>
    </w:p>
    <w:p>
      <w:pPr>
        <w:spacing w:after="0" w:line="1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Our consolidated financial statements were prepared in U.S. dollars and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of America (“GAAP”) and rules and regulations of the Securities and Exchange Commission (“SEC”) pertaining to annual financial information.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2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consolidated financial statements include the accounts of TechnipFMC and its majority-owned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affiliates. Intercompany accounts and transactions are eliminated in consolidation.</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of fair value in business combinations and estimates related to income taxes.</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Investments in the common stock of unconsolidated affiliates - </w:t>
      </w:r>
      <w:r>
        <w:rPr>
          <w:rFonts w:ascii="Arial" w:cs="Arial" w:eastAsia="Arial" w:hAnsi="Arial"/>
          <w:sz w:val="18"/>
          <w:szCs w:val="18"/>
          <w:color w:val="auto"/>
        </w:rPr>
        <w:t>The equity method of accounting is used to account for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affiliates where we have the ability to exert significant influence over the affiliates’ operating and financial policies. We measure equity investments not accounted for under the equity method at fair value and recognize any changes in fair value in net income. For certain construction joint ventures, we use the proportionate consolidation method, whereby our proportionate share of each entity’s assets, liabilities, revenues and expenses are included in the appropriate classifications in the consolidated financial statements. Intercompany balances and transactions have been eliminated in preparing the consolidated financial statements.</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in the consolidated balance sheets. Where no active market exists and where no other valuation method can be used, these financial assets are maintained at cost minus impairment, if any, plus or minus changes resulting from observable price changes in orderly transactions for the identical or a similar investment of the same issuer.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bookmarkStart w:id="87" w:name="page88"/>
    <w:bookmarkEnd w:id="87"/>
    <w:p>
      <w:pPr>
        <w:ind w:right="140"/>
        <w:spacing w:after="0" w:line="252" w:lineRule="auto"/>
        <w:rPr>
          <w:sz w:val="20"/>
          <w:szCs w:val="20"/>
          <w:color w:val="auto"/>
        </w:rPr>
      </w:pPr>
      <w:r>
        <w:rPr>
          <w:rFonts w:ascii="Arial" w:cs="Arial" w:eastAsia="Arial" w:hAnsi="Arial"/>
          <w:sz w:val="18"/>
          <w:szCs w:val="18"/>
          <w:color w:val="auto"/>
        </w:rPr>
        <w:t>We determine whether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that most significantly affect the VIE’s economic performance and (ii) the obligation to absorb significant losses of or the right to receive significant benefits from the VIE. If we are deemed to be the primary beneficiary, the VIE is consolidated and the other party’s equity interest in the VIE is accounted for as a non-controlling interest. Our unconsolidated VIEs are accounted for using the equity method of accounting.</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Business combinations - </w:t>
      </w:r>
      <w:r>
        <w:rPr>
          <w:rFonts w:ascii="Arial" w:cs="Arial" w:eastAsia="Arial" w:hAnsi="Arial"/>
          <w:sz w:val="18"/>
          <w:szCs w:val="18"/>
          <w:color w:val="auto"/>
        </w:rPr>
        <w:t>Business combinations are accounted for using the acquisition method of accounting. Under the acquisition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acquired assets, assumed liabilities and identifiable intangible assets based on their estimated fair values. Any excess of the purchase price over the estimated fair values of the net assets acquired is recorded as goodwill. Transaction related costs are expensed as incurred.</w:t>
      </w:r>
    </w:p>
    <w:p>
      <w:pPr>
        <w:spacing w:after="0" w:line="133"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i w:val="1"/>
          <w:iCs w:val="1"/>
          <w:color w:val="auto"/>
        </w:rPr>
        <w:t xml:space="preserve">Leases - </w:t>
      </w:r>
      <w:r>
        <w:rPr>
          <w:rFonts w:ascii="Arial" w:cs="Arial" w:eastAsia="Arial" w:hAnsi="Arial"/>
          <w:sz w:val="17"/>
          <w:szCs w:val="17"/>
          <w:color w:val="auto"/>
        </w:rPr>
        <w:t>The majority of our leases are operating leases. We account for leases in accordance with Accounting Standard Codification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(“ASC”)Topic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we adopted on January 1, 2019 using the modified retrospective method. See Note 5 for further details.</w:t>
      </w:r>
    </w:p>
    <w:p>
      <w:pPr>
        <w:spacing w:after="0" w:line="8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The majority of our revenue is derived from long-term contracts that can span several years. We account for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modified retrospective method. See Note 6 for further details.</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Contract costs to obtain a contract - </w:t>
      </w:r>
      <w:r>
        <w:rPr>
          <w:rFonts w:ascii="Arial" w:cs="Arial" w:eastAsia="Arial" w:hAnsi="Arial"/>
          <w:sz w:val="18"/>
          <w:szCs w:val="18"/>
          <w:color w:val="auto"/>
        </w:rPr>
        <w:t>Our incremental direct costs of obtaining a contract are deferred and amortized over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performance or a longer period, generally the estimated life of the customer relationship, if renewals are expected and the renewal commission is not commensurate with the initial commission. We classify deferred commissions as current or noncurrent based on the timing of when we expect to recognize the expense. The current and noncurrent portions of deferred commissions are included in other current assets and other assets</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in our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commissions is included in selling, general and administrative expenses in our consolidated statements of income.</w:t>
      </w:r>
    </w:p>
    <w:p>
      <w:pPr>
        <w:spacing w:after="0" w:line="15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Cash equivalents are highly-liquid, short-term investments with original maturities of three months or less from their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Trade receivables, net of allowances - </w:t>
      </w:r>
      <w:r>
        <w:rPr>
          <w:rFonts w:ascii="Arial" w:cs="Arial" w:eastAsia="Arial" w:hAnsi="Arial"/>
          <w:sz w:val="18"/>
          <w:szCs w:val="18"/>
          <w:color w:val="auto"/>
        </w:rPr>
        <w:t>An allowance for doubtful accounts is provided on receivables equal to the estimated uncollectible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and is calculated based on loss rates from historical data. We develop loss-rate statistics on the basis of the amount written off over the life of the receivable and adjust these historical credit loss trends for forward-looking factors specific to the debtors and the economic environment to determine lifetime expected losses.</w:t>
      </w:r>
    </w:p>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net realizable value, except as it relates to inventory measured using the last-in,</w:t>
      </w:r>
      <w:r>
        <w:rPr>
          <w:rFonts w:ascii="Arial" w:cs="Arial" w:eastAsia="Arial" w:hAnsi="Arial"/>
          <w:sz w:val="18"/>
          <w:szCs w:val="18"/>
          <w:i w:val="1"/>
          <w:iCs w:val="1"/>
          <w:color w:val="auto"/>
        </w:rPr>
        <w:t xml:space="preserve"> </w:t>
      </w:r>
      <w:r>
        <w:rPr>
          <w:rFonts w:ascii="Arial" w:cs="Arial" w:eastAsia="Arial" w:hAnsi="Arial"/>
          <w:sz w:val="18"/>
          <w:szCs w:val="18"/>
          <w:color w:val="auto"/>
        </w:rPr>
        <w:t>first-out (“LIFO”) method, for which the inventories are stated at the lower of cost or market. Inventory costs include those costs directly attributable to products, including all manufacturing overhead, but excluding costs to distribute. Cost for a significant portion of the U.S. domiciled inventories is determined on the LIFO method. The first-in, first-out (“FIFO”) or weighted average methods are used to determine the cost for the remaining inventories. Write-down of inventories is recorded when the net realizable value of inventories is lower than their net book value.</w:t>
      </w:r>
    </w:p>
    <w:p>
      <w:pPr>
        <w:spacing w:after="0" w:line="13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is recorded at cost. Depreciation is principally provided on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over the estimated useful lives of the assets (vessels - 10 to 30 years; buildings - 10 to 50 years; and machinery and equipment - 3 to 20 years). Gains and losses are realized upon the sale or retirement of assets and are recorded in other income (expense), net on our consolidated statements of income. Maintenance and repair costs are expensed as incurred. Expenditures that extend the useful lives of property, plant and equipment are capitalized and depreciated over the estimated new remaining life of the asset.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right="80"/>
        <w:spacing w:after="0" w:line="258" w:lineRule="auto"/>
        <w:rPr>
          <w:sz w:val="20"/>
          <w:szCs w:val="20"/>
          <w:color w:val="auto"/>
        </w:rPr>
      </w:pPr>
      <w:r>
        <w:rPr>
          <w:rFonts w:ascii="Arial" w:cs="Arial" w:eastAsia="Arial" w:hAnsi="Arial"/>
          <w:sz w:val="18"/>
          <w:szCs w:val="18"/>
          <w:i w:val="1"/>
          <w:iCs w:val="1"/>
          <w:color w:val="auto"/>
        </w:rPr>
        <w:t xml:space="preserve">Impairment of property, plant and equipment - </w:t>
      </w:r>
      <w:r>
        <w:rPr>
          <w:rFonts w:ascii="Arial" w:cs="Arial" w:eastAsia="Arial" w:hAnsi="Arial"/>
          <w:sz w:val="18"/>
          <w:szCs w:val="18"/>
          <w:color w:val="auto"/>
        </w:rPr>
        <w:t>Property, plant and equipment are reviewed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Goodwill is not subject to amortization but is tested for impairment on an annual basis (or more frequently if impairment indicators</w:t>
      </w:r>
      <w:r>
        <w:rPr>
          <w:rFonts w:ascii="Arial" w:cs="Arial" w:eastAsia="Arial" w:hAnsi="Arial"/>
          <w:sz w:val="18"/>
          <w:szCs w:val="18"/>
          <w:i w:val="1"/>
          <w:iCs w:val="1"/>
          <w:color w:val="auto"/>
        </w:rPr>
        <w:t xml:space="preserve"> </w:t>
      </w:r>
      <w:r>
        <w:rPr>
          <w:rFonts w:ascii="Arial" w:cs="Arial" w:eastAsia="Arial" w:hAnsi="Arial"/>
          <w:sz w:val="18"/>
          <w:szCs w:val="18"/>
          <w:color w:val="auto"/>
        </w:rPr>
        <w:t>arise) by comparing the estimated fair value of each reporting unit to its carrying value, including goodwill. A reporting unit is defined as an operating segment or one level below the operating segment. We have established October 31 as the date of our annual test for impairment of goodwill. Reporting units with goodwill are tested for impairment using a quantitative impairment test known as the income approach, which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If the fair value of the reporting unit is less than its carrying amount as a result of this method, then an impairment loss is recorded.</w:t>
      </w:r>
    </w:p>
    <w:p>
      <w:pPr>
        <w:spacing w:after="0" w:line="15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Our acquired intangible assets are generally amortized on a straight-line basis over their estimated useful lives,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range from 2 to 20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3 to 10 years. For Internet website costs, the estimated useful lives do not exceed 3 years.</w:t>
      </w:r>
    </w:p>
    <w:p>
      <w:pPr>
        <w:spacing w:after="0" w:line="15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Research and development expense is expensed as incurred. Research and development expense includes improvement of existing products and services, design and development of new products and services and test of new technologies.</w:t>
      </w:r>
    </w:p>
    <w:p>
      <w:pPr>
        <w:spacing w:after="0" w:line="12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Debt instruments - </w:t>
      </w:r>
      <w:r>
        <w:rPr>
          <w:rFonts w:ascii="Arial" w:cs="Arial" w:eastAsia="Arial" w:hAnsi="Arial"/>
          <w:sz w:val="18"/>
          <w:szCs w:val="18"/>
          <w:color w:val="auto"/>
        </w:rPr>
        <w:t>Debt instruments include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premium on debt instruments are included in the cost of debt in the consolidated balance sheets, as an adjustment to the nominal amount of the debt. Loan origination costs for revolving credit facilities are recorded as an asset and amortized over the life of the underlying debt.</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Fair value measurements - </w:t>
      </w:r>
      <w:r>
        <w:rPr>
          <w:rFonts w:ascii="Arial" w:cs="Arial" w:eastAsia="Arial" w:hAnsi="Arial"/>
          <w:sz w:val="18"/>
          <w:szCs w:val="18"/>
          <w:color w:val="auto"/>
        </w:rPr>
        <w:t>Fair value is defined as the price that would be received to sell an asset or paid to transfer a liability (an exit price)</w:t>
      </w:r>
      <w:r>
        <w:rPr>
          <w:rFonts w:ascii="Arial" w:cs="Arial" w:eastAsia="Arial" w:hAnsi="Arial"/>
          <w:sz w:val="18"/>
          <w:szCs w:val="18"/>
          <w:i w:val="1"/>
          <w:iCs w:val="1"/>
          <w:color w:val="auto"/>
        </w:rPr>
        <w:t xml:space="preserve"> </w:t>
      </w:r>
      <w:r>
        <w:rPr>
          <w:rFonts w:ascii="Arial" w:cs="Arial" w:eastAsia="Arial" w:hAnsi="Arial"/>
          <w:sz w:val="18"/>
          <w:szCs w:val="18"/>
          <w:color w:val="auto"/>
        </w:rPr>
        <w:t>in an orderly 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13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71" w:lineRule="exact"/>
        <w:rPr>
          <w:rFonts w:ascii="Arial" w:cs="Arial" w:eastAsia="Arial" w:hAnsi="Arial"/>
          <w:sz w:val="18"/>
          <w:szCs w:val="18"/>
          <w:color w:val="auto"/>
        </w:rPr>
      </w:pPr>
    </w:p>
    <w:p>
      <w:pPr>
        <w:ind w:right="100" w:firstLine="8"/>
        <w:spacing w:after="0" w:line="282" w:lineRule="auto"/>
        <w:tabs>
          <w:tab w:leader="none" w:pos="643"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or quoted prices for identical assets or liabilities in inactive markets.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9" w:name="page90"/>
    <w:bookmarkEnd w:id="89"/>
    <w:p>
      <w:pPr>
        <w:ind w:right="300" w:firstLine="8"/>
        <w:spacing w:after="0" w:line="282" w:lineRule="auto"/>
        <w:tabs>
          <w:tab w:leader="none" w:pos="643"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08"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Current income taxes are provided on income reported for financial statement purposes, adjusted for transactions that do not</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the 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4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1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14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Share-based compensation - </w:t>
      </w:r>
      <w:r>
        <w:rPr>
          <w:rFonts w:ascii="Arial" w:cs="Arial" w:eastAsia="Arial" w:hAnsi="Arial"/>
          <w:sz w:val="18"/>
          <w:szCs w:val="18"/>
          <w:color w:val="auto"/>
        </w:rPr>
        <w:t>The measurement of share-based compensation expense on restricted share awards and 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is based on the market price at the grant date and the number of shares awarded. We use Black-Scholes options pricing model to measure the fair value of stock options granted on or after January 1, 2017. The stock-based compensation expense for each award is recognized ratably over the applicable service period or the period beginning at the start of the service period and ending when an employee becomes eligible for retirement, after taking into account estimated forfeitures.</w:t>
      </w:r>
    </w:p>
    <w:p>
      <w:pPr>
        <w:spacing w:after="0" w:line="1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Earnings per ordinary share (“EPS”) - </w:t>
      </w:r>
      <w:r>
        <w:rPr>
          <w:rFonts w:ascii="Arial" w:cs="Arial" w:eastAsia="Arial" w:hAnsi="Arial"/>
          <w:sz w:val="18"/>
          <w:szCs w:val="18"/>
          <w:color w:val="auto"/>
        </w:rPr>
        <w:t>Basic EPS is computed using the weighted-average number of ordinary shares outstanding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We use 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Foreign currency - </w:t>
      </w:r>
      <w:r>
        <w:rPr>
          <w:rFonts w:ascii="Arial" w:cs="Arial" w:eastAsia="Arial" w:hAnsi="Arial"/>
          <w:sz w:val="18"/>
          <w:szCs w:val="18"/>
          <w:color w:val="auto"/>
        </w:rPr>
        <w:t>Financial statements of operations for which the U.S. dollar is not the functional currency, and which are located in non-highly 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highly inflationary economies are included in interest income or expense.</w:t>
      </w:r>
    </w:p>
    <w:p>
      <w:pPr>
        <w:spacing w:after="0" w:line="14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5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During 2018, Argentina’s three year cumulative inflation rate exceeded 100% based on published inflation data, and effective July 1, 2018, Argentina’s currency was considered highly inflationary. Our local operations in Argentina use U.S. dollars as the functional currency and both monetary and non-monetary assets and liabilities denominated in Argentina pesos were remeasured into U.S. dollars with gains and losses resulting from foreign currency transactions included in current results of operations. This event did not have a material impact on TechnipFMC’s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90" w:name="page91"/>
    <w:bookmarkEnd w:id="90"/>
    <w:p>
      <w:pPr>
        <w:spacing w:after="0" w:line="261" w:lineRule="auto"/>
        <w:rPr>
          <w:sz w:val="20"/>
          <w:szCs w:val="20"/>
          <w:color w:val="auto"/>
        </w:rPr>
      </w:pPr>
      <w:r>
        <w:rPr>
          <w:rFonts w:ascii="Arial" w:cs="Arial" w:eastAsia="Arial" w:hAnsi="Arial"/>
          <w:sz w:val="18"/>
          <w:szCs w:val="18"/>
          <w:i w:val="1"/>
          <w:iCs w:val="1"/>
          <w:color w:val="auto"/>
        </w:rPr>
        <w:t xml:space="preserve">Derivative instruments - </w:t>
      </w:r>
      <w:r>
        <w:rPr>
          <w:rFonts w:ascii="Arial" w:cs="Arial" w:eastAsia="Arial" w:hAnsi="Arial"/>
          <w:sz w:val="18"/>
          <w:szCs w:val="18"/>
          <w:color w:val="auto"/>
        </w:rPr>
        <w:t>Derivatives are recognized on the consolidated balance sheets at fair value, with classification as current or non-current 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4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130" w:lineRule="exact"/>
        <w:rPr>
          <w:sz w:val="20"/>
          <w:szCs w:val="20"/>
          <w:color w:val="auto"/>
        </w:rPr>
      </w:pPr>
    </w:p>
    <w:p>
      <w:pPr>
        <w:ind w:right="2100"/>
        <w:spacing w:after="0" w:line="448"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prior-year amounts have been reclassified to conform to the current year’s presentation.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2. BUSINESS COMBINATION AND OTHER TRANSACTIONS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7, 2020, we signed a Memorandum of Understanding with McPhy Energy S.A. (“McPhy”), a leading manufacturer and supplier of carbon-free hydrogen production and distribution equipment, pursuant to which we will jointly work on technology development and project implementation. In October 2020, we subscribed to 638,297 shares for €15 million that represents 2.29% of McPhy’s capital. The investment was recorded at the fair value.</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30, 2019, we completed the acquisition of the remaining 50% interest in Technip Odebrecht PLSV CV (“TOP CV”). TOP CV was formed as a joint venture between Technip SA and Ocyan SA to provide pipeline installation ships to Petroleo Brasileiro SA (“Petrobras”) for their work in oil and gas fields offshore Brazil with results reported in our Subsea segment using the equity method of accounting. Subsequent to this transaction the investment became a fully consolidated entity. In connection with the acquisition, we acquired $391.0 million in assets, including two vessels valued at $ 335.2 million. In addition, we assumed $239.9 million of liabilities, including a $ 203.1 million term loan. As a result of the acquisition, we recorded a net loss of $0.9 million. The net loss on acquisition was comprised of the impairment charge of $84.2 million and a gain on bargain purchase of $83.3 million included within restructuring and other charges in our consolidated statement of income.</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February 2018, we signed an agreement with the Island Offshore Group to acquire a 51% stake in Island Offshore’s wholly-owned subsidiary, Island Offshore Subsea AS. Island Offshore Subsea AS provides RLWI project management and engineering services for plug and abandonment (“P&amp;A”), riserless coiled tubing, and well completion operations. In connection with the acquisition of the controlling interest, TechnipFMC and Island Offshore entered into a strategic cooperation agreement to deliver RLWI services on a worldwide basis, which also include TechnipFMC’s RLWI capabilities. Island Offshore Subsea AS has been rebranded to TIOS AS and is now the operating unit for TechnipFMC’s RLWI activities worldwide. The acquisition was completed on April 18, 2018 for total cash consideration of $ 42.4 million. As a result of the acquisition, we recorded a redeemable financial liability equal to the fair value of a written put option and a goodwill of $85.0 million.</w:t>
      </w:r>
    </w:p>
    <w:p>
      <w:pPr>
        <w:spacing w:after="0" w:line="15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On July 18, 2018, we entered into a share sale and purchase agreement with POC Holding Oy to sell 100% of the outstanding shares of Technip Offshore Finland Oy. The total pre-tax gain recognized in 2018 was $27.8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Additional acquisitions, including purchased interests in equity method investments, during 2018 totaled $62.5 million in consideration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1" w:name="page92"/>
    <w:bookmarkEnd w:id="91"/>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SEPARATION TRANSACTION</w:t>
      </w:r>
    </w:p>
    <w:p>
      <w:pPr>
        <w:spacing w:after="0" w:line="19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 August 26, 2019, we announced our intention to separate into two diversified pure-play market leaders – TechnipFMC, focused on subsea and surface hydrocarbon production, and Technip Energies, focused on downstream engineering, procurement, and construction project execution. Due to the COVID-19 pandemic, a significant decline in commodity prices, and the heightened volatility in global equity markets, on March 15, 2020, we announced the postponement of the completion of the transaction until the markets sufficiently recover. On January 7, 2021, we announced the resumption of activity toward completion of the transaction based on increased clarity in the market outlook and our demonstrated ability to successfully execute projects.</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16, 2021, we completed the separation of the Technip Energies business segment. The transaction was structured as a spin-off (the “Spin-off”), which occurred by way of a pro rata dividend (the “Distribution”) to our shareholders of 50.1 percent of the outstanding shares in Technip Energies N.V. Each of our shareholders received one ordinary share of Technip Energies N.V. for every five ordinary shares of TechnipFMC held at 5:00 p.m., New York City time on the record date, February 17, 2021. Technip Energies N.V. is now an independent public company and its shares trade under the ticker symbol “TE” on the Euronext Paris stock exchange.</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Spin-off, on January 7, 2021, Bpifrance Participations SA (“BPI”), which has been one of our substantial shareholders since 2009, entered into a share purchase agreement with us (the “Share Purchase Agreement”) pursuant to which BPI agreed to purchase a portion of our retained stake in Technip Energies N.V. (the “BPI Investment”) for $200.0 million (the “Purchase Price”). On February 25, 2021, BPI paid $ 200.0 million in connection with the Share Purchase Agreement. The Purchase Price is subject to adjustment, and BPI’s ownership stake will be determined based upon a thirty day volume-weighted average price of Technip Energies N.V.’s shares (with BPI’s ownership collared between an 11.82 percentage floor and a 17.25 percentage cap), less a six percent discount. The BPI Investment is subject to customary conditions and regulatory approval. We intend to significantly reduce our shareholding in Technip Energies N.V. over the 18 months following the Spin-off, including in connection with the sale of shares to BPI pursuant to the BPI Investment.</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Beginning in the first quarter of 2021, Technip Energies’ historical financial results for periods prior to the Distribution will be reflected in our consolidated financial statements as discontinued operations, as the Spin-off represented a strategic shift that will have a major impact to our operations and consolidated financial statements. Following the completion of the Spin-off, we elected to apply a fair value option to account for our equity method investment in Technip Energies N.V.</w:t>
      </w:r>
    </w:p>
    <w:p>
      <w:pPr>
        <w:spacing w:after="0" w:line="1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During the years ended December 31, 2020 and 2019, we incurred $39.5 million and $72.1 million of separation costs associated with the Spin-off transaction, respectively.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Effective January 1, 2020, we adopted Accounting Standards Update (“ASU”) No. 2018-13, </w:t>
      </w:r>
      <w:r>
        <w:rPr>
          <w:rFonts w:ascii="Arial" w:cs="Arial" w:eastAsia="Arial" w:hAnsi="Arial"/>
          <w:sz w:val="18"/>
          <w:szCs w:val="18"/>
          <w:i w:val="1"/>
          <w:iCs w:val="1"/>
          <w:color w:val="auto"/>
        </w:rPr>
        <w:t>“Fair Value Measurement (Topic 820):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Fair Value Measurement.” </w:t>
      </w:r>
      <w:r>
        <w:rPr>
          <w:rFonts w:ascii="Arial" w:cs="Arial" w:eastAsia="Arial" w:hAnsi="Arial"/>
          <w:sz w:val="18"/>
          <w:szCs w:val="18"/>
          <w:color w:val="auto"/>
        </w:rPr>
        <w:t>This update modifies the disclosure requirement on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Topic 820. The amendments on changes in unrealized gains and losses, the range and weighted average of significant unobservable inputs used to develop Level 3 fair value measurements, and the narrative description of measurement uncertainty should be applied prospectively. The adoption of this update concerns presentation and disclosure only as it relates to our consolidated financial statements. See Note 24 for our fair value measurements disclosure.</w:t>
      </w:r>
    </w:p>
    <w:p>
      <w:pPr>
        <w:spacing w:after="0" w:line="133"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 xml:space="preserve">Effective January 1, 2020, we adopted ASU No.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This update requires that the implementation costs incurred in a cloud computing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a service contract are deferred, not capitalized. The adoption of this update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ind w:right="60"/>
        <w:spacing w:after="0" w:line="261" w:lineRule="auto"/>
        <w:rPr>
          <w:sz w:val="20"/>
          <w:szCs w:val="20"/>
          <w:color w:val="auto"/>
        </w:rPr>
      </w:pPr>
      <w:r>
        <w:rPr>
          <w:rFonts w:ascii="Arial" w:cs="Arial" w:eastAsia="Arial" w:hAnsi="Arial"/>
          <w:sz w:val="18"/>
          <w:szCs w:val="18"/>
          <w:color w:val="auto"/>
        </w:rPr>
        <w:t xml:space="preserve">Effective January 1, 2020, we adopted ASU No. 2018-18, </w:t>
      </w:r>
      <w:r>
        <w:rPr>
          <w:rFonts w:ascii="Arial" w:cs="Arial" w:eastAsia="Arial" w:hAnsi="Arial"/>
          <w:sz w:val="18"/>
          <w:szCs w:val="18"/>
          <w:i w:val="1"/>
          <w:iCs w:val="1"/>
          <w:color w:val="auto"/>
        </w:rPr>
        <w:t>“Collaborative Arrangements (Topic 808)—Clarifying the Interaction between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808 and Topic 606.” </w:t>
      </w:r>
      <w:r>
        <w:rPr>
          <w:rFonts w:ascii="Arial" w:cs="Arial" w:eastAsia="Arial" w:hAnsi="Arial"/>
          <w:sz w:val="18"/>
          <w:szCs w:val="18"/>
          <w:color w:val="auto"/>
        </w:rPr>
        <w:t>This update clarifies the interaction between the guidance for certain collaborative arrangements and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financial accounting and reporting standard. The adoption of this update concerns presentation and disclosure only with no material impact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Effective January 1, 2020, we adopted ASU No. 2019-04, </w:t>
      </w:r>
      <w:r>
        <w:rPr>
          <w:rFonts w:ascii="Arial" w:cs="Arial" w:eastAsia="Arial" w:hAnsi="Arial"/>
          <w:sz w:val="18"/>
          <w:szCs w:val="18"/>
          <w:i w:val="1"/>
          <w:iCs w:val="1"/>
          <w:color w:val="auto"/>
        </w:rPr>
        <w:t>“Codification Improvements to</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Topic 326, Financial Instruments—Credit Losses;</w:t>
      </w:r>
    </w:p>
    <w:p>
      <w:pPr>
        <w:spacing w:after="0" w:line="171" w:lineRule="exact"/>
        <w:rPr>
          <w:rFonts w:ascii="Arial" w:cs="Arial" w:eastAsia="Arial" w:hAnsi="Arial"/>
          <w:sz w:val="18"/>
          <w:szCs w:val="18"/>
          <w:i w:val="1"/>
          <w:iCs w:val="1"/>
          <w:color w:val="auto"/>
        </w:rPr>
      </w:pPr>
    </w:p>
    <w:p>
      <w:pPr>
        <w:ind w:left="660" w:hanging="328"/>
        <w:spacing w:after="0"/>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Topic 815, Derivatives and Hedging; and</w:t>
      </w:r>
    </w:p>
    <w:p>
      <w:pPr>
        <w:spacing w:after="0" w:line="171" w:lineRule="exact"/>
        <w:rPr>
          <w:rFonts w:ascii="Arial" w:cs="Arial" w:eastAsia="Arial" w:hAnsi="Arial"/>
          <w:sz w:val="18"/>
          <w:szCs w:val="18"/>
          <w:i w:val="1"/>
          <w:iCs w:val="1"/>
          <w:color w:val="auto"/>
        </w:rPr>
      </w:pPr>
    </w:p>
    <w:p>
      <w:pPr>
        <w:ind w:left="700" w:hanging="368"/>
        <w:spacing w:after="0"/>
        <w:tabs>
          <w:tab w:leader="none" w:pos="7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Topic 825, Financial Instruments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update clarifies and improves areas of guidance related to the recently issued standards including</w:t>
      </w:r>
    </w:p>
    <w:p>
      <w:pPr>
        <w:spacing w:after="0" w:line="153" w:lineRule="exact"/>
        <w:rPr>
          <w:sz w:val="20"/>
          <w:szCs w:val="20"/>
          <w:color w:val="auto"/>
        </w:rPr>
      </w:pPr>
    </w:p>
    <w:p>
      <w:pPr>
        <w:ind w:left="660" w:right="560" w:hanging="328"/>
        <w:spacing w:after="0" w:line="282"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ASU No. 2016-01, </w:t>
      </w:r>
      <w:r>
        <w:rPr>
          <w:rFonts w:ascii="Arial" w:cs="Arial" w:eastAsia="Arial" w:hAnsi="Arial"/>
          <w:sz w:val="18"/>
          <w:szCs w:val="18"/>
          <w:i w:val="1"/>
          <w:iCs w:val="1"/>
          <w:color w:val="auto"/>
        </w:rPr>
        <w:t>“Financial Instruments—Overall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p>
    <w:p>
      <w:pPr>
        <w:spacing w:after="0" w:line="107" w:lineRule="exact"/>
        <w:rPr>
          <w:rFonts w:ascii="Arial" w:cs="Arial" w:eastAsia="Arial" w:hAnsi="Arial"/>
          <w:sz w:val="18"/>
          <w:szCs w:val="18"/>
          <w:color w:val="auto"/>
        </w:rPr>
      </w:pPr>
    </w:p>
    <w:p>
      <w:pPr>
        <w:ind w:left="660" w:right="320" w:hanging="328"/>
        <w:spacing w:after="0" w:line="282"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ASU No.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xml:space="preserve"> and</w:t>
      </w:r>
    </w:p>
    <w:p>
      <w:pPr>
        <w:spacing w:after="0" w:line="107" w:lineRule="exact"/>
        <w:rPr>
          <w:rFonts w:ascii="Arial" w:cs="Arial" w:eastAsia="Arial" w:hAnsi="Arial"/>
          <w:sz w:val="18"/>
          <w:szCs w:val="18"/>
          <w:color w:val="auto"/>
        </w:rPr>
      </w:pPr>
    </w:p>
    <w:p>
      <w:pPr>
        <w:ind w:left="700" w:hanging="368"/>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ASU No. 2017-12, </w:t>
      </w:r>
      <w:r>
        <w:rPr>
          <w:rFonts w:ascii="Arial" w:cs="Arial" w:eastAsia="Arial" w:hAnsi="Arial"/>
          <w:sz w:val="18"/>
          <w:szCs w:val="18"/>
          <w:i w:val="1"/>
          <w:iCs w:val="1"/>
          <w:color w:val="auto"/>
        </w:rPr>
        <w:t>“Derivatives and Hedging (Topic 815): Targeted Improvements to Accounting for Hedging Activities.”</w:t>
      </w:r>
    </w:p>
    <w:p>
      <w:pPr>
        <w:spacing w:after="0" w:line="189" w:lineRule="exact"/>
        <w:rPr>
          <w:sz w:val="20"/>
          <w:szCs w:val="20"/>
          <w:color w:val="auto"/>
        </w:rPr>
      </w:pPr>
    </w:p>
    <w:p>
      <w:pPr>
        <w:ind w:right="260"/>
        <w:spacing w:after="0" w:line="453" w:lineRule="auto"/>
        <w:rPr>
          <w:sz w:val="20"/>
          <w:szCs w:val="20"/>
          <w:color w:val="auto"/>
        </w:rPr>
      </w:pPr>
      <w:r>
        <w:rPr>
          <w:rFonts w:ascii="Arial" w:cs="Arial" w:eastAsia="Arial" w:hAnsi="Arial"/>
          <w:sz w:val="17"/>
          <w:szCs w:val="17"/>
          <w:color w:val="auto"/>
        </w:rPr>
        <w:t xml:space="preserve">The adoption of this update concerns presentation and disclosure only with no material impact to our consolidated financial statements. </w:t>
      </w:r>
      <w:r>
        <w:rPr>
          <w:rFonts w:ascii="Arial" w:cs="Arial" w:eastAsia="Arial" w:hAnsi="Arial"/>
          <w:sz w:val="17"/>
          <w:szCs w:val="17"/>
          <w:i w:val="1"/>
          <w:iCs w:val="1"/>
          <w:u w:val="single" w:color="auto"/>
          <w:color w:val="auto"/>
        </w:rPr>
        <w:t>Adoption of ASU No. 2016-13 “Financial Instruments—Credit Losses (Topic 326): Measurement of Credit Losses on Financial Instruments</w:t>
      </w:r>
    </w:p>
    <w:p>
      <w:pPr>
        <w:ind w:right="80"/>
        <w:spacing w:after="0" w:line="258" w:lineRule="auto"/>
        <w:rPr>
          <w:sz w:val="20"/>
          <w:szCs w:val="20"/>
          <w:color w:val="auto"/>
        </w:rPr>
      </w:pPr>
      <w:r>
        <w:rPr>
          <w:rFonts w:ascii="Arial" w:cs="Arial" w:eastAsia="Arial" w:hAnsi="Arial"/>
          <w:sz w:val="18"/>
          <w:szCs w:val="18"/>
          <w:color w:val="auto"/>
        </w:rPr>
        <w:t xml:space="preserve">Effective January 1, 2020, we adopted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This ASU introduces a new model for recognizing credit losses on financial instruments based on an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losses. The guidance applies to (1) loans, accounts receivable, trade receivables, and other financial assets measured at amortized cost, (2) loan commitments and other off-balance sheet credit exposures, (3) debt securities and other financial assets measured at fair value through other comprehensive income, and (4) beneficial interests in securitized financial assets.</w:t>
      </w:r>
    </w:p>
    <w:p>
      <w:pPr>
        <w:spacing w:after="0" w:line="134"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In June 2016, the Financial Accounting Standards Board (“FASB”) issued an update of the ASU to provide a practical expedient for transition and targeted improvements.</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adopted Topic 326 using a modified retrospective transition method through a cumulative-effect adjustment to beginning retained earnings in the period of adoption. The effect of adopting Topic 326 was an increase in accumulated deficit of $7.8 million, which includes a $2.1 million increase in noncurrent deferred tax assets, with a corresponding decrease in trade receivables, loans, and debt notes receivable.</w:t>
      </w:r>
    </w:p>
    <w:p>
      <w:pPr>
        <w:spacing w:after="0" w:line="148"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Financial assets at amortized cost include trade receivables, loans issued to third or related parties, and held to maturity debt securities. These financial assets were presented under other current assets or other assets, as applicable. Contract assets are subject to the credit losses standard per revenue recognition standard.</w:t>
      </w:r>
    </w:p>
    <w:p>
      <w:pPr>
        <w:spacing w:after="0" w:line="14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Trade receivables and contract assets constitute a homogeneous portfolio, and therefore, to measure the expected credit losses, trade receivables and contract assets have been grouped together. The contract assets relate to unbilled work in progress and have substantially the same risk characteristics as the trade receivables for the same types of contracts. We have therefore concluded that the expected loss rates for trade receivables are a reasonable approximation of the loss rates for the contract assets.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following table summarizes the balances of financial assets and non-financial assets at amortized cost as of January 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reported as of</w:t>
            </w:r>
          </w:p>
        </w:tc>
        <w:tc>
          <w:tcPr>
            <w:tcW w:w="200" w:type="dxa"/>
            <w:vAlign w:val="bottom"/>
          </w:tcPr>
          <w:p>
            <w:pPr>
              <w:spacing w:after="0"/>
              <w:rPr>
                <w:sz w:val="14"/>
                <w:szCs w:val="14"/>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Impact of ASC 326</w:t>
            </w:r>
          </w:p>
        </w:tc>
        <w:tc>
          <w:tcPr>
            <w:tcW w:w="160" w:type="dxa"/>
            <w:vAlign w:val="bottom"/>
          </w:tcPr>
          <w:p>
            <w:pPr>
              <w:spacing w:after="0"/>
              <w:rPr>
                <w:sz w:val="14"/>
                <w:szCs w:val="14"/>
                <w:color w:val="auto"/>
              </w:rPr>
            </w:pP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6"/>
        </w:trPr>
        <w:tc>
          <w:tcPr>
            <w:tcW w:w="5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48"/>
              <w:spacing w:after="0"/>
              <w:rPr>
                <w:sz w:val="20"/>
                <w:szCs w:val="20"/>
                <w:color w:val="auto"/>
              </w:rPr>
            </w:pPr>
            <w:r>
              <w:rPr>
                <w:rFonts w:ascii="Arial" w:cs="Arial" w:eastAsia="Arial" w:hAnsi="Arial"/>
                <w:sz w:val="14"/>
                <w:szCs w:val="14"/>
                <w:b w:val="1"/>
                <w:bCs w:val="1"/>
                <w:color w:val="auto"/>
              </w:rPr>
              <w:t>January 1, 2020</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receivables, net</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2,287.1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2,283.3</w:t>
            </w:r>
          </w:p>
        </w:tc>
        <w:tc>
          <w:tcPr>
            <w:tcW w:w="0" w:type="dxa"/>
            <w:vAlign w:val="bottom"/>
          </w:tcPr>
          <w:p>
            <w:pPr>
              <w:spacing w:after="0"/>
              <w:rPr>
                <w:sz w:val="1"/>
                <w:szCs w:val="1"/>
                <w:color w:val="auto"/>
              </w:rPr>
            </w:pPr>
          </w:p>
        </w:tc>
      </w:tr>
      <w:tr>
        <w:trPr>
          <w:trHeight w:val="189"/>
        </w:trPr>
        <w:tc>
          <w:tcPr>
            <w:tcW w:w="5860" w:type="dxa"/>
            <w:vAlign w:val="bottom"/>
          </w:tcPr>
          <w:p>
            <w:pPr>
              <w:ind w:left="140"/>
              <w:spacing w:after="0"/>
              <w:rPr>
                <w:sz w:val="20"/>
                <w:szCs w:val="20"/>
                <w:color w:val="auto"/>
              </w:rPr>
            </w:pPr>
            <w:r>
              <w:rPr>
                <w:rFonts w:ascii="Arial" w:cs="Arial" w:eastAsia="Arial" w:hAnsi="Arial"/>
                <w:sz w:val="14"/>
                <w:szCs w:val="14"/>
                <w:color w:val="auto"/>
              </w:rPr>
              <w:t>Loans receivable, net</w:t>
            </w:r>
          </w:p>
        </w:tc>
        <w:tc>
          <w:tcPr>
            <w:tcW w:w="18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Security deposits and other, net</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4"/>
                <w:szCs w:val="14"/>
                <w:i w:val="1"/>
                <w:iCs w:val="1"/>
                <w:color w:val="auto"/>
              </w:rPr>
              <w:t>Held-to-maturity</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securities at amortized cost</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8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2,534.1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Non-financial assets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Contract assets,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receivables portfolios using published default risk as a key credit quality indicator for our loans and receivables. Our loans receivable and security deposits were related to sales of long-lived assets or businesses, loans to related parties for capital expenditure purposes, or security deposits for lease arrangements.</w:t>
      </w:r>
    </w:p>
    <w:p>
      <w:pPr>
        <w:spacing w:after="0" w:line="14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manage our held-to-maturity debt securities using published credit ratings as a key credit quality indicator as our held-to-maturity debt securities consist of government bonds.</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table below summarizes the amortized cost basis of financial assets by years of origination and credit quality. The key credit quality indicator is updated as of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Loans receivables, security deposits and other</w:t>
            </w: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Moody’s rating Ba2</w:t>
            </w:r>
          </w:p>
        </w:tc>
        <w:tc>
          <w:tcPr>
            <w:tcW w:w="1440" w:type="dxa"/>
            <w:vAlign w:val="bottom"/>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i w:val="1"/>
                <w:iCs w:val="1"/>
                <w:color w:val="auto"/>
              </w:rPr>
              <w:t>Debt securities at amortized cost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Moody’s rating B3</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Losses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contract assets and trade receivables, we have elected to calculate an expected credit loss based on loss rates from historical data. We develop loss-rate statistics on the basis of the amount written off over the life of the financial assets and contract assets and adjust these historical credit loss trends for forward-looking factors specific to the debtors and the economic environment to determine lifetime expected losses. For short-term notes receivable an expected credit loss is calculated assuming the maximum possible loss in the event of a default (that is, the loan is fully drawn and no amount is recovered). Management established a probability of default based on the counterparty’s credit risk as determined by external credit rating agencies and the maximum loss given default (average recovery rate of sovereign bond issuers as published by credit rating agencies). Based on these factors we determine the expected credit loss for our short-term loans receivable.</w:t>
      </w:r>
    </w:p>
    <w:p>
      <w:pPr>
        <w:spacing w:after="0" w:line="23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held-to-maturity debt securities at amortized cost, we evaluate whether the debt securities are considered to have low credit risk at the reporting date using available, reasonable, and supportable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roll-forward of allowance for credit losses for the year ended December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Balance as of December 31, 2020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Trade</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Security deposit</w:t>
            </w:r>
          </w:p>
        </w:tc>
        <w:tc>
          <w:tcPr>
            <w:tcW w:w="100" w:type="dxa"/>
            <w:vAlign w:val="bottom"/>
          </w:tcPr>
          <w:p>
            <w:pPr>
              <w:spacing w:after="0"/>
              <w:rPr>
                <w:sz w:val="12"/>
                <w:szCs w:val="12"/>
                <w:color w:val="auto"/>
              </w:rPr>
            </w:pPr>
          </w:p>
        </w:tc>
        <w:tc>
          <w:tcPr>
            <w:tcW w:w="12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receivable</w:t>
            </w:r>
          </w:p>
        </w:tc>
        <w:tc>
          <w:tcPr>
            <w:tcW w:w="2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Current period provision for expected credit losses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ind w:left="38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Write-offs charged against the allowance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Recoveries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Other than certain trade receivables due in one year or less, we do not have any financial assets that are past due or are on non-accrual status.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update are required to be adopted retrospectively. We adopted this amendment as of January 1, 2021. The adoption of this update did not have a material impact on our consolidated financial statements.</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improves and simplifies areas of generally accepted accounting principles (GAAP) for which costs and complexity can be reduced while maintaining or improving the usefulness of the information provided to users of financial statements. We adopted this amendment as of January 1, 2021. The adoption of this update did not have a material impact on our consolidated financial statements.</w:t>
      </w:r>
    </w:p>
    <w:p>
      <w:pPr>
        <w:spacing w:after="0" w:line="1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Investments—Equity Securities (Topic 321),” “Investments—Equity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(Topic 323),” </w:t>
      </w:r>
      <w:r>
        <w:rPr>
          <w:rFonts w:ascii="Arial" w:cs="Arial" w:eastAsia="Arial" w:hAnsi="Arial"/>
          <w:sz w:val="18"/>
          <w:szCs w:val="18"/>
          <w:color w:val="auto"/>
        </w:rPr>
        <w:t>and</w:t>
      </w:r>
      <w:r>
        <w:rPr>
          <w:rFonts w:ascii="Arial" w:cs="Arial" w:eastAsia="Arial" w:hAnsi="Arial"/>
          <w:sz w:val="18"/>
          <w:szCs w:val="18"/>
          <w:i w:val="1"/>
          <w:iCs w:val="1"/>
          <w:color w:val="auto"/>
        </w:rPr>
        <w:t xml:space="preserve"> “Derivatives and Hedging (Topic 815)—Clarifying the Interactions between Topic 321, Topic 323, and Topic 815,”</w:t>
      </w:r>
      <w:r>
        <w:rPr>
          <w:rFonts w:ascii="Arial" w:cs="Arial" w:eastAsia="Arial" w:hAnsi="Arial"/>
          <w:sz w:val="18"/>
          <w:szCs w:val="18"/>
          <w:color w:val="auto"/>
        </w:rPr>
        <w:t>and made targeted improvements to address certain aspects of accounting for financial instruments. This update clarifies that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 323, Investments—Equity Method and Joint Ventures,</w:t>
      </w:r>
      <w:r>
        <w:rPr>
          <w:rFonts w:ascii="Arial" w:cs="Arial" w:eastAsia="Arial" w:hAnsi="Arial"/>
          <w:sz w:val="18"/>
          <w:szCs w:val="18"/>
          <w:color w:val="auto"/>
        </w:rPr>
        <w:t xml:space="preserve"> for the purposes of applying the measurement alternative in accordance with </w:t>
      </w:r>
      <w:r>
        <w:rPr>
          <w:rFonts w:ascii="Arial" w:cs="Arial" w:eastAsia="Arial" w:hAnsi="Arial"/>
          <w:sz w:val="18"/>
          <w:szCs w:val="18"/>
          <w:i w:val="1"/>
          <w:iCs w:val="1"/>
          <w:color w:val="auto"/>
        </w:rPr>
        <w:t>Topic 321</w:t>
      </w:r>
      <w:r>
        <w:rPr>
          <w:rFonts w:ascii="Arial" w:cs="Arial" w:eastAsia="Arial" w:hAnsi="Arial"/>
          <w:sz w:val="18"/>
          <w:szCs w:val="18"/>
          <w:color w:val="auto"/>
        </w:rPr>
        <w:t xml:space="preserve"> immediately before applying or upon discontinuing the equity method. The new ASU also clarifies that, when determining the accounting for certain forward contracts and purchased options, a company should not consider whether underlying securities would be accounted for under the equity method or fair value option upon settlement or exercise. We adopted this amendment as of January 1, 2021. The adoption of this update did not have a material impact on our consolidated financial statements.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 (Topic 848),”</w:t>
      </w:r>
      <w:r>
        <w:rPr>
          <w:rFonts w:ascii="Arial" w:cs="Arial" w:eastAsia="Arial" w:hAnsi="Arial"/>
          <w:sz w:val="18"/>
          <w:szCs w:val="18"/>
          <w:color w:val="auto"/>
        </w:rPr>
        <w:t xml:space="preserve"> The amendments in this update apply only to contracts, hedging relationships, and other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 this update are effective as of March 12, 2020 through December 31, 2022. The adoption of this update is not expected to have a material impact on our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Lessee Arrangements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lease real estate, including land, buildings and warehouses, machinery/equipment, vessels, vehicles, and various types of manufacturing and data processing equipment, from a lessee perspective. Leases of real estate generally provide for payment of property taxes, insurance, and repairs by us. Substantially all our leases are classified as operating leases.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95" w:name="page96"/>
    <w:bookmarkEnd w:id="95"/>
    <w:p>
      <w:pPr>
        <w:spacing w:after="0" w:line="251" w:lineRule="auto"/>
        <w:rPr>
          <w:sz w:val="20"/>
          <w:szCs w:val="20"/>
          <w:color w:val="auto"/>
        </w:rPr>
      </w:pPr>
      <w:r>
        <w:rPr>
          <w:rFonts w:ascii="Arial" w:cs="Arial" w:eastAsia="Arial" w:hAnsi="Arial"/>
          <w:sz w:val="18"/>
          <w:szCs w:val="18"/>
          <w:color w:val="auto"/>
        </w:rPr>
        <w:t>We determine if an arrangement is a lease at inception by assessing whether an identified asset exists and if we have the right to control the use of the identified asset. Operating leases are included in Operating lease right-of-use assets, Operating lease liabilities (current), and Operating lease liabilities (non-current) in our consolidated balance sheets.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the remaining lease payments over the lease term. With the exception of rare cases in which the implicit rate is readily determinable, we use our incremental borrowing rate based on the information available at the commencement date in determining the present value of lease payments. The Operating lease right-of-use assets also includes any lease prepayments made and excludes lease incentives we received from the lessor. Lease cost for lease payments is recognized on a straight-line basis over the lease term. Several of our leases provide for certain guarantees of residual value. We estimate and include in the determination of lease payments any amount probable of being owed under these residual value guarantees.</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Lease terms within our lessee arrangements may include options to extend/renew or terminate the lease and/or purchase the underlying asset when it is reasonably certain that we will exercise that option. TechnipFMC applies a portfolio approach by asset class to determine lease term renewals. The leases within these portfolios are categorized by asset class and have initial lease terms that vary depending on the asset class. The renewal terms range from 60 days to 5 years for asset classes such as temporary residential housing, forklifts, vehicles, vessels, office and IT equipment, and tool rentals, and up to 15 years or more for commercial real estate. Short-term leases with an initial term of 12 months or less that do not include a purchase option are not recorded on the balance sheet. Lease costs for short-term leases are recognized on a straight-line basis over the lease term and amounts related to short-term leases are disclosed within our financial statements.</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TechnipFMC has variable lease payments, including adjustments to lease payments based on an index or rate (such as the Consumer Price Index), fair value adjustments to lease payments, and common area maintenance, real estate taxes, and insurance payments in triple-net real estate leases. Variable lease payments that depend on an index or a rate (such as the Consumer Price Index or a market interest rate) are included when measuring consideration within our lease arrangements using the payments’ base rate or index. Variable payments that do not depend on an index or rate are recognized in the consolidated income statements and are disclosed as “variable lease costs” in the period they are incurred.</w:t>
      </w:r>
    </w:p>
    <w:p>
      <w:pPr>
        <w:spacing w:after="0" w:line="15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adopted the practical expedient to not separate lease and non-lease components for all asset classes except for vessels, which have significant non-lease components.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TechnipFMC currently subleases certain of its leased real estate and vessels to third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net lease cost for the years ended December 31, 2020 and 2019:</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costs including variable costs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362.4</w:t>
            </w:r>
          </w:p>
        </w:tc>
      </w:tr>
      <w:tr>
        <w:trPr>
          <w:trHeight w:val="18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sublease income</w:t>
            </w: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8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Net lease cost</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318.5</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w:t>
            </w: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years ended December 31, 2020 and 2019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r>
      <w:tr>
        <w:trPr>
          <w:trHeight w:val="169"/>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1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9"/>
        </w:trPr>
        <w:tc>
          <w:tcPr>
            <w:tcW w:w="7500" w:type="dxa"/>
            <w:vAlign w:val="bottom"/>
          </w:tcPr>
          <w:p>
            <w:pPr>
              <w:ind w:left="20"/>
              <w:spacing w:after="0"/>
              <w:rPr>
                <w:sz w:val="20"/>
                <w:szCs w:val="20"/>
                <w:color w:val="auto"/>
              </w:rPr>
            </w:pPr>
            <w:r>
              <w:rPr>
                <w:rFonts w:ascii="Arial" w:cs="Arial" w:eastAsia="Arial" w:hAnsi="Arial"/>
                <w:sz w:val="14"/>
                <w:szCs w:val="14"/>
                <w:color w:val="auto"/>
              </w:rPr>
              <w:t>Operating cash flows from operating leases</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314.2</w:t>
            </w:r>
          </w:p>
        </w:tc>
        <w:tc>
          <w:tcPr>
            <w:tcW w:w="100" w:type="dxa"/>
            <w:vAlign w:val="bottom"/>
          </w:tcPr>
          <w:p>
            <w:pPr>
              <w:spacing w:after="0"/>
              <w:rPr>
                <w:sz w:val="16"/>
                <w:szCs w:val="16"/>
                <w:color w:val="auto"/>
              </w:rPr>
            </w:pP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384.7</w:t>
            </w:r>
          </w:p>
        </w:tc>
      </w:tr>
      <w:tr>
        <w:trPr>
          <w:trHeight w:val="216"/>
        </w:trPr>
        <w:tc>
          <w:tcPr>
            <w:tcW w:w="7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89"/>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liabilities</w:t>
            </w: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9"/>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as of December 31, 2020 and 2019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1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r>
      <w:tr>
        <w:trPr>
          <w:trHeight w:val="18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6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2120" w:type="dxa"/>
            <w:vAlign w:val="bottom"/>
            <w:gridSpan w:val="3"/>
          </w:tcPr>
          <w:p>
            <w:pPr>
              <w:jc w:val="right"/>
              <w:ind w:right="620"/>
              <w:spacing w:after="0"/>
              <w:rPr>
                <w:sz w:val="20"/>
                <w:szCs w:val="20"/>
                <w:color w:val="auto"/>
              </w:rPr>
            </w:pPr>
            <w:r>
              <w:rPr>
                <w:rFonts w:ascii="Arial" w:cs="Arial" w:eastAsia="Arial" w:hAnsi="Arial"/>
                <w:sz w:val="14"/>
                <w:szCs w:val="14"/>
                <w:color w:val="auto"/>
              </w:rPr>
              <w:t>11.8 years</w:t>
            </w:r>
          </w:p>
        </w:tc>
        <w:tc>
          <w:tcPr>
            <w:tcW w:w="1020" w:type="dxa"/>
            <w:vAlign w:val="bottom"/>
          </w:tcPr>
          <w:p>
            <w:pPr>
              <w:jc w:val="right"/>
              <w:spacing w:after="0"/>
              <w:rPr>
                <w:sz w:val="20"/>
                <w:szCs w:val="20"/>
                <w:color w:val="auto"/>
              </w:rPr>
            </w:pPr>
            <w:r>
              <w:rPr>
                <w:rFonts w:ascii="Arial" w:cs="Arial" w:eastAsia="Arial" w:hAnsi="Arial"/>
                <w:sz w:val="14"/>
                <w:szCs w:val="14"/>
                <w:color w:val="auto"/>
              </w:rPr>
              <w:t>7.5 years</w:t>
            </w: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2120" w:type="dxa"/>
            <w:vAlign w:val="bottom"/>
            <w:gridSpan w:val="3"/>
            <w:shd w:val="clear" w:color="auto" w:fill="CCEEFF"/>
          </w:tcPr>
          <w:p>
            <w:pPr>
              <w:ind w:left="920"/>
              <w:spacing w:after="0"/>
              <w:rPr>
                <w:sz w:val="20"/>
                <w:szCs w:val="20"/>
                <w:color w:val="auto"/>
              </w:rPr>
            </w:pPr>
            <w:r>
              <w:rPr>
                <w:rFonts w:ascii="Arial" w:cs="Arial" w:eastAsia="Arial" w:hAnsi="Arial"/>
                <w:sz w:val="14"/>
                <w:szCs w:val="14"/>
                <w:color w:val="auto"/>
              </w:rPr>
              <w:t>0.6 years  $</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216"/>
        </w:trPr>
        <w:tc>
          <w:tcPr>
            <w:tcW w:w="8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152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4.4 %</w:t>
            </w: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567"/>
        </w:trPr>
        <w:tc>
          <w:tcPr>
            <w:tcW w:w="8100" w:type="dxa"/>
            <w:vAlign w:val="bottom"/>
          </w:tcPr>
          <w:p>
            <w:pPr>
              <w:spacing w:after="0"/>
              <w:rPr>
                <w:sz w:val="20"/>
                <w:szCs w:val="20"/>
                <w:color w:val="auto"/>
              </w:rPr>
            </w:pPr>
            <w:r>
              <w:rPr>
                <w:rFonts w:ascii="Arial" w:cs="Arial" w:eastAsia="Arial" w:hAnsi="Arial"/>
                <w:sz w:val="18"/>
                <w:szCs w:val="18"/>
                <w:color w:val="auto"/>
              </w:rPr>
              <w:t>Maturities of operating lease liabilities as of December 31, 2020 are as follows: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w:t>
            </w:r>
          </w:p>
        </w:tc>
      </w:tr>
      <w:tr>
        <w:trPr>
          <w:trHeight w:val="189"/>
        </w:trPr>
        <w:tc>
          <w:tcPr>
            <w:tcW w:w="978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189"/>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r>
      <w:tr>
        <w:trPr>
          <w:trHeight w:val="189"/>
        </w:trPr>
        <w:tc>
          <w:tcPr>
            <w:tcW w:w="978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117.6</w:t>
            </w:r>
          </w:p>
        </w:tc>
      </w:tr>
      <w:tr>
        <w:trPr>
          <w:trHeight w:val="189"/>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471.4</w:t>
            </w:r>
          </w:p>
        </w:tc>
      </w:tr>
      <w:tr>
        <w:trPr>
          <w:trHeight w:val="183"/>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payments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1,249.3</w:t>
            </w:r>
          </w:p>
        </w:tc>
      </w:tr>
      <w:tr>
        <w:trPr>
          <w:trHeight w:val="189"/>
        </w:trPr>
        <w:tc>
          <w:tcPr>
            <w:tcW w:w="978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Less: Imputed interest </w:t>
            </w:r>
            <w:r>
              <w:rPr>
                <w:rFonts w:ascii="Arial" w:cs="Arial" w:eastAsia="Arial" w:hAnsi="Arial"/>
                <w:sz w:val="18"/>
                <w:szCs w:val="18"/>
                <w:color w:val="auto"/>
                <w:vertAlign w:val="superscript"/>
              </w:rPr>
              <w:t>(a)</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w:t>
            </w:r>
          </w:p>
        </w:tc>
      </w:tr>
      <w:tr>
        <w:trPr>
          <w:trHeight w:val="208"/>
        </w:trPr>
        <w:tc>
          <w:tcPr>
            <w:tcW w:w="978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 xml:space="preserve">Total lease liabilities </w:t>
            </w:r>
            <w:r>
              <w:rPr>
                <w:rFonts w:ascii="Arial" w:cs="Arial" w:eastAsia="Arial" w:hAnsi="Arial"/>
                <w:sz w:val="18"/>
                <w:szCs w:val="18"/>
                <w:b w:val="1"/>
                <w:bCs w:val="1"/>
                <w:color w:val="auto"/>
                <w:vertAlign w:val="superscript"/>
              </w:rPr>
              <w:t>(b)</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Note: For leases that commenced prior to 2019, minimum lease payments exclude payments to landlords for real estate taxes and common area maintenance.</w:t>
      </w:r>
    </w:p>
    <w:p>
      <w:pPr>
        <w:spacing w:after="0" w:line="217"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Calculated using the interest rate for each lease.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the current portion of $247.0 million for operating leases.</w:t>
      </w:r>
    </w:p>
    <w:p>
      <w:pPr>
        <w:spacing w:after="0" w:line="15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December 2020, TechnipFMC sold its leased office building at Gremp Campus in Houston, Texas on behalf of the existing lessor to Oak Street Real Estate Capital, LLC (“New Lessor”). TechnipFMC also sold the land underneath Gremp Campus which the Company owned to the New Lessor. TechnipFMC concurrently executed a new lease agreement for both land and the office building (collectively, “Gremp Campus Properties”) with New Lessor.</w:t>
      </w:r>
    </w:p>
    <w:p>
      <w:pPr>
        <w:spacing w:after="0" w:line="15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new lease agreement of Gremp Campus Properties commenced on December 11, 2020 and the initial term ends on December 31, 2042. TechnipFMC has 4 renewal periods of 10 years each after the expiration of initial term. At inception of the new lease agreement, TechnipFMC did not consider any renewal period as probable of being exercised.</w:t>
      </w:r>
    </w:p>
    <w:p>
      <w:pPr>
        <w:spacing w:after="0" w:line="148" w:lineRule="exact"/>
        <w:rPr>
          <w:sz w:val="20"/>
          <w:szCs w:val="20"/>
          <w:color w:val="auto"/>
        </w:rPr>
      </w:pPr>
    </w:p>
    <w:p>
      <w:pPr>
        <w:ind w:right="980"/>
        <w:spacing w:after="0" w:line="246" w:lineRule="auto"/>
        <w:rPr>
          <w:sz w:val="20"/>
          <w:szCs w:val="20"/>
          <w:color w:val="auto"/>
        </w:rPr>
      </w:pPr>
      <w:r>
        <w:rPr>
          <w:rFonts w:ascii="Arial" w:cs="Arial" w:eastAsia="Arial" w:hAnsi="Arial"/>
          <w:sz w:val="18"/>
          <w:szCs w:val="18"/>
          <w:color w:val="auto"/>
        </w:rPr>
        <w:t>TechnipFMC paid net cash of $1.8 million in connection with the new lease agreement, and recognized a loss of $3.1 million from derecognition of the existing lease. There was no gain or loss from the sale of the land at Gremp Campus.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u w:val="single" w:color="auto"/>
          <w:color w:val="auto"/>
        </w:rPr>
        <w:t>Lessor Arrangements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lease real estate including land, buildings and warehouses, machinery/equipment, and vessels from a lessor perspective. We determine if an arrangement is a lease at inception by assessing whether an identified asset exists and if the customer has the right to control the use of the identified asset. We use our implicit rate for our lessor arrangements. We have elected the practical expedient available for lessors to not separate lease and non-lease components for vessels. If the non-lease component is predominant in our contracts, we account for the contracts under the revenue recognition guidance in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If the lease component is predominant in our contracts, we account for the contracts under the lease guidance in Topic 842. We estimate the amount we expect to derive from the underlying asset following the end of the lease term based on remaining economic life. Our lessor arrangements generally do not include any residual value guarantees. We recognize lessee payments of lessor costs such as taxes and insurance on a net basis when the lessee pays those costs directly to a third party or when the amount paid by the lessee is not readily determinable.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components of lease revenue for the years ended December 31, 2020 and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18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revenue including variable 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w:t>
            </w:r>
          </w:p>
        </w:tc>
      </w:tr>
    </w:tbl>
    <w:p>
      <w:pPr>
        <w:spacing w:after="0" w:line="3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is a summary of the maturity analysis of the undiscounted cash flows to be received on an annual basis for each of the first five years, and a total of the amounts for the remaining years:</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89"/>
        </w:trPr>
        <w:tc>
          <w:tcPr>
            <w:tcW w:w="978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189"/>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978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 On January 1, 2018, we adopted Topic 606 of GAAP using the modified retrospective method applied to those contracts that were not completed as of January 1, 2018 resulting in a $91.5 million reduction to retained earnings.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Revenue Recognition Criteria Explained</w:t>
      </w:r>
    </w:p>
    <w:p>
      <w:pPr>
        <w:spacing w:after="0" w:line="17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Allocation of transaction price to performance obligations - </w:t>
      </w:r>
      <w:r>
        <w:rPr>
          <w:rFonts w:ascii="Arial" w:cs="Arial" w:eastAsia="Arial" w:hAnsi="Arial"/>
          <w:sz w:val="18"/>
          <w:szCs w:val="18"/>
          <w:color w:val="auto"/>
        </w:rPr>
        <w:t>A contract’s transaction price is allocated to each distinct performance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revenue, when, or as, the performance obligation is satisfied. To determine the proper revenue recognition method, we evaluate whether two or more contracts should be combined and accounted for as one single contract and whether the combined or single contract should be accounted for as more than one performance obligation. This evaluation requires significant judgment; some of our contracts have a single performance obligation as the promise to transfer the individual goods or services is not separately identifiable from other promises in the contracts and, therefore, not distinct.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8" w:name="page99"/>
    <w:bookmarkEnd w:id="98"/>
    <w:p>
      <w:pPr>
        <w:ind w:right="120"/>
        <w:spacing w:after="0" w:line="254" w:lineRule="auto"/>
        <w:rPr>
          <w:sz w:val="20"/>
          <w:szCs w:val="20"/>
          <w:color w:val="auto"/>
        </w:rPr>
      </w:pPr>
      <w:r>
        <w:rPr>
          <w:rFonts w:ascii="Arial" w:cs="Arial" w:eastAsia="Arial" w:hAnsi="Arial"/>
          <w:sz w:val="18"/>
          <w:szCs w:val="18"/>
          <w:i w:val="1"/>
          <w:iCs w:val="1"/>
          <w:color w:val="auto"/>
        </w:rPr>
        <w:t xml:space="preserve">Variable consideration - </w:t>
      </w:r>
      <w:r>
        <w:rPr>
          <w:rFonts w:ascii="Arial" w:cs="Arial" w:eastAsia="Arial" w:hAnsi="Arial"/>
          <w:sz w:val="18"/>
          <w:szCs w:val="18"/>
          <w:color w:val="auto"/>
        </w:rPr>
        <w:t>Due to the nature of the work required to be performed on many of our performance obligations, the estimation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total revenue and cost at completion is complex, subject to many variables and requires significant judgment. It is common for our long-term contracts to contain variable considerations that can either increase or decrease the transaction price. Variability in the transaction price arises primarily due to liquidated damages. We consider our experience with similar transactions and expectations regarding the contract in estimating the amount of variable consideration to which we will be entitled, and determining whether the estimated variable consideration should be constrained. We include estimated amounts in the transaction price to the extent it is probable that a significant reversal of cumulative revenue recognized will not occur when the uncertainty associated with the variable consideration is resolved. Our estimates of variable consideration are based largely on an assessment of our anticipated performance and all information (historical, current and forecasted) that is reasonably available to us.</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Payment terms - </w:t>
      </w:r>
      <w:r>
        <w:rPr>
          <w:rFonts w:ascii="Arial" w:cs="Arial" w:eastAsia="Arial" w:hAnsi="Arial"/>
          <w:sz w:val="18"/>
          <w:szCs w:val="18"/>
          <w:color w:val="auto"/>
        </w:rPr>
        <w:t>Progress billings are generally issued upon completion of certain phases of the work as stipulated in the contract.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may either be fixed, lump-sum or driven by time and materials (e.g., daily or hourly rates, plus materials). Because typically the customer retains a small portion of the contract price until completion of the contract, our contracts generally result in revenue recognized in excess of billings which we present as contract assets on the balance sheet. Amounts billed and due from our customers are classified as receivables in the consolidated balance sheets. The portion of the payments retained by the customer until final contract settlement is not considered a significant financing component because the intent is to protect the customer. For some contracts, we may be entitled to receive an advance payment. We recognize a liability for these advance payments in excess of revenue recognized and present it as contract liabilities in the consolidated balance sheets. The advance payment typically is not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1"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Warranty - </w:t>
      </w:r>
      <w:r>
        <w:rPr>
          <w:rFonts w:ascii="Arial" w:cs="Arial" w:eastAsia="Arial" w:hAnsi="Arial"/>
          <w:sz w:val="18"/>
          <w:szCs w:val="18"/>
          <w:color w:val="auto"/>
        </w:rPr>
        <w:t>Certain contracts include an assurance-type warranty clause, typically between 18 to 36 months, to guarantee that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agreed specifications. A service-type warranty may also be provided to the customer; in such a case, management allocates a portion of the transaction price to the warranty based on the estimated stand-alone selling price of the service-type warranty.</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Revenue recognized over time - </w:t>
      </w:r>
      <w:r>
        <w:rPr>
          <w:rFonts w:ascii="Arial" w:cs="Arial" w:eastAsia="Arial" w:hAnsi="Arial"/>
          <w:sz w:val="18"/>
          <w:szCs w:val="18"/>
          <w:color w:val="auto"/>
        </w:rPr>
        <w:t>Our performance obligations are satisfied over time as work progresses or at a point in time.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transferred to customers over time accounted for approximately 86.0%, 81.7% and 82.4% of our revenue for the years ended December 31, 2020, 2019 and 2018, respectively. Typically, revenue is recognized over time using an input measure (e.g., costs incurred to date relative to total estimated costs at completion) to measure progress.</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Cost-to-cost method - </w:t>
      </w:r>
      <w:r>
        <w:rPr>
          <w:rFonts w:ascii="Arial" w:cs="Arial" w:eastAsia="Arial" w:hAnsi="Arial"/>
          <w:sz w:val="18"/>
          <w:szCs w:val="18"/>
          <w:color w:val="auto"/>
        </w:rPr>
        <w:t>For our long-term contracts, because of control transferring over time, revenue is recognized based on the extent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towards completion of the performance obligation.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Right to invoice practical expedient - </w:t>
      </w:r>
      <w:r>
        <w:rPr>
          <w:rFonts w:ascii="Arial" w:cs="Arial" w:eastAsia="Arial" w:hAnsi="Arial"/>
          <w:sz w:val="18"/>
          <w:szCs w:val="18"/>
          <w:color w:val="auto"/>
        </w:rPr>
        <w:t>The right-to-invoice practical expedient can be applied to a performance obligation satisfied over time if</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 right to invoice the customer for an amount that corresponds directly with the value transferred to the customer for our performance completed to date. When this practical expedient is used, we do not estimate variable consideration at the inception of the contract to determine the transaction price or for disclosure purposes. We have contracts which have payment terms dictated by daily or hourly rates where some contracts may have mixed pricing terms which include a fixed fee portion. For contracts in which we charge the customer a fixed rate based on the time or materials spent during the project that correspond to the value transferred to the customer, we recognize revenue in the amount to which we have the right to invoice.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9" w:name="page100"/>
    <w:bookmarkEnd w:id="99"/>
    <w:p>
      <w:pPr>
        <w:ind w:right="20"/>
        <w:spacing w:after="0" w:line="256" w:lineRule="auto"/>
        <w:rPr>
          <w:sz w:val="20"/>
          <w:szCs w:val="20"/>
          <w:color w:val="auto"/>
        </w:rPr>
      </w:pPr>
      <w:r>
        <w:rPr>
          <w:rFonts w:ascii="Arial" w:cs="Arial" w:eastAsia="Arial" w:hAnsi="Arial"/>
          <w:sz w:val="18"/>
          <w:szCs w:val="18"/>
          <w:i w:val="1"/>
          <w:iCs w:val="1"/>
          <w:color w:val="auto"/>
        </w:rPr>
        <w:t xml:space="preserve">Contract modifications - </w:t>
      </w:r>
      <w:r>
        <w:rPr>
          <w:rFonts w:ascii="Arial" w:cs="Arial" w:eastAsia="Arial" w:hAnsi="Arial"/>
          <w:sz w:val="18"/>
          <w:szCs w:val="18"/>
          <w:color w:val="auto"/>
        </w:rPr>
        <w:t>Contracts are often modified to account for changes in contract specifications and requirements. We consider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by Segment</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is a description of principal activities separated by reportable segments from which TechnipFMC generates its revenue. See Note 7 for more detailed information about reportable segments.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Subsea segment manufactures and designs products and systems, performs engineering, procurement and project management and provides services used by oil and gas companies involved in offshore exploration and production of crude oil and natural gas. Systems and services may be sold separately or as combined integrated systems and services offered within one contract. Many of the systems and products TechnipFMC supplies for subsea applications are highly engineered to meet the unique demands of our customers’ field properties and are typically ordered one to two years prior to installation. We often receive advance payments and progress billings from our customers in order to fund initial development and working capital requirements.</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Subsea engineering, procurement, construction and installation contracts, revenue is principally generated from long-term contracts with customers. We have determined these contracts generally have one performance obligation as the delivered product is highly customized to customer and field specifications. We generally recognize revenue over time for such contracts as the customized products do not have an alternative use for TechnipFMC and we have an enforceable right to payment plus a reasonable profit for performance completed to date.</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Subsea segment also performs an array of subsea services including (i) installation services, (ii) asset management services (iii) product optimization, (iv) inspection, maintenance and repair services, and (v) well access and intervention services, where revenue is generally earned through the execution of either installation-type or maintenance-type contracts. For either contract-type, management has determined that the performance of the service generally represents one single performance obligation. We have determined that revenue from these contracts is recognized over time as the customer simultaneously receives and consumes the benefit of the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Technip Energies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Technip Energies segment designs and builds onshore facilities related to the production, treatment, transformation and transportation of hydrocarbons and renewable feedstock; and designs, manufactures and installs fixed and floating platforms for the offshore production and processing of oil and gas reserves.</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onshore business combines the design, engineering, procurement, construction and project management of the entire range of onshore facilities. Our onshore activity covers all types of onshore facilities related to the production, treatment and transportation of oil and gas, as well as transformation with petrochemicals such as ethylene, polymers and fertilizers. Some of the onshore activities include the development of onshore fields, refining, natural gas treatment and liquefaction, and design and construction of hydrogen and synthesis gas production units.</w:t>
      </w:r>
    </w:p>
    <w:p>
      <w:pPr>
        <w:spacing w:after="0" w:line="15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Many of these contracts provide a combination of engineering, procurement, construction, project management and installation services, which may last several years. We have determined that contracts of this nature have generally one performance obligation. In these contracts, the final product is highly customized to the specifications of the field and the customer’s requirements. Therefore, the customer obtains control of the asset over time, and thus revenue is recognized over time.</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offshore business combines the design, engineering, procurement, construction and project management within the entire range of fixed and floating offshore oil and gas facilities, many of which were the first of their kind, including the development of floating liquefied natural gas (“FLNG”) facilities. Similar to onshore contracts, contracts grouped under this segment provide a combination of services, which may last several years.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0" w:name="page101"/>
    <w:bookmarkEnd w:id="100"/>
    <w:p>
      <w:pPr>
        <w:ind w:right="120"/>
        <w:spacing w:after="0" w:line="253" w:lineRule="auto"/>
        <w:rPr>
          <w:sz w:val="20"/>
          <w:szCs w:val="20"/>
          <w:color w:val="auto"/>
        </w:rPr>
      </w:pPr>
      <w:r>
        <w:rPr>
          <w:rFonts w:ascii="Arial" w:cs="Arial" w:eastAsia="Arial" w:hAnsi="Arial"/>
          <w:sz w:val="18"/>
          <w:szCs w:val="18"/>
          <w:color w:val="auto"/>
        </w:rPr>
        <w:t>We have determined that contracts of this nature have one performance obligation. In these contracts, the final product is highly customized to the specifications of the field and the customer’s requirements. We have determined that the customer obtains control of the asset over time, and thus revenue is recognized over time as the customized products do not have an alternative use for us and we have an enforceable right to payment plus reasonable profit for performance completed to date. Subsequent to the Spin-off, we operate under two reporting segments: Subsea and Surface Technologies, for further details see Note 3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Technologies</w:t>
      </w:r>
    </w:p>
    <w:p>
      <w:pPr>
        <w:spacing w:after="0" w:line="189"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Our Surface Technologies segment designs, manufactures and supplies technologically advanced wellhead systems and high pressure valves and pumps used in stimulation activities for oilfield service companies and provides installation, flowback and other services for exploration and production companies.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provide a full range of drilling, completion and production wellhead systems for both standard and custom-engineered applications. Under pressure control product contracts, we design and manufacture flowline products, under the Weco®/Chiksan® trademarks, articulating frac arm manifold trailers, well service pumps, compact valves and reciprocating pumps used in well completion and stimulation activities by major oilfield service companies. Performance obligations within these systems are satisfied either through delivery of a standardized product or equipment or the delivery of a customized product or equipment.</w:t>
      </w:r>
    </w:p>
    <w:p>
      <w:pPr>
        <w:spacing w:after="0" w:line="15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contracts with a standardized product or equipment performance obligation, management has determined that because there is limited customization to products sold within such contracts and the asset delivered can be resold to another customer, revenue should be recognized as of a point in time, upon transfer of control to the customer and after the customer acceptance provisions have been met.</w:t>
      </w:r>
    </w:p>
    <w:p>
      <w:pPr>
        <w:spacing w:after="0" w:line="1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contracts with a customized product or equipment performance obligation, the revenue is recognized over time, as the manufacturing of our product does not create an asset with an alternative use for us.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segment also designs, manufactures and services measurement products globally. Contract-types include standard product or equipment and maintenance-type services where we have determined that each contract under this product line represents one performance obligation.</w:t>
      </w:r>
    </w:p>
    <w:p>
      <w:pPr>
        <w:spacing w:after="0" w:line="14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Revenue from standard measurement equipment contracts is recognized at a point in time, while maintenance-type contracts are typically priced at a daily or hourly rate. We have determined that revenue for these contracts is recognized over time because the customer simultaneously receives and consumes the benefit of the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We disaggregate revenue by geographic location and contract type. The following table presents products and services revenue by geography for each reportable segment for the years ended December 31, 2020,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Subsea</w:t>
            </w: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Technip Energies</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Surface</w:t>
            </w:r>
          </w:p>
        </w:tc>
        <w:tc>
          <w:tcPr>
            <w:tcW w:w="20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Subsea</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Technip Energies</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15" w:lineRule="exact"/>
              <w:rPr>
                <w:sz w:val="20"/>
                <w:szCs w:val="20"/>
                <w:color w:val="auto"/>
              </w:rPr>
            </w:pPr>
            <w:r>
              <w:rPr>
                <w:rFonts w:ascii="Arial" w:cs="Arial" w:eastAsia="Arial" w:hAnsi="Arial"/>
                <w:sz w:val="12"/>
                <w:szCs w:val="12"/>
                <w:b w:val="1"/>
                <w:bCs w:val="1"/>
                <w:color w:val="auto"/>
                <w:w w:val="95"/>
              </w:rPr>
              <w:t>Surface</w:t>
            </w:r>
          </w:p>
        </w:tc>
        <w:tc>
          <w:tcPr>
            <w:tcW w:w="20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Subsea</w:t>
            </w:r>
          </w:p>
        </w:tc>
        <w:tc>
          <w:tcPr>
            <w:tcW w:w="11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Technip Energies</w:t>
            </w:r>
          </w:p>
        </w:tc>
        <w:tc>
          <w:tcPr>
            <w:tcW w:w="120" w:type="dxa"/>
            <w:vAlign w:val="bottom"/>
          </w:tcPr>
          <w:p>
            <w:pPr>
              <w:spacing w:after="0"/>
              <w:rPr>
                <w:sz w:val="10"/>
                <w:szCs w:val="10"/>
                <w:color w:val="auto"/>
              </w:rPr>
            </w:pPr>
          </w:p>
        </w:tc>
        <w:tc>
          <w:tcPr>
            <w:tcW w:w="900" w:type="dxa"/>
            <w:vAlign w:val="bottom"/>
          </w:tcPr>
          <w:p>
            <w:pPr>
              <w:jc w:val="right"/>
              <w:ind w:right="231"/>
              <w:spacing w:after="0" w:line="115" w:lineRule="exact"/>
              <w:rPr>
                <w:sz w:val="20"/>
                <w:szCs w:val="20"/>
                <w:color w:val="auto"/>
              </w:rPr>
            </w:pPr>
            <w:r>
              <w:rPr>
                <w:rFonts w:ascii="Arial" w:cs="Arial" w:eastAsia="Arial" w:hAnsi="Arial"/>
                <w:sz w:val="12"/>
                <w:szCs w:val="12"/>
                <w:b w:val="1"/>
                <w:bCs w:val="1"/>
                <w:color w:val="auto"/>
              </w:rPr>
              <w:t>Surface</w:t>
            </w: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Technologies</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Technologies</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1"/>
              <w:spacing w:after="0"/>
              <w:rPr>
                <w:sz w:val="20"/>
                <w:szCs w:val="20"/>
                <w:color w:val="auto"/>
              </w:rPr>
            </w:pPr>
            <w:r>
              <w:rPr>
                <w:rFonts w:ascii="Arial" w:cs="Arial" w:eastAsia="Arial" w:hAnsi="Arial"/>
                <w:sz w:val="12"/>
                <w:szCs w:val="12"/>
                <w:b w:val="1"/>
                <w:bCs w:val="1"/>
                <w:color w:val="auto"/>
                <w:w w:val="95"/>
              </w:rPr>
              <w:t>Technologies</w:t>
            </w:r>
          </w:p>
        </w:tc>
        <w:tc>
          <w:tcPr>
            <w:tcW w:w="0" w:type="dxa"/>
            <w:vAlign w:val="bottom"/>
          </w:tcPr>
          <w:p>
            <w:pPr>
              <w:spacing w:after="0"/>
              <w:rPr>
                <w:sz w:val="1"/>
                <w:szCs w:val="1"/>
                <w:color w:val="auto"/>
              </w:rPr>
            </w:pPr>
          </w:p>
        </w:tc>
      </w:tr>
      <w:tr>
        <w:trPr>
          <w:trHeight w:val="133"/>
        </w:trPr>
        <w:tc>
          <w:tcPr>
            <w:tcW w:w="13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Europe, Russia,</w:t>
            </w: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1,641.9</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3,111.6</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188.2</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1,745.2</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2,813.1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1,528.1</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3,506.1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171"/>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Central Asia</w:t>
            </w: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40" w:type="dxa"/>
            <w:vAlign w:val="bottom"/>
          </w:tcPr>
          <w:p>
            <w:pPr>
              <w:ind w:left="20"/>
              <w:spacing w:after="0"/>
              <w:rPr>
                <w:sz w:val="20"/>
                <w:szCs w:val="20"/>
                <w:color w:val="auto"/>
              </w:rPr>
            </w:pPr>
            <w:r>
              <w:rPr>
                <w:rFonts w:ascii="Arial" w:cs="Arial" w:eastAsia="Arial" w:hAnsi="Arial"/>
                <w:sz w:val="14"/>
                <w:szCs w:val="14"/>
                <w:color w:val="auto"/>
              </w:rPr>
              <w:t>Americas</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982.6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373.1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1,721.5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865.5</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123.4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532.9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89"/>
        </w:trPr>
        <w:tc>
          <w:tcPr>
            <w:tcW w:w="1340" w:type="dxa"/>
            <w:vAlign w:val="bottom"/>
          </w:tcPr>
          <w:p>
            <w:pPr>
              <w:ind w:left="20"/>
              <w:spacing w:after="0"/>
              <w:rPr>
                <w:sz w:val="20"/>
                <w:szCs w:val="20"/>
                <w:color w:val="auto"/>
              </w:rPr>
            </w:pPr>
            <w:r>
              <w:rPr>
                <w:rFonts w:ascii="Arial" w:cs="Arial" w:eastAsia="Arial" w:hAnsi="Arial"/>
                <w:sz w:val="14"/>
                <w:szCs w:val="14"/>
                <w:color w:val="auto"/>
              </w:rPr>
              <w:t>Africa</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884.4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758.1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241.6</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181.2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129"/>
        </w:trPr>
        <w:tc>
          <w:tcPr>
            <w:tcW w:w="1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products and</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5,416.5</w:t>
            </w:r>
          </w:p>
        </w:tc>
        <w:tc>
          <w:tcPr>
            <w:tcW w:w="10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6,520.0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
              <w:spacing w:after="0"/>
              <w:rPr>
                <w:sz w:val="20"/>
                <w:szCs w:val="20"/>
                <w:color w:val="auto"/>
              </w:rPr>
            </w:pPr>
            <w:r>
              <w:rPr>
                <w:rFonts w:ascii="Arial" w:cs="Arial" w:eastAsia="Arial" w:hAnsi="Arial"/>
                <w:sz w:val="14"/>
                <w:szCs w:val="14"/>
                <w:color w:val="auto"/>
              </w:rPr>
              <w:t>972.1</w:t>
            </w:r>
          </w:p>
        </w:tc>
        <w:tc>
          <w:tcPr>
            <w:tcW w:w="8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5,407.0</w:t>
            </w:r>
          </w:p>
        </w:tc>
        <w:tc>
          <w:tcPr>
            <w:tcW w:w="100" w:type="dxa"/>
            <w:vAlign w:val="bottom"/>
          </w:tcPr>
          <w:p>
            <w:pPr>
              <w:spacing w:after="0"/>
              <w:rPr>
                <w:sz w:val="11"/>
                <w:szCs w:val="11"/>
                <w:color w:val="auto"/>
              </w:rPr>
            </w:pPr>
          </w:p>
        </w:tc>
        <w:tc>
          <w:tcPr>
            <w:tcW w:w="22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6,268.8</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1,466.8</w:t>
            </w:r>
          </w:p>
        </w:tc>
        <w:tc>
          <w:tcPr>
            <w:tcW w:w="10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4,721.8</w:t>
            </w:r>
          </w:p>
        </w:tc>
        <w:tc>
          <w:tcPr>
            <w:tcW w:w="8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6,120.7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1,487.7</w:t>
            </w:r>
          </w:p>
        </w:tc>
        <w:tc>
          <w:tcPr>
            <w:tcW w:w="0" w:type="dxa"/>
            <w:vAlign w:val="bottom"/>
          </w:tcPr>
          <w:p>
            <w:pPr>
              <w:spacing w:after="0"/>
              <w:rPr>
                <w:sz w:val="1"/>
                <w:szCs w:val="1"/>
                <w:color w:val="auto"/>
              </w:rPr>
            </w:pPr>
          </w:p>
        </w:tc>
      </w:tr>
      <w:tr>
        <w:trPr>
          <w:trHeight w:val="153"/>
        </w:trPr>
        <w:tc>
          <w:tcPr>
            <w:tcW w:w="13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services revenue</w:t>
            </w:r>
          </w:p>
        </w:tc>
        <w:tc>
          <w:tcPr>
            <w:tcW w:w="18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right="420"/>
        <w:spacing w:after="0" w:line="261" w:lineRule="auto"/>
        <w:rPr>
          <w:sz w:val="20"/>
          <w:szCs w:val="20"/>
          <w:color w:val="auto"/>
        </w:rPr>
      </w:pPr>
      <w:r>
        <w:rPr>
          <w:rFonts w:ascii="Arial" w:cs="Arial" w:eastAsia="Arial" w:hAnsi="Arial"/>
          <w:sz w:val="18"/>
          <w:szCs w:val="18"/>
          <w:color w:val="auto"/>
        </w:rPr>
        <w:t>The following table represents revenue by contract type for each reportable segment for the years ended December 31, 2020,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Subsea</w:t>
            </w: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Technip Energies</w:t>
            </w: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Surface</w:t>
            </w:r>
          </w:p>
        </w:tc>
        <w:tc>
          <w:tcPr>
            <w:tcW w:w="20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Subsea</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Technip Energies</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15" w:lineRule="exact"/>
              <w:rPr>
                <w:sz w:val="20"/>
                <w:szCs w:val="20"/>
                <w:color w:val="auto"/>
              </w:rPr>
            </w:pPr>
            <w:r>
              <w:rPr>
                <w:rFonts w:ascii="Arial" w:cs="Arial" w:eastAsia="Arial" w:hAnsi="Arial"/>
                <w:sz w:val="12"/>
                <w:szCs w:val="12"/>
                <w:b w:val="1"/>
                <w:bCs w:val="1"/>
                <w:color w:val="auto"/>
                <w:w w:val="95"/>
              </w:rPr>
              <w:t>Surface</w:t>
            </w:r>
          </w:p>
        </w:tc>
        <w:tc>
          <w:tcPr>
            <w:tcW w:w="20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Subsea</w:t>
            </w:r>
          </w:p>
        </w:tc>
        <w:tc>
          <w:tcPr>
            <w:tcW w:w="11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Technip Energies</w:t>
            </w:r>
          </w:p>
        </w:tc>
        <w:tc>
          <w:tcPr>
            <w:tcW w:w="120" w:type="dxa"/>
            <w:vAlign w:val="bottom"/>
          </w:tcPr>
          <w:p>
            <w:pPr>
              <w:spacing w:after="0"/>
              <w:rPr>
                <w:sz w:val="10"/>
                <w:szCs w:val="10"/>
                <w:color w:val="auto"/>
              </w:rPr>
            </w:pPr>
          </w:p>
        </w:tc>
        <w:tc>
          <w:tcPr>
            <w:tcW w:w="900" w:type="dxa"/>
            <w:vAlign w:val="bottom"/>
          </w:tcPr>
          <w:p>
            <w:pPr>
              <w:jc w:val="right"/>
              <w:ind w:right="232"/>
              <w:spacing w:after="0" w:line="115" w:lineRule="exact"/>
              <w:rPr>
                <w:sz w:val="20"/>
                <w:szCs w:val="20"/>
                <w:color w:val="auto"/>
              </w:rPr>
            </w:pPr>
            <w:r>
              <w:rPr>
                <w:rFonts w:ascii="Arial" w:cs="Arial" w:eastAsia="Arial" w:hAnsi="Arial"/>
                <w:sz w:val="12"/>
                <w:szCs w:val="12"/>
                <w:b w:val="1"/>
                <w:bCs w:val="1"/>
                <w:color w:val="auto"/>
              </w:rPr>
              <w:t>Surface</w:t>
            </w:r>
          </w:p>
        </w:tc>
        <w:tc>
          <w:tcPr>
            <w:tcW w:w="0" w:type="dxa"/>
            <w:vAlign w:val="bottom"/>
          </w:tcPr>
          <w:p>
            <w:pPr>
              <w:spacing w:after="0"/>
              <w:rPr>
                <w:sz w:val="1"/>
                <w:szCs w:val="1"/>
                <w:color w:val="auto"/>
              </w:rPr>
            </w:pPr>
          </w:p>
        </w:tc>
      </w:tr>
      <w:tr>
        <w:trPr>
          <w:trHeight w:val="148"/>
        </w:trPr>
        <w:tc>
          <w:tcPr>
            <w:tcW w:w="1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Technologies</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Technologies</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2"/>
              <w:spacing w:after="0"/>
              <w:rPr>
                <w:sz w:val="20"/>
                <w:szCs w:val="20"/>
                <w:color w:val="auto"/>
              </w:rPr>
            </w:pPr>
            <w:r>
              <w:rPr>
                <w:rFonts w:ascii="Arial" w:cs="Arial" w:eastAsia="Arial" w:hAnsi="Arial"/>
                <w:sz w:val="12"/>
                <w:szCs w:val="12"/>
                <w:b w:val="1"/>
                <w:bCs w:val="1"/>
                <w:color w:val="auto"/>
                <w:w w:val="95"/>
              </w:rPr>
              <w:t>Technologies</w:t>
            </w:r>
          </w:p>
        </w:tc>
        <w:tc>
          <w:tcPr>
            <w:tcW w:w="0" w:type="dxa"/>
            <w:vAlign w:val="bottom"/>
          </w:tcPr>
          <w:p>
            <w:pPr>
              <w:spacing w:after="0"/>
              <w:rPr>
                <w:sz w:val="1"/>
                <w:szCs w:val="1"/>
                <w:color w:val="auto"/>
              </w:rPr>
            </w:pPr>
          </w:p>
        </w:tc>
      </w:tr>
      <w:tr>
        <w:trPr>
          <w:trHeight w:val="183"/>
        </w:trPr>
        <w:tc>
          <w:tcPr>
            <w:tcW w:w="1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3,121.1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6,436.9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150.2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3,244.5</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6,268.8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2,687.1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0" w:type="dxa"/>
            <w:vAlign w:val="bottom"/>
          </w:tcPr>
          <w:p>
            <w:pPr>
              <w:spacing w:after="0"/>
              <w:rPr>
                <w:sz w:val="1"/>
                <w:szCs w:val="1"/>
                <w:color w:val="auto"/>
              </w:rPr>
            </w:pPr>
          </w:p>
        </w:tc>
      </w:tr>
      <w:tr>
        <w:trPr>
          <w:trHeight w:val="189"/>
        </w:trPr>
        <w:tc>
          <w:tcPr>
            <w:tcW w:w="1340" w:type="dxa"/>
            <w:vAlign w:val="bottom"/>
          </w:tcPr>
          <w:p>
            <w:pPr>
              <w:ind w:left="2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821.9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2,034.7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1,237.9</w:t>
            </w:r>
          </w:p>
        </w:tc>
        <w:tc>
          <w:tcPr>
            <w:tcW w:w="0" w:type="dxa"/>
            <w:vAlign w:val="bottom"/>
          </w:tcPr>
          <w:p>
            <w:pPr>
              <w:spacing w:after="0"/>
              <w:rPr>
                <w:sz w:val="1"/>
                <w:szCs w:val="1"/>
                <w:color w:val="auto"/>
              </w:rPr>
            </w:pPr>
          </w:p>
        </w:tc>
      </w:tr>
      <w:tr>
        <w:trPr>
          <w:trHeight w:val="133"/>
        </w:trPr>
        <w:tc>
          <w:tcPr>
            <w:tcW w:w="13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products and</w:t>
            </w: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5,416.5</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6,520.0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972.1</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5,407.0</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6,268.8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1,466.8</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4,721.8</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6,120.7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1,487.7</w:t>
            </w:r>
          </w:p>
        </w:tc>
        <w:tc>
          <w:tcPr>
            <w:tcW w:w="0" w:type="dxa"/>
            <w:vAlign w:val="bottom"/>
          </w:tcPr>
          <w:p>
            <w:pPr>
              <w:spacing w:after="0"/>
              <w:rPr>
                <w:sz w:val="1"/>
                <w:szCs w:val="1"/>
                <w:color w:val="auto"/>
              </w:rPr>
            </w:pPr>
          </w:p>
        </w:tc>
      </w:tr>
      <w:tr>
        <w:trPr>
          <w:trHeight w:val="171"/>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 revenue</w:t>
            </w: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40" w:type="dxa"/>
            <w:vAlign w:val="bottom"/>
          </w:tcPr>
          <w:p>
            <w:pPr>
              <w:ind w:left="20"/>
              <w:spacing w:after="0" w:line="189" w:lineRule="exact"/>
              <w:rPr>
                <w:sz w:val="20"/>
                <w:szCs w:val="20"/>
                <w:color w:val="auto"/>
              </w:rPr>
            </w:pPr>
            <w:r>
              <w:rPr>
                <w:rFonts w:ascii="Arial" w:cs="Arial" w:eastAsia="Arial" w:hAnsi="Arial"/>
                <w:sz w:val="14"/>
                <w:szCs w:val="14"/>
                <w:color w:val="auto"/>
              </w:rPr>
              <w:t>Lease and other</w:t>
            </w:r>
            <w:r>
              <w:rPr>
                <w:rFonts w:ascii="Arial" w:cs="Arial" w:eastAsia="Arial" w:hAnsi="Arial"/>
                <w:sz w:val="18"/>
                <w:szCs w:val="18"/>
                <w:color w:val="auto"/>
                <w:vertAlign w:val="superscript"/>
              </w:rPr>
              <w:t>(a)</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87.1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118.2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208"/>
        </w:trPr>
        <w:tc>
          <w:tcPr>
            <w:tcW w:w="1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6,520.0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1,059.2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4,840.0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1,592.2</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Represents revenue not subject to ASC Topic 606.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in the consolidated balance sheets.</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include unbilled amounts typically resulting from sales under long-term contracts when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December 31,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rPr>
              <w:t>1,267.6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18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(liabilities)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99"/>
              </w:rPr>
              <w:t>(4,736.1)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w w:val="99"/>
              </w:rPr>
              <w:t>(4,585.1)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(3.3)</w:t>
            </w:r>
          </w:p>
        </w:tc>
      </w:tr>
      <w:tr>
        <w:trPr>
          <w:trHeight w:val="20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contract liabilities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w w:val="99"/>
              </w:rPr>
              <w:t>(3,468.5)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w w:val="99"/>
              </w:rPr>
              <w:t>(3,065.1)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our contract assets from December 31, 2019 to December 31, 2020 was primarily due to the timing of milestones.</w:t>
      </w:r>
    </w:p>
    <w:p>
      <w:pPr>
        <w:spacing w:after="0" w:line="22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increase in our contract liabilities was primarily due to additional cash received, excluding amounts recognized as revenue during the period.</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Any subsequent revenue we recognize increases contract asset balance. Revenue recognized for the years ended December 31, 2020 and 2019 that were included in the contract liabilities balance as of December 31, 2019 and 2018 was $1,267.5 million and $2,414.0 million, respectively.</w:t>
      </w:r>
    </w:p>
    <w:p>
      <w:pPr>
        <w:spacing w:after="0" w:line="15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addition, net revenue recognized for the years ended December 31, 2020 and 2019 from our performance obligations satisfied in previous periods had favorable impacts of $470.8 million and $1,176.5 million, respectively. This primarily relates to the changes in the estimate of the stage of completion that impacted revenue.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December 31, 2020, the aggregate amount of the transaction price allocated to order backlog was $21,388.2 million. TechnipFMC expects to recognize revenue on approximately 51.2% of the order backlog through 2021 and 48.8%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r>
      <w:tr>
        <w:trPr>
          <w:trHeight w:val="189"/>
        </w:trPr>
        <w:tc>
          <w:tcPr>
            <w:tcW w:w="706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7,016.2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4,081.7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3,000.8</w:t>
            </w:r>
          </w:p>
        </w:tc>
      </w:tr>
      <w:tr>
        <w:trPr>
          <w:trHeight w:val="189"/>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83"/>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10,945.2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6,368.3</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4,074.7</w:t>
            </w: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SEGMENTS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Chairman and Chief Executive Officer, as our chief operating decision maker, reviews and evaluates operating performance to make decisions about resources to be allocated to the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operations in the following segments:</w:t>
      </w:r>
    </w:p>
    <w:p>
      <w:pPr>
        <w:spacing w:after="0" w:line="153" w:lineRule="exact"/>
        <w:rPr>
          <w:sz w:val="20"/>
          <w:szCs w:val="20"/>
          <w:color w:val="auto"/>
        </w:rPr>
      </w:pPr>
    </w:p>
    <w:p>
      <w:pPr>
        <w:ind w:left="340" w:right="160" w:hanging="332"/>
        <w:spacing w:after="0" w:line="282"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80" w:hanging="332"/>
        <w:spacing w:after="0" w:line="266" w:lineRule="auto"/>
        <w:tabs>
          <w:tab w:leader="none" w:pos="33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offers extensive experience, knowledge and unique project management capabilities in onshore and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hydrocarbon infrastructure businesses; it also combines its leading engineering and construction capabilities with its technological know-how, products and services to develop new solutions that will support the world’s energy transition.</w:t>
      </w:r>
    </w:p>
    <w:p>
      <w:pPr>
        <w:spacing w:after="0" w:line="121" w:lineRule="exact"/>
        <w:rPr>
          <w:rFonts w:ascii="Arial" w:cs="Arial" w:eastAsia="Arial" w:hAnsi="Arial"/>
          <w:sz w:val="18"/>
          <w:szCs w:val="18"/>
          <w:i w:val="1"/>
          <w:iCs w:val="1"/>
          <w:color w:val="auto"/>
        </w:rPr>
      </w:pPr>
    </w:p>
    <w:p>
      <w:pPr>
        <w:ind w:left="340" w:right="100" w:hanging="332"/>
        <w:spacing w:after="0" w:line="289" w:lineRule="auto"/>
        <w:tabs>
          <w:tab w:leader="none" w:pos="335"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Surface Technologies - </w:t>
      </w:r>
      <w:r>
        <w:rPr>
          <w:rFonts w:ascii="Arial" w:cs="Arial" w:eastAsia="Arial" w:hAnsi="Arial"/>
          <w:sz w:val="17"/>
          <w:szCs w:val="17"/>
          <w:color w:val="auto"/>
        </w:rPr>
        <w:t>designs and manufactures products and systems and provides services used by oil and gas companies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2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Beginning in the first quarter of 2020, in anticipation of our separation transaction, we renamed our Onshore/Offshore segment to Technip Energies, which includes our Loading Systems business that was previously reported in the Surface Technologies segment and our process automation business, Cybernetix, that was previously reported in the Subsea segment. Prior year information has not been restated due to these businesses not being material. Subsequent to the Spin-off, we operate under two reporting segments: Subsea and Surface Technologies, for further details see Note 3 for further details.</w:t>
      </w:r>
    </w:p>
    <w:p>
      <w:pPr>
        <w:spacing w:after="0" w:line="15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Segment operating profit (loss) is defined as total segment revenue less segment operating expenses. Income (loss) from equity method investments is included in computing segment operating profit. The following items have been excluded in computing segment operating profit (loss): corporate staff expense, net interest income (expense) associated with corporate debt facilities, income taxes, and other revenue and other expense, net.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Information by business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(loss)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6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5,471.4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5,523.0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4,840.0</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6,120.7</w:t>
            </w:r>
          </w:p>
        </w:tc>
      </w:tr>
      <w:tr>
        <w:trPr>
          <w:trHeight w:val="18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1,592.2</w:t>
            </w:r>
          </w:p>
        </w:tc>
      </w:tr>
      <w:tr>
        <w:trPr>
          <w:trHeight w:val="183"/>
        </w:trPr>
        <w:tc>
          <w:tcPr>
            <w:tcW w:w="67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12,552.9</w:t>
            </w:r>
          </w:p>
        </w:tc>
      </w:tr>
      <w:tr>
        <w:trPr>
          <w:trHeight w:val="257"/>
        </w:trPr>
        <w:tc>
          <w:tcPr>
            <w:tcW w:w="6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(2,815.5)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(1,447.7)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(1,529.5)</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w:t>
            </w:r>
          </w:p>
        </w:tc>
      </w:tr>
      <w:tr>
        <w:trPr>
          <w:trHeight w:val="18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172.8</w:t>
            </w:r>
          </w:p>
        </w:tc>
      </w:tr>
      <w:tr>
        <w:trPr>
          <w:trHeight w:val="183"/>
        </w:trPr>
        <w:tc>
          <w:tcPr>
            <w:tcW w:w="67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Total segment operating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(532.7)</w:t>
            </w:r>
          </w:p>
        </w:tc>
      </w:tr>
      <w:tr>
        <w:trPr>
          <w:trHeight w:val="270"/>
        </w:trPr>
        <w:tc>
          <w:tcPr>
            <w:tcW w:w="6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40" w:type="dxa"/>
            <w:vAlign w:val="bottom"/>
          </w:tcPr>
          <w:p>
            <w:pPr>
              <w:ind w:left="140"/>
              <w:spacing w:after="0"/>
              <w:rPr>
                <w:sz w:val="20"/>
                <w:szCs w:val="20"/>
                <w:color w:val="auto"/>
              </w:rPr>
            </w:pPr>
            <w:r>
              <w:rPr>
                <w:rFonts w:ascii="Arial" w:cs="Arial" w:eastAsia="Arial" w:hAnsi="Arial"/>
                <w:sz w:val="14"/>
                <w:szCs w:val="14"/>
                <w:color w:val="auto"/>
              </w:rPr>
              <w:t>Impairment, restructuring and other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189"/>
        </w:trPr>
        <w:tc>
          <w:tcPr>
            <w:tcW w:w="6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Separation costs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40" w:type="dxa"/>
            <w:vAlign w:val="bottom"/>
          </w:tcPr>
          <w:p>
            <w:pPr>
              <w:ind w:left="14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(36.5)</w:t>
            </w:r>
          </w:p>
        </w:tc>
      </w:tr>
      <w:tr>
        <w:trPr>
          <w:trHeight w:val="189"/>
        </w:trPr>
        <w:tc>
          <w:tcPr>
            <w:tcW w:w="6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Legal expenses</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r>
      <w:tr>
        <w:trPr>
          <w:trHeight w:val="189"/>
        </w:trPr>
        <w:tc>
          <w:tcPr>
            <w:tcW w:w="674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4"/>
                <w:szCs w:val="14"/>
                <w:color w:val="auto"/>
              </w:rPr>
              <w:t xml:space="preserve">Other corporate expenses </w:t>
            </w:r>
            <w:r>
              <w:rPr>
                <w:rFonts w:ascii="Arial" w:cs="Arial" w:eastAsia="Arial" w:hAnsi="Arial"/>
                <w:sz w:val="18"/>
                <w:szCs w:val="18"/>
                <w:color w:val="auto"/>
                <w:vertAlign w:val="superscript"/>
              </w:rPr>
              <w:t>(a)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(142.6)</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(478.0)</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121.4</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r>
      <w:tr>
        <w:trPr>
          <w:trHeight w:val="18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exchange losses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r>
      <w:tr>
        <w:trPr>
          <w:trHeight w:val="183"/>
        </w:trPr>
        <w:tc>
          <w:tcPr>
            <w:tcW w:w="67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(955.4)</w:t>
            </w:r>
          </w:p>
        </w:tc>
      </w:tr>
      <w:tr>
        <w:trPr>
          <w:trHeight w:val="183"/>
        </w:trPr>
        <w:tc>
          <w:tcPr>
            <w:tcW w:w="6740" w:type="dxa"/>
            <w:vAlign w:val="bottom"/>
          </w:tcPr>
          <w:p>
            <w:pPr>
              <w:ind w:left="460"/>
              <w:spacing w:after="0" w:line="182" w:lineRule="exact"/>
              <w:rPr>
                <w:sz w:val="20"/>
                <w:szCs w:val="20"/>
                <w:color w:val="auto"/>
              </w:rPr>
            </w:pPr>
            <w:r>
              <w:rPr>
                <w:rFonts w:ascii="Arial" w:cs="Arial" w:eastAsia="Arial" w:hAnsi="Arial"/>
                <w:sz w:val="14"/>
                <w:szCs w:val="14"/>
                <w:b w:val="1"/>
                <w:bCs w:val="1"/>
                <w:color w:val="auto"/>
              </w:rPr>
              <w:t xml:space="preserve">Loss before income taxes </w:t>
            </w:r>
            <w:r>
              <w:rPr>
                <w:rFonts w:ascii="Arial" w:cs="Arial" w:eastAsia="Arial" w:hAnsi="Arial"/>
                <w:sz w:val="18"/>
                <w:szCs w:val="18"/>
                <w:b w:val="1"/>
                <w:bCs w:val="1"/>
                <w:color w:val="auto"/>
                <w:vertAlign w:val="superscript"/>
              </w:rPr>
              <w:t>(b)</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(2,135.8)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(1,488.1)</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Other corporate expenses primarily include corporate staff expenses, share-based compensation expenses, and other employee benefits.</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15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year ended December 31, 2020, revenue from Arctic LNG exceeded 10% of our consolidated revenue. During the years ended December 31, 2019 and 2018, revenue from Yamal LNG exceeded 10% of our consolidated revenue.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6,796.6</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10,824.2</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5,058.3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4,448.8</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2,246.4</w:t>
            </w: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segment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13,613.2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17,519.4</w:t>
            </w:r>
          </w:p>
        </w:tc>
      </w:tr>
      <w:tr>
        <w:trPr>
          <w:trHeight w:val="189"/>
        </w:trPr>
        <w:tc>
          <w:tcPr>
            <w:tcW w:w="82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Corporate </w:t>
            </w:r>
            <w:r>
              <w:rPr>
                <w:rFonts w:ascii="Arial" w:cs="Arial" w:eastAsia="Arial" w:hAnsi="Arial"/>
                <w:sz w:val="18"/>
                <w:szCs w:val="18"/>
                <w:color w:val="auto"/>
                <w:vertAlign w:val="superscript"/>
              </w:rPr>
              <w:t>(a)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6,079.4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5,999.4</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19,692.6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320" w:hanging="332"/>
        <w:spacing w:after="0" w:line="258"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Corporate includes cash, LIFO adjustments, deferred income tax balances, property, plant and equipment and intercompany eliminations not associated with a specific segment, pension assets and the fair value of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Other business segment information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vMerge w:val="restart"/>
          </w:tcPr>
          <w:p>
            <w:pPr>
              <w:jc w:val="center"/>
              <w:ind w:left="368"/>
              <w:spacing w:after="0"/>
              <w:rPr>
                <w:sz w:val="20"/>
                <w:szCs w:val="20"/>
                <w:color w:val="auto"/>
              </w:rPr>
            </w:pPr>
            <w:r>
              <w:rPr>
                <w:rFonts w:ascii="Arial" w:cs="Arial" w:eastAsia="Arial" w:hAnsi="Arial"/>
                <w:sz w:val="14"/>
                <w:szCs w:val="14"/>
                <w:b w:val="1"/>
                <w:bCs w:val="1"/>
                <w:color w:val="auto"/>
              </w:rPr>
              <w:t>Capital Expenditures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rPr>
              <w:t>Depreciation and</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Research and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center"/>
              <w:ind w:left="368"/>
              <w:spacing w:after="0"/>
              <w:rPr>
                <w:sz w:val="20"/>
                <w:szCs w:val="20"/>
                <w:color w:val="auto"/>
              </w:rPr>
            </w:pPr>
            <w:r>
              <w:rPr>
                <w:rFonts w:ascii="Arial" w:cs="Arial" w:eastAsia="Arial" w:hAnsi="Arial"/>
                <w:sz w:val="14"/>
                <w:szCs w:val="14"/>
                <w:b w:val="1"/>
                <w:bCs w:val="1"/>
                <w:color w:val="auto"/>
              </w:rPr>
              <w:t>Development Expense</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center"/>
              <w:ind w:left="34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center"/>
              <w:ind w:left="36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center"/>
              <w:ind w:left="38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9"/>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509.6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by geography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Sales by geography were identified based on the country where our products and services were delivered, and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6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Russia</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2,451.5</w:t>
            </w: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2,378.0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2,773.3</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1,275.8</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Norway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1,202.6</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1,478.7</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442.1</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Angola</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Egypt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445.9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Mozambique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India</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386.4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214.0</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Senegal</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Vietnam</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Israel</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Guyana</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330.1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926.6</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Singapore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Indonesia</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Malaysia</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362.3</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France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China</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112.3</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Arab Emirates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w:t>
            </w:r>
          </w:p>
        </w:tc>
      </w:tr>
      <w:tr>
        <w:trPr>
          <w:trHeight w:val="18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 countries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2,209.5</w:t>
            </w:r>
          </w:p>
        </w:tc>
      </w:t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13,050.6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12,552.9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Long-lived assets by geography represent property, plant and equipment, net, and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Long-lived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936.2</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957.1</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558.1</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Netherlands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419.5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493.0</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Norway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333.0</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Brazil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313.2</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countries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507.6</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long-lived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2,861.8</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3,162.0</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TechnipFMC plc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w:t>
            </w: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458.0</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Dilutive effect of restricted stock units</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performance shares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Total shares and dilutive securities</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448.7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448.0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458.0</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Basic loss per share attributable to TechnipFMC plc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loss per share attributable to TechnipFMC plc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For the years ended December 31, 2020, 2019 and 2018, we incurred net losses; therefore, the impact of any incremental shares from our share-based compensation awards would be anti-dilutive. For the years ended December 31, 2020, 2019 and 2018, 3.8 million shares, 4.3 million shares and 2.7 million shares, respectively, were anti-dilutive due to a net loss position.</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Weighted average shares of the following share-based compensation awards were excluded from the calculation of diluted weighted average number of shares where the assumed proceeds exceed the average market price from the calculation of diluted weighted average number of shares, because their effect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 of shares)</w:t>
            </w:r>
          </w:p>
        </w:tc>
        <w:tc>
          <w:tcPr>
            <w:tcW w:w="13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Restricted share units</w:t>
            </w:r>
          </w:p>
        </w:tc>
        <w:tc>
          <w:tcPr>
            <w:tcW w:w="138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4"/>
                <w:szCs w:val="14"/>
                <w:color w:val="auto"/>
              </w:rPr>
              <w:t>8.3</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6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347.5</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290.2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750.9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778.3</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Inventories, net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1,268.5</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1,416.0</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All amounts in the table above are reported net of obsolescence reserves of $162.8 million and $135.7 million as of December 31, 2020 and 2019, respectively.</w:t>
      </w:r>
    </w:p>
    <w:p>
      <w:pPr>
        <w:spacing w:after="0" w:line="144"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Net inventories accounted for under the LIFO method totaled $408.5 million and $386.6 million as of December 31, 2020 and 2019, respectively. The current replacement costs of LIFO inventories exceeded their recorded values by $11.6 million and $10.9 million as of December 31, 2020 and 2019, respectively. There was no reduction to the base LIFO inventory in 2020.</w:t>
      </w:r>
    </w:p>
    <w:p>
      <w:pPr>
        <w:spacing w:after="0" w:line="200" w:lineRule="exact"/>
        <w:rPr>
          <w:sz w:val="20"/>
          <w:szCs w:val="20"/>
          <w:color w:val="auto"/>
        </w:rPr>
      </w:pPr>
    </w:p>
    <w:p>
      <w:pPr>
        <w:spacing w:after="0" w:line="331" w:lineRule="exact"/>
        <w:rPr>
          <w:sz w:val="20"/>
          <w:szCs w:val="20"/>
          <w:color w:val="auto"/>
        </w:rPr>
      </w:pPr>
    </w:p>
    <w:p>
      <w:pPr>
        <w:ind w:right="5160"/>
        <w:spacing w:after="0" w:line="467" w:lineRule="auto"/>
        <w:rPr>
          <w:sz w:val="20"/>
          <w:szCs w:val="20"/>
          <w:color w:val="auto"/>
        </w:rPr>
      </w:pPr>
      <w:r>
        <w:rPr>
          <w:rFonts w:ascii="Arial" w:cs="Arial" w:eastAsia="Arial" w:hAnsi="Arial"/>
          <w:sz w:val="18"/>
          <w:szCs w:val="18"/>
          <w:b w:val="1"/>
          <w:bCs w:val="1"/>
          <w:color w:val="auto"/>
        </w:rPr>
        <w:t xml:space="preserve">NOTE 10. OTHER CURRENT ASSETS &amp; OTHER CURRENT LIABILITIES </w:t>
      </w:r>
      <w:r>
        <w:rPr>
          <w:rFonts w:ascii="Arial" w:cs="Arial" w:eastAsia="Arial" w:hAnsi="Arial"/>
          <w:sz w:val="18"/>
          <w:szCs w:val="18"/>
          <w:color w:val="auto"/>
        </w:rPr>
        <w:t>Other current assets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receivables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Sundry receivables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Other taxes receivables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held for sale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Current financial assets at amortized cost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Held-to-maturity investments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992.6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863.7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accruals and project contingencies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310.1</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Value - added tax and other taxes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240.4</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provisions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183.6</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Redeemable financial liability</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129.1</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Social security liability</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116.5</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Provisions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86.6</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accrual</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89.6</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14.9</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classified as held for sale</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314.4</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1,368.6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1,494.5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WARRANTY OBLIGATIONS</w:t>
      </w:r>
    </w:p>
    <w:p>
      <w:pPr>
        <w:spacing w:after="0" w:line="2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Warranty obligations are included within “Other current liabilities” in our consolidated balance sheets as of December 31, 2020 and 2019. A reconciliation of warranty obligations for the years ended December 31, 2020 and 2019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234.4</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Warranty expenses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78.8</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existing accruals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Claims paid</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METHOD INVESTMENTS</w:t>
      </w:r>
    </w:p>
    <w:p>
      <w:pPr>
        <w:spacing w:after="0" w:line="19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equity method of accounting is used to account for investments in unconsolidated affiliates where we can have the ability to exert significant influence over the affiliates operating and financial policies.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certain construction joint ventures, we use the proportionate consolidation method, whereby our proportionate share of each entity’s assets, liabilities, revenues, and expenses are included in the appropriate classifications in the consolidated financial statements. None of our proportionate consolidation investments, individually or in the aggregate, are significant to our consolidated results for 2020, 2019, or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were as follows as of December 31,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3"/>
        </w:trPr>
        <w:tc>
          <w:tcPr>
            <w:tcW w:w="44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83"/>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4780" w:type="dxa"/>
            <w:vAlign w:val="bottom"/>
            <w:gridSpan w:val="2"/>
          </w:tcPr>
          <w:p>
            <w:pPr>
              <w:jc w:val="right"/>
              <w:ind w:right="1088"/>
              <w:spacing w:after="0"/>
              <w:rPr>
                <w:sz w:val="20"/>
                <w:szCs w:val="20"/>
                <w:color w:val="auto"/>
              </w:rPr>
            </w:pPr>
            <w:r>
              <w:rPr>
                <w:rFonts w:ascii="Arial" w:cs="Arial" w:eastAsia="Arial" w:hAnsi="Arial"/>
                <w:sz w:val="14"/>
                <w:szCs w:val="14"/>
                <w:b w:val="1"/>
                <w:bCs w:val="1"/>
                <w:color w:val="auto"/>
              </w:rPr>
              <w:t>Percentage Owned</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Carrying Value</w:t>
            </w:r>
          </w:p>
        </w:tc>
        <w:tc>
          <w:tcPr>
            <w:tcW w:w="920" w:type="dxa"/>
            <w:vAlign w:val="bottom"/>
          </w:tcPr>
          <w:p>
            <w:pPr>
              <w:spacing w:after="0"/>
              <w:rPr>
                <w:sz w:val="15"/>
                <w:szCs w:val="15"/>
                <w:color w:val="auto"/>
              </w:rPr>
            </w:pPr>
          </w:p>
        </w:tc>
      </w:tr>
      <w:tr>
        <w:trPr>
          <w:trHeight w:val="18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Dofcon Brasil AS</w:t>
            </w:r>
          </w:p>
        </w:tc>
        <w:tc>
          <w:tcPr>
            <w:tcW w:w="386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50.0 %</w:t>
            </w:r>
          </w:p>
        </w:tc>
        <w:tc>
          <w:tcPr>
            <w:tcW w:w="9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234.7</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Magma Global Limited</w:t>
            </w:r>
          </w:p>
        </w:tc>
        <w:tc>
          <w:tcPr>
            <w:tcW w:w="3860" w:type="dxa"/>
            <w:vAlign w:val="bottom"/>
          </w:tcPr>
          <w:p>
            <w:pPr>
              <w:jc w:val="right"/>
              <w:ind w:right="48"/>
              <w:spacing w:after="0"/>
              <w:rPr>
                <w:sz w:val="20"/>
                <w:szCs w:val="20"/>
                <w:color w:val="auto"/>
              </w:rPr>
            </w:pPr>
            <w:r>
              <w:rPr>
                <w:rFonts w:ascii="Arial" w:cs="Arial" w:eastAsia="Arial" w:hAnsi="Arial"/>
                <w:sz w:val="14"/>
                <w:szCs w:val="14"/>
                <w:color w:val="auto"/>
              </w:rPr>
              <w:t>25.0 %</w:t>
            </w: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w:t>
            </w: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Serimax Holdings SAS</w:t>
            </w:r>
          </w:p>
        </w:tc>
        <w:tc>
          <w:tcPr>
            <w:tcW w:w="3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20.0 %</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18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8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w:t>
            </w: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equity affiliates</w:t>
            </w:r>
          </w:p>
        </w:tc>
        <w:tc>
          <w:tcPr>
            <w:tcW w:w="478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Our major equity method investments are as follows:</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Dofcon Brasil AS (“Dofcon”) - </w:t>
      </w:r>
      <w:r>
        <w:rPr>
          <w:rFonts w:ascii="Arial" w:cs="Arial" w:eastAsia="Arial" w:hAnsi="Arial"/>
          <w:sz w:val="18"/>
          <w:szCs w:val="18"/>
          <w:color w:val="auto"/>
        </w:rPr>
        <w:t>is an affiliated company in the form of a joint venture between TechnipFMC and DOF Subsea and was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in 2006. Dofcon provides Pipe-Laying Support Vessels (PLSVs) for work in oil and gas fields offshore Brazil. Dofcon is considered a VIE because it does not have sufficient equity to finance its activities without additional subordinated financial support from other parties. We are not the primary beneficiary of the VIE. As such, we have accounted for our 50% investment using the equity method of accounting with results reported in our Subsea segment.</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Magma Global Limited (“Magma Global”) - </w:t>
      </w:r>
      <w:r>
        <w:rPr>
          <w:rFonts w:ascii="Arial" w:cs="Arial" w:eastAsia="Arial" w:hAnsi="Arial"/>
          <w:sz w:val="18"/>
          <w:szCs w:val="18"/>
          <w:color w:val="auto"/>
        </w:rPr>
        <w:t>is an affiliated company in the form of a collaborative agreement signed in 2018 between Technip-Coflexip UK Holdings Limited and Magma Global to develop hybrid flexible pipe for use in offshore applications. As part of the collaboration, TechnipFMC holds a minority stake. We have accounted for our 25% investment using the equity method investment of accounting with results reported in our Subsea segment.</w:t>
      </w:r>
    </w:p>
    <w:p>
      <w:pPr>
        <w:spacing w:after="0" w:line="126" w:lineRule="exact"/>
        <w:rPr>
          <w:sz w:val="20"/>
          <w:szCs w:val="20"/>
          <w:color w:val="auto"/>
        </w:rPr>
      </w:pPr>
    </w:p>
    <w:p>
      <w:pPr>
        <w:jc w:val="both"/>
        <w:ind w:right="200"/>
        <w:spacing w:after="0" w:line="289" w:lineRule="auto"/>
        <w:rPr>
          <w:sz w:val="20"/>
          <w:szCs w:val="20"/>
          <w:color w:val="auto"/>
        </w:rPr>
      </w:pPr>
      <w:r>
        <w:rPr>
          <w:rFonts w:ascii="Arial" w:cs="Arial" w:eastAsia="Arial" w:hAnsi="Arial"/>
          <w:sz w:val="17"/>
          <w:szCs w:val="17"/>
          <w:i w:val="1"/>
          <w:iCs w:val="1"/>
          <w:color w:val="auto"/>
        </w:rPr>
        <w:t xml:space="preserve">Serimax Holdings SAS (“Serimax”) - </w:t>
      </w:r>
      <w:r>
        <w:rPr>
          <w:rFonts w:ascii="Arial" w:cs="Arial" w:eastAsia="Arial" w:hAnsi="Arial"/>
          <w:sz w:val="17"/>
          <w:szCs w:val="17"/>
          <w:color w:val="auto"/>
        </w:rPr>
        <w:t>is an affiliated company in the form of a joint venture between TechnipFMC and Vallourec SA and was</w:t>
      </w:r>
      <w:r>
        <w:rPr>
          <w:rFonts w:ascii="Arial" w:cs="Arial" w:eastAsia="Arial" w:hAnsi="Arial"/>
          <w:sz w:val="17"/>
          <w:szCs w:val="17"/>
          <w:i w:val="1"/>
          <w:iCs w:val="1"/>
          <w:color w:val="auto"/>
        </w:rPr>
        <w:t xml:space="preserve"> </w:t>
      </w:r>
      <w:r>
        <w:rPr>
          <w:rFonts w:ascii="Arial" w:cs="Arial" w:eastAsia="Arial" w:hAnsi="Arial"/>
          <w:sz w:val="17"/>
          <w:szCs w:val="17"/>
          <w:color w:val="auto"/>
        </w:rPr>
        <w:t>founded in 2016. Serimax is headquartered in Paris, France and provides rigid pipes welding services for work in oil and gas fields around the world. We have accounted for our 20% investment using the equity method of accounting with results reported in our Subsea segment.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80.9</w:t>
            </w:r>
          </w:p>
        </w:tc>
      </w:t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Technip Energies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33.4</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from equity affiliates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TP JGC Coral France SNC</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Equinor ASA</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TTSJV W.L.L.</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Novarctic SNC</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Techdof Brasil AS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4.3</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Storengy</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r>
      <w:tr>
        <w:trPr>
          <w:trHeight w:val="20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trade receivables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TP JGC Coral France SNC, TTSJV W.L.L., Dofcon Navegacao, and Novarctic SNC are equity method affiliates. Techdof Brasil AS is a wholly owned subsidiary of Dofcon Brasil AS, our equity method affiliate. A member of our Board of Directors serves on the Board of Directors for Storengy. In October 2020, we added a new member of our Board of Directors who is an executive of Equinor ASA.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Chiyoda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Nipigas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Saipem</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JGC Corporation</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15.1</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IFP Energies nouvelles</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Total trade payables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51.1</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Chiyoda and JGC Corporation are joint venture partners on our Yamal project. Saipem and Nipigas are joint venture partners on our Arctic LNG project. A member of our Board of Directors serves as an executive officer of IFP Energies nouvelles until June 2020.</w:t>
      </w:r>
    </w:p>
    <w:p>
      <w:pPr>
        <w:spacing w:after="0" w:line="144"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Additionally, we have note receivable balance of $40.3 million and $65.2 million as of December 31, 2020 and 2019, respectively. The note receivable balance includes $37.6 million and $62.5 million with Dofcon Brasil AS as of December 31, 2020 and 2019, respectively. Dofcon Brasil AS is a VIE and accounted for as an equity method affiliate. These are included in other assets in our consolidated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amount from following related parties: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TTSJV W.L.L.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TP JGC Coral France SNC</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118.2</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Equinor ASA</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Equinor Brasil</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Anadarko Petroleum Company</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TOP CV</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Storengy</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Novarctic SNC</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Techdof Brasil AS</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JGC Corporation</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member of our Board of Directors (the “Director”) served on the Board of Directors of Anadarko Petroleum Company (“Anadarko”) until August 2019. In August 2019, Anadarko was acquired by Occidental Petroleum Corporation (“Occidental”). As a result, the Director no longer serves as a member of the Board of Directors of Anadarko. The Director is not an officer or director of Occidental.</w:t>
      </w:r>
    </w:p>
    <w:p>
      <w:pPr>
        <w:spacing w:after="0" w:line="1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TOP CV was previously an equity method affiliate that became a fully consolidated subsidiary on December 30, 2019. See Note 2 for further details.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Equinor Brasil is a subsidiary of Equinor ASA in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Expenses consisted of amounts to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2"/>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Chiyoda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r>
      <w:tr>
        <w:trPr>
          <w:trHeight w:val="189"/>
        </w:trPr>
        <w:tc>
          <w:tcPr>
            <w:tcW w:w="6720" w:type="dxa"/>
            <w:vAlign w:val="bottom"/>
          </w:tcPr>
          <w:p>
            <w:pPr>
              <w:ind w:left="20"/>
              <w:spacing w:after="0"/>
              <w:rPr>
                <w:sz w:val="20"/>
                <w:szCs w:val="20"/>
                <w:color w:val="auto"/>
              </w:rPr>
            </w:pPr>
            <w:r>
              <w:rPr>
                <w:rFonts w:ascii="Arial" w:cs="Arial" w:eastAsia="Arial" w:hAnsi="Arial"/>
                <w:sz w:val="14"/>
                <w:szCs w:val="14"/>
                <w:color w:val="auto"/>
              </w:rPr>
              <w:t>JGC Corporation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81.2</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Arkema S.A.</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9"/>
        </w:trPr>
        <w:tc>
          <w:tcPr>
            <w:tcW w:w="6720" w:type="dxa"/>
            <w:vAlign w:val="bottom"/>
          </w:tcPr>
          <w:p>
            <w:pPr>
              <w:ind w:left="20"/>
              <w:spacing w:after="0"/>
              <w:rPr>
                <w:sz w:val="20"/>
                <w:szCs w:val="20"/>
                <w:color w:val="auto"/>
              </w:rPr>
            </w:pPr>
            <w:r>
              <w:rPr>
                <w:rFonts w:ascii="Arial" w:cs="Arial" w:eastAsia="Arial" w:hAnsi="Arial"/>
                <w:sz w:val="14"/>
                <w:szCs w:val="14"/>
                <w:color w:val="auto"/>
              </w:rPr>
              <w:t>Serimax Holdings SAS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Saipem</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tcPr>
          <w:p>
            <w:pPr>
              <w:ind w:left="20"/>
              <w:spacing w:after="0"/>
              <w:rPr>
                <w:sz w:val="20"/>
                <w:szCs w:val="20"/>
                <w:color w:val="auto"/>
              </w:rPr>
            </w:pPr>
            <w:r>
              <w:rPr>
                <w:rFonts w:ascii="Arial" w:cs="Arial" w:eastAsia="Arial" w:hAnsi="Arial"/>
                <w:sz w:val="14"/>
                <w:szCs w:val="14"/>
                <w:color w:val="auto"/>
              </w:rPr>
              <w:t>Nipigas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Magma Global Limited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6720" w:type="dxa"/>
            <w:vAlign w:val="bottom"/>
          </w:tcPr>
          <w:p>
            <w:pPr>
              <w:ind w:left="20"/>
              <w:spacing w:after="0"/>
              <w:rPr>
                <w:sz w:val="20"/>
                <w:szCs w:val="20"/>
                <w:color w:val="auto"/>
              </w:rPr>
            </w:pPr>
            <w:r>
              <w:rPr>
                <w:rFonts w:ascii="Arial" w:cs="Arial" w:eastAsia="Arial" w:hAnsi="Arial"/>
                <w:sz w:val="14"/>
                <w:szCs w:val="14"/>
                <w:color w:val="auto"/>
              </w:rPr>
              <w:t>TP JGC Coral France SNC</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Jumbo Shipping</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3"/>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149.7</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154.7</w:t>
            </w:r>
          </w:p>
        </w:tc>
      </w:tr>
      <w:tr>
        <w:trPr>
          <w:trHeight w:val="20"/>
        </w:trPr>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Serimax Holdings SAS and Magma Global Limited are equity method affiliates. Members of our Board of Directors serve on the Board of Directors for Arkema S.A. and Jumbo Shipping.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14. PROPERTY, PLANT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and land improvements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108.4</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Buildings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611.0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626.9</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Vessels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1,968.1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2,091.9</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1,919.4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1,930.6</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fixtures and furniture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285.0</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Construction in process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130.9</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243.5</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277.1</w:t>
            </w:r>
          </w:p>
        </w:tc>
      </w:tr>
      <w:tr>
        <w:trPr>
          <w:trHeight w:val="183"/>
        </w:trPr>
        <w:tc>
          <w:tcPr>
            <w:tcW w:w="8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5,270.5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5,450.8</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(2,408.7)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(2,288.8)</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2,861.8</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3,162.0</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Depreciation expense was $323.5 million, $383.5 million and $367.8 million in 2020, 2019 and 2018, respectively. The amount of interest cost capitalized was not material for the years presented.</w:t>
      </w:r>
    </w:p>
    <w:p>
      <w:pPr>
        <w:spacing w:after="0" w:line="14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During 2020 and 2019, we determined the carrying amount of certain of our long-lived assets exceeded their fair value and recorded an impairment. See Note 19 for further details.</w:t>
      </w:r>
    </w:p>
    <w:p>
      <w:pPr>
        <w:spacing w:after="0" w:line="144"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In December 2020, we declared our intent to sell our G1200 vessel as part of our overall strategy to optimize the profile and size of our subsea fleet and classified it as an asset held for sale in Other Current Assets in our consolidated balance sheet. We also evaluated the vessel’s book value and recorded an impairment charge of $8.3 million within Impairment, Restructuring and Other Expenses in our consolidated statement of income for the year ended December 31, 2020.</w:t>
      </w:r>
    </w:p>
    <w:p>
      <w:pPr>
        <w:spacing w:after="0" w:line="15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December 2019, we completed the sale of our G1201 vessel as part of our overall strategy to optimize the profile and size of our subsea fleet. We recorded a net loss of $7.1 million, which is included in other income (expense), net in our consolidated statements of income.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GOODWILL AND INTANGIBLE ASSETS</w:t>
      </w:r>
    </w:p>
    <w:p>
      <w:pPr>
        <w:spacing w:after="0" w:line="1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We record goodwill as the excess of the purchase price over the fair value of the net assets acquired in acquisitions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purchase method of accounting. We test goodwill for impairment annually as of October 31 of each year, or more frequently if circumstances indicate possible impairment. We identify a potential impairment by comparing the fair value of the applicable reporting unit (which is consistent with our business segments) to its net book value, including goodwill. If the net book value exceeds the fair value of the reporting unit, we measure the impairment by comparing the carrying value of the reporting unit to its fair value.</w:t>
      </w:r>
    </w:p>
    <w:p>
      <w:pPr>
        <w:spacing w:after="0" w:line="147"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We test our goodwill for impairment by comparing the fair value of each of our reporting units to their net carrying value. Our impairment analysis is quantitative; however, it includes subjective estimates based on assumptions regarding future growth rates, interest rates and operating expenses.</w:t>
      </w:r>
    </w:p>
    <w:p>
      <w:pPr>
        <w:spacing w:after="0" w:line="14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 based on internal forecasts of revenues and expenses over a specified period plus a terminal value (the income approach).</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91" w:right="359" w:bottom="1440" w:gutter="0" w:footer="0" w:header="0"/>
        </w:sectPr>
      </w:pPr>
    </w:p>
    <w:bookmarkStart w:id="111" w:name="page112"/>
    <w:bookmarkEnd w:id="111"/>
    <w:p>
      <w:pPr>
        <w:ind w:right="20"/>
        <w:spacing w:after="0" w:line="252"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Under the market multiple approach, we determine the estimated fair value of each of our reporting units by applying transaction multiples to each reporting unit’s projected EBITDA and then averaging that estimate with similar historical calculations using either a one, two or three year average. Our reporting unit valuations were determined primarily by utilizing the income approach and the market multiple approach.</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the first quarter of 2020, triggering events were identified which led to performing interim goodwill impairment testing in our reporting units as of March 31, 2020. These events included the COVID-19 pandemic breakout, commodity price declines, and a significant decrease in our market capitalization as well as those of our peers and customers. The fair value for our reporting units for the interim testing was valued using a market approach. An appropriate control premium was considered for each of the reporting units and applied to the output of the market approach. An interim impairment test during the first quarter of 2020 resulted in $2,747.5 million and $335.9 million of goodwill impairment charges recorded in our Subsea and Surface Technologies segments, respectively.</w:t>
      </w:r>
    </w:p>
    <w:p>
      <w:pPr>
        <w:spacing w:after="0" w:line="15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During our annual impairment tests the following significant estimates were used by management in determining the fair values of reporting units in order to test the goodwill at October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183"/>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of cash flows before terminal value</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189"/>
        </w:trPr>
        <w:tc>
          <w:tcPr>
            <w:tcW w:w="6340" w:type="dxa"/>
            <w:vAlign w:val="bottom"/>
          </w:tcPr>
          <w:p>
            <w:pPr>
              <w:ind w:left="20"/>
              <w:spacing w:after="0"/>
              <w:rPr>
                <w:sz w:val="20"/>
                <w:szCs w:val="20"/>
                <w:color w:val="auto"/>
              </w:rPr>
            </w:pPr>
            <w:r>
              <w:rPr>
                <w:rFonts w:ascii="Arial" w:cs="Arial" w:eastAsia="Arial" w:hAnsi="Arial"/>
                <w:sz w:val="14"/>
                <w:szCs w:val="14"/>
                <w:color w:val="auto"/>
              </w:rPr>
              <w:t>Discount rates</w:t>
            </w:r>
          </w:p>
        </w:tc>
        <w:tc>
          <w:tcPr>
            <w:tcW w:w="1560" w:type="dxa"/>
            <w:vAlign w:val="bottom"/>
          </w:tcPr>
          <w:p>
            <w:pPr>
              <w:jc w:val="center"/>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12.5% to 15.0%</w:t>
            </w:r>
          </w:p>
        </w:tc>
        <w:tc>
          <w:tcPr>
            <w:tcW w:w="1560" w:type="dxa"/>
            <w:vAlign w:val="bottom"/>
          </w:tcPr>
          <w:p>
            <w:pPr>
              <w:ind w:left="260"/>
              <w:spacing w:after="0"/>
              <w:rPr>
                <w:sz w:val="20"/>
                <w:szCs w:val="20"/>
                <w:color w:val="auto"/>
              </w:rPr>
            </w:pPr>
            <w:r>
              <w:rPr>
                <w:rFonts w:ascii="Arial" w:cs="Arial" w:eastAsia="Arial" w:hAnsi="Arial"/>
                <w:sz w:val="14"/>
                <w:szCs w:val="14"/>
                <w:color w:val="auto"/>
              </w:rPr>
              <w:t>12.0% to 13.0%</w:t>
            </w:r>
          </w:p>
        </w:tc>
      </w:tr>
      <w:tr>
        <w:trPr>
          <w:trHeight w:val="189"/>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 multiples</w:t>
            </w:r>
          </w:p>
        </w:tc>
        <w:tc>
          <w:tcPr>
            <w:tcW w:w="16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N/A</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6.0 - 8.5x</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7.0 - 8.5x</w:t>
            </w:r>
          </w:p>
        </w:tc>
      </w:tr>
    </w:tbl>
    <w:p>
      <w:pPr>
        <w:spacing w:after="0" w:line="200" w:lineRule="exact"/>
        <w:rPr>
          <w:sz w:val="20"/>
          <w:szCs w:val="20"/>
          <w:color w:val="auto"/>
        </w:rPr>
      </w:pPr>
    </w:p>
    <w:p>
      <w:pPr>
        <w:spacing w:after="0" w:line="3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year ended December 31, 2020, the significant estimates used by management in determining the fair value described above relate to Technip Energies reporting unit only. The fair value over carrying amount for our Technip Energies segment was in excess of 300% of its carrying amount at October 31, 2020.</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Based on the impairment tests performed during the year ended December 31, 2020 we recorded $2,747.5 million and $ 335.9 million of goodwill impairment charges recorded in our Subsea and Surface Technologies reporting units, respectively. No goodwill impairment charges were recorded in our Technip Energies reporting unit.</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year ended December 31, 2019, we recorded $1,321.9 million and $666.8 million of goodwill impairment charges in our Subsea and Surface Technologies reporting units, respectively. See Note 19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The carrying amount of goodwill by reporting segment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Subsea</w:t>
            </w: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Technip Energies</w:t>
            </w:r>
          </w:p>
        </w:tc>
        <w:tc>
          <w:tcPr>
            <w:tcW w:w="18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Surface</w:t>
            </w:r>
          </w:p>
        </w:tc>
        <w:tc>
          <w:tcPr>
            <w:tcW w:w="11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Technologies</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4,142.4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2,447.7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1,017.5</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7,607.6</w:t>
            </w:r>
          </w:p>
        </w:tc>
        <w:tc>
          <w:tcPr>
            <w:tcW w:w="0" w:type="dxa"/>
            <w:vAlign w:val="bottom"/>
          </w:tcPr>
          <w:p>
            <w:pPr>
              <w:spacing w:after="0"/>
              <w:rPr>
                <w:sz w:val="1"/>
                <w:szCs w:val="1"/>
                <w:color w:val="auto"/>
              </w:rPr>
            </w:pPr>
          </w:p>
        </w:tc>
      </w:tr>
      <w:tr>
        <w:trPr>
          <w:trHeight w:val="189"/>
        </w:trPr>
        <w:tc>
          <w:tcPr>
            <w:tcW w:w="5180" w:type="dxa"/>
            <w:vAlign w:val="bottom"/>
          </w:tcPr>
          <w:p>
            <w:pPr>
              <w:ind w:left="220"/>
              <w:spacing w:after="0"/>
              <w:rPr>
                <w:sz w:val="20"/>
                <w:szCs w:val="20"/>
                <w:color w:val="auto"/>
              </w:rPr>
            </w:pPr>
            <w:r>
              <w:rPr>
                <w:rFonts w:ascii="Arial" w:cs="Arial" w:eastAsia="Arial" w:hAnsi="Arial"/>
                <w:sz w:val="14"/>
                <w:szCs w:val="14"/>
                <w:color w:val="auto"/>
              </w:rPr>
              <w:t>Impairments</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(1,988.7)</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adjustment</w:t>
            </w:r>
          </w:p>
        </w:tc>
        <w:tc>
          <w:tcPr>
            <w:tcW w:w="28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5180" w:type="dxa"/>
            <w:vAlign w:val="bottom"/>
          </w:tcPr>
          <w:p>
            <w:pPr>
              <w:ind w:left="2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2,814.1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2,423.6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5,598.3</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(3,083.4)</w:t>
            </w:r>
          </w:p>
        </w:tc>
        <w:tc>
          <w:tcPr>
            <w:tcW w:w="0" w:type="dxa"/>
            <w:vAlign w:val="bottom"/>
          </w:tcPr>
          <w:p>
            <w:pPr>
              <w:spacing w:after="0"/>
              <w:rPr>
                <w:sz w:val="1"/>
                <w:szCs w:val="1"/>
                <w:color w:val="auto"/>
              </w:rPr>
            </w:pPr>
          </w:p>
        </w:tc>
      </w:tr>
      <w:tr>
        <w:trPr>
          <w:trHeight w:val="189"/>
        </w:trPr>
        <w:tc>
          <w:tcPr>
            <w:tcW w:w="518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Transfers </w:t>
            </w:r>
            <w:r>
              <w:rPr>
                <w:rFonts w:ascii="Arial" w:cs="Arial" w:eastAsia="Arial" w:hAnsi="Arial"/>
                <w:sz w:val="18"/>
                <w:szCs w:val="18"/>
                <w:color w:val="auto"/>
                <w:vertAlign w:val="superscript"/>
              </w:rPr>
              <w:t>(a)</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w:t>
            </w: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gridSpan w:val="3"/>
          </w:tcPr>
          <w:p>
            <w:pPr>
              <w:ind w:left="920"/>
              <w:spacing w:after="0"/>
              <w:rPr>
                <w:sz w:val="20"/>
                <w:szCs w:val="20"/>
                <w:color w:val="auto"/>
              </w:rPr>
            </w:pPr>
            <w:r>
              <w:rPr>
                <w:rFonts w:ascii="Arial" w:cs="Arial" w:eastAsia="Arial" w:hAnsi="Arial"/>
                <w:sz w:val="14"/>
                <w:szCs w:val="14"/>
                <w:color w:val="auto"/>
              </w:rPr>
              <w:t>—   $</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2,512.5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gridSpan w:val="3"/>
          </w:tcPr>
          <w:p>
            <w:pPr>
              <w:ind w:left="1040"/>
              <w:spacing w:after="0"/>
              <w:rPr>
                <w:sz w:val="20"/>
                <w:szCs w:val="20"/>
                <w:color w:val="auto"/>
              </w:rPr>
            </w:pPr>
            <w:r>
              <w:rPr>
                <w:rFonts w:ascii="Arial" w:cs="Arial" w:eastAsia="Arial" w:hAnsi="Arial"/>
                <w:sz w:val="14"/>
                <w:szCs w:val="14"/>
                <w:color w:val="auto"/>
              </w:rPr>
              <w:t>—   $</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2,512.5</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right="40" w:hanging="332"/>
        <w:spacing w:after="0" w:line="258" w:lineRule="auto"/>
        <w:tabs>
          <w:tab w:leader="none" w:pos="352" w:val="left"/>
        </w:tabs>
        <w:numPr>
          <w:ilvl w:val="0"/>
          <w:numId w:val="49"/>
        </w:numPr>
        <w:rPr>
          <w:rFonts w:ascii="Arial" w:cs="Arial" w:eastAsia="Arial" w:hAnsi="Arial"/>
          <w:sz w:val="14"/>
          <w:szCs w:val="14"/>
          <w:color w:val="auto"/>
        </w:rPr>
      </w:pPr>
      <w:r>
        <w:rPr>
          <w:rFonts w:ascii="Arial" w:cs="Arial" w:eastAsia="Arial" w:hAnsi="Arial"/>
          <w:sz w:val="14"/>
          <w:szCs w:val="14"/>
          <w:color w:val="auto"/>
        </w:rPr>
        <w:t>Beginning in the first quarter of 2020, Technip Energies includes our Loading Systems business that was previously reported in the Surface Technologies segment and our process automation business, Cybernetix, that was previously reported in the Subsea segment. See Note 7 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accumulated goodwill impairment was $6,455.1 million and $3,371.7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The components of intangible assets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2"/>
                <w:szCs w:val="12"/>
                <w:color w:val="auto"/>
              </w:rPr>
            </w:pPr>
          </w:p>
        </w:tc>
        <w:tc>
          <w:tcPr>
            <w:tcW w:w="11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5"/>
                <w:szCs w:val="15"/>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technology</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98.1</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Backlog</w:t>
            </w:r>
          </w:p>
        </w:tc>
        <w:tc>
          <w:tcPr>
            <w:tcW w:w="2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Licenses, patents and trademarks</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816.8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264.0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227.6</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0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720.5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We recorded $ 123.7 million, $126.1 million and $182.6 million in amortization expense related to intangible assets during the years ended December 31, 2020, 2019 and 2018, respectively. During the years 2021 through 2025, annual amortization expense is expected to be as follows: $117 million in 2021, $114 million in 2022, $110 million in 2023, $96 million in 2024, $93 million in 2025 and $451 million thereafter.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debt and current portion of long-term debt - </w:t>
      </w:r>
      <w:r>
        <w:rPr>
          <w:rFonts w:ascii="Arial" w:cs="Arial" w:eastAsia="Arial" w:hAnsi="Arial"/>
          <w:sz w:val="18"/>
          <w:szCs w:val="18"/>
          <w:color w:val="auto"/>
        </w:rPr>
        <w:t>Short-term debt and current portion of long-term debt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borrowings and other</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270.8</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Synthetic bonds due 2021</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551.2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5.00% 2010 Private placement notes due 2020</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224.6</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Total short-term debt and current portion of long-term debt</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636.2</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495.4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Long-term debt consisted of the following:</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8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1,967.0</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Synthetic bonds due 2021</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551.2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492.9</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189"/>
        </w:trPr>
        <w:tc>
          <w:tcPr>
            <w:tcW w:w="440" w:type="dxa"/>
            <w:vAlign w:val="bottom"/>
          </w:tcPr>
          <w:p>
            <w:pPr>
              <w:ind w:left="20"/>
              <w:spacing w:after="0"/>
              <w:rPr>
                <w:sz w:val="20"/>
                <w:szCs w:val="20"/>
                <w:color w:val="auto"/>
              </w:rPr>
            </w:pPr>
            <w:r>
              <w:rPr>
                <w:rFonts w:ascii="Arial" w:cs="Arial" w:eastAsia="Arial" w:hAnsi="Arial"/>
                <w:sz w:val="14"/>
                <w:szCs w:val="14"/>
                <w:color w:val="auto"/>
              </w:rPr>
              <w:t>5.00%</w:t>
            </w:r>
          </w:p>
        </w:tc>
        <w:tc>
          <w:tcPr>
            <w:tcW w:w="780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224.6</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r>
      <w:tr>
        <w:trPr>
          <w:trHeight w:val="189"/>
        </w:trPr>
        <w:tc>
          <w:tcPr>
            <w:tcW w:w="440" w:type="dxa"/>
            <w:vAlign w:val="bottom"/>
          </w:tcPr>
          <w:p>
            <w:pPr>
              <w:ind w:left="20"/>
              <w:spacing w:after="0"/>
              <w:rPr>
                <w:sz w:val="20"/>
                <w:szCs w:val="20"/>
                <w:color w:val="auto"/>
              </w:rPr>
            </w:pPr>
            <w:r>
              <w:rPr>
                <w:rFonts w:ascii="Arial" w:cs="Arial" w:eastAsia="Arial" w:hAnsi="Arial"/>
                <w:sz w:val="14"/>
                <w:szCs w:val="14"/>
                <w:color w:val="auto"/>
              </w:rPr>
              <w:t>3.15%</w:t>
            </w:r>
          </w:p>
        </w:tc>
        <w:tc>
          <w:tcPr>
            <w:tcW w:w="780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146.0</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r>
      <w:tr>
        <w:trPr>
          <w:trHeight w:val="189"/>
        </w:trPr>
        <w:tc>
          <w:tcPr>
            <w:tcW w:w="440" w:type="dxa"/>
            <w:vAlign w:val="bottom"/>
          </w:tcPr>
          <w:p>
            <w:pPr>
              <w:ind w:left="20"/>
              <w:spacing w:after="0"/>
              <w:rPr>
                <w:sz w:val="20"/>
                <w:szCs w:val="20"/>
                <w:color w:val="auto"/>
              </w:rPr>
            </w:pPr>
            <w:r>
              <w:rPr>
                <w:rFonts w:ascii="Arial" w:cs="Arial" w:eastAsia="Arial" w:hAnsi="Arial"/>
                <w:sz w:val="14"/>
                <w:szCs w:val="14"/>
                <w:color w:val="auto"/>
              </w:rPr>
              <w:t>4.50%</w:t>
            </w:r>
          </w:p>
        </w:tc>
        <w:tc>
          <w:tcPr>
            <w:tcW w:w="7800" w:type="dxa"/>
            <w:vAlign w:val="bottom"/>
          </w:tcPr>
          <w:p>
            <w:pPr>
              <w:ind w:left="20"/>
              <w:spacing w:after="0"/>
              <w:rPr>
                <w:sz w:val="20"/>
                <w:szCs w:val="20"/>
                <w:color w:val="auto"/>
              </w:rPr>
            </w:pPr>
            <w:r>
              <w:rPr>
                <w:rFonts w:ascii="Arial" w:cs="Arial" w:eastAsia="Arial" w:hAnsi="Arial"/>
                <w:sz w:val="14"/>
                <w:szCs w:val="14"/>
                <w:color w:val="auto"/>
              </w:rPr>
              <w:t>2020 Private placement notes due 2025</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245.4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2027</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r>
      <w:tr>
        <w:trPr>
          <w:trHeight w:val="189"/>
        </w:trPr>
        <w:tc>
          <w:tcPr>
            <w:tcW w:w="440" w:type="dxa"/>
            <w:vAlign w:val="bottom"/>
          </w:tcPr>
          <w:p>
            <w:pPr>
              <w:ind w:left="20"/>
              <w:spacing w:after="0"/>
              <w:rPr>
                <w:sz w:val="20"/>
                <w:szCs w:val="20"/>
                <w:color w:val="auto"/>
              </w:rPr>
            </w:pPr>
            <w:r>
              <w:rPr>
                <w:rFonts w:ascii="Arial" w:cs="Arial" w:eastAsia="Arial" w:hAnsi="Arial"/>
                <w:sz w:val="14"/>
                <w:szCs w:val="14"/>
                <w:color w:val="auto"/>
              </w:rPr>
              <w:t>4.00%</w:t>
            </w:r>
          </w:p>
        </w:tc>
        <w:tc>
          <w:tcPr>
            <w:tcW w:w="7800" w:type="dxa"/>
            <w:vAlign w:val="bottom"/>
          </w:tcPr>
          <w:p>
            <w:pPr>
              <w:ind w:left="20"/>
              <w:spacing w:after="0"/>
              <w:rPr>
                <w:sz w:val="20"/>
                <w:szCs w:val="20"/>
                <w:color w:val="auto"/>
              </w:rPr>
            </w:pPr>
            <w:r>
              <w:rPr>
                <w:rFonts w:ascii="Arial" w:cs="Arial" w:eastAsia="Arial" w:hAnsi="Arial"/>
                <w:sz w:val="14"/>
                <w:szCs w:val="14"/>
                <w:color w:val="auto"/>
              </w:rPr>
              <w:t>2012 Private placement notes due 2032</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112.3</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3.75%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2033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Bank borrowings and other</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309.9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536.3</w:t>
            </w:r>
          </w:p>
        </w:tc>
      </w:tr>
      <w:tr>
        <w:trPr>
          <w:trHeight w:val="18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Unamortized debt issuance costs and discounts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3"/>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debt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3,953.9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4,475.4</w:t>
            </w:r>
          </w:p>
        </w:tc>
      </w:tr>
      <w:tr>
        <w:trPr>
          <w:trHeight w:val="18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current borrowings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495.4</w:t>
            </w:r>
          </w:p>
        </w:tc>
      </w:tr>
      <w:tr>
        <w:trPr>
          <w:trHeight w:val="183"/>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 debt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3,317.7</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3,980.0</w:t>
            </w:r>
          </w:p>
        </w:tc>
      </w:tr>
      <w:tr>
        <w:trPr>
          <w:trHeight w:val="20"/>
        </w:trPr>
        <w:tc>
          <w:tcPr>
            <w:tcW w:w="4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 as of December 31, 2020,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188"/>
              <w:spacing w:after="0"/>
              <w:rPr>
                <w:sz w:val="20"/>
                <w:szCs w:val="20"/>
                <w:color w:val="auto"/>
              </w:rPr>
            </w:pPr>
            <w:r>
              <w:rPr>
                <w:rFonts w:ascii="Arial" w:cs="Arial" w:eastAsia="Arial" w:hAnsi="Arial"/>
                <w:sz w:val="14"/>
                <w:szCs w:val="14"/>
                <w:b w:val="1"/>
                <w:bCs w:val="1"/>
                <w:color w:val="auto"/>
              </w:rPr>
              <w:t>Payments Due by Period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140" w:type="dxa"/>
            <w:vAlign w:val="bottom"/>
          </w:tcPr>
          <w:p>
            <w:pPr>
              <w:jc w:val="center"/>
              <w:ind w:right="128"/>
              <w:spacing w:after="0" w:line="142" w:lineRule="exact"/>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center"/>
              <w:ind w:right="248"/>
              <w:spacing w:after="0" w:line="142"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28"/>
              <w:spacing w:after="0" w:line="142"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208"/>
              <w:spacing w:after="0" w:line="14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8"/>
              </w:rPr>
              <w:t>years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Subsequent to the Spin-off, we expect the total future principal payments on debt to be approximately $2,376.8 million. Refer to Note 26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Funding and Liquidity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completed the following transactions in order to enhance our total liquidity position:</w:t>
      </w:r>
    </w:p>
    <w:p>
      <w:pPr>
        <w:spacing w:after="0" w:line="17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Repaid $233.9 million of 5.00% 2010 private placement notes;</w:t>
      </w:r>
    </w:p>
    <w:p>
      <w:pPr>
        <w:spacing w:after="0" w:line="201" w:lineRule="exact"/>
        <w:rPr>
          <w:rFonts w:ascii="Arial" w:cs="Arial" w:eastAsia="Arial" w:hAnsi="Arial"/>
          <w:sz w:val="22"/>
          <w:szCs w:val="22"/>
          <w:color w:val="auto"/>
        </w:rPr>
      </w:pPr>
    </w:p>
    <w:p>
      <w:pPr>
        <w:ind w:left="660" w:right="580" w:hanging="328"/>
        <w:spacing w:after="0" w:line="225"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18"/>
          <w:szCs w:val="18"/>
          <w:color w:val="auto"/>
        </w:rPr>
        <w:t>Repaid the remaining outstanding balance of $190.0 million of the term loan assumed in connection with the acquisition of the remaining 50% interest in TOP CV.</w:t>
      </w:r>
    </w:p>
    <w:p>
      <w:pPr>
        <w:spacing w:after="0" w:line="189" w:lineRule="exact"/>
        <w:rPr>
          <w:rFonts w:ascii="Arial" w:cs="Arial" w:eastAsia="Arial" w:hAnsi="Arial"/>
          <w:sz w:val="22"/>
          <w:szCs w:val="22"/>
          <w:color w:val="auto"/>
        </w:rPr>
      </w:pPr>
    </w:p>
    <w:p>
      <w:pPr>
        <w:ind w:left="660" w:right="20" w:hanging="328"/>
        <w:spacing w:after="0" w:line="230"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18"/>
          <w:szCs w:val="18"/>
          <w:color w:val="auto"/>
        </w:rPr>
        <w:t>Issued €200 million aggregate principal amount of 4.500% 2020 Private Placement Notes due June 30, 2025. Within three months of the effective date of the Spin-off of Technip Energies, if there is a downgrade by a nationally recognized rating agency of the corporate rating of TechnipFMC from an investment grade to a non-investment grade rating or a withdrawal of any such rating, the interest rate applicable to the 2020 Private Placement Notes will be increased to 5.75%;</w:t>
      </w:r>
    </w:p>
    <w:p>
      <w:pPr>
        <w:spacing w:after="0" w:line="188" w:lineRule="exact"/>
        <w:rPr>
          <w:rFonts w:ascii="Arial" w:cs="Arial" w:eastAsia="Arial" w:hAnsi="Arial"/>
          <w:sz w:val="22"/>
          <w:szCs w:val="22"/>
          <w:color w:val="auto"/>
        </w:rPr>
      </w:pPr>
    </w:p>
    <w:p>
      <w:pPr>
        <w:ind w:left="660" w:right="460" w:hanging="328"/>
        <w:spacing w:after="0" w:line="225"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18"/>
          <w:szCs w:val="18"/>
          <w:color w:val="auto"/>
        </w:rPr>
        <w:t>Entered into a new, six-month €500 million senior unsecured revolving credit facility agreement, which may be extended for two additional three-month periods (the “Euro Facility”); and</w:t>
      </w:r>
    </w:p>
    <w:p>
      <w:pPr>
        <w:spacing w:after="0" w:line="203"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18"/>
          <w:szCs w:val="18"/>
          <w:color w:val="auto"/>
        </w:rPr>
        <w:t>Entered into the Bank of England’s COVID Corporate Financing Facility program (the “CCFF Program”), which allows us to issue up to £600 million of unsecured commercial paper notes.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Credit Facilities and Debt</w:t>
      </w:r>
    </w:p>
    <w:p>
      <w:pPr>
        <w:spacing w:after="0" w:line="17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17, 2017, we acceded to a new $2.5 billion senior unsecured revolving credit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Agreement”) between FMC Technologies, Inc., Technip Eurocash SNC (the “Borrowers”), and TechnipFMC plc (the “Additional Borrower”) with JPMorgan Chase Bank, National Association (“JPMorgan”), as agent and an arranger, SG Americas Securities LLC as an arranger, and the lenders party thereto.</w:t>
      </w:r>
    </w:p>
    <w:p>
      <w:pPr>
        <w:spacing w:after="0" w:line="146"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On November 26, 2018, we entered into an extension which extends the expiration date to January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240" w:hanging="332"/>
        <w:spacing w:after="0" w:line="261"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3"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 As of December 31, 2020, there were no outstanding borrowings under our revolving credit facility.</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Euro Facility </w:t>
      </w:r>
      <w:r>
        <w:rPr>
          <w:rFonts w:ascii="Arial" w:cs="Arial" w:eastAsia="Arial" w:hAnsi="Arial"/>
          <w:sz w:val="18"/>
          <w:szCs w:val="18"/>
          <w:color w:val="auto"/>
        </w:rPr>
        <w:t>– On May 19, 2020, we entered into the Euro Facility with HSBC France, as agent, and the lenders party thereto,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the establishment of a six-month revolving credit facility denominated in Euros with total commitments of € 500 million, which may be extended by us for two additional three-month periods. Borrowings under the Euro Facility bear interest at the Euro interbank offered rate for a period equal in length to the interest period of a given loan (which may be three or six months), plus an applicable margin. As of December 31, 2020, there were no outstanding borrowings under Euro Facility.</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June 12, 2020, we entered into Amendment No. 1 to the Facility Agreement and into an Amendment and Restatement Agreement to our Euro Facility. The amendments, which are effective through the respective expirations of the Facility Agreement and Euro Facility, permit us to include the gross book value of $3.2 billion of goodwill (fully impaired in the quarter ended March 31, 2020) in the calculation of consolidated net worth, which is used in the calculation of our quarterly compliance with the total capitalization ratio under the Facility Agreement and Euro Facility.</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Facility Agreement and Euro Facility contain usual and customary covenants, representations and warranties, and events of default for credit facilities of this type, including financial covenants requiring that our total capitalization ratio not exceed 60% at the end of any financial quarter. The Facility Agreement and Euro Facility also contain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were in compliance with all restrictive covenants under our credit facilities.</w:t>
      </w:r>
    </w:p>
    <w:p>
      <w:pPr>
        <w:spacing w:after="0" w:line="15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 xml:space="preserve">CCFF Program </w:t>
      </w:r>
      <w:r>
        <w:rPr>
          <w:rFonts w:ascii="Arial" w:cs="Arial" w:eastAsia="Arial" w:hAnsi="Arial"/>
          <w:sz w:val="18"/>
          <w:szCs w:val="18"/>
          <w:color w:val="auto"/>
        </w:rPr>
        <w:t>- On May 19, 2020, we entered into a dealer agreement (the “Dealer Agreement”) with Bank of America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DAC (the “Dealer”) and an Issuing and Paying Agency Agreement (the “Agency Agreement”, and together with the Dealer Agreement, the “Agreements”) with Bank of America, National Association, London Branch, relating to the European commercial paper program established under the CCFF Program as a source of additional liquidity.</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Agreements provide the terms under which we may issue, and the Dealer will arrange for, the sale of short-term, unsecured commercial paper notes (the “Notes”) to reduce existing debt or decrease overall borrowing costs. The Notes contain customary representations, warranties, covenants, defaults, and indemnification provisions, and will be sold at such discounts from their face amounts as shall be agreed between us and the Dealer. The Notes will be fully payable at maturity, and the maturities of the Notes will vary but may not exceed 364 days. The principal amount of outstanding Notes may not exceed £600 million. The Agency Agreement provides for the terms of</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5" w:name="page116"/>
    <w:bookmarkEnd w:id="115"/>
    <w:p>
      <w:pPr>
        <w:ind w:right="40"/>
        <w:spacing w:after="0" w:line="253" w:lineRule="auto"/>
        <w:rPr>
          <w:sz w:val="20"/>
          <w:szCs w:val="20"/>
          <w:color w:val="auto"/>
        </w:rPr>
      </w:pPr>
      <w:r>
        <w:rPr>
          <w:rFonts w:ascii="Arial" w:cs="Arial" w:eastAsia="Arial" w:hAnsi="Arial"/>
          <w:sz w:val="18"/>
          <w:szCs w:val="18"/>
          <w:color w:val="auto"/>
        </w:rPr>
        <w:t>issuance and payment of the Notes. As of December 31, 2020, our commercial paper borrowings under the CCFF Program had a weighted average interest rate of 0.43%. As of December 31, 2020, we had $ 817.9 million of Notes outstanding and recorded as long-term borrowings under the CCFF Program. When we have both the ability and intent to refinance certain obligations on a long-term basis, the obligations are classified as long-term, as such, the outstanding borrowings of the CCFF Program were classified as long-term debt in our consolidated balance sheet as of December 31,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Bilateral credit facility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access to a €100.0 million bilateral credit facility expiring in May 2021.</w:t>
      </w:r>
    </w:p>
    <w:p>
      <w:pPr>
        <w:spacing w:after="0" w:line="19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bilateral credit facility contains usual and customary covenants, representations and warranties and events of default for credit facilities of this type.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no outstanding borrowings under our bilateral credit facility.</w:t>
      </w:r>
    </w:p>
    <w:p>
      <w:pPr>
        <w:spacing w:after="0" w:line="1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facility agreement. When we have both the ability and intent to refinance certain obligations on a long-term basis, the obligations are classified as long-term, as such, the commercial paper borrowings were classified as long-term debt in our consolidated balance sheets as of December 31, 2020 and 2019. Commercial paper borrowings are issued at market interest rates. As of December 31, 2020, our commercial paper borrowings had a weighted average interest rate of 0.34% on the U.S. dollar denominated borrowings and (0.06)% on the Euro denominated borrowings. As of December 31, 2020, we had $708.0 million of outstanding commercial paper borrowings under this program.</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Synthetic bonds - </w:t>
      </w:r>
      <w:r>
        <w:rPr>
          <w:rFonts w:ascii="Arial" w:cs="Arial" w:eastAsia="Arial" w:hAnsi="Arial"/>
          <w:sz w:val="18"/>
          <w:szCs w:val="18"/>
          <w:color w:val="auto"/>
        </w:rPr>
        <w:t>On January 25, 2016, we issued €375.0 million principal amount of 0.875% convertible bonds with a maturity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25, 2021 and a redemption at par of the bonds which have not been converted. On March 3, 2016, we issued additional convertible bonds for a principal amount of €75.0 million issued on the same terms, fully fungible with and assimilated to the bonds issued on January 25, 2016. The issuance of these non-dilutive cash-settled convertible bonds (“Synthetic Bonds”), which are linked to our ordinary shares were backed simultaneously by the purchase of cash-settled equity call options in order to hedge our economic exposure to the potential exercise of the conversion rights embedded in the Synthetic Bonds. As the Synthetic Bonds could only be cash settled, they did not result in the issuance of new ordinary shares or the delivery of existing ordinary shares upon conversion. Interest on the Synthetic Bonds is payable semi-annually in arrears on January 25 and July 25 of each year, beginning July 26, 2016. The synthetic bonds were repaid during the first quarter of 2021.</w:t>
      </w:r>
    </w:p>
    <w:p>
      <w:pPr>
        <w:spacing w:after="0" w:line="21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outstanding 3.45% $500.0 million senior notes due October 1, 2022 (the “Senior Notes”). The terms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Issuance:</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2020, we completed the private placement of €200 million aggregate principal amount of the 2020 Private Placement Notes. The 2020 Private Placement Notes bear interest of 4.50% and are due June 2025. Interest on the notes is payable annually in arrears on June 30 of each year beginning June 30, 2020. The 2020 Private Placement Notes contain usual and customary covenants and events of default for notes of this type. In addition, within three months of the effective date of the Spin-off of Technip Energies, if there is a downgrade by a nationally recognized rating agency of the corporate rating of TechnipFMC from an investment grade to a non-investment grade rating or a withdrawal of any such rating, the interest rate applicable to the 2020 Private Placement Notes will be increased to 5.75%.</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2013 Issuances:</w:t>
      </w:r>
    </w:p>
    <w:p>
      <w:pPr>
        <w:spacing w:after="0" w:line="2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w:t>
      </w:r>
    </w:p>
    <w:p>
      <w:pPr>
        <w:spacing w:after="0" w:line="229"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Issuances:</w:t>
      </w:r>
    </w:p>
    <w:p>
      <w:pPr>
        <w:spacing w:after="0" w:line="26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In June 2012, we completed the private placement of €325.0 million aggregate principal amount of notes. The notes were issued in three tranches with €150.0 million bearing interest at 3.40% and due June 2022 (the “Tranche A 2022 Notes”), €75.0 million bearing interest of</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2013 and 2012 Private Placement Notes contain usual and customary covenants and events of default for notes of this type. In the event of a change of control resulting in a downgrade in the rating of the notes below BBB-, the 2013 and 2012 Private Placement Notes may be redeemed early at the request of any bondholder, at its sole discretion. The 2013 and 2012 Private Placement Notes are our unsecured obligations. The 2013 and 2012 Private Placement Notes will rank equally in right of payment with all of our existing and future unsubordinated debt.</w:t>
      </w:r>
    </w:p>
    <w:p>
      <w:pPr>
        <w:spacing w:after="0" w:line="133"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i w:val="1"/>
          <w:iCs w:val="1"/>
          <w:color w:val="auto"/>
        </w:rPr>
        <w:t xml:space="preserve">Term loan - </w:t>
      </w:r>
      <w:r>
        <w:rPr>
          <w:rFonts w:ascii="Arial" w:cs="Arial" w:eastAsia="Arial" w:hAnsi="Arial"/>
          <w:sz w:val="18"/>
          <w:szCs w:val="18"/>
          <w:color w:val="auto"/>
        </w:rPr>
        <w:t>In December 2016, we entered into a £ 160.0 million term loan agreement to finance the Deep Explorer, a diving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(“DSV”), maturing December 2028. Under the loan agreement, interest accrues at an annual rate of 2.813%. This loan agreement contains usual and customary covenants and events of default for loans of this type.</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Bank borrowings </w:t>
      </w:r>
      <w:r>
        <w:rPr>
          <w:rFonts w:ascii="Arial" w:cs="Arial" w:eastAsia="Arial" w:hAnsi="Arial"/>
          <w:sz w:val="18"/>
          <w:szCs w:val="18"/>
          <w:color w:val="auto"/>
        </w:rPr>
        <w:t>- In January 2019, we executed a sale-leaseback transaction to finance the purchase of a deepwater dive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Deep Discoverer (the “Vessel”) for the full transaction price of $116.8 million. The sale-leaseback agreement (“Charter”) was entered into with a French joint-stock company, owned by Credit Industrial et Commercial (“CIC”) which was formed for the sole purpose to purchase and act as the lessor of the Vessel. It is a variable interest entity, which is fully consolidated in our condensed consolidated financial statements. The transaction was funded through debt of $96.2 million which is primarily long-term, expiring on January 8, 2031.</w:t>
      </w:r>
    </w:p>
    <w:p>
      <w:pPr>
        <w:spacing w:after="0" w:line="129"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Foreign committed credit - </w:t>
      </w:r>
      <w:r>
        <w:rPr>
          <w:rFonts w:ascii="Arial" w:cs="Arial" w:eastAsia="Arial" w:hAnsi="Arial"/>
          <w:sz w:val="18"/>
          <w:szCs w:val="18"/>
          <w:color w:val="auto"/>
        </w:rPr>
        <w:t>We have committed credit lines at many of our international subsidiaries for immaterial amounts. We utilize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asset financing and to provide a more efficient daily source of liquidity. The effective interest rates depend upon the local national market.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Cash dividends paid during the years ended December 31, 2020, 2019 and 2018 were $59.2 million, $232.8 million and $238.1 million, respectively. In April 2020, our Board of Directors announced its decision to lower the annual dividend by 75% to $0.13 per share.</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GAAP reported amount (e.g. retained earnings). The declaration and payment of dividends require the authorization of our Board of Directors, provided that such dividends on issued share capital may be paid only out of our “distributable reserves” on our statutory balance sheet. Therefore, we are not permitted to pay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7" w:name="page118"/>
    <w:bookmarkEnd w:id="117"/>
    <w:p>
      <w:pPr>
        <w:ind w:right="120"/>
        <w:spacing w:after="0" w:line="261" w:lineRule="auto"/>
        <w:rPr>
          <w:sz w:val="20"/>
          <w:szCs w:val="20"/>
          <w:color w:val="auto"/>
        </w:rPr>
      </w:pPr>
      <w:r>
        <w:rPr>
          <w:rFonts w:ascii="Arial" w:cs="Arial" w:eastAsia="Arial" w:hAnsi="Arial"/>
          <w:sz w:val="18"/>
          <w:szCs w:val="18"/>
          <w:color w:val="auto"/>
        </w:rPr>
        <w:t>dividends out of share capital, which includes share premium. On November 27, 2019, we redeemed 50,000 redeemable shares of £1 each and cancelled one deferred ordinary share of £1 in the capital of TechnipFMC.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years ended December 31, 2020, 2019 and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Ordinary Shares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Ordinary</w:t>
            </w:r>
          </w:p>
        </w:tc>
        <w:tc>
          <w:tcPr>
            <w:tcW w:w="15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Held in</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 of shares in millions)</w:t>
            </w:r>
          </w:p>
        </w:tc>
        <w:tc>
          <w:tcPr>
            <w:tcW w:w="154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Employee</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75"/>
        </w:trPr>
        <w:tc>
          <w:tcPr>
            <w:tcW w:w="67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 Issued</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Trust</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2017</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465.1</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Stock awards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purchases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Treasury stock cancellation</w:t>
            </w:r>
          </w:p>
        </w:tc>
        <w:tc>
          <w:tcPr>
            <w:tcW w:w="144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stock purchased for employee benefit trust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December 31, 2018</w:t>
            </w: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450.5</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awards</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Treasury stock purchases</w:t>
            </w: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cancellation</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stock purchased for employee benefit trust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447.1</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Stock awards</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449.5</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2017, the Board of Directors authorized a share repurchase program of up to $500.0 million in ordinary shares. In December 2018, the Board of Directors authorized an extension of the share repurchase program of up to $300.0 million of additional shares. During the years ended December 31, 2020, 2019 and 2018, we repurchased $0.0 million, $92.7 million and $442.8 million of shares, respectively. As of December 31, 2020, we had $207.8 million of shares authorized for repurchase. Repurchased shares are canceled and not held in treasury. Canceled treasury shares are accounted for using the constructive retirement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income (loss) - </w:t>
      </w:r>
      <w:r>
        <w:rPr>
          <w:rFonts w:ascii="Arial" w:cs="Arial" w:eastAsia="Arial" w:hAnsi="Arial"/>
          <w:sz w:val="18"/>
          <w:szCs w:val="18"/>
          <w:color w:val="auto"/>
        </w:rPr>
        <w:t>Accumulated other comprehensive income (loss)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Defined Pension</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2"/>
                <w:szCs w:val="12"/>
                <w:color w:val="auto"/>
              </w:rPr>
            </w:pPr>
          </w:p>
        </w:tc>
        <w:tc>
          <w:tcPr>
            <w:tcW w:w="142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4"/>
              </w:rPr>
              <w:t>and Other</w:t>
            </w:r>
          </w:p>
        </w:tc>
        <w:tc>
          <w:tcPr>
            <w:tcW w:w="140" w:type="dxa"/>
            <w:vAlign w:val="bottom"/>
          </w:tcPr>
          <w:p>
            <w:pPr>
              <w:spacing w:after="0"/>
              <w:rPr>
                <w:sz w:val="10"/>
                <w:szCs w:val="10"/>
                <w:color w:val="auto"/>
              </w:rPr>
            </w:pPr>
          </w:p>
        </w:tc>
        <w:tc>
          <w:tcPr>
            <w:tcW w:w="16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142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Loss Attributable</w:t>
            </w:r>
          </w:p>
        </w:tc>
        <w:tc>
          <w:tcPr>
            <w:tcW w:w="0" w:type="dxa"/>
            <w:vAlign w:val="bottom"/>
          </w:tcPr>
          <w:p>
            <w:pPr>
              <w:spacing w:after="0"/>
              <w:rPr>
                <w:sz w:val="1"/>
                <w:szCs w:val="1"/>
                <w:color w:val="auto"/>
              </w:rPr>
            </w:pPr>
          </w:p>
        </w:tc>
      </w:tr>
      <w:tr>
        <w:trPr>
          <w:trHeight w:val="121"/>
        </w:trPr>
        <w:tc>
          <w:tcPr>
            <w:tcW w:w="4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Currency</w:t>
            </w:r>
          </w:p>
        </w:tc>
        <w:tc>
          <w:tcPr>
            <w:tcW w:w="16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0"/>
                <w:szCs w:val="10"/>
                <w:color w:val="auto"/>
              </w:rPr>
            </w:pPr>
          </w:p>
        </w:tc>
        <w:tc>
          <w:tcPr>
            <w:tcW w:w="15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Post-Retirement</w:t>
            </w:r>
          </w:p>
        </w:tc>
        <w:tc>
          <w:tcPr>
            <w:tcW w:w="140" w:type="dxa"/>
            <w:vAlign w:val="bottom"/>
          </w:tcPr>
          <w:p>
            <w:pPr>
              <w:spacing w:after="0"/>
              <w:rPr>
                <w:sz w:val="10"/>
                <w:szCs w:val="10"/>
                <w:color w:val="auto"/>
              </w:rPr>
            </w:pPr>
          </w:p>
        </w:tc>
        <w:tc>
          <w:tcPr>
            <w:tcW w:w="162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Loss Attributable to</w:t>
            </w:r>
          </w:p>
        </w:tc>
        <w:tc>
          <w:tcPr>
            <w:tcW w:w="140" w:type="dxa"/>
            <w:vAlign w:val="bottom"/>
          </w:tcPr>
          <w:p>
            <w:pPr>
              <w:spacing w:after="0"/>
              <w:rPr>
                <w:sz w:val="10"/>
                <w:szCs w:val="10"/>
                <w:color w:val="auto"/>
              </w:rPr>
            </w:pPr>
          </w:p>
        </w:tc>
        <w:tc>
          <w:tcPr>
            <w:tcW w:w="142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to Non-Controlling</w:t>
            </w:r>
          </w:p>
        </w:tc>
        <w:tc>
          <w:tcPr>
            <w:tcW w:w="0" w:type="dxa"/>
            <w:vAlign w:val="bottom"/>
          </w:tcPr>
          <w:p>
            <w:pPr>
              <w:spacing w:after="0"/>
              <w:rPr>
                <w:sz w:val="1"/>
                <w:szCs w:val="1"/>
                <w:color w:val="auto"/>
              </w:rPr>
            </w:pPr>
          </w:p>
        </w:tc>
      </w:tr>
      <w:tr>
        <w:trPr>
          <w:trHeight w:val="172"/>
        </w:trPr>
        <w:tc>
          <w:tcPr>
            <w:tcW w:w="4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Translation</w:t>
            </w: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TechnipFMC plc</w:t>
            </w:r>
          </w:p>
        </w:tc>
        <w:tc>
          <w:tcPr>
            <w:tcW w:w="14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17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29"/>
        </w:trPr>
        <w:tc>
          <w:tcPr>
            <w:tcW w:w="4020" w:type="dxa"/>
            <w:vAlign w:val="bottom"/>
          </w:tcPr>
          <w:p>
            <w:pPr>
              <w:ind w:left="140"/>
              <w:spacing w:after="0" w:line="129" w:lineRule="exact"/>
              <w:rPr>
                <w:sz w:val="20"/>
                <w:szCs w:val="20"/>
                <w:color w:val="auto"/>
              </w:rPr>
            </w:pPr>
            <w:r>
              <w:rPr>
                <w:rFonts w:ascii="Arial" w:cs="Arial" w:eastAsia="Arial" w:hAnsi="Arial"/>
                <w:sz w:val="13"/>
                <w:szCs w:val="13"/>
                <w:color w:val="auto"/>
              </w:rPr>
              <w:t>Other comprehensive income (loss) before reclassifications, net of</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3"/>
                <w:szCs w:val="13"/>
                <w:color w:val="auto"/>
              </w:rPr>
              <w:t>tax</w:t>
            </w: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2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Reclassification adjustment for net (gains) losses included in net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net of tax</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comprehensive income (loss), net of tax</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09"/>
        </w:trPr>
        <w:tc>
          <w:tcPr>
            <w:tcW w:w="4020" w:type="dxa"/>
            <w:vAlign w:val="bottom"/>
          </w:tcPr>
          <w:p>
            <w:pPr>
              <w:ind w:left="140"/>
              <w:spacing w:after="0" w:line="109" w:lineRule="exact"/>
              <w:rPr>
                <w:sz w:val="20"/>
                <w:szCs w:val="20"/>
                <w:color w:val="auto"/>
              </w:rPr>
            </w:pPr>
            <w:r>
              <w:rPr>
                <w:rFonts w:ascii="Arial" w:cs="Arial" w:eastAsia="Arial" w:hAnsi="Arial"/>
                <w:sz w:val="12"/>
                <w:szCs w:val="12"/>
                <w:color w:val="auto"/>
              </w:rPr>
              <w:t>Other comprehensive income (loss) before reclassifications, net of</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(171.1)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(237.2)</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3"/>
                <w:szCs w:val="13"/>
                <w:color w:val="auto"/>
              </w:rPr>
              <w:t>tax</w:t>
            </w: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2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Reclassification adjustment for net (gains) losses included in net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net of tax</w:t>
            </w: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comprehensive income (loss), net of tax</w:t>
            </w: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(171.1)</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(83.7)</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(215.0)</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8" w:name="page119"/>
    <w:bookmarkEnd w:id="118"/>
    <w:p>
      <w:pPr>
        <w:ind w:right="40"/>
        <w:spacing w:after="0" w:line="282" w:lineRule="auto"/>
        <w:rPr>
          <w:sz w:val="20"/>
          <w:szCs w:val="20"/>
          <w:color w:val="auto"/>
        </w:rPr>
      </w:pPr>
      <w:r>
        <w:rPr>
          <w:rFonts w:ascii="Arial" w:cs="Arial" w:eastAsia="Arial" w:hAnsi="Arial"/>
          <w:sz w:val="18"/>
          <w:szCs w:val="18"/>
          <w:i w:val="1"/>
          <w:iCs w:val="1"/>
          <w:color w:val="auto"/>
        </w:rPr>
        <w:t xml:space="preserve">Reclassifications out of accumulated other comprehensive income (loss) - </w:t>
      </w:r>
      <w:r>
        <w:rPr>
          <w:rFonts w:ascii="Arial" w:cs="Arial" w:eastAsia="Arial" w:hAnsi="Arial"/>
          <w:sz w:val="18"/>
          <w:szCs w:val="18"/>
          <w:color w:val="auto"/>
        </w:rPr>
        <w:t>Reclassifications out of accumulated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center"/>
              <w:ind w:left="60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3620" w:type="dxa"/>
            <w:vAlign w:val="bottom"/>
          </w:tcPr>
          <w:p>
            <w:pPr>
              <w:spacing w:after="0"/>
              <w:rPr>
                <w:sz w:val="16"/>
                <w:szCs w:val="16"/>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3620" w:type="dxa"/>
            <w:vAlign w:val="bottom"/>
          </w:tcPr>
          <w:p>
            <w:pPr>
              <w:spacing w:after="0"/>
              <w:rPr>
                <w:sz w:val="15"/>
                <w:szCs w:val="15"/>
                <w:color w:val="auto"/>
              </w:rPr>
            </w:pPr>
          </w:p>
        </w:tc>
      </w:tr>
      <w:tr>
        <w:trPr>
          <w:trHeight w:val="142"/>
        </w:trPr>
        <w:tc>
          <w:tcPr>
            <w:tcW w:w="37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Details about Accumulated Other Comprehensive</w:t>
            </w:r>
          </w:p>
        </w:tc>
        <w:tc>
          <w:tcPr>
            <w:tcW w:w="220" w:type="dxa"/>
            <w:vAlign w:val="bottom"/>
          </w:tcPr>
          <w:p>
            <w:pPr>
              <w:spacing w:after="0"/>
              <w:rPr>
                <w:sz w:val="12"/>
                <w:szCs w:val="12"/>
                <w:color w:val="auto"/>
              </w:rPr>
            </w:pPr>
          </w:p>
        </w:tc>
        <w:tc>
          <w:tcPr>
            <w:tcW w:w="3680" w:type="dxa"/>
            <w:vAlign w:val="bottom"/>
            <w:gridSpan w:val="9"/>
          </w:tcPr>
          <w:p>
            <w:pPr>
              <w:jc w:val="center"/>
              <w:ind w:right="168"/>
              <w:spacing w:after="0" w:line="142" w:lineRule="exact"/>
              <w:rPr>
                <w:sz w:val="20"/>
                <w:szCs w:val="20"/>
                <w:color w:val="auto"/>
              </w:rPr>
            </w:pPr>
            <w:r>
              <w:rPr>
                <w:rFonts w:ascii="Arial" w:cs="Arial" w:eastAsia="Arial" w:hAnsi="Arial"/>
                <w:sz w:val="14"/>
                <w:szCs w:val="14"/>
                <w:b w:val="1"/>
                <w:bCs w:val="1"/>
                <w:color w:val="auto"/>
              </w:rPr>
              <w:t>Amount Reclassified out of Accumulated Other</w:t>
            </w:r>
          </w:p>
        </w:tc>
        <w:tc>
          <w:tcPr>
            <w:tcW w:w="36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Affected Line Item in the Consolidated Statement</w:t>
            </w:r>
          </w:p>
        </w:tc>
      </w:tr>
      <w:tr>
        <w:trPr>
          <w:trHeight w:val="17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 Components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of Income</w:t>
            </w:r>
          </w:p>
        </w:tc>
      </w:tr>
      <w:tr>
        <w:trPr>
          <w:trHeight w:val="183"/>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on foreign currency translation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r>
      <w:tr>
        <w:trPr>
          <w:trHeight w:val="216"/>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(losses) on hedging instruments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r>
      <w:tr>
        <w:trPr>
          <w:trHeight w:val="189"/>
        </w:trPr>
        <w:tc>
          <w:tcPr>
            <w:tcW w:w="370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(83.7)</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3620" w:type="dxa"/>
            <w:vAlign w:val="bottom"/>
          </w:tcPr>
          <w:p>
            <w:pPr>
              <w:ind w:left="120"/>
              <w:spacing w:after="0"/>
              <w:rPr>
                <w:sz w:val="20"/>
                <w:szCs w:val="20"/>
                <w:color w:val="auto"/>
              </w:rPr>
            </w:pPr>
            <w:r>
              <w:rPr>
                <w:rFonts w:ascii="Arial" w:cs="Arial" w:eastAsia="Arial" w:hAnsi="Arial"/>
                <w:sz w:val="14"/>
                <w:szCs w:val="14"/>
                <w:color w:val="auto"/>
              </w:rPr>
              <w:t>Revenue</w:t>
            </w:r>
          </w:p>
        </w:tc>
      </w:tr>
      <w:tr>
        <w:trPr>
          <w:trHeight w:val="189"/>
        </w:trPr>
        <w:tc>
          <w:tcPr>
            <w:tcW w:w="3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Costs of sales</w:t>
            </w:r>
          </w:p>
        </w:tc>
      </w:tr>
      <w:tr>
        <w:trPr>
          <w:trHeight w:val="189"/>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36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w:t>
            </w:r>
          </w:p>
        </w:tc>
      </w:tr>
      <w:tr>
        <w:trPr>
          <w:trHeight w:val="189"/>
        </w:trPr>
        <w:tc>
          <w:tcPr>
            <w:tcW w:w="37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362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r>
      <w:tr>
        <w:trPr>
          <w:trHeight w:val="189"/>
        </w:trPr>
        <w:tc>
          <w:tcPr>
            <w:tcW w:w="37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(benefit) for income taxes</w:t>
            </w:r>
          </w:p>
        </w:tc>
      </w:tr>
      <w:tr>
        <w:trPr>
          <w:trHeight w:val="183"/>
        </w:trPr>
        <w:tc>
          <w:tcPr>
            <w:tcW w:w="37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620" w:type="dxa"/>
            <w:vAlign w:val="bottom"/>
          </w:tcPr>
          <w:p>
            <w:pPr>
              <w:ind w:left="120"/>
              <w:spacing w:after="0"/>
              <w:rPr>
                <w:sz w:val="20"/>
                <w:szCs w:val="20"/>
                <w:color w:val="auto"/>
              </w:rPr>
            </w:pPr>
            <w:r>
              <w:rPr>
                <w:rFonts w:ascii="Arial" w:cs="Arial" w:eastAsia="Arial" w:hAnsi="Arial"/>
                <w:sz w:val="14"/>
                <w:szCs w:val="14"/>
                <w:color w:val="auto"/>
              </w:rPr>
              <w:t>Net income (loss)</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r>
      <w:tr>
        <w:trPr>
          <w:trHeight w:val="237"/>
        </w:trPr>
        <w:tc>
          <w:tcPr>
            <w:tcW w:w="3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i w:val="1"/>
                <w:iCs w:val="1"/>
                <w:color w:val="auto"/>
              </w:rPr>
              <w:t>Pension and other post-retirement benefits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189"/>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Settlements and curtailments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w:t>
            </w:r>
          </w:p>
        </w:tc>
      </w:tr>
      <w:tr>
        <w:trPr>
          <w:trHeight w:val="189"/>
        </w:trPr>
        <w:tc>
          <w:tcPr>
            <w:tcW w:w="3700" w:type="dxa"/>
            <w:vAlign w:val="bottom"/>
          </w:tcPr>
          <w:p>
            <w:pPr>
              <w:ind w:left="220"/>
              <w:spacing w:after="0"/>
              <w:rPr>
                <w:sz w:val="20"/>
                <w:szCs w:val="20"/>
                <w:color w:val="auto"/>
              </w:rPr>
            </w:pPr>
            <w:r>
              <w:rPr>
                <w:rFonts w:ascii="Arial" w:cs="Arial" w:eastAsia="Arial" w:hAnsi="Arial"/>
                <w:sz w:val="14"/>
                <w:szCs w:val="14"/>
                <w:color w:val="auto"/>
              </w:rPr>
              <w:t>Amortization of actuarial gain (loss)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3620" w:type="dxa"/>
            <w:vAlign w:val="bottom"/>
          </w:tcPr>
          <w:p>
            <w:pPr>
              <w:ind w:left="120"/>
              <w:spacing w:after="0"/>
              <w:rPr>
                <w:sz w:val="20"/>
                <w:szCs w:val="20"/>
                <w:color w:val="auto"/>
              </w:rPr>
            </w:pPr>
            <w:r>
              <w:rPr>
                <w:rFonts w:ascii="Arial" w:cs="Arial" w:eastAsia="Arial" w:hAnsi="Arial"/>
                <w:sz w:val="14"/>
                <w:szCs w:val="14"/>
                <w:color w:val="auto"/>
              </w:rPr>
              <w:t>(a)</w:t>
            </w:r>
          </w:p>
        </w:tc>
      </w:tr>
      <w:tr>
        <w:trPr>
          <w:trHeight w:val="189"/>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prior service credit (cost)</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w:t>
            </w: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362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r>
      <w:tr>
        <w:trPr>
          <w:trHeight w:val="189"/>
        </w:trPr>
        <w:tc>
          <w:tcPr>
            <w:tcW w:w="37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(benefit) for income taxes</w:t>
            </w:r>
          </w:p>
        </w:tc>
      </w:tr>
      <w:tr>
        <w:trPr>
          <w:trHeight w:val="183"/>
        </w:trPr>
        <w:tc>
          <w:tcPr>
            <w:tcW w:w="37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(9.2)</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3620" w:type="dxa"/>
            <w:vAlign w:val="bottom"/>
          </w:tcPr>
          <w:p>
            <w:pPr>
              <w:ind w:left="120"/>
              <w:spacing w:after="0"/>
              <w:rPr>
                <w:sz w:val="20"/>
                <w:szCs w:val="20"/>
                <w:color w:val="auto"/>
              </w:rPr>
            </w:pPr>
            <w:r>
              <w:rPr>
                <w:rFonts w:ascii="Arial" w:cs="Arial" w:eastAsia="Arial" w:hAnsi="Arial"/>
                <w:sz w:val="14"/>
                <w:szCs w:val="14"/>
                <w:color w:val="auto"/>
              </w:rPr>
              <w:t>Net income (loss)</w:t>
            </w:r>
          </w:p>
        </w:tc>
      </w:tr>
      <w:tr>
        <w:trPr>
          <w:trHeight w:val="21"/>
        </w:trPr>
        <w:tc>
          <w:tcPr>
            <w:tcW w:w="3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 (See Note 22 for further details).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COMPENSATION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Incentive compensation and award plan - </w:t>
      </w:r>
      <w:r>
        <w:rPr>
          <w:rFonts w:ascii="Arial" w:cs="Arial" w:eastAsia="Arial" w:hAnsi="Arial"/>
          <w:sz w:val="18"/>
          <w:szCs w:val="18"/>
          <w:color w:val="auto"/>
        </w:rPr>
        <w:t>On January 11, 2017, we adopted the TechnipFMC plc Incentive Award Plan (the “Plan”).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share options, share appreciation rights, performance share units, restricted share units, restricted shares or other awards authorized under the Plan. All awards are subject to the Plan’s provisions, including all share-based grants previously issued prior to consummation of the merger of FMC Technologies and Technip S.A. (the “Merger”). Under the Plan, 24.1 million ordinary shares were authorized for awards. As of December 31, 2020, 8.5 million ordinary shares were available for future grant.</w:t>
      </w:r>
    </w:p>
    <w:p>
      <w:pPr>
        <w:spacing w:after="0" w:line="14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exercise price for options is determined by the Committee but cannot be less than the fair market value of our ordinary shares at the grant date. Restricted share and performance share unit grants generally vest after three years of service.</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Plan, our Board of Directors has the authority to grant non-employee directors share options, restricted shares, restricted share units and performance shares. Unless otherwise determined by our Board of Directors, awards to non-employee directors generally vest one year from the date of grant. All restricted share units awarded prior to 2020 will be settled when a non-executive director ceases services on the Board of Directors. Beginning with the 2020 equity award, non-executive directors now have the opportunity to elect the year in which they will take receipt of the equity grants from either (a) a period of 1 to 10 years from the grant date or (b) upon their separation from Board service. The elections are made prior to the beginning of the grant year and are irrevocable after December 31 of the year prior to grant. Restricted share units are settled when a director ceases services to the Board of Directors. As of December 31, 2020, outstanding awards to active and retired non-employee directors included 254.3 thousand of share units.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9" w:name="page120"/>
    <w:bookmarkEnd w:id="119"/>
    <w:p>
      <w:pPr>
        <w:jc w:val="both"/>
        <w:ind w:right="60"/>
        <w:spacing w:after="0" w:line="254" w:lineRule="auto"/>
        <w:rPr>
          <w:sz w:val="20"/>
          <w:szCs w:val="20"/>
          <w:color w:val="auto"/>
        </w:rPr>
      </w:pPr>
      <w:r>
        <w:rPr>
          <w:rFonts w:ascii="Arial" w:cs="Arial" w:eastAsia="Arial" w:hAnsi="Arial"/>
          <w:sz w:val="18"/>
          <w:szCs w:val="18"/>
          <w:color w:val="auto"/>
        </w:rPr>
        <w:t>The measurement of share-based compensation expense on restricted share awards is based on the market price and fair value at the grant date and the number of shares awarded. The fair value of performance shares is estimated using a combination of the closing stock price on the grant date and the Monte Carlo simulation model. We use Black-Scholes options pricing model to measure the fair value of stock options granted on or after January 1, 2017.</w:t>
      </w:r>
    </w:p>
    <w:p>
      <w:pPr>
        <w:spacing w:after="0" w:line="150"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share-based compensation expense for each award is recognized ratably over the applicable service period or the period beginning at the start of the service period and ending when an employee becomes eligible for retirement (currently age 62 under the Plan), after taking into account estimated forfeitures.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recognize compensation expense and the corresponding tax benefits for awards under the Plan. The compensation expense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Income tax benefits related to share-based compensation expense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18.6</w:t>
            </w: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13.2</w:t>
            </w:r>
          </w:p>
        </w:tc>
      </w:tr>
    </w:tbl>
    <w:p>
      <w:pPr>
        <w:spacing w:after="0" w:line="21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As of December 31, 2020, the portion of share-based compensation expense related to outstanding awards to be recognized in future periods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 not yet recognized (in millions)</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Weighted-average recognition period (in years)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77"/>
        </w:trPr>
        <w:tc>
          <w:tcPr>
            <w:tcW w:w="8260" w:type="dxa"/>
            <w:vAlign w:val="bottom"/>
          </w:tcPr>
          <w:p>
            <w:pPr>
              <w:spacing w:after="0"/>
              <w:rPr>
                <w:sz w:val="20"/>
                <w:szCs w:val="20"/>
                <w:color w:val="auto"/>
              </w:rPr>
            </w:pPr>
            <w:r>
              <w:rPr>
                <w:rFonts w:ascii="Arial" w:cs="Arial" w:eastAsia="Arial" w:hAnsi="Arial"/>
                <w:sz w:val="18"/>
                <w:szCs w:val="18"/>
                <w:i w:val="1"/>
                <w:iCs w:val="1"/>
                <w:color w:val="auto"/>
              </w:rPr>
              <w:t>Restricted Share Units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spacing w:after="0"/>
              <w:rPr>
                <w:sz w:val="20"/>
                <w:szCs w:val="20"/>
                <w:color w:val="auto"/>
              </w:rPr>
            </w:pPr>
            <w:r>
              <w:rPr>
                <w:rFonts w:ascii="Arial" w:cs="Arial" w:eastAsia="Arial" w:hAnsi="Arial"/>
                <w:sz w:val="18"/>
                <w:szCs w:val="18"/>
                <w:color w:val="auto"/>
              </w:rPr>
              <w:t>A summary of the non-vested restricted share units’ activity is as follows: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22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26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Non-vested as of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89"/>
        </w:trPr>
        <w:tc>
          <w:tcPr>
            <w:tcW w:w="8260" w:type="dxa"/>
            <w:vAlign w:val="bottom"/>
          </w:tcPr>
          <w:p>
            <w:pPr>
              <w:ind w:left="22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3,836.0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Non-vested as of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total grant date fair value of restricted stock share units vested during the years ended December 31, 2020 and 2019 was $51.8 million and $10.2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8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Board of Directors has granted certain employees, senior executives and directors performance share units that vest subject to achieving satisfactory performances. For performance share units issued on or after January 1, 2017, performance is based on results of return on invested capital and total shareholder return (“TSR”).</w:t>
      </w:r>
    </w:p>
    <w:p>
      <w:pPr>
        <w:spacing w:after="0" w:line="14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For the performance share units which vest based on TSR, the fair value of performance shares is estimated using a combination of the closing stock price on the grant date and the Monte Carlo simulation model. The weighted-average fair value and the assumptions used to measure the fair value of performance share units subject to performance-adjusted vesting conditions in the Monte Carlo simulation model were as follows:</w:t>
      </w:r>
    </w:p>
    <w:p>
      <w:pPr>
        <w:spacing w:after="0" w:line="178"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73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Weighted-average fair value </w:t>
            </w:r>
            <w:r>
              <w:rPr>
                <w:rFonts w:ascii="Arial" w:cs="Arial" w:eastAsia="Arial" w:hAnsi="Arial"/>
                <w:sz w:val="18"/>
                <w:szCs w:val="18"/>
                <w:color w:val="auto"/>
                <w:vertAlign w:val="superscript"/>
              </w:rPr>
              <w:t>(a)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w:t>
            </w:r>
          </w:p>
        </w:tc>
      </w:tr>
      <w:tr>
        <w:trPr>
          <w:trHeight w:val="189"/>
        </w:trPr>
        <w:tc>
          <w:tcPr>
            <w:tcW w:w="73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8"/>
                <w:szCs w:val="18"/>
                <w:color w:val="auto"/>
                <w:vertAlign w:val="superscript"/>
              </w:rPr>
              <w:t>(b)</w:t>
            </w:r>
          </w:p>
        </w:tc>
        <w:tc>
          <w:tcPr>
            <w:tcW w:w="580" w:type="dxa"/>
            <w:vAlign w:val="bottom"/>
          </w:tcPr>
          <w:p>
            <w:pPr>
              <w:jc w:val="right"/>
              <w:spacing w:after="0"/>
              <w:rPr>
                <w:sz w:val="20"/>
                <w:szCs w:val="20"/>
                <w:color w:val="auto"/>
              </w:rPr>
            </w:pPr>
            <w:r>
              <w:rPr>
                <w:rFonts w:ascii="Arial" w:cs="Arial" w:eastAsia="Arial" w:hAnsi="Arial"/>
                <w:sz w:val="14"/>
                <w:szCs w:val="14"/>
                <w:color w:val="auto"/>
              </w:rPr>
              <w:t>38.30 %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34.00 %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34.00 %</w:t>
            </w:r>
          </w:p>
        </w:tc>
      </w:tr>
      <w:tr>
        <w:trPr>
          <w:trHeight w:val="189"/>
        </w:trPr>
        <w:tc>
          <w:tcPr>
            <w:tcW w:w="7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8"/>
                <w:szCs w:val="18"/>
                <w:color w:val="auto"/>
                <w:vertAlign w:val="superscript"/>
              </w:rPr>
              <w:t>(c)</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2.37 %</w:t>
            </w:r>
          </w:p>
        </w:tc>
      </w:tr>
      <w:tr>
        <w:trPr>
          <w:trHeight w:val="250"/>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 xml:space="preserve">Expected performance period in years </w:t>
            </w:r>
            <w:r>
              <w:rPr>
                <w:rFonts w:ascii="Arial" w:cs="Arial" w:eastAsia="Arial" w:hAnsi="Arial"/>
                <w:sz w:val="18"/>
                <w:szCs w:val="18"/>
                <w:color w:val="auto"/>
                <w:vertAlign w:val="superscript"/>
              </w:rPr>
              <w:t>(d)</w:t>
            </w: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(a) The weighted-average fair value was based on performance share units granted during the period.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Expected volatility is based on normalized historical volatility of our shares over a preceding period commensurate with the expected term of the performance share units.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risk-free rate for the expected term of the performance share units is based on the U.S. Treasury yield curve in effect at the time of grant.</w:t>
      </w:r>
    </w:p>
    <w:p>
      <w:pPr>
        <w:spacing w:after="0" w:line="163" w:lineRule="exact"/>
        <w:rPr>
          <w:rFonts w:ascii="Arial" w:cs="Arial" w:eastAsia="Arial" w:hAnsi="Arial"/>
          <w:sz w:val="14"/>
          <w:szCs w:val="14"/>
          <w:color w:val="auto"/>
        </w:rPr>
      </w:pPr>
    </w:p>
    <w:p>
      <w:pPr>
        <w:ind w:right="280" w:firstLine="8"/>
        <w:spacing w:after="0" w:line="258" w:lineRule="auto"/>
        <w:tabs>
          <w:tab w:leader="none" w:pos="2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awards subject to service-based vesting, due to the lack of historical exercise and post-vesting termination patterns of the post-Merger employee base, the expected term was estimated using a simplified method for all awards granted in 2020,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performance share units’ activity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24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Non-vested as of December 31, 2019</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3,817.7</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28.52</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2,828.4</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(1,364.4)</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31.65</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(441.0)</w:t>
            </w:r>
          </w:p>
        </w:tc>
        <w:tc>
          <w:tcPr>
            <w:tcW w:w="3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Non-vested as of December 31, 2020</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4,840.7</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total grant date fair value of performance share units vested during years ended December 31, 2020, 2019 and 2018 was $43.2 million, $13.3 million and $7.0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share option award is estimated as of the date of grant using the Black-Scholes options pricing model.</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Share options awarded prior to 2017 were granted subject to performance criteria based upon certain targets, such as TSR, return on capital employed, and operating income from recurring activities. Subsequent share options granted are time-based awards vesting over three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and the assumptions used to measure fair value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4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Weighted-average fair value </w:t>
            </w:r>
            <w:r>
              <w:rPr>
                <w:rFonts w:ascii="Arial" w:cs="Arial" w:eastAsia="Arial" w:hAnsi="Arial"/>
                <w:sz w:val="18"/>
                <w:szCs w:val="18"/>
                <w:color w:val="auto"/>
                <w:vertAlign w:val="superscript"/>
              </w:rPr>
              <w:t>(a)</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9.07</w:t>
            </w:r>
          </w:p>
        </w:tc>
      </w:tr>
      <w:tr>
        <w:trPr>
          <w:trHeight w:val="189"/>
        </w:trPr>
        <w:tc>
          <w:tcPr>
            <w:tcW w:w="64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8"/>
                <w:szCs w:val="18"/>
                <w:color w:val="auto"/>
                <w:vertAlign w:val="superscript"/>
              </w:rPr>
              <w:t>(b)</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32.5 %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32.5 %</w:t>
            </w:r>
          </w:p>
        </w:tc>
      </w:tr>
      <w:tr>
        <w:trPr>
          <w:trHeight w:val="189"/>
        </w:trPr>
        <w:tc>
          <w:tcPr>
            <w:tcW w:w="64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8"/>
                <w:szCs w:val="18"/>
                <w:color w:val="auto"/>
                <w:vertAlign w:val="superscript"/>
              </w:rPr>
              <w:t>(c)</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89"/>
        </w:trPr>
        <w:tc>
          <w:tcPr>
            <w:tcW w:w="64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Expected dividend yield </w:t>
            </w:r>
            <w:r>
              <w:rPr>
                <w:rFonts w:ascii="Arial" w:cs="Arial" w:eastAsia="Arial" w:hAnsi="Arial"/>
                <w:sz w:val="18"/>
                <w:szCs w:val="18"/>
                <w:color w:val="auto"/>
                <w:vertAlign w:val="superscript"/>
              </w:rPr>
              <w:t>(d)</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89"/>
        </w:trPr>
        <w:tc>
          <w:tcPr>
            <w:tcW w:w="64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Expected term in years </w:t>
            </w:r>
            <w:r>
              <w:rPr>
                <w:rFonts w:ascii="Arial" w:cs="Arial" w:eastAsia="Arial" w:hAnsi="Arial"/>
                <w:sz w:val="18"/>
                <w:szCs w:val="18"/>
                <w:color w:val="auto"/>
                <w:vertAlign w:val="superscript"/>
              </w:rPr>
              <w:t>(e)</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bl>
    <w:p>
      <w:pPr>
        <w:spacing w:after="0" w:line="22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weighted-average fair value was based on stock options granted during the period.</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Expected volatility is based on normalized historical volatility of our shares over a preceding period commensurate with the expected term of the option.</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risk-free rate for the expected term of the option is based on the U.S. Treasury yield curve in effect at the time of grant.</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There were no share options awarded in 2020. Share options awarded in 2019 and 2018 were valued using an expected dividend yield of 2.6% and 2.0%, respectively.</w:t>
      </w:r>
    </w:p>
    <w:p>
      <w:pPr>
        <w:spacing w:after="0" w:line="163" w:lineRule="exact"/>
        <w:rPr>
          <w:rFonts w:ascii="Arial" w:cs="Arial" w:eastAsia="Arial" w:hAnsi="Arial"/>
          <w:sz w:val="14"/>
          <w:szCs w:val="14"/>
          <w:color w:val="auto"/>
        </w:rPr>
      </w:pPr>
    </w:p>
    <w:p>
      <w:pPr>
        <w:ind w:left="340" w:right="200" w:hanging="332"/>
        <w:spacing w:after="0" w:line="258"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awards subject to service-based vesting, due to the lack of historical exercise and post-vesting termination patterns of the post-Merger employee base, the expected term was estimated using a simplified method for all awards granted in 2020,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share option transactions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6"/>
        </w:trPr>
        <w:tc>
          <w:tcPr>
            <w:tcW w:w="67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4,842.4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29.68</w:t>
            </w:r>
          </w:p>
        </w:tc>
        <w:tc>
          <w:tcPr>
            <w:tcW w:w="15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Granted</w:t>
            </w: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28.08</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4,598.4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29.77</w:t>
            </w:r>
          </w:p>
        </w:tc>
        <w:tc>
          <w:tcPr>
            <w:tcW w:w="15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Exercisable as of December 31, 2020</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3,460.8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31.47</w:t>
            </w:r>
          </w:p>
        </w:tc>
        <w:tc>
          <w:tcPr>
            <w:tcW w:w="1540" w:type="dxa"/>
            <w:vAlign w:val="bottom"/>
            <w:gridSpan w:val="2"/>
          </w:tcPr>
          <w:p>
            <w:pPr>
              <w:jc w:val="center"/>
              <w:ind w:lef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aggregate intrinsic value of stock options outstanding and stock options exercisable as of December 31, 2020 was nil and nil, respectively.</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Cash received from the share option exercises was nil, during each of the years ended December 31, 2020, 2019 and 2018. The total intrinsic value of share options exercised during each of the years ended December 31, 2020, 2019 and 2018 was nil. To exercise share options, an employee may choose (1) to pay, either directly or by way of the group savings plan, the share option strike price to obtain shares, or (2) to sell the shares immediately after having exercised the share option (in this case, the employee does not pay the strike price but instead receives the intrinsic value of the share options in cash).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ranges of outstanding and exercisable share options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2"/>
        </w:trPr>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Exercise Price Range</w:t>
            </w:r>
          </w:p>
        </w:tc>
        <w:tc>
          <w:tcPr>
            <w:tcW w:w="1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2"/>
                <w:szCs w:val="12"/>
                <w:color w:val="auto"/>
              </w:rPr>
            </w:pPr>
          </w:p>
        </w:tc>
        <w:tc>
          <w:tcPr>
            <w:tcW w:w="21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 average remaining</w:t>
            </w:r>
          </w:p>
        </w:tc>
        <w:tc>
          <w:tcPr>
            <w:tcW w:w="160" w:type="dxa"/>
            <w:vAlign w:val="bottom"/>
          </w:tcPr>
          <w:p>
            <w:pPr>
              <w:spacing w:after="0"/>
              <w:rPr>
                <w:sz w:val="12"/>
                <w:szCs w:val="12"/>
                <w:color w:val="auto"/>
              </w:rPr>
            </w:pPr>
          </w:p>
        </w:tc>
        <w:tc>
          <w:tcPr>
            <w:tcW w:w="16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Weighted average</w:t>
            </w:r>
          </w:p>
        </w:tc>
        <w:tc>
          <w:tcPr>
            <w:tcW w:w="162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214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$20.00-$33.00</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4,087.2</w:t>
            </w:r>
          </w:p>
        </w:tc>
        <w:tc>
          <w:tcPr>
            <w:tcW w:w="21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rPr>
                <w:sz w:val="20"/>
                <w:szCs w:val="20"/>
                <w:color w:val="auto"/>
              </w:rPr>
            </w:pPr>
            <w:r>
              <w:rPr>
                <w:rFonts w:ascii="Arial" w:cs="Arial" w:eastAsia="Arial" w:hAnsi="Arial"/>
                <w:sz w:val="14"/>
                <w:szCs w:val="14"/>
                <w:color w:val="auto"/>
              </w:rPr>
              <w:t>$45.00-$51.00</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33.0</w:t>
            </w:r>
          </w:p>
        </w:tc>
        <w:tc>
          <w:tcPr>
            <w:tcW w:w="2180" w:type="dxa"/>
            <w:vAlign w:val="bottom"/>
            <w:gridSpan w:val="2"/>
          </w:tcPr>
          <w:p>
            <w:pPr>
              <w:jc w:val="center"/>
              <w:ind w:lef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45.49</w:t>
            </w: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$55.00-$57.00</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478.2</w:t>
            </w:r>
          </w:p>
        </w:tc>
        <w:tc>
          <w:tcPr>
            <w:tcW w:w="21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w:t>
            </w:r>
          </w:p>
        </w:tc>
        <w:tc>
          <w:tcPr>
            <w:tcW w:w="120" w:type="dxa"/>
            <w:vAlign w:val="bottom"/>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183"/>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4,598.4</w:t>
            </w:r>
          </w:p>
        </w:tc>
        <w:tc>
          <w:tcPr>
            <w:tcW w:w="2180" w:type="dxa"/>
            <w:vAlign w:val="bottom"/>
            <w:gridSpan w:val="2"/>
          </w:tcPr>
          <w:p>
            <w:pPr>
              <w:jc w:val="center"/>
              <w:ind w:lef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29.77</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3,460.8</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31.47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122" w:name="page123"/>
    <w:bookmarkEnd w:id="122"/>
    <w:p>
      <w:pPr>
        <w:spacing w:after="0" w:line="68" w:lineRule="exact"/>
        <w:rPr>
          <w:sz w:val="20"/>
          <w:szCs w:val="20"/>
          <w:color w:val="auto"/>
        </w:rPr>
      </w:pPr>
    </w:p>
    <w:p>
      <w:pPr>
        <w:ind w:right="5480"/>
        <w:spacing w:after="0" w:line="494" w:lineRule="auto"/>
        <w:rPr>
          <w:sz w:val="20"/>
          <w:szCs w:val="20"/>
          <w:color w:val="auto"/>
        </w:rPr>
      </w:pPr>
      <w:r>
        <w:rPr>
          <w:rFonts w:ascii="Arial" w:cs="Arial" w:eastAsia="Arial" w:hAnsi="Arial"/>
          <w:sz w:val="17"/>
          <w:szCs w:val="17"/>
          <w:b w:val="1"/>
          <w:bCs w:val="1"/>
          <w:color w:val="auto"/>
        </w:rPr>
        <w:t xml:space="preserve">NOTE 19. IMPAIRMENT, RESTRUCTURING AND OTHER EXPENSES </w:t>
      </w:r>
      <w:r>
        <w:rPr>
          <w:rFonts w:ascii="Arial" w:cs="Arial" w:eastAsia="Arial" w:hAnsi="Arial"/>
          <w:sz w:val="17"/>
          <w:szCs w:val="17"/>
          <w:color w:val="auto"/>
        </w:rPr>
        <w:t>Impairment, restructuring and other expenses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2,957.5</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1,801.9</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704.2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w:t>
            </w:r>
          </w:p>
        </w:tc>
      </w:t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3,501.3</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1,831.2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Long-Lived Assets Impairments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Goodwill and long-lived assets impairments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2"/>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1,784.2</w:t>
            </w: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685.5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impairments</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Due to the substantial decline in global demand for oil caused by the COVID-19 pandemic in 2020 we reviewed the future utilization of our vessels and service potential of our subsea service and surface equipment and determined that the carrying amount of our goodwill and some of our long-lived assets exceeded their respective fair values. We recorded $3,083.4 million and $204.0 million, respectively, related to goodwill and long-lived assets impairments. The $204.0 million of long-lived asset impairments during the year ended December 31, 2020 consisted of $88.4 million attributable to plant, equipment and various machinery infrastructure in our Subsea operating segment;</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$82.0 million mainly related to building and surface equipment in our Surface reportable segment; and $33.6 million of operating lease right-of-use assets impairments.</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prolonged downturn in the energy market and its corresponding impact on our business outlook in 2019 led us to conclude the carrying amount of certain of our assets in our Subsea and Surface Technologies segments exceeded their fair value as of December 31, 2019. During the 2019 year we recorded $1,988.7 million and $495.4 million, respectively, related to goodwill and long-lived assets impairments. The $495.4 million of long-lived asset impairments during the year ended December 31, 2019 primarily consisted of $153.8 million related to vessels in our Subsea operating segment and $168.9 million related to our flexible pipe and umbilical manufacturing facilities in our Surface reportable segment due to the prolonged downturn in the energy market and its corresponding impact on our business outlook.</w:t>
      </w:r>
    </w:p>
    <w:p>
      <w:pPr>
        <w:spacing w:after="0" w:line="15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prolonged downturn in the energy market and its corresponding impact on our business outlook in 2018 led us to conclude the carrying amount of certain of our assets in our Subsea operating segment exceeded their fair value as of December 31, 2018. During the year ended December 31, 2018, we recorded $1,383.0 million and $372.9 million, respectively, related to goodwill and vessel impairments in our Subsea operating segment.</w:t>
      </w:r>
    </w:p>
    <w:p>
      <w:pPr>
        <w:spacing w:after="0" w:line="15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carrying amounts of such assets may not be recoverable. Assessing the recoverability of assets to be held and used involves significant judgement, when determining the present value of expected future cash flows. Significant judgements included expected revenue, operating costs and capital decisions that were available at the time of the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Restructuring and Other Expenses</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Restructuring and other charges primarily consisted of severance and other employee related costs and COVID-19 related expenses across all segments. Restructuring and other expenses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220" w:type="dxa"/>
            <w:vAlign w:val="bottom"/>
          </w:tcPr>
          <w:p>
            <w:pPr>
              <w:spacing w:after="0"/>
              <w:rPr>
                <w:sz w:val="12"/>
                <w:szCs w:val="12"/>
                <w:color w:val="auto"/>
              </w:rPr>
            </w:pPr>
          </w:p>
        </w:tc>
        <w:tc>
          <w:tcPr>
            <w:tcW w:w="1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COVID-19 expenses</w:t>
            </w:r>
          </w:p>
        </w:tc>
        <w:tc>
          <w:tcPr>
            <w:tcW w:w="140" w:type="dxa"/>
            <w:vAlign w:val="bottom"/>
          </w:tcPr>
          <w:p>
            <w:pPr>
              <w:spacing w:after="0"/>
              <w:rPr>
                <w:sz w:val="12"/>
                <w:szCs w:val="12"/>
                <w:color w:val="auto"/>
              </w:rPr>
            </w:pPr>
          </w:p>
        </w:tc>
        <w:tc>
          <w:tcPr>
            <w:tcW w:w="19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160" w:type="dxa"/>
            <w:vAlign w:val="bottom"/>
          </w:tcPr>
          <w:p>
            <w:pPr>
              <w:spacing w:after="0"/>
              <w:rPr>
                <w:sz w:val="12"/>
                <w:szCs w:val="12"/>
                <w:color w:val="auto"/>
              </w:rPr>
            </w:pPr>
          </w:p>
        </w:tc>
        <w:tc>
          <w:tcPr>
            <w:tcW w:w="186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0" w:type="dxa"/>
            <w:vAlign w:val="bottom"/>
          </w:tcPr>
          <w:p>
            <w:pPr>
              <w:spacing w:after="0"/>
              <w:rPr>
                <w:sz w:val="1"/>
                <w:szCs w:val="1"/>
                <w:color w:val="auto"/>
              </w:rPr>
            </w:pPr>
          </w:p>
        </w:tc>
      </w:tr>
      <w:tr>
        <w:trPr>
          <w:trHeight w:val="176"/>
        </w:trPr>
        <w:tc>
          <w:tcPr>
            <w:tcW w:w="2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charges</w:t>
            </w:r>
          </w:p>
        </w:tc>
        <w:tc>
          <w:tcPr>
            <w:tcW w:w="2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15"/>
                <w:szCs w:val="15"/>
                <w:color w:val="auto"/>
              </w:rPr>
            </w:pPr>
          </w:p>
        </w:tc>
        <w:tc>
          <w:tcPr>
            <w:tcW w:w="1860" w:type="dxa"/>
            <w:vAlign w:val="bottom"/>
          </w:tcPr>
          <w:p>
            <w:pPr>
              <w:jc w:val="center"/>
              <w:ind w:right="6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83"/>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14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4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3"/>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w:t>
      </w:r>
    </w:p>
    <w:p>
      <w:pPr>
        <w:spacing w:after="0" w:line="15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Prolonged uncertainty in energy markets could lead to further future reductions in capital spending from our customer base. In turn, this may lead to changes in our strategy. We will continue to take actions designed to mitigate the adverse effects of the rapidly changing market environment and expect to continue to adjust our cost structure to market conditions. If market conditions continue to deteriorate, we may record additional restructuring charges and additional impairments of our long-lived assets, operating lease right-of-use assets and equity method investments.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CONTINGENT LIABILITIES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w:t>
      </w:r>
      <w:r>
        <w:rPr>
          <w:rFonts w:ascii="Arial" w:cs="Arial" w:eastAsia="Arial" w:hAnsi="Arial"/>
          <w:sz w:val="18"/>
          <w:szCs w:val="18"/>
          <w:color w:val="auto"/>
        </w:rPr>
        <w:t>- 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of our consolidated subsidiaries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980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r>
      <w:tr>
        <w:trPr>
          <w:trHeight w:val="189"/>
        </w:trPr>
        <w:tc>
          <w:tcPr>
            <w:tcW w:w="980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4,659.6</w:t>
            </w:r>
          </w:p>
        </w:tc>
      </w:tr>
      <w:tr>
        <w:trPr>
          <w:trHeight w:val="20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Maximum potential undiscounted payments</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4,969.7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60" w:hanging="332"/>
        <w:spacing w:after="0" w:line="258"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39" w:lineRule="exact"/>
        <w:rPr>
          <w:rFonts w:ascii="Arial" w:cs="Arial" w:eastAsia="Arial" w:hAnsi="Arial"/>
          <w:sz w:val="14"/>
          <w:szCs w:val="14"/>
          <w:color w:val="auto"/>
        </w:rPr>
      </w:pPr>
    </w:p>
    <w:p>
      <w:pPr>
        <w:ind w:left="340" w:right="320" w:hanging="332"/>
        <w:spacing w:after="0" w:line="258"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believe the ultimate resolution of our known contingencies will not materially adversely affect our consolidated financial position, results of operations, or cash flows.</w:t>
      </w:r>
    </w:p>
    <w:p>
      <w:pPr>
        <w:spacing w:after="0" w:line="126"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Contingent liabilities associated with legal and tax matters </w:t>
      </w:r>
      <w:r>
        <w:rPr>
          <w:rFonts w:ascii="Arial" w:cs="Arial" w:eastAsia="Arial" w:hAnsi="Arial"/>
          <w:sz w:val="18"/>
          <w:szCs w:val="18"/>
          <w:color w:val="auto"/>
        </w:rPr>
        <w:t>- We are involved in various pending or potential legal and tax actions or disputes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ordinary course of our business. These actions and disputes can involve our agents, suppliers, clients, and venture partners, and can include claims related to payment of fees, service quality,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4" w:name="page125"/>
    <w:bookmarkEnd w:id="124"/>
    <w:p>
      <w:pPr>
        <w:spacing w:after="0" w:line="256" w:lineRule="auto"/>
        <w:rPr>
          <w:sz w:val="20"/>
          <w:szCs w:val="20"/>
          <w:color w:val="auto"/>
        </w:rPr>
      </w:pPr>
      <w:r>
        <w:rPr>
          <w:rFonts w:ascii="Arial" w:cs="Arial" w:eastAsia="Arial" w:hAnsi="Arial"/>
          <w:sz w:val="18"/>
          <w:szCs w:val="18"/>
          <w:color w:val="auto"/>
        </w:rPr>
        <w:t>and ownership arrangements, including certain put or call options. We are unable to predict the ultimate outcome of these actions because of their inherent uncertainty. However, we believe that the most probable, ultimate resolution of these matters will not have a material adverse effect on our consolidated financial position, results of operations or cash flows.</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the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5" w:name="page126"/>
    <w:bookmarkEnd w:id="125"/>
    <w:p>
      <w:pPr>
        <w:spacing w:after="0" w:line="256" w:lineRule="auto"/>
        <w:rPr>
          <w:sz w:val="20"/>
          <w:szCs w:val="20"/>
          <w:color w:val="auto"/>
        </w:rPr>
      </w:pPr>
      <w:r>
        <w:rPr>
          <w:rFonts w:ascii="Arial" w:cs="Arial" w:eastAsia="Arial" w:hAnsi="Arial"/>
          <w:sz w:val="18"/>
          <w:szCs w:val="18"/>
          <w:i w:val="1"/>
          <w:iCs w:val="1"/>
          <w:color w:val="auto"/>
        </w:rPr>
        <w:t xml:space="preserve">Contingent liabilities associated with liquidated damages - </w:t>
      </w:r>
      <w:r>
        <w:rPr>
          <w:rFonts w:ascii="Arial" w:cs="Arial" w:eastAsia="Arial" w:hAnsi="Arial"/>
          <w:sz w:val="18"/>
          <w:szCs w:val="18"/>
          <w:color w:val="auto"/>
        </w:rPr>
        <w:t>Some of our contracts contain provisions that require us to pay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if 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as of December 31, 2020 and 2019, and that the ultimate resolution of such matters will not materially affect our consolidated financial position, results of operations, or cash flows.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INCOME TAXES</w:t>
      </w:r>
    </w:p>
    <w:p>
      <w:pPr>
        <w:spacing w:after="0" w:line="17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 xml:space="preserve">Components of income (loss) before income taxes - </w:t>
      </w:r>
      <w:r>
        <w:rPr>
          <w:rFonts w:ascii="Arial" w:cs="Arial" w:eastAsia="Arial" w:hAnsi="Arial"/>
          <w:sz w:val="18"/>
          <w:szCs w:val="18"/>
          <w:color w:val="auto"/>
        </w:rPr>
        <w:t>U.S. and outside U.S. components of income (loss) before income taxes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Outside United States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(1,291.1)</w:t>
            </w: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(3,085.0)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for income tax - </w:t>
      </w:r>
      <w:r>
        <w:rPr>
          <w:rFonts w:ascii="Arial" w:cs="Arial" w:eastAsia="Arial" w:hAnsi="Arial"/>
          <w:sz w:val="18"/>
          <w:szCs w:val="18"/>
          <w:color w:val="auto"/>
        </w:rPr>
        <w:t>The provision for income taxes consisted of:</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6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Current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670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52.1</w:t>
            </w:r>
          </w:p>
        </w:tc>
      </w:tr>
      <w:tr>
        <w:trPr>
          <w:trHeight w:val="189"/>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Outside United States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321.8</w:t>
            </w: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current income taxes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373.9</w:t>
            </w:r>
          </w:p>
        </w:tc>
      </w:tr>
      <w:tr>
        <w:trPr>
          <w:trHeight w:val="16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670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19.5</w:t>
            </w:r>
          </w:p>
        </w:tc>
      </w:tr>
      <w:tr>
        <w:trPr>
          <w:trHeight w:val="189"/>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Outside United States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w:t>
            </w: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deferred income taxes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48.8</w:t>
            </w: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Provision for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 xml:space="preserve">Deferred tax assets and liabilities - </w:t>
      </w:r>
      <w:r>
        <w:rPr>
          <w:rFonts w:ascii="Arial" w:cs="Arial" w:eastAsia="Arial" w:hAnsi="Arial"/>
          <w:sz w:val="18"/>
          <w:szCs w:val="18"/>
          <w:color w:val="auto"/>
        </w:rPr>
        <w:t>Significant components of deferred tax assets and liabilities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 tax assets attributable to</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124.4</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loss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Non-deductible interest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84.7</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tax credit carryforwards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135.3</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Other tax credits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166.8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113.2</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operating loss carryforwards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430.5</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6.3</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credit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Foreign exchange</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20.4</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Provisions for pensions and other long-term employee benefits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84.1</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Contingencies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163.3</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Margin recognition on construction contracts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115.9</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Leases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254.9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219.8</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Revenue in excess of billings on contracts accounted for under the percentage of completion method</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6.9</w:t>
            </w:r>
          </w:p>
        </w:tc>
      </w:tr>
      <w:tr>
        <w:trPr>
          <w:trHeight w:val="18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1,575.7</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1,544.4</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 net of valuation allowance</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640.4</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627.5</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 tax liabilities attributable to</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Revenue in excess of billings on contracts accounted for under the percentage of completion method</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tax on foreign subsidiaries’ undistributed earnings not indefinitely reinvested</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Property, plant and equipment, intangibles and other assets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185.8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279.6</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exchange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Leases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237.0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215.2</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505.2</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At December 31, 2020 and 2019, the carrying amount of net deferred tax assets and the related valuation allowance included the impact of foreign currency translation adjustments.</w:t>
      </w:r>
    </w:p>
    <w:p>
      <w:pPr>
        <w:spacing w:after="0" w:line="12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Non-deductible interest. </w:t>
      </w:r>
      <w:r>
        <w:rPr>
          <w:rFonts w:ascii="Arial" w:cs="Arial" w:eastAsia="Arial" w:hAnsi="Arial"/>
          <w:sz w:val="18"/>
          <w:szCs w:val="18"/>
          <w:color w:val="auto"/>
        </w:rPr>
        <w:t>At December 31, 2020, deferred tax assets include tax benefits related to certain intercompany interest costs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currently deductible, but which may be deductible in future periods. If not utilized, these costs will become permanently non-deductible beginning in 2025. Management believes that it is more likely than not that we will not be able to deduct these costs before expiration of the carry forward period; therefore, we have established a valuation allowance against the related deferred tax assets.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Foreign tax credit carryforwards. </w:t>
      </w:r>
      <w:r>
        <w:rPr>
          <w:rFonts w:ascii="Arial" w:cs="Arial" w:eastAsia="Arial" w:hAnsi="Arial"/>
          <w:sz w:val="18"/>
          <w:szCs w:val="18"/>
          <w:color w:val="auto"/>
        </w:rPr>
        <w:t>At December 31, 2020, deferred tax assets included U.S. foreign tax credit carryforwards of $145.8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if not utilized, will begin to expire in 2024. Realization of these deferred tax assets is dependent on the generation of sufficient U.S. taxable income prior to the above date. Based on long-term forecasts of operating results, management believes that it is more likely than not that our U.S. earnings over the forecast period will not result in sufficient U.S. taxable income to fully realize these deferred tax assets; therefore, we have established a valuation allowance against the related deferred tax assets. In its analysis, management has considered the effect of deemed dividends and other expected adjustments to U.S. earnings that are required in determining U.S. taxable income. Non-U.S. earnings subject to U.S. tax, including deemed dividends for U.S. tax purposes, were $61 thousand in 2020, $3.8 million in 2019 and $307.6 million in 2018.</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27" w:name="page128"/>
    <w:bookmarkEnd w:id="127"/>
    <w:p>
      <w:pPr>
        <w:ind w:right="240"/>
        <w:spacing w:after="0" w:line="256" w:lineRule="auto"/>
        <w:rPr>
          <w:sz w:val="20"/>
          <w:szCs w:val="20"/>
          <w:color w:val="auto"/>
        </w:rPr>
      </w:pPr>
      <w:r>
        <w:rPr>
          <w:rFonts w:ascii="Arial" w:cs="Arial" w:eastAsia="Arial" w:hAnsi="Arial"/>
          <w:sz w:val="18"/>
          <w:szCs w:val="18"/>
          <w:i w:val="1"/>
          <w:iCs w:val="1"/>
          <w:color w:val="auto"/>
        </w:rPr>
        <w:t xml:space="preserve">Net operating loss carryforwards. </w:t>
      </w:r>
      <w:r>
        <w:rPr>
          <w:rFonts w:ascii="Arial" w:cs="Arial" w:eastAsia="Arial" w:hAnsi="Arial"/>
          <w:sz w:val="18"/>
          <w:szCs w:val="18"/>
          <w:color w:val="auto"/>
        </w:rPr>
        <w:t>As of December 31, 2020, deferred tax assets include tax benefits relating to net operating loss</w:t>
      </w:r>
      <w:r>
        <w:rPr>
          <w:rFonts w:ascii="Arial" w:cs="Arial" w:eastAsia="Arial" w:hAnsi="Arial"/>
          <w:sz w:val="18"/>
          <w:szCs w:val="18"/>
          <w:i w:val="1"/>
          <w:iCs w:val="1"/>
          <w:color w:val="auto"/>
        </w:rPr>
        <w:t xml:space="preserve"> </w:t>
      </w:r>
      <w:r>
        <w:rPr>
          <w:rFonts w:ascii="Arial" w:cs="Arial" w:eastAsia="Arial" w:hAnsi="Arial"/>
          <w:sz w:val="18"/>
          <w:szCs w:val="18"/>
          <w:color w:val="auto"/>
        </w:rPr>
        <w:t>carryforwards. If not utilized, these net operating loss carryforward will begin to expire in 2021. Except in Norway (net operating losses of $373.7 million), management believes it is more likely than not that we will not be able to utilize these operating loss carryforwards before expiration; thus, we have established a valuation allowance against the related deferred tax assets (inclusive of NOL’s generated in United Kingdom, Saudi Arabia, Netherlands, Mexico, Brazil, Canada, United States, Luxembourg, and Germany). Except in Canada, Mexico, and Netherlands, all of these tax loss carryforwards extend indefinitely.</w:t>
      </w:r>
    </w:p>
    <w:p>
      <w:pPr>
        <w:spacing w:after="0" w:line="1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Certain Adjustments to Valuation Allowance. </w:t>
      </w:r>
      <w:r>
        <w:rPr>
          <w:rFonts w:ascii="Arial" w:cs="Arial" w:eastAsia="Arial" w:hAnsi="Arial"/>
          <w:sz w:val="17"/>
          <w:szCs w:val="17"/>
          <w:color w:val="auto"/>
        </w:rPr>
        <w:t>The net increase in valuation allowance from December 31, 2019 to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certain adjustments which did not impact net tax expense. These adjustments include $62.0 million of deferred tax assets which were recorded in 2020 and are related to certain previously unrecorded tax credits in the Netherlands that are subject to a full valuation allowance. In addition, the Company wrote off $15.3 million and $11.3 million of deferred tax assets in Italy and Mexico, respectively, that had</w:t>
      </w:r>
    </w:p>
    <w:p>
      <w:pPr>
        <w:sectPr>
          <w:pgSz w:w="11900" w:h="16838" w:orient="portrait"/>
          <w:cols w:equalWidth="0" w:num="1">
            <w:col w:w="11240"/>
          </w:cols>
          <w:pgMar w:left="320" w:top="890"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been subject to a full valuation allowance.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Unrecognized tax benefits - </w:t>
      </w:r>
      <w:r>
        <w:rPr>
          <w:rFonts w:ascii="Arial" w:cs="Arial" w:eastAsia="Arial" w:hAnsi="Arial"/>
          <w:sz w:val="17"/>
          <w:szCs w:val="17"/>
          <w:color w:val="auto"/>
        </w:rPr>
        <w:t>The following table presents a summary of changes in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2018</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Reductions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Additions for tax positions related to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Reductions for tax positions due to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2019</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Reductions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Additions for tax positions related to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Reductions for tax positions due to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Federal,</w:t>
      </w:r>
    </w:p>
    <w:p>
      <w:pPr>
        <w:jc w:val="center"/>
        <w:ind w:right="60"/>
        <w:spacing w:after="0" w:line="201" w:lineRule="auto"/>
        <w:rPr>
          <w:sz w:val="20"/>
          <w:szCs w:val="20"/>
          <w:color w:val="auto"/>
        </w:rPr>
      </w:pPr>
      <w:r>
        <w:rPr>
          <w:rFonts w:ascii="Arial" w:cs="Arial" w:eastAsia="Arial" w:hAnsi="Arial"/>
          <w:sz w:val="14"/>
          <w:szCs w:val="14"/>
          <w:b w:val="1"/>
          <w:bCs w:val="1"/>
          <w:color w:val="auto"/>
        </w:rPr>
        <w:t>State and</w:t>
      </w:r>
    </w:p>
    <w:p>
      <w:pPr>
        <w:jc w:val="center"/>
        <w:ind w:right="60"/>
        <w:spacing w:after="0" w:line="201" w:lineRule="auto"/>
        <w:rPr>
          <w:sz w:val="20"/>
          <w:szCs w:val="20"/>
          <w:color w:val="auto"/>
        </w:rPr>
      </w:pPr>
      <w:r>
        <w:rPr>
          <w:rFonts w:ascii="Arial" w:cs="Arial" w:eastAsia="Arial" w:hAnsi="Arial"/>
          <w:sz w:val="14"/>
          <w:szCs w:val="14"/>
          <w:b w:val="1"/>
          <w:bCs w:val="1"/>
          <w:color w:val="auto"/>
        </w:rPr>
        <w:t>Foreign</w:t>
      </w:r>
    </w:p>
    <w:p>
      <w:pPr>
        <w:jc w:val="center"/>
        <w:ind w:right="60"/>
        <w:spacing w:after="0"/>
        <w:rPr>
          <w:sz w:val="20"/>
          <w:szCs w:val="20"/>
          <w:color w:val="auto"/>
        </w:rPr>
      </w:pPr>
      <w:r>
        <w:rPr>
          <w:rFonts w:ascii="Arial" w:cs="Arial" w:eastAsia="Arial" w:hAnsi="Arial"/>
          <w:sz w:val="14"/>
          <w:szCs w:val="14"/>
          <w:b w:val="1"/>
          <w:bCs w:val="1"/>
          <w:color w:val="auto"/>
        </w:rPr>
        <w:t>Tax</w:t>
      </w:r>
    </w:p>
    <w:p>
      <w:pPr>
        <w:spacing w:after="0" w:line="42" w:lineRule="exact"/>
        <w:rPr>
          <w:sz w:val="20"/>
          <w:szCs w:val="20"/>
          <w:color w:val="auto"/>
        </w:rPr>
      </w:pPr>
    </w:p>
    <w:p>
      <w:pPr>
        <w:ind w:left="1060" w:hanging="1060"/>
        <w:spacing w:after="0"/>
        <w:tabs>
          <w:tab w:leader="none" w:pos="10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086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(62.4)</w:t>
      </w:r>
    </w:p>
    <w:p>
      <w:pPr>
        <w:spacing w:after="0" w:line="2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72.9</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(20.8)</w:t>
      </w:r>
    </w:p>
    <w:p>
      <w:pPr>
        <w:spacing w:after="0" w:line="42" w:lineRule="exact"/>
        <w:rPr>
          <w:sz w:val="20"/>
          <w:szCs w:val="20"/>
          <w:color w:val="auto"/>
        </w:rPr>
      </w:pPr>
    </w:p>
    <w:p>
      <w:pPr>
        <w:ind w:left="1060" w:hanging="1060"/>
        <w:spacing w:after="0"/>
        <w:tabs>
          <w:tab w:leader="none" w:pos="10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086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(7.9)</w:t>
      </w:r>
    </w:p>
    <w:p>
      <w:pPr>
        <w:spacing w:after="0" w:line="2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0.9</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(2.6)</w:t>
      </w:r>
    </w:p>
    <w:p>
      <w:pPr>
        <w:spacing w:after="0" w:line="42" w:lineRule="exact"/>
        <w:rPr>
          <w:sz w:val="20"/>
          <w:szCs w:val="20"/>
          <w:color w:val="auto"/>
        </w:rPr>
      </w:pPr>
    </w:p>
    <w:p>
      <w:pPr>
        <w:ind w:left="1060" w:hanging="1060"/>
        <w:spacing w:after="0"/>
        <w:tabs>
          <w:tab w:leader="none" w:pos="10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086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080" w:space="720"/>
            <w:col w:w="1440"/>
          </w:cols>
          <w:pgMar w:left="320" w:top="890" w:right="339" w:bottom="1440" w:gutter="0" w:footer="0" w:header="0"/>
          <w:type w:val="continuous"/>
        </w:sectPr>
      </w:pP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amounts reported above for uncertain tax positions excludes interest and penalties of $3.7 million, $0.1 million, and $2.8 million for the years ended December 31, 2020, 2019, and 2018, respectively. Interest and penalties relating to these uncertain tax positions were included in income tax expense in our consolidated statements of income. It is reasonably possible that within twelve months, $4.2 million of liabilities for unrecognized tax benefits will be settled. This amount is reflected in income taxes payable, the remaining balance of the unrecognized tax benefits is recorded in other long term liabilities.</w:t>
      </w:r>
    </w:p>
    <w:p>
      <w:pPr>
        <w:spacing w:after="0" w:line="22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operate in numerous jurisdictions around the world and could be subject to multiple tax audits at any given time. Most notably, the following tax years and thereafter remain subject to examination: 2010 for Norway, 2016 for Nigeria, 2016 for Brazil, 2017 for France, and 2016 for the United States.</w:t>
      </w:r>
    </w:p>
    <w:p>
      <w:pPr>
        <w:spacing w:after="0" w:line="14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TechnipFMC plc is a public limited company incorporated under the laws of England and Wales. Therefore, our earnings are subject to the U.K. statutory rate which is 19.0% for 2020, 2019, and 2018.</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28" w:name="page129"/>
    <w:bookmarkEnd w:id="128"/>
    <w:p>
      <w:pPr>
        <w:ind w:right="640"/>
        <w:spacing w:after="0" w:line="282" w:lineRule="auto"/>
        <w:rPr>
          <w:sz w:val="20"/>
          <w:szCs w:val="20"/>
          <w:color w:val="auto"/>
        </w:rPr>
      </w:pPr>
      <w:r>
        <w:rPr>
          <w:rFonts w:ascii="Arial" w:cs="Arial" w:eastAsia="Arial" w:hAnsi="Arial"/>
          <w:sz w:val="18"/>
          <w:szCs w:val="18"/>
          <w:i w:val="1"/>
          <w:iCs w:val="1"/>
          <w:color w:val="auto"/>
        </w:rPr>
        <w:t xml:space="preserve">Effective income tax rate reconciliation - </w:t>
      </w:r>
      <w:r>
        <w:rPr>
          <w:rFonts w:ascii="Arial" w:cs="Arial" w:eastAsia="Arial" w:hAnsi="Arial"/>
          <w:sz w:val="18"/>
          <w:szCs w:val="18"/>
          <w:color w:val="auto"/>
        </w:rPr>
        <w:t>The effective income tax rate was different from the statutory U.K. income tax rate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5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Statutory income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r>
      <w:tr>
        <w:trPr>
          <w:trHeight w:val="189"/>
        </w:trPr>
        <w:tc>
          <w:tcPr>
            <w:tcW w:w="7400" w:type="dxa"/>
            <w:vAlign w:val="bottom"/>
            <w:gridSpan w:val="2"/>
          </w:tcPr>
          <w:p>
            <w:pPr>
              <w:ind w:left="20"/>
              <w:spacing w:after="0"/>
              <w:rPr>
                <w:sz w:val="20"/>
                <w:szCs w:val="20"/>
                <w:color w:val="auto"/>
              </w:rPr>
            </w:pPr>
            <w:r>
              <w:rPr>
                <w:rFonts w:ascii="Arial" w:cs="Arial" w:eastAsia="Arial" w:hAnsi="Arial"/>
                <w:sz w:val="14"/>
                <w:szCs w:val="14"/>
                <w:i w:val="1"/>
                <w:iCs w:val="1"/>
                <w:color w:val="auto"/>
              </w:rPr>
              <w:t>Net difference resulting from</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earnings subject to different tax rates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9"/>
        </w:trPr>
        <w:tc>
          <w:tcPr>
            <w:tcW w:w="7400" w:type="dxa"/>
            <w:vAlign w:val="bottom"/>
            <w:gridSpan w:val="2"/>
          </w:tcPr>
          <w:p>
            <w:pPr>
              <w:ind w:left="220"/>
              <w:spacing w:after="0"/>
              <w:rPr>
                <w:sz w:val="20"/>
                <w:szCs w:val="20"/>
                <w:color w:val="auto"/>
              </w:rPr>
            </w:pPr>
            <w:r>
              <w:rPr>
                <w:rFonts w:ascii="Arial" w:cs="Arial" w:eastAsia="Arial" w:hAnsi="Arial"/>
                <w:sz w:val="14"/>
                <w:szCs w:val="14"/>
                <w:color w:val="auto"/>
              </w:rPr>
              <w:t>Adjustments to prior year taxes</w:t>
            </w: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Changes in valuation allowance</w:t>
            </w:r>
          </w:p>
        </w:tc>
        <w:tc>
          <w:tcPr>
            <w:tcW w:w="1620" w:type="dxa"/>
            <w:vAlign w:val="bottom"/>
            <w:gridSpan w:val="3"/>
            <w:shd w:val="clear" w:color="auto" w:fill="CCEEFF"/>
          </w:tcPr>
          <w:p>
            <w:pPr>
              <w:jc w:val="right"/>
              <w:ind w:right="1008"/>
              <w:spacing w:after="0"/>
              <w:rPr>
                <w:sz w:val="20"/>
                <w:szCs w:val="20"/>
                <w:color w:val="auto"/>
              </w:rPr>
            </w:pPr>
            <w:r>
              <w:rPr>
                <w:rFonts w:ascii="Arial" w:cs="Arial" w:eastAsia="Arial" w:hAnsi="Arial"/>
                <w:sz w:val="14"/>
                <w:szCs w:val="14"/>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89"/>
        </w:trPr>
        <w:tc>
          <w:tcPr>
            <w:tcW w:w="7400" w:type="dxa"/>
            <w:vAlign w:val="bottom"/>
            <w:gridSpan w:val="2"/>
          </w:tcPr>
          <w:p>
            <w:pPr>
              <w:ind w:left="220"/>
              <w:spacing w:after="0"/>
              <w:rPr>
                <w:sz w:val="20"/>
                <w:szCs w:val="20"/>
                <w:color w:val="auto"/>
              </w:rPr>
            </w:pPr>
            <w:r>
              <w:rPr>
                <w:rFonts w:ascii="Arial" w:cs="Arial" w:eastAsia="Arial" w:hAnsi="Arial"/>
                <w:sz w:val="14"/>
                <w:szCs w:val="14"/>
                <w:color w:val="auto"/>
              </w:rPr>
              <w:t>Deferred tax asset/liability revaluation for tax rate change</w:t>
            </w:r>
          </w:p>
        </w:tc>
        <w:tc>
          <w:tcPr>
            <w:tcW w:w="1620" w:type="dxa"/>
            <w:vAlign w:val="bottom"/>
            <w:gridSpan w:val="3"/>
          </w:tcPr>
          <w:p>
            <w:pPr>
              <w:jc w:val="right"/>
              <w:ind w:right="1008"/>
              <w:spacing w:after="0"/>
              <w:rPr>
                <w:sz w:val="20"/>
                <w:szCs w:val="20"/>
                <w:color w:val="auto"/>
              </w:rPr>
            </w:pPr>
            <w:r>
              <w:rPr>
                <w:rFonts w:ascii="Arial" w:cs="Arial" w:eastAsia="Arial" w:hAnsi="Arial"/>
                <w:sz w:val="14"/>
                <w:szCs w:val="14"/>
                <w:color w:val="auto"/>
              </w:rPr>
              <w:t>— %</w:t>
            </w: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Impairments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r>
      <w:tr>
        <w:trPr>
          <w:trHeight w:val="189"/>
        </w:trPr>
        <w:tc>
          <w:tcPr>
            <w:tcW w:w="7400" w:type="dxa"/>
            <w:vAlign w:val="bottom"/>
            <w:gridSpan w:val="2"/>
          </w:tcPr>
          <w:p>
            <w:pPr>
              <w:ind w:left="220"/>
              <w:spacing w:after="0"/>
              <w:rPr>
                <w:sz w:val="20"/>
                <w:szCs w:val="20"/>
                <w:color w:val="auto"/>
              </w:rPr>
            </w:pPr>
            <w:r>
              <w:rPr>
                <w:rFonts w:ascii="Arial" w:cs="Arial" w:eastAsia="Arial" w:hAnsi="Arial"/>
                <w:sz w:val="14"/>
                <w:szCs w:val="14"/>
                <w:color w:val="auto"/>
              </w:rPr>
              <w:t>Non-deductible legal provision</w:t>
            </w:r>
          </w:p>
        </w:tc>
        <w:tc>
          <w:tcPr>
            <w:tcW w:w="1620" w:type="dxa"/>
            <w:vAlign w:val="bottom"/>
            <w:gridSpan w:val="3"/>
          </w:tcPr>
          <w:p>
            <w:pPr>
              <w:jc w:val="right"/>
              <w:ind w:right="1008"/>
              <w:spacing w:after="0"/>
              <w:rPr>
                <w:sz w:val="20"/>
                <w:szCs w:val="20"/>
                <w:color w:val="auto"/>
              </w:rPr>
            </w:pPr>
            <w:r>
              <w:rPr>
                <w:rFonts w:ascii="Arial" w:cs="Arial" w:eastAsia="Arial" w:hAnsi="Arial"/>
                <w:sz w:val="14"/>
                <w:szCs w:val="14"/>
                <w:color w:val="auto"/>
              </w:rPr>
              <w:t>— %</w:t>
            </w:r>
          </w:p>
        </w:tc>
        <w:tc>
          <w:tcPr>
            <w:tcW w:w="5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83"/>
        </w:trPr>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income tax rate</w:t>
            </w:r>
          </w:p>
        </w:tc>
        <w:tc>
          <w:tcPr>
            <w:tcW w:w="5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0"/>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Income tax holidays. </w:t>
      </w:r>
      <w:r>
        <w:rPr>
          <w:rFonts w:ascii="Arial" w:cs="Arial" w:eastAsia="Arial" w:hAnsi="Arial"/>
          <w:sz w:val="18"/>
          <w:szCs w:val="18"/>
          <w:color w:val="auto"/>
        </w:rPr>
        <w:t>We benefit from income tax holidays in Singapore and Malaysia which will expire after 2023 for Singapore and 2020 for</w:t>
      </w:r>
      <w:r>
        <w:rPr>
          <w:rFonts w:ascii="Arial" w:cs="Arial" w:eastAsia="Arial" w:hAnsi="Arial"/>
          <w:sz w:val="18"/>
          <w:szCs w:val="18"/>
          <w:i w:val="1"/>
          <w:iCs w:val="1"/>
          <w:color w:val="auto"/>
        </w:rPr>
        <w:t xml:space="preserve"> </w:t>
      </w:r>
      <w:r>
        <w:rPr>
          <w:rFonts w:ascii="Arial" w:cs="Arial" w:eastAsia="Arial" w:hAnsi="Arial"/>
          <w:sz w:val="18"/>
          <w:szCs w:val="18"/>
          <w:color w:val="auto"/>
        </w:rPr>
        <w:t>Malaysia. For the year ended December 31, 2020, these tax holidays reduced our provision for income taxes by $5.8 million, or $0.01 per share on a diluted basis.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PENSION AND OTHER POST-RETIREMENT BENEFIT PLANS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have funded and unfunded defined benefit pension plans, which provide defined benefits based on years of service and final average salary.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31, 2017, we amended the U.S. retirement plans (the “Plans”) to freeze benefit accruals for all participants of the Plans as of December 31, 2017. After that date, participants in the Plans will no longer accrue any further benefits and participants’ benefits under the Plans will be determined based on credited service and eligible earnings as of December 31, 2017.</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Foreign-based employees are eligible to participate in TechnipFMC-sponsored or government-sponsored benefit plans to which we contribute. Several of the foreign defined benefit pension plans sponsored by us provide for employee contributions; the remaining plans are noncontributory. The most significant of these plans are in the Netherlands, France, and the United Kingdom.</w:t>
      </w:r>
    </w:p>
    <w:p>
      <w:pPr>
        <w:spacing w:after="0" w:line="14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have other post-retirement benefit plans covering substantially all of our U.S. unionized employees. The post-retirement health care plans are contributory; the post-retirement life insurance plans are noncontributory.</w:t>
      </w:r>
    </w:p>
    <w:p>
      <w:pPr>
        <w:spacing w:after="0" w:line="144"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We are required to recognize the funded status of defined benefit post-retirement plans as an asset or liability in the consolidated balance sheet and recognize changes in that funded status in comprehensive income (loss) in the year in which the changes occur. Further, we are required to measure the plan’s assets and its obligations that determine its funded status as of the date of the consolidated balance sheet. We have applied this guidance to our domestic pension and other post-retirement benefit plans as well as for many of our non-U.S. plans, including those in the United Kingdom, Germany, France and Canada. Pension expense measured in compliance with GAAP for the other non-U.S. pension plans is not materially different from the locally reported pension expense.</w:t>
      </w:r>
    </w:p>
    <w:p>
      <w:pPr>
        <w:spacing w:after="0" w:line="15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funded status of our U.S. Pension Plans, certain foreign pension plans and U.S. post-retirement health care and life insurance benefit plans, together with the associated balances recognized in our consolidated balance sheets as of December 31, 2020 and 2019, were as follows: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4"/>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960" w:type="dxa"/>
            <w:vAlign w:val="bottom"/>
            <w:gridSpan w:val="4"/>
          </w:tcPr>
          <w:p>
            <w:pPr>
              <w:ind w:left="16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5"/>
                <w:szCs w:val="15"/>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Int’l</w:t>
            </w:r>
          </w:p>
        </w:tc>
        <w:tc>
          <w:tcPr>
            <w:tcW w:w="3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Projected benefit obligation at January 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gridSpan w:val="2"/>
            <w:vMerge w:val="continue"/>
          </w:tcPr>
          <w:p>
            <w:pPr>
              <w:spacing w:after="0"/>
              <w:rPr>
                <w:sz w:val="14"/>
                <w:szCs w:val="14"/>
                <w:color w:val="auto"/>
              </w:rPr>
            </w:pPr>
          </w:p>
        </w:tc>
        <w:tc>
          <w:tcPr>
            <w:tcW w:w="240" w:type="dxa"/>
            <w:vAlign w:val="bottom"/>
          </w:tcPr>
          <w:p>
            <w:pPr>
              <w:jc w:val="right"/>
              <w:ind w:right="93"/>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881.0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598.1</w:t>
            </w:r>
          </w:p>
        </w:tc>
        <w:tc>
          <w:tcPr>
            <w:tcW w:w="1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753.4</w:t>
            </w:r>
          </w:p>
        </w:tc>
        <w:tc>
          <w:tcPr>
            <w:tcW w:w="10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Service cost</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Actuarial (gain) loss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Amendments</w:t>
            </w:r>
          </w:p>
        </w:tc>
        <w:tc>
          <w:tcPr>
            <w:tcW w:w="2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Curtailments</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exchange rate changes</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Plan participants’ contributions</w:t>
            </w:r>
          </w:p>
        </w:tc>
        <w:tc>
          <w:tcPr>
            <w:tcW w:w="2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Benefits paid</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3"/>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Projected benefit obligation as of December 31</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669.7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881.0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Fair value of plan assets at January 1</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657.8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477.4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Actual return on plan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Company contributions</w:t>
            </w:r>
          </w:p>
        </w:tc>
        <w:tc>
          <w:tcPr>
            <w:tcW w:w="2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exchange rate changes</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Plan participants’ contributions</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Benefits paid</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Fair value of plan assets as of December 31</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746.2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657.8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Funded status of the plans (liability) as of December 31</w:t>
            </w: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4"/>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gridSpan w:val="2"/>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Current portion of accrued pension and other post-retirement</w:t>
            </w: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1"/>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benefits</w:t>
            </w: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Accrued pension and other post-retirement benefits, net of</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(196.4)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(215.3)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(144.2)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(214.4)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current portion</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Funded status as of December 31</w:t>
            </w:r>
          </w:p>
        </w:tc>
        <w:tc>
          <w:tcPr>
            <w:tcW w:w="240" w:type="dxa"/>
            <w:vAlign w:val="bottom"/>
            <w:shd w:val="clear" w:color="auto" w:fill="CCEEFF"/>
          </w:tcPr>
          <w:p>
            <w:pPr>
              <w:jc w:val="right"/>
              <w:ind w:right="113"/>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30" w:name="page131"/>
    <w:bookmarkEnd w:id="130"/>
    <w:p>
      <w:pPr>
        <w:ind w:right="80"/>
        <w:spacing w:after="0" w:line="261" w:lineRule="auto"/>
        <w:rPr>
          <w:sz w:val="20"/>
          <w:szCs w:val="20"/>
          <w:color w:val="auto"/>
        </w:rPr>
      </w:pPr>
      <w:r>
        <w:rPr>
          <w:rFonts w:ascii="Arial" w:cs="Arial" w:eastAsia="Arial" w:hAnsi="Arial"/>
          <w:sz w:val="18"/>
          <w:szCs w:val="18"/>
          <w:color w:val="auto"/>
        </w:rPr>
        <w:t>The following table summarizes the pre-tax amounts in accumulated other comprehensive (income) loss as of December 31, 2020 and 2019 that have not been recognized as components of net periodic benefit cost:</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32" w:lineRule="exact"/>
        <w:rPr>
          <w:sz w:val="20"/>
          <w:szCs w:val="20"/>
          <w:color w:val="auto"/>
        </w:rPr>
      </w:pPr>
    </w:p>
    <w:p>
      <w:pPr>
        <w:ind w:left="20" w:right="560"/>
        <w:spacing w:after="0" w:line="239" w:lineRule="auto"/>
        <w:rPr>
          <w:sz w:val="20"/>
          <w:szCs w:val="20"/>
          <w:color w:val="auto"/>
        </w:rPr>
      </w:pPr>
      <w:r>
        <w:rPr>
          <w:rFonts w:ascii="Arial" w:cs="Arial" w:eastAsia="Arial" w:hAnsi="Arial"/>
          <w:sz w:val="14"/>
          <w:szCs w:val="14"/>
          <w:i w:val="1"/>
          <w:iCs w:val="1"/>
          <w:color w:val="auto"/>
        </w:rPr>
        <w:t>Pre-tax amounts recognized in accumulated other comprehensive (income) loss</w:t>
      </w:r>
    </w:p>
    <w:p>
      <w:pPr>
        <w:spacing w:after="0" w:line="17" w:lineRule="exact"/>
        <w:rPr>
          <w:sz w:val="20"/>
          <w:szCs w:val="20"/>
          <w:color w:val="auto"/>
        </w:rPr>
      </w:pPr>
    </w:p>
    <w:p>
      <w:pPr>
        <w:ind w:left="220" w:right="1520"/>
        <w:spacing w:after="0" w:line="269" w:lineRule="auto"/>
        <w:rPr>
          <w:sz w:val="20"/>
          <w:szCs w:val="20"/>
          <w:color w:val="auto"/>
        </w:rPr>
      </w:pPr>
      <w:r>
        <w:rPr>
          <w:rFonts w:ascii="Arial" w:cs="Arial" w:eastAsia="Arial" w:hAnsi="Arial"/>
          <w:sz w:val="14"/>
          <w:szCs w:val="14"/>
          <w:color w:val="auto"/>
        </w:rPr>
        <w:t>Unrecognized actuarial loss Unrecognized prior service cost</w:t>
      </w:r>
    </w:p>
    <w:p>
      <w:pPr>
        <w:ind w:left="20"/>
        <w:spacing w:after="0" w:line="243" w:lineRule="auto"/>
        <w:rPr>
          <w:sz w:val="20"/>
          <w:szCs w:val="20"/>
          <w:color w:val="auto"/>
        </w:rPr>
      </w:pPr>
      <w:r>
        <w:rPr>
          <w:rFonts w:ascii="Arial" w:cs="Arial" w:eastAsia="Arial" w:hAnsi="Arial"/>
          <w:sz w:val="14"/>
          <w:szCs w:val="14"/>
          <w:b w:val="1"/>
          <w:bCs w:val="1"/>
          <w:color w:val="auto"/>
        </w:rPr>
        <w:t>Accumulated other comprehensive (income) loss as of December 31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4"/>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4"/>
        </w:trPr>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-668020</wp:posOffset>
            </wp:positionV>
            <wp:extent cx="713232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-342265</wp:posOffset>
            </wp:positionV>
            <wp:extent cx="713232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760" w:space="240"/>
            <w:col w:w="7240"/>
          </w:cols>
          <w:pgMar w:left="320" w:top="1124" w:right="339" w:bottom="1440" w:gutter="0" w:footer="0" w:header="0"/>
          <w:type w:val="continuous"/>
        </w:sectPr>
      </w:pPr>
    </w:p>
    <w:p>
      <w:pPr>
        <w:ind w:right="480"/>
        <w:spacing w:after="0" w:line="261" w:lineRule="auto"/>
        <w:rPr>
          <w:sz w:val="20"/>
          <w:szCs w:val="20"/>
          <w:color w:val="auto"/>
        </w:rPr>
      </w:pPr>
      <w:r>
        <w:rPr>
          <w:rFonts w:ascii="Arial" w:cs="Arial" w:eastAsia="Arial" w:hAnsi="Arial"/>
          <w:sz w:val="18"/>
          <w:szCs w:val="18"/>
          <w:color w:val="auto"/>
        </w:rPr>
        <w:t>The following tables summarize the projected and accumulated benefit obligations and fair values of plan assets where the projected or accumulated benefit obligation exceeds the fair value of plan assets as of December 31, 2020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Pensions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3"/>
          </w:tcPr>
          <w:p>
            <w:pPr>
              <w:jc w:val="center"/>
              <w:ind w:left="308"/>
              <w:spacing w:after="0" w:line="135" w:lineRule="exact"/>
              <w:rPr>
                <w:sz w:val="20"/>
                <w:szCs w:val="20"/>
                <w:color w:val="auto"/>
              </w:rPr>
            </w:pPr>
            <w:r>
              <w:rPr>
                <w:rFonts w:ascii="Arial" w:cs="Arial" w:eastAsia="Arial" w:hAnsi="Arial"/>
                <w:sz w:val="14"/>
                <w:szCs w:val="14"/>
                <w:b w:val="1"/>
                <w:bCs w:val="1"/>
                <w:color w:val="auto"/>
              </w:rPr>
              <w:t>Post-retirement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Int’l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Int’l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i w:val="1"/>
                <w:iCs w:val="1"/>
                <w:color w:val="auto"/>
              </w:rPr>
              <w:t>Plans with underfunded or non-funded projected benefit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obligation</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20"/>
              <w:spacing w:after="0"/>
              <w:rPr>
                <w:sz w:val="20"/>
                <w:szCs w:val="20"/>
                <w:color w:val="auto"/>
              </w:rPr>
            </w:pPr>
            <w:r>
              <w:rPr>
                <w:rFonts w:ascii="Arial" w:cs="Arial" w:eastAsia="Arial" w:hAnsi="Arial"/>
                <w:sz w:val="14"/>
                <w:szCs w:val="14"/>
                <w:color w:val="auto"/>
              </w:rPr>
              <w:t>Aggregate projected benefit obligation</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684.7</w:t>
            </w: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818.7</w:t>
            </w:r>
          </w:p>
        </w:tc>
        <w:tc>
          <w:tcPr>
            <w:tcW w:w="4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668.4</w:t>
            </w: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741.2</w:t>
            </w:r>
          </w:p>
        </w:tc>
        <w:tc>
          <w:tcPr>
            <w:tcW w:w="860" w:type="dxa"/>
            <w:vAlign w:val="bottom"/>
            <w:gridSpan w:val="3"/>
          </w:tcPr>
          <w:p>
            <w:pPr>
              <w:jc w:val="right"/>
              <w:ind w:right="58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9.8</w:t>
            </w:r>
          </w:p>
        </w:tc>
        <w:tc>
          <w:tcPr>
            <w:tcW w:w="8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right="2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Aggregate fair value of plan assets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483.7</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596.7</w:t>
            </w: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518.8</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522.8</w:t>
            </w:r>
          </w:p>
        </w:tc>
        <w:tc>
          <w:tcPr>
            <w:tcW w:w="860" w:type="dxa"/>
            <w:vAlign w:val="bottom"/>
            <w:gridSpan w:val="3"/>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2"/>
        </w:trPr>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rPr>
              <w:t>Pensions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3"/>
          </w:tcPr>
          <w:p>
            <w:pPr>
              <w:jc w:val="center"/>
              <w:ind w:left="188"/>
              <w:spacing w:after="0" w:line="135" w:lineRule="exact"/>
              <w:rPr>
                <w:sz w:val="20"/>
                <w:szCs w:val="20"/>
                <w:color w:val="auto"/>
              </w:rPr>
            </w:pPr>
            <w:r>
              <w:rPr>
                <w:rFonts w:ascii="Arial" w:cs="Arial" w:eastAsia="Arial" w:hAnsi="Arial"/>
                <w:sz w:val="14"/>
                <w:szCs w:val="14"/>
                <w:b w:val="1"/>
                <w:bCs w:val="1"/>
                <w:color w:val="auto"/>
              </w:rPr>
              <w:t>Post-retirement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i w:val="1"/>
                <w:iCs w:val="1"/>
                <w:color w:val="auto"/>
              </w:rPr>
              <w:t>Plans with underfunded or non-funded accumulated benefit</w:t>
            </w: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obligation</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20"/>
              <w:spacing w:after="0"/>
              <w:rPr>
                <w:sz w:val="20"/>
                <w:szCs w:val="20"/>
                <w:color w:val="auto"/>
              </w:rPr>
            </w:pPr>
            <w:r>
              <w:rPr>
                <w:rFonts w:ascii="Arial" w:cs="Arial" w:eastAsia="Arial" w:hAnsi="Arial"/>
                <w:sz w:val="14"/>
                <w:szCs w:val="14"/>
                <w:color w:val="auto"/>
              </w:rPr>
              <w:t>Aggregate accumulated benefit obligation</w:t>
            </w: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684.7</w:t>
            </w:r>
          </w:p>
        </w:tc>
        <w:tc>
          <w:tcPr>
            <w:tcW w:w="80" w:type="dxa"/>
            <w:vAlign w:val="bottom"/>
          </w:tcPr>
          <w:p>
            <w:pPr>
              <w:spacing w:after="0"/>
              <w:rPr>
                <w:sz w:val="16"/>
                <w:szCs w:val="16"/>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325.7</w:t>
            </w:r>
          </w:p>
        </w:tc>
        <w:tc>
          <w:tcPr>
            <w:tcW w:w="60" w:type="dxa"/>
            <w:vAlign w:val="bottom"/>
          </w:tcPr>
          <w:p>
            <w:pPr>
              <w:spacing w:after="0"/>
              <w:rPr>
                <w:sz w:val="16"/>
                <w:szCs w:val="16"/>
                <w:color w:val="auto"/>
              </w:rPr>
            </w:pPr>
          </w:p>
        </w:tc>
        <w:tc>
          <w:tcPr>
            <w:tcW w:w="4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668.4</w:t>
            </w:r>
          </w:p>
        </w:tc>
        <w:tc>
          <w:tcPr>
            <w:tcW w:w="80" w:type="dxa"/>
            <w:vAlign w:val="bottom"/>
          </w:tcPr>
          <w:p>
            <w:pPr>
              <w:spacing w:after="0"/>
              <w:rPr>
                <w:sz w:val="16"/>
                <w:szCs w:val="16"/>
                <w:color w:val="auto"/>
              </w:rPr>
            </w:pPr>
          </w:p>
        </w:tc>
        <w:tc>
          <w:tcPr>
            <w:tcW w:w="3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292.1</w:t>
            </w:r>
          </w:p>
        </w:tc>
        <w:tc>
          <w:tcPr>
            <w:tcW w:w="80" w:type="dxa"/>
            <w:vAlign w:val="bottom"/>
          </w:tcPr>
          <w:p>
            <w:pPr>
              <w:spacing w:after="0"/>
              <w:rPr>
                <w:sz w:val="16"/>
                <w:szCs w:val="16"/>
                <w:color w:val="auto"/>
              </w:rPr>
            </w:pPr>
          </w:p>
        </w:tc>
        <w:tc>
          <w:tcPr>
            <w:tcW w:w="860" w:type="dxa"/>
            <w:vAlign w:val="bottom"/>
            <w:gridSpan w:val="3"/>
          </w:tcPr>
          <w:p>
            <w:pPr>
              <w:jc w:val="right"/>
              <w:ind w:right="6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Aggregate fair value of plan assets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483.7</w:t>
            </w:r>
          </w:p>
        </w:tc>
        <w:tc>
          <w:tcPr>
            <w:tcW w:w="8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154.0</w:t>
            </w:r>
          </w:p>
        </w:tc>
        <w:tc>
          <w:tcPr>
            <w:tcW w:w="6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8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31" w:name="page132"/>
    <w:bookmarkEnd w:id="131"/>
    <w:p>
      <w:pPr>
        <w:ind w:right="380"/>
        <w:spacing w:after="0" w:line="261" w:lineRule="auto"/>
        <w:rPr>
          <w:sz w:val="20"/>
          <w:szCs w:val="20"/>
          <w:color w:val="auto"/>
        </w:rPr>
      </w:pPr>
      <w:r>
        <w:rPr>
          <w:rFonts w:ascii="Arial" w:cs="Arial" w:eastAsia="Arial" w:hAnsi="Arial"/>
          <w:sz w:val="18"/>
          <w:szCs w:val="18"/>
          <w:color w:val="auto"/>
        </w:rPr>
        <w:t>The following table summarizes the components of net periodic benefit cost (income) for the years ended December 31, 2020, 2019 and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6"/>
          </w:tcPr>
          <w:p>
            <w:pPr>
              <w:jc w:val="center"/>
              <w:spacing w:after="0"/>
              <w:rPr>
                <w:sz w:val="20"/>
                <w:szCs w:val="20"/>
                <w:color w:val="auto"/>
              </w:rPr>
            </w:pPr>
            <w:r>
              <w:rPr>
                <w:rFonts w:ascii="Arial" w:cs="Arial" w:eastAsia="Arial" w:hAnsi="Arial"/>
                <w:sz w:val="14"/>
                <w:szCs w:val="14"/>
                <w:b w:val="1"/>
                <w:bCs w:val="1"/>
                <w:color w:val="auto"/>
              </w:rPr>
              <w:t>Other Post-retirement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Benefits</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i w:val="1"/>
                <w:iCs w:val="1"/>
                <w:color w:val="auto"/>
              </w:rPr>
              <w:t>Components of net periodic benefit</w:t>
            </w: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 (income)</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20"/>
              <w:spacing w:after="0"/>
              <w:rPr>
                <w:sz w:val="20"/>
                <w:szCs w:val="20"/>
                <w:color w:val="auto"/>
              </w:rPr>
            </w:pPr>
            <w:r>
              <w:rPr>
                <w:rFonts w:ascii="Arial" w:cs="Arial" w:eastAsia="Arial" w:hAnsi="Arial"/>
                <w:sz w:val="14"/>
                <w:szCs w:val="14"/>
                <w:color w:val="auto"/>
              </w:rPr>
              <w:t>Service cost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cost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9"/>
        </w:trPr>
        <w:tc>
          <w:tcPr>
            <w:tcW w:w="2500" w:type="dxa"/>
            <w:vAlign w:val="bottom"/>
          </w:tcPr>
          <w:p>
            <w:pPr>
              <w:ind w:left="220"/>
              <w:spacing w:after="0"/>
              <w:rPr>
                <w:sz w:val="20"/>
                <w:szCs w:val="20"/>
                <w:color w:val="auto"/>
              </w:rPr>
            </w:pPr>
            <w:r>
              <w:rPr>
                <w:rFonts w:ascii="Arial" w:cs="Arial" w:eastAsia="Arial" w:hAnsi="Arial"/>
                <w:sz w:val="14"/>
                <w:szCs w:val="14"/>
                <w:color w:val="auto"/>
              </w:rPr>
              <w:t>Expected return on plan assets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Settlement cost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00" w:type="dxa"/>
            <w:vAlign w:val="bottom"/>
          </w:tcPr>
          <w:p>
            <w:pPr>
              <w:ind w:left="220"/>
              <w:spacing w:after="0"/>
              <w:rPr>
                <w:sz w:val="20"/>
                <w:szCs w:val="20"/>
                <w:color w:val="auto"/>
              </w:rPr>
            </w:pPr>
            <w:r>
              <w:rPr>
                <w:rFonts w:ascii="Arial" w:cs="Arial" w:eastAsia="Arial" w:hAnsi="Arial"/>
                <w:sz w:val="14"/>
                <w:szCs w:val="14"/>
                <w:color w:val="auto"/>
              </w:rPr>
              <w:t>Curtailment benefit</w:t>
            </w: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Amortization of net actuarial loss</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0.1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w:t>
            </w: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00" w:type="dxa"/>
            <w:vAlign w:val="bottom"/>
          </w:tcPr>
          <w:p>
            <w:pPr>
              <w:ind w:left="220"/>
              <w:spacing w:after="0" w:line="153" w:lineRule="exact"/>
              <w:rPr>
                <w:sz w:val="20"/>
                <w:szCs w:val="20"/>
                <w:color w:val="auto"/>
              </w:rPr>
            </w:pPr>
            <w:r>
              <w:rPr>
                <w:rFonts w:ascii="Arial" w:cs="Arial" w:eastAsia="Arial" w:hAnsi="Arial"/>
                <w:sz w:val="14"/>
                <w:szCs w:val="14"/>
                <w:color w:val="auto"/>
              </w:rPr>
              <w:t>Amortization of prior service cost</w:t>
            </w:r>
          </w:p>
        </w:tc>
        <w:tc>
          <w:tcPr>
            <w:tcW w:w="20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rPr>
                <w:sz w:val="20"/>
                <w:szCs w:val="20"/>
                <w:color w:val="auto"/>
              </w:rPr>
            </w:pPr>
            <w:r>
              <w:rPr>
                <w:rFonts w:ascii="Arial" w:cs="Arial" w:eastAsia="Arial" w:hAnsi="Arial"/>
                <w:sz w:val="14"/>
                <w:szCs w:val="14"/>
                <w:color w:val="auto"/>
              </w:rPr>
              <w:t>(credit)</w:t>
            </w: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periodic benefit cost (income)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summarizes changes in plan assets and benefit obligations recognized in other comprehensive income (loss) for the years ended December 31, 2020, 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center"/>
              <w:ind w:left="388"/>
              <w:spacing w:after="0"/>
              <w:rPr>
                <w:sz w:val="20"/>
                <w:szCs w:val="20"/>
                <w:color w:val="auto"/>
              </w:rPr>
            </w:pPr>
            <w:r>
              <w:rPr>
                <w:rFonts w:ascii="Arial" w:cs="Arial" w:eastAsia="Arial" w:hAnsi="Arial"/>
                <w:sz w:val="14"/>
                <w:szCs w:val="14"/>
                <w:b w:val="1"/>
                <w:bCs w:val="1"/>
                <w:color w:val="auto"/>
              </w:rPr>
              <w:t>Other Post-retirement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Benefits</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i w:val="1"/>
                <w:iCs w:val="1"/>
                <w:color w:val="auto"/>
              </w:rPr>
              <w:t>Changes in plan assets and benefit</w:t>
            </w: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i w:val="1"/>
                <w:iCs w:val="1"/>
                <w:color w:val="auto"/>
              </w:rPr>
              <w:t>obligations recognized in other</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comprehensive income (loss)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500" w:type="dxa"/>
            <w:vAlign w:val="bottom"/>
          </w:tcPr>
          <w:p>
            <w:pPr>
              <w:ind w:left="220"/>
              <w:spacing w:after="0" w:line="153" w:lineRule="exact"/>
              <w:rPr>
                <w:sz w:val="20"/>
                <w:szCs w:val="20"/>
                <w:color w:val="auto"/>
              </w:rPr>
            </w:pPr>
            <w:r>
              <w:rPr>
                <w:rFonts w:ascii="Arial" w:cs="Arial" w:eastAsia="Arial" w:hAnsi="Arial"/>
                <w:sz w:val="14"/>
                <w:szCs w:val="14"/>
                <w:color w:val="auto"/>
              </w:rPr>
              <w:t>Net actuarial gain (loss) arising</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rPr>
                <w:sz w:val="20"/>
                <w:szCs w:val="20"/>
                <w:color w:val="auto"/>
              </w:rPr>
            </w:pPr>
            <w:r>
              <w:rPr>
                <w:rFonts w:ascii="Arial" w:cs="Arial" w:eastAsia="Arial" w:hAnsi="Arial"/>
                <w:sz w:val="14"/>
                <w:szCs w:val="14"/>
                <w:color w:val="auto"/>
              </w:rPr>
              <w:t>during period</w:t>
            </w: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Prior service (cost) credit arising</w:t>
            </w:r>
          </w:p>
        </w:tc>
        <w:tc>
          <w:tcPr>
            <w:tcW w:w="2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during period</w:t>
            </w:r>
          </w:p>
        </w:tc>
        <w:tc>
          <w:tcPr>
            <w:tcW w:w="2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20"/>
              <w:spacing w:after="0"/>
              <w:rPr>
                <w:sz w:val="20"/>
                <w:szCs w:val="20"/>
                <w:color w:val="auto"/>
              </w:rPr>
            </w:pPr>
            <w:r>
              <w:rPr>
                <w:rFonts w:ascii="Arial" w:cs="Arial" w:eastAsia="Arial" w:hAnsi="Arial"/>
                <w:sz w:val="14"/>
                <w:szCs w:val="14"/>
                <w:color w:val="auto"/>
              </w:rPr>
              <w:t>Settlements and curtailments</w:t>
            </w: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Amortization of net actuarial loss</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w:t>
            </w: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00" w:type="dxa"/>
            <w:vAlign w:val="bottom"/>
          </w:tcPr>
          <w:p>
            <w:pPr>
              <w:ind w:left="220"/>
              <w:spacing w:after="0" w:line="153" w:lineRule="exact"/>
              <w:rPr>
                <w:sz w:val="20"/>
                <w:szCs w:val="20"/>
                <w:color w:val="auto"/>
              </w:rPr>
            </w:pPr>
            <w:r>
              <w:rPr>
                <w:rFonts w:ascii="Arial" w:cs="Arial" w:eastAsia="Arial" w:hAnsi="Arial"/>
                <w:sz w:val="14"/>
                <w:szCs w:val="14"/>
                <w:color w:val="auto"/>
              </w:rPr>
              <w:t>Amortization of prior service cost</w:t>
            </w:r>
          </w:p>
        </w:tc>
        <w:tc>
          <w:tcPr>
            <w:tcW w:w="20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rPr>
                <w:sz w:val="20"/>
                <w:szCs w:val="20"/>
                <w:color w:val="auto"/>
              </w:rPr>
            </w:pPr>
            <w:r>
              <w:rPr>
                <w:rFonts w:ascii="Arial" w:cs="Arial" w:eastAsia="Arial" w:hAnsi="Arial"/>
                <w:sz w:val="14"/>
                <w:szCs w:val="14"/>
                <w:color w:val="auto"/>
              </w:rPr>
              <w:t>(credit)</w:t>
            </w: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29"/>
        </w:trPr>
        <w:tc>
          <w:tcPr>
            <w:tcW w:w="2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recognized in other</w:t>
            </w: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1"/>
                <w:szCs w:val="11"/>
                <w:color w:val="auto"/>
              </w:rPr>
            </w:pP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ind w:left="36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comprehensive income (loss)</w:t>
            </w: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Included in accumulated other comprehensive income (loss) as of December 31, 2020, are noncash, pre -tax charges which have not yet been recognized in net periodic benefit cost (income). The estimated amounts expected to be amortized from the portion of each component of accumulated other comprehensive income (loss) as a component of net period benefit cost (income), during the next fiscal year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Pensions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5"/>
                <w:szCs w:val="15"/>
                <w:color w:val="auto"/>
              </w:rPr>
            </w:pPr>
          </w:p>
        </w:tc>
        <w:tc>
          <w:tcPr>
            <w:tcW w:w="1020" w:type="dxa"/>
            <w:vAlign w:val="bottom"/>
          </w:tcPr>
          <w:p>
            <w:pPr>
              <w:jc w:val="right"/>
              <w:ind w:right="528"/>
              <w:spacing w:after="0"/>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actuarial losses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70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 xml:space="preserve">Key assumptions - </w:t>
      </w:r>
      <w:r>
        <w:rPr>
          <w:rFonts w:ascii="Arial" w:cs="Arial" w:eastAsia="Arial" w:hAnsi="Arial"/>
          <w:sz w:val="18"/>
          <w:szCs w:val="18"/>
          <w:color w:val="auto"/>
        </w:rPr>
        <w:t>The following weighted-average assumptions were used to determine the benefit obligations: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rPr>
              <w:t>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Pensions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4"/>
          </w:tcPr>
          <w:p>
            <w:pPr>
              <w:ind w:left="720"/>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b w:val="1"/>
                <w:bCs w:val="1"/>
                <w:color w:val="auto"/>
              </w:rPr>
              <w:t>Benefits</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5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U.S.</w:t>
            </w: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Int’l</w:t>
            </w:r>
          </w:p>
        </w:tc>
        <w:tc>
          <w:tcPr>
            <w:tcW w:w="12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U.S.</w:t>
            </w:r>
          </w:p>
        </w:tc>
        <w:tc>
          <w:tcPr>
            <w:tcW w:w="900" w:type="dxa"/>
            <w:vAlign w:val="bottom"/>
          </w:tcPr>
          <w:p>
            <w:pPr>
              <w:jc w:val="right"/>
              <w:ind w:right="388"/>
              <w:spacing w:after="0"/>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280" w:type="dxa"/>
            <w:vAlign w:val="bottom"/>
            <w:tcBorders>
              <w:top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3.47 %</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4.31 %</w:t>
            </w:r>
          </w:p>
        </w:tc>
        <w:tc>
          <w:tcPr>
            <w:tcW w:w="0" w:type="dxa"/>
            <w:vAlign w:val="bottom"/>
          </w:tcPr>
          <w:p>
            <w:pPr>
              <w:spacing w:after="0"/>
              <w:rPr>
                <w:sz w:val="1"/>
                <w:szCs w:val="1"/>
                <w:color w:val="auto"/>
              </w:rPr>
            </w:pPr>
          </w:p>
        </w:tc>
      </w:tr>
      <w:tr>
        <w:trPr>
          <w:trHeight w:val="190"/>
        </w:trPr>
        <w:tc>
          <w:tcPr>
            <w:tcW w:w="3540" w:type="dxa"/>
            <w:vAlign w:val="bottom"/>
          </w:tcPr>
          <w:p>
            <w:pPr>
              <w:ind w:left="20"/>
              <w:spacing w:after="0"/>
              <w:rPr>
                <w:sz w:val="20"/>
                <w:szCs w:val="20"/>
                <w:color w:val="auto"/>
              </w:rPr>
            </w:pPr>
            <w:r>
              <w:rPr>
                <w:rFonts w:ascii="Arial" w:cs="Arial" w:eastAsia="Arial" w:hAnsi="Arial"/>
                <w:sz w:val="14"/>
                <w:szCs w:val="14"/>
                <w:color w:val="auto"/>
              </w:rPr>
              <w:t>Rate of compensation increase</w:t>
            </w:r>
          </w:p>
        </w:tc>
        <w:tc>
          <w:tcPr>
            <w:tcW w:w="1560" w:type="dxa"/>
            <w:vAlign w:val="bottom"/>
            <w:gridSpan w:val="3"/>
          </w:tcPr>
          <w:p>
            <w:pPr>
              <w:jc w:val="right"/>
              <w:ind w:right="420"/>
              <w:spacing w:after="0"/>
              <w:rPr>
                <w:sz w:val="20"/>
                <w:szCs w:val="20"/>
                <w:color w:val="auto"/>
              </w:rPr>
            </w:pPr>
            <w:r>
              <w:rPr>
                <w:rFonts w:ascii="Arial" w:cs="Arial" w:eastAsia="Arial" w:hAnsi="Arial"/>
                <w:sz w:val="14"/>
                <w:szCs w:val="14"/>
                <w:color w:val="auto"/>
              </w:rPr>
              <w:t>N/A</w:t>
            </w:r>
          </w:p>
        </w:tc>
        <w:tc>
          <w:tcPr>
            <w:tcW w:w="880" w:type="dxa"/>
            <w:vAlign w:val="bottom"/>
          </w:tcPr>
          <w:p>
            <w:pPr>
              <w:jc w:val="right"/>
              <w:spacing w:after="0"/>
              <w:rPr>
                <w:sz w:val="20"/>
                <w:szCs w:val="20"/>
                <w:color w:val="auto"/>
              </w:rPr>
            </w:pPr>
            <w:r>
              <w:rPr>
                <w:rFonts w:ascii="Arial" w:cs="Arial" w:eastAsia="Arial" w:hAnsi="Arial"/>
                <w:sz w:val="14"/>
                <w:szCs w:val="14"/>
                <w:color w:val="auto"/>
              </w:rPr>
              <w:t>1.92 %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color w:val="auto"/>
              </w:rPr>
              <w:t>N/A</w:t>
            </w:r>
          </w:p>
        </w:tc>
        <w:tc>
          <w:tcPr>
            <w:tcW w:w="900" w:type="dxa"/>
            <w:vAlign w:val="bottom"/>
          </w:tcPr>
          <w:p>
            <w:pPr>
              <w:jc w:val="right"/>
              <w:spacing w:after="0"/>
              <w:rPr>
                <w:sz w:val="20"/>
                <w:szCs w:val="20"/>
                <w:color w:val="auto"/>
              </w:rPr>
            </w:pPr>
            <w:r>
              <w:rPr>
                <w:rFonts w:ascii="Arial" w:cs="Arial" w:eastAsia="Arial" w:hAnsi="Arial"/>
                <w:sz w:val="14"/>
                <w:szCs w:val="14"/>
                <w:color w:val="auto"/>
              </w:rPr>
              <w:t>2.39 %</w:t>
            </w:r>
          </w:p>
        </w:tc>
        <w:tc>
          <w:tcPr>
            <w:tcW w:w="1280" w:type="dxa"/>
            <w:vAlign w:val="bottom"/>
            <w:gridSpan w:val="2"/>
          </w:tcPr>
          <w:p>
            <w:pPr>
              <w:ind w:left="820"/>
              <w:spacing w:after="0"/>
              <w:rPr>
                <w:sz w:val="20"/>
                <w:szCs w:val="20"/>
                <w:color w:val="auto"/>
              </w:rPr>
            </w:pPr>
            <w:r>
              <w:rPr>
                <w:rFonts w:ascii="Arial" w:cs="Arial" w:eastAsia="Arial" w:hAnsi="Arial"/>
                <w:sz w:val="14"/>
                <w:szCs w:val="14"/>
                <w:color w:val="auto"/>
              </w:rPr>
              <w:t>4.00 %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4.00 %</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determine net periodic benefit cost: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jc w:val="center"/>
              <w:ind w:left="508"/>
              <w:spacing w:after="0"/>
              <w:rPr>
                <w:sz w:val="20"/>
                <w:szCs w:val="20"/>
                <w:color w:val="auto"/>
              </w:rPr>
            </w:pPr>
            <w:r>
              <w:rPr>
                <w:rFonts w:ascii="Arial" w:cs="Arial" w:eastAsia="Arial" w:hAnsi="Arial"/>
                <w:sz w:val="14"/>
                <w:szCs w:val="14"/>
                <w:b w:val="1"/>
                <w:bCs w:val="1"/>
                <w:color w:val="auto"/>
              </w:rPr>
              <w:t>Pensions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rPr>
              <w:t>Post-retirement</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Benefits</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U.S.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Int’l</w:t>
            </w: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w:t>
            </w: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4.40 %</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2.56 %</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2.39 %</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4.31 %</w:t>
            </w: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5.04 %</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4.33 %</w:t>
            </w:r>
          </w:p>
        </w:tc>
        <w:tc>
          <w:tcPr>
            <w:tcW w:w="0" w:type="dxa"/>
            <w:vAlign w:val="bottom"/>
          </w:tcPr>
          <w:p>
            <w:pPr>
              <w:spacing w:after="0"/>
              <w:rPr>
                <w:sz w:val="1"/>
                <w:szCs w:val="1"/>
                <w:color w:val="auto"/>
              </w:rPr>
            </w:pPr>
          </w:p>
        </w:tc>
      </w:tr>
      <w:tr>
        <w:trPr>
          <w:trHeight w:val="189"/>
        </w:trPr>
        <w:tc>
          <w:tcPr>
            <w:tcW w:w="2180" w:type="dxa"/>
            <w:vAlign w:val="bottom"/>
          </w:tcPr>
          <w:p>
            <w:pPr>
              <w:ind w:left="20"/>
              <w:spacing w:after="0"/>
              <w:rPr>
                <w:sz w:val="20"/>
                <w:szCs w:val="20"/>
                <w:color w:val="auto"/>
              </w:rPr>
            </w:pPr>
            <w:r>
              <w:rPr>
                <w:rFonts w:ascii="Arial" w:cs="Arial" w:eastAsia="Arial" w:hAnsi="Arial"/>
                <w:sz w:val="14"/>
                <w:szCs w:val="14"/>
                <w:color w:val="auto"/>
              </w:rPr>
              <w:t>Rate of compensation increase</w:t>
            </w:r>
          </w:p>
        </w:tc>
        <w:tc>
          <w:tcPr>
            <w:tcW w:w="1220" w:type="dxa"/>
            <w:vAlign w:val="bottom"/>
            <w:gridSpan w:val="3"/>
          </w:tcPr>
          <w:p>
            <w:pPr>
              <w:jc w:val="right"/>
              <w:ind w:right="340"/>
              <w:spacing w:after="0"/>
              <w:rPr>
                <w:sz w:val="20"/>
                <w:szCs w:val="20"/>
                <w:color w:val="auto"/>
              </w:rPr>
            </w:pPr>
            <w:r>
              <w:rPr>
                <w:rFonts w:ascii="Arial" w:cs="Arial" w:eastAsia="Arial" w:hAnsi="Arial"/>
                <w:sz w:val="14"/>
                <w:szCs w:val="14"/>
                <w:color w:val="auto"/>
              </w:rPr>
              <w:t>N/A</w:t>
            </w:r>
          </w:p>
        </w:tc>
        <w:tc>
          <w:tcPr>
            <w:tcW w:w="680" w:type="dxa"/>
            <w:vAlign w:val="bottom"/>
          </w:tcPr>
          <w:p>
            <w:pPr>
              <w:jc w:val="right"/>
              <w:spacing w:after="0"/>
              <w:rPr>
                <w:sz w:val="20"/>
                <w:szCs w:val="20"/>
                <w:color w:val="auto"/>
              </w:rPr>
            </w:pPr>
            <w:r>
              <w:rPr>
                <w:rFonts w:ascii="Arial" w:cs="Arial" w:eastAsia="Arial" w:hAnsi="Arial"/>
                <w:sz w:val="14"/>
                <w:szCs w:val="14"/>
                <w:color w:val="auto"/>
              </w:rPr>
              <w:t>2.33 %</w:t>
            </w:r>
          </w:p>
        </w:tc>
        <w:tc>
          <w:tcPr>
            <w:tcW w:w="120" w:type="dxa"/>
            <w:vAlign w:val="bottom"/>
          </w:tcPr>
          <w:p>
            <w:pPr>
              <w:spacing w:after="0"/>
              <w:rPr>
                <w:sz w:val="16"/>
                <w:szCs w:val="16"/>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2.34 %</w:t>
            </w:r>
          </w:p>
        </w:tc>
        <w:tc>
          <w:tcPr>
            <w:tcW w:w="120" w:type="dxa"/>
            <w:vAlign w:val="bottom"/>
          </w:tcPr>
          <w:p>
            <w:pPr>
              <w:spacing w:after="0"/>
              <w:rPr>
                <w:sz w:val="16"/>
                <w:szCs w:val="16"/>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color w:val="auto"/>
              </w:rPr>
              <w:t>N/A</w:t>
            </w:r>
          </w:p>
        </w:tc>
        <w:tc>
          <w:tcPr>
            <w:tcW w:w="680" w:type="dxa"/>
            <w:vAlign w:val="bottom"/>
          </w:tcPr>
          <w:p>
            <w:pPr>
              <w:jc w:val="right"/>
              <w:spacing w:after="0"/>
              <w:rPr>
                <w:sz w:val="20"/>
                <w:szCs w:val="20"/>
                <w:color w:val="auto"/>
              </w:rPr>
            </w:pPr>
            <w:r>
              <w:rPr>
                <w:rFonts w:ascii="Arial" w:cs="Arial" w:eastAsia="Arial" w:hAnsi="Arial"/>
                <w:sz w:val="14"/>
                <w:szCs w:val="14"/>
                <w:color w:val="auto"/>
              </w:rPr>
              <w:t>2.39 %</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4.00 %</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4.00 %</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4.00 %</w:t>
            </w:r>
          </w:p>
        </w:tc>
        <w:tc>
          <w:tcPr>
            <w:tcW w:w="0" w:type="dxa"/>
            <w:vAlign w:val="bottom"/>
          </w:tcPr>
          <w:p>
            <w:pPr>
              <w:spacing w:after="0"/>
              <w:rPr>
                <w:sz w:val="1"/>
                <w:szCs w:val="1"/>
                <w:color w:val="auto"/>
              </w:rPr>
            </w:pPr>
          </w:p>
        </w:tc>
      </w:tr>
      <w:tr>
        <w:trPr>
          <w:trHeight w:val="153"/>
        </w:trPr>
        <w:tc>
          <w:tcPr>
            <w:tcW w:w="21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Expected rate of return on plan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7.75 %</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4.84 %</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8.65 %</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5.04 %</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8.57 %</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4.90 %</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Our estimate of expected rate of return on plan assets is primarily based on the historical performance of plan assets, current market conditions, our asset allocation and long-term growth expectations.</w:t>
      </w:r>
    </w:p>
    <w:p>
      <w:pPr>
        <w:spacing w:after="0" w:line="12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Plan assets - </w:t>
      </w:r>
      <w:r>
        <w:rPr>
          <w:rFonts w:ascii="Arial" w:cs="Arial" w:eastAsia="Arial" w:hAnsi="Arial"/>
          <w:sz w:val="18"/>
          <w:szCs w:val="18"/>
          <w:color w:val="auto"/>
        </w:rPr>
        <w:t>We actively monitor how the duration and the expected yield of the investments are matching the expected cash outflows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from the pension obligations. We have not changed the processes used to manage its risks from previous periods. Investments are well diversified, such that the failure of any single investment would not have a material impact on the overall level of assets</w:t>
      </w:r>
      <w:r>
        <w:rPr>
          <w:rFonts w:ascii="Arial" w:cs="Arial" w:eastAsia="Arial" w:hAnsi="Arial"/>
          <w:sz w:val="18"/>
          <w:szCs w:val="18"/>
          <w:i w:val="1"/>
          <w:iCs w:val="1"/>
          <w:color w:val="auto"/>
        </w:rPr>
        <w:t>.</w:t>
      </w:r>
      <w:r>
        <w:rPr>
          <w:rFonts w:ascii="Arial" w:cs="Arial" w:eastAsia="Arial" w:hAnsi="Arial"/>
          <w:sz w:val="18"/>
          <w:szCs w:val="18"/>
          <w:color w:val="auto"/>
        </w:rPr>
        <w:t xml:space="preserve"> Our pension investment strategy emphasizes maximizing returns consistent with balancing risk. Excluding our international plans with insurance-based investments, 86% of our total pension plan assets represent the U.S. qualified plan and the U.K. plan. These plans are primarily invested in equity securities to maximize the long-term returns of the plans. The investment managers of these assets, including the hedge funds and limited partnerships, use Graham and Dodd fundamental investment analysis to select securities that have a margin of safety between the price of the security and the estimated value of the security. This value-oriented approach tends to mitigate the risk of a large equity allocation.</w:t>
      </w:r>
    </w:p>
    <w:p>
      <w:pPr>
        <w:spacing w:after="0" w:line="15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is a description of the valuation methodologies used for the pension plan assets. There have been no changes in the methodologies used as of December 31, 2020 and 2019.</w:t>
      </w:r>
    </w:p>
    <w:p>
      <w:pPr>
        <w:spacing w:after="0" w:line="144"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is valued at cost, which approximates fair value.</w:t>
      </w:r>
    </w:p>
    <w:p>
      <w:pPr>
        <w:spacing w:after="0" w:line="171"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Equity securities are comprised of common stock and preferred stock. The fair values of equity securities are valued at the closing price reported on the active market on which the securities are traded.</w:t>
      </w:r>
    </w:p>
    <w:p>
      <w:pPr>
        <w:spacing w:after="0" w:line="143"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Fair values of registered investment companies and common/collective trusts are valued based on quoted market prices, which represent the net asset value (“NAV”) of shares held. Registered investment companies primarily include investments in emerging market bonds. Common/collective trusts primarily includes money market instruments with short maturities.</w:t>
      </w:r>
    </w:p>
    <w:p>
      <w:pPr>
        <w:spacing w:after="0" w:line="147"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Insurance contracts are valued at book value, which approximates fair value, and is calculated using the prior-year balance plus or minus investment returns and changes in cash flows.</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fair values of hedge funds are valued using the NAV as determined by the administrator or custodian of the fund. The funds primarily invest in U.S. and international equities, debt securities and other hedge funds.</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fair values of limited partnerships are valued using the NAV as determined by the administrator or custodian of the fund. The partnerships primarily invest in U.S. and international equities and debt securities.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133" w:name="page134"/>
    <w:bookmarkEnd w:id="133"/>
    <w:p>
      <w:pPr>
        <w:ind w:left="660" w:right="280" w:hanging="328"/>
        <w:spacing w:after="0" w:line="261"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Real estate and other investments primarily consist of real estate investment trusts and other investments. These investments are measured at quoted market prices, which represent the NAV of the securities held in such funds at year end.</w:t>
      </w:r>
    </w:p>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pension plan assets measured at fair value on a recurring basis are as follows as of December 31, 2020 and 2019. Refer to “Fair value measurements” in Note 1 to these consolidated financial statements for a description of the levels.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International</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12"/>
                <w:szCs w:val="12"/>
                <w:color w:val="auto"/>
              </w:rPr>
            </w:pPr>
          </w:p>
        </w:tc>
        <w:tc>
          <w:tcPr>
            <w:tcW w:w="9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Net Asset</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80" w:type="dxa"/>
            <w:vAlign w:val="bottom"/>
            <w:vMerge w:val="restart"/>
          </w:tcPr>
          <w:p>
            <w:pPr>
              <w:spacing w:after="0"/>
              <w:rPr>
                <w:sz w:val="12"/>
                <w:szCs w:val="12"/>
                <w:color w:val="auto"/>
              </w:rPr>
            </w:pPr>
          </w:p>
        </w:tc>
        <w:tc>
          <w:tcPr>
            <w:tcW w:w="82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Net Asset</w:t>
            </w:r>
          </w:p>
        </w:tc>
        <w:tc>
          <w:tcPr>
            <w:tcW w:w="0" w:type="dxa"/>
            <w:vAlign w:val="bottom"/>
          </w:tcPr>
          <w:p>
            <w:pPr>
              <w:spacing w:after="0"/>
              <w:rPr>
                <w:sz w:val="1"/>
                <w:szCs w:val="1"/>
                <w:color w:val="auto"/>
              </w:rPr>
            </w:pPr>
          </w:p>
        </w:tc>
      </w:tr>
      <w:tr>
        <w:trPr>
          <w:trHeight w:val="175"/>
        </w:trPr>
        <w:tc>
          <w:tcPr>
            <w:tcW w:w="22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line="176"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8"/>
                <w:szCs w:val="18"/>
                <w:b w:val="1"/>
                <w:bCs w:val="1"/>
                <w:color w:val="auto"/>
                <w:w w:val="92"/>
                <w:vertAlign w:val="superscript"/>
              </w:rPr>
              <w:t>(a)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line="176" w:lineRule="exact"/>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8"/>
                <w:szCs w:val="18"/>
                <w:b w:val="1"/>
                <w:bCs w:val="1"/>
                <w:color w:val="auto"/>
                <w:w w:val="96"/>
                <w:vertAlign w:val="superscript"/>
              </w:rPr>
              <w:t>(a)</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i w:val="1"/>
                <w:iCs w:val="1"/>
                <w:color w:val="auto"/>
              </w:rPr>
              <w:t>Equity securities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companies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20"/>
              <w:spacing w:after="0"/>
              <w:rPr>
                <w:sz w:val="20"/>
                <w:szCs w:val="20"/>
                <w:color w:val="auto"/>
              </w:rPr>
            </w:pPr>
            <w:r>
              <w:rPr>
                <w:rFonts w:ascii="Arial" w:cs="Arial" w:eastAsia="Arial" w:hAnsi="Arial"/>
                <w:sz w:val="14"/>
                <w:szCs w:val="14"/>
                <w:color w:val="auto"/>
              </w:rPr>
              <w:t>International companies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Registered investment companies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Insurance contracts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 funds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Limited partnerships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3"/>
        </w:trPr>
        <w:tc>
          <w:tcPr>
            <w:tcW w:w="22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Real estate and other</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483.7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123.5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360.2</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746.2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411.2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i w:val="1"/>
                <w:iCs w:val="1"/>
                <w:color w:val="auto"/>
              </w:rPr>
              <w:t>Equity securities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companies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20"/>
              <w:spacing w:after="0"/>
              <w:rPr>
                <w:sz w:val="20"/>
                <w:szCs w:val="20"/>
                <w:color w:val="auto"/>
              </w:rPr>
            </w:pPr>
            <w:r>
              <w:rPr>
                <w:rFonts w:ascii="Arial" w:cs="Arial" w:eastAsia="Arial" w:hAnsi="Arial"/>
                <w:sz w:val="14"/>
                <w:szCs w:val="14"/>
                <w:color w:val="auto"/>
              </w:rPr>
              <w:t>International companies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Registered investment companies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Common/collective trusts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Insurance contracts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Hedge funds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Limited partnerships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3"/>
        </w:trPr>
        <w:tc>
          <w:tcPr>
            <w:tcW w:w="2220" w:type="dxa"/>
            <w:vAlign w:val="bottom"/>
          </w:tcPr>
          <w:p>
            <w:pPr>
              <w:ind w:left="220"/>
              <w:spacing w:after="0" w:line="153" w:lineRule="exact"/>
              <w:rPr>
                <w:sz w:val="20"/>
                <w:szCs w:val="20"/>
                <w:color w:val="auto"/>
              </w:rPr>
            </w:pPr>
            <w:r>
              <w:rPr>
                <w:rFonts w:ascii="Arial" w:cs="Arial" w:eastAsia="Arial" w:hAnsi="Arial"/>
                <w:sz w:val="14"/>
                <w:szCs w:val="14"/>
                <w:color w:val="auto"/>
              </w:rPr>
              <w:t>Real estate and other</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investments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Contributions - </w:t>
      </w:r>
      <w:r>
        <w:rPr>
          <w:rFonts w:ascii="Arial" w:cs="Arial" w:eastAsia="Arial" w:hAnsi="Arial"/>
          <w:sz w:val="18"/>
          <w:szCs w:val="18"/>
          <w:color w:val="auto"/>
        </w:rPr>
        <w:t>We expect to contribute approximately $20.7 million to our international pension plans, representing primarily the Netherlands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pension plans and U.K. qualified pension plans. We do not expect to make any contributions to our U.S. Qualified Pension Plan and our U.S. Non-Qualified Defined Benefit Pension Plan in 2021. All of the contributions are expected to be in the form of cash. In 2020 and 2019, we contributed $28.7 million and $6.9 million to all pension plans, respectively. Subsequent to the Spin-off, we expect to contribute approximately $18.9 million to our non-U.S. pension plans.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right="780"/>
        <w:spacing w:after="0" w:line="282" w:lineRule="auto"/>
        <w:rPr>
          <w:sz w:val="20"/>
          <w:szCs w:val="20"/>
          <w:color w:val="auto"/>
        </w:rPr>
      </w:pPr>
      <w:r>
        <w:rPr>
          <w:rFonts w:ascii="Arial" w:cs="Arial" w:eastAsia="Arial" w:hAnsi="Arial"/>
          <w:sz w:val="18"/>
          <w:szCs w:val="18"/>
          <w:i w:val="1"/>
          <w:iCs w:val="1"/>
          <w:color w:val="auto"/>
        </w:rPr>
        <w:t xml:space="preserve">Estimated future benefit payments - </w:t>
      </w:r>
      <w:r>
        <w:rPr>
          <w:rFonts w:ascii="Arial" w:cs="Arial" w:eastAsia="Arial" w:hAnsi="Arial"/>
          <w:sz w:val="18"/>
          <w:szCs w:val="18"/>
          <w:color w:val="auto"/>
        </w:rPr>
        <w:t>The following table summarizes expected benefit payments from our various pension and post-retirement benefit plans through 2028. Actual benefit payments may differ from expected benefit payments.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2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2024</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0"/>
        </w:trPr>
        <w:tc>
          <w:tcPr>
            <w:tcW w:w="6700" w:type="dxa"/>
            <w:vAlign w:val="bottom"/>
          </w:tcPr>
          <w:p>
            <w:pPr>
              <w:ind w:left="20"/>
              <w:spacing w:after="0"/>
              <w:rPr>
                <w:sz w:val="20"/>
                <w:szCs w:val="20"/>
                <w:color w:val="auto"/>
              </w:rPr>
            </w:pPr>
            <w:r>
              <w:rPr>
                <w:rFonts w:ascii="Arial" w:cs="Arial" w:eastAsia="Arial" w:hAnsi="Arial"/>
                <w:sz w:val="14"/>
                <w:szCs w:val="14"/>
                <w:color w:val="auto"/>
              </w:rPr>
              <w:t>2025-2029</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198.3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i w:val="1"/>
          <w:iCs w:val="1"/>
          <w:color w:val="auto"/>
        </w:rPr>
        <w:t xml:space="preserve">Savings plans - </w:t>
      </w:r>
      <w:r>
        <w:rPr>
          <w:rFonts w:ascii="Arial" w:cs="Arial" w:eastAsia="Arial" w:hAnsi="Arial"/>
          <w:sz w:val="18"/>
          <w:szCs w:val="18"/>
          <w:color w:val="auto"/>
        </w:rPr>
        <w:t>The TechnipFMC Retirement Savings Plan (“Qualified Plan”), a qualified salary reduction plan under Section 401(k)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Code, is a defined contribution plan. Additionally, we have a non-qualified deferred compensation plan, the Non-Qualified Plan, which allows certain highly compensated employees the option to defer the receipt of a portion of their salary. We match a portion of the participants’ deferrals to both plans. Both plans relate to FMC Technologies, Inc.</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Participants in the Non-Qualified Plan earn a return based on hypothetical investments in the same options as our 401(k) plan. Changes in the market value of these participant investments are reflected as an adjustment to the deferred compensation liability with an offset to other income (expense), net. As of December 31, 2020 and 2019, our liability for the Non-Qualified Plan was $22.8 million and $26.3 million, respectively, and was recorded in other liabilities in our consolidated balance sheets. We hedge the financial impact of changes in the participants’ hypothetical investments by purchasing the investments that the participants have chosen. Changes in the fair value of these investments are recognized as an offset to other income (expense), net in our consolidated statements of income. As of December 31, 2020 and 2019, we had investments for the Non-Qualified Plan totaling $22.8 million and $26.3 million at fair market value, respectively.</w:t>
      </w:r>
    </w:p>
    <w:p>
      <w:pPr>
        <w:spacing w:after="0" w:line="15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years ended December 31, 2020, and 2019 we recognized expense of $29.9 million and $34.0 million, respectively for matching contributions to these plans in 2020 and 2019, respectively. Additionally, during the years ended December 31, 2020 and 2019, we recognized expense of $12.1 million and $13.2 million, respectively, for non-elective contributions.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DERIVATIVE FINANCIAL INSTRUMENTS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is reflected in earnings in the period such change occurs.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purchase or sale commitments denominated in foreign currencies and recorded assets and liabilities in our consolidated balance sheets. As of December 31, 2020, we held the following material net positions: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30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rPr>
              <w:t>Net Notional Amount</w:t>
            </w:r>
          </w:p>
        </w:tc>
        <w:tc>
          <w:tcPr>
            <w:tcW w:w="700" w:type="dxa"/>
            <w:vAlign w:val="bottom"/>
          </w:tcPr>
          <w:p>
            <w:pPr>
              <w:spacing w:after="0"/>
              <w:rPr>
                <w:sz w:val="14"/>
                <w:szCs w:val="14"/>
                <w:color w:val="auto"/>
              </w:rPr>
            </w:pPr>
          </w:p>
        </w:tc>
      </w:tr>
      <w:tr>
        <w:trPr>
          <w:trHeight w:val="176"/>
        </w:trPr>
        <w:tc>
          <w:tcPr>
            <w:tcW w:w="8200" w:type="dxa"/>
            <w:vAlign w:val="bottom"/>
          </w:tcPr>
          <w:p>
            <w:pPr>
              <w:spacing w:after="0"/>
              <w:rPr>
                <w:sz w:val="15"/>
                <w:szCs w:val="15"/>
                <w:color w:val="auto"/>
              </w:rPr>
            </w:pPr>
          </w:p>
        </w:tc>
        <w:tc>
          <w:tcPr>
            <w:tcW w:w="23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Bought (Sold)</w:t>
            </w:r>
          </w:p>
        </w:tc>
        <w:tc>
          <w:tcPr>
            <w:tcW w:w="700" w:type="dxa"/>
            <w:vAlign w:val="bottom"/>
            <w:tcBorders>
              <w:bottom w:val="single" w:sz="8" w:color="auto"/>
            </w:tcBorders>
          </w:tcPr>
          <w:p>
            <w:pPr>
              <w:spacing w:after="0"/>
              <w:rPr>
                <w:sz w:val="15"/>
                <w:szCs w:val="15"/>
                <w:color w:val="auto"/>
              </w:rPr>
            </w:pPr>
          </w:p>
        </w:tc>
      </w:tr>
      <w:tr>
        <w:trPr>
          <w:trHeight w:val="18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1,794.5</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2,201.8</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1440" w:type="dxa"/>
            <w:vAlign w:val="bottom"/>
          </w:tcPr>
          <w:p>
            <w:pPr>
              <w:jc w:val="right"/>
              <w:spacing w:after="0"/>
              <w:rPr>
                <w:sz w:val="20"/>
                <w:szCs w:val="20"/>
                <w:color w:val="auto"/>
              </w:rPr>
            </w:pPr>
            <w:r>
              <w:rPr>
                <w:rFonts w:ascii="Arial" w:cs="Arial" w:eastAsia="Arial" w:hAnsi="Arial"/>
                <w:sz w:val="14"/>
                <w:szCs w:val="14"/>
                <w:color w:val="auto"/>
              </w:rPr>
              <w:t>771.7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1,054.3</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Malaysian ringgit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891.0</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221.5</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440" w:type="dxa"/>
            <w:vAlign w:val="bottom"/>
          </w:tcPr>
          <w:p>
            <w:pPr>
              <w:jc w:val="right"/>
              <w:spacing w:after="0"/>
              <w:rPr>
                <w:sz w:val="20"/>
                <w:szCs w:val="20"/>
                <w:color w:val="auto"/>
              </w:rPr>
            </w:pPr>
            <w:r>
              <w:rPr>
                <w:rFonts w:ascii="Arial" w:cs="Arial" w:eastAsia="Arial" w:hAnsi="Arial"/>
                <w:sz w:val="14"/>
                <w:szCs w:val="14"/>
                <w:color w:val="auto"/>
              </w:rPr>
              <w:t>1,721.6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681.4</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Singapore dollar</w:t>
            </w:r>
          </w:p>
        </w:tc>
        <w:tc>
          <w:tcPr>
            <w:tcW w:w="1440" w:type="dxa"/>
            <w:vAlign w:val="bottom"/>
          </w:tcPr>
          <w:p>
            <w:pPr>
              <w:jc w:val="right"/>
              <w:spacing w:after="0"/>
              <w:rPr>
                <w:sz w:val="20"/>
                <w:szCs w:val="20"/>
                <w:color w:val="auto"/>
              </w:rPr>
            </w:pPr>
            <w:r>
              <w:rPr>
                <w:rFonts w:ascii="Arial" w:cs="Arial" w:eastAsia="Arial" w:hAnsi="Arial"/>
                <w:sz w:val="14"/>
                <w:szCs w:val="14"/>
                <w:color w:val="auto"/>
              </w:rPr>
              <w:t>171.2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129.4</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Mexican peso</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1,288.0</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Australian dollar</w:t>
            </w:r>
          </w:p>
        </w:tc>
        <w:tc>
          <w:tcPr>
            <w:tcW w:w="1440" w:type="dxa"/>
            <w:vAlign w:val="bottom"/>
          </w:tcPr>
          <w:p>
            <w:pPr>
              <w:jc w:val="right"/>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60.3</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 rupee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3,172.0</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Japanese yen</w:t>
            </w:r>
          </w:p>
        </w:tc>
        <w:tc>
          <w:tcPr>
            <w:tcW w:w="1440" w:type="dxa"/>
            <w:vAlign w:val="bottom"/>
          </w:tcPr>
          <w:p>
            <w:pPr>
              <w:jc w:val="right"/>
              <w:spacing w:after="0"/>
              <w:rPr>
                <w:sz w:val="20"/>
                <w:szCs w:val="20"/>
                <w:color w:val="auto"/>
              </w:rPr>
            </w:pPr>
            <w:r>
              <w:rPr>
                <w:rFonts w:ascii="Arial" w:cs="Arial" w:eastAsia="Arial" w:hAnsi="Arial"/>
                <w:sz w:val="14"/>
                <w:szCs w:val="14"/>
                <w:color w:val="auto"/>
              </w:rPr>
              <w:t>1,124.4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Columbian peso</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37,142.2</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Hong Kong dollar</w:t>
            </w:r>
          </w:p>
        </w:tc>
        <w:tc>
          <w:tcPr>
            <w:tcW w:w="1440" w:type="dxa"/>
            <w:vAlign w:val="bottom"/>
          </w:tcPr>
          <w:p>
            <w:pPr>
              <w:jc w:val="right"/>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Indonesian rupiah</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(201,679.7)</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190"/>
        </w:trPr>
        <w:tc>
          <w:tcPr>
            <w:tcW w:w="820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440" w:type="dxa"/>
            <w:vAlign w:val="bottom"/>
          </w:tcPr>
          <w:p>
            <w:pPr>
              <w:jc w:val="right"/>
              <w:spacing w:after="0"/>
              <w:rPr>
                <w:sz w:val="20"/>
                <w:szCs w:val="20"/>
                <w:color w:val="auto"/>
              </w:rPr>
            </w:pPr>
            <w:r>
              <w:rPr>
                <w:rFonts w:ascii="Arial" w:cs="Arial" w:eastAsia="Arial" w:hAnsi="Arial"/>
                <w:sz w:val="14"/>
                <w:szCs w:val="14"/>
                <w:color w:val="auto"/>
              </w:rPr>
              <w:t>(2,922.1)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(2,922.1)</w:t>
            </w:r>
          </w:p>
        </w:tc>
      </w:tr>
    </w:tbl>
    <w:p>
      <w:pPr>
        <w:spacing w:after="0" w:line="19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As of December 31, 2020, our portfolio of these instruments included the following material net positions: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0" w:type="dxa"/>
            <w:vAlign w:val="bottom"/>
          </w:tcPr>
          <w:p>
            <w:pPr>
              <w:jc w:val="right"/>
              <w:ind w:right="108"/>
              <w:spacing w:after="0"/>
              <w:rPr>
                <w:sz w:val="20"/>
                <w:szCs w:val="20"/>
                <w:color w:val="auto"/>
              </w:rPr>
            </w:pPr>
            <w:r>
              <w:rPr>
                <w:rFonts w:ascii="Arial" w:cs="Arial" w:eastAsia="Arial" w:hAnsi="Arial"/>
                <w:sz w:val="14"/>
                <w:szCs w:val="14"/>
                <w:b w:val="1"/>
                <w:bCs w:val="1"/>
                <w:color w:val="auto"/>
              </w:rPr>
              <w:t>Net Notional Amount</w:t>
            </w:r>
          </w:p>
        </w:tc>
        <w:tc>
          <w:tcPr>
            <w:tcW w:w="600" w:type="dxa"/>
            <w:vAlign w:val="bottom"/>
          </w:tcPr>
          <w:p>
            <w:pPr>
              <w:spacing w:after="0"/>
              <w:rPr>
                <w:sz w:val="14"/>
                <w:szCs w:val="14"/>
                <w:color w:val="auto"/>
              </w:rPr>
            </w:pPr>
          </w:p>
        </w:tc>
      </w:tr>
      <w:tr>
        <w:trPr>
          <w:trHeight w:val="176"/>
        </w:trPr>
        <w:tc>
          <w:tcPr>
            <w:tcW w:w="8240" w:type="dxa"/>
            <w:vAlign w:val="bottom"/>
          </w:tcPr>
          <w:p>
            <w:pPr>
              <w:spacing w:after="0"/>
              <w:rPr>
                <w:sz w:val="15"/>
                <w:szCs w:val="15"/>
                <w:color w:val="auto"/>
              </w:rPr>
            </w:pPr>
          </w:p>
        </w:tc>
        <w:tc>
          <w:tcPr>
            <w:tcW w:w="2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Bought (Sold)</w:t>
            </w:r>
          </w:p>
        </w:tc>
        <w:tc>
          <w:tcPr>
            <w:tcW w:w="600" w:type="dxa"/>
            <w:vAlign w:val="bottom"/>
            <w:tcBorders>
              <w:bottom w:val="single" w:sz="8" w:color="auto"/>
            </w:tcBorders>
          </w:tcPr>
          <w:p>
            <w:pPr>
              <w:spacing w:after="0"/>
              <w:rPr>
                <w:sz w:val="15"/>
                <w:szCs w:val="15"/>
                <w:color w:val="auto"/>
              </w:rPr>
            </w:pP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USD Equivalent</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24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77.9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Hong Kong dollar</w:t>
            </w:r>
          </w:p>
        </w:tc>
        <w:tc>
          <w:tcPr>
            <w:tcW w:w="2400" w:type="dxa"/>
            <w:vAlign w:val="bottom"/>
          </w:tcPr>
          <w:p>
            <w:pPr>
              <w:jc w:val="right"/>
              <w:ind w:right="948"/>
              <w:spacing w:after="0"/>
              <w:rPr>
                <w:sz w:val="20"/>
                <w:szCs w:val="20"/>
                <w:color w:val="auto"/>
              </w:rPr>
            </w:pPr>
            <w:r>
              <w:rPr>
                <w:rFonts w:ascii="Arial" w:cs="Arial" w:eastAsia="Arial" w:hAnsi="Arial"/>
                <w:sz w:val="14"/>
                <w:szCs w:val="14"/>
                <w:color w:val="auto"/>
              </w:rPr>
              <w:t>48.3</w:t>
            </w:r>
          </w:p>
        </w:tc>
        <w:tc>
          <w:tcPr>
            <w:tcW w:w="6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240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2400" w:type="dxa"/>
            <w:vAlign w:val="bottom"/>
          </w:tcPr>
          <w:p>
            <w:pPr>
              <w:jc w:val="right"/>
              <w:ind w:right="908"/>
              <w:spacing w:after="0"/>
              <w:rPr>
                <w:sz w:val="20"/>
                <w:szCs w:val="20"/>
                <w:color w:val="auto"/>
              </w:rPr>
            </w:pPr>
            <w:r>
              <w:rPr>
                <w:rFonts w:ascii="Arial" w:cs="Arial" w:eastAsia="Arial" w:hAnsi="Arial"/>
                <w:sz w:val="14"/>
                <w:szCs w:val="14"/>
                <w:color w:val="auto"/>
              </w:rPr>
              <w:t>(142.8)</w:t>
            </w:r>
          </w:p>
        </w:tc>
        <w:tc>
          <w:tcPr>
            <w:tcW w:w="60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dollar</w:t>
            </w:r>
          </w:p>
        </w:tc>
        <w:tc>
          <w:tcPr>
            <w:tcW w:w="24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5.2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bl>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24 for further details. Accordingly, the estimates presented may not be indicative of the amounts that we would realize in a current market exchange and may not be indicative of the gains or losses we may ultimately incur when these contracts are settled.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6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169"/>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480"/>
              <w:spacing w:after="0" w:line="153" w:lineRule="exact"/>
              <w:rPr>
                <w:sz w:val="20"/>
                <w:szCs w:val="20"/>
                <w:color w:val="auto"/>
              </w:rPr>
            </w:pPr>
            <w:r>
              <w:rPr>
                <w:rFonts w:ascii="Arial" w:cs="Arial" w:eastAsia="Arial" w:hAnsi="Arial"/>
                <w:sz w:val="14"/>
                <w:szCs w:val="14"/>
                <w:color w:val="auto"/>
              </w:rPr>
              <w:t>Long-term - Derivative financial instruments - Synthetic Bonds - Call Option</w:t>
            </w: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Premium</w:t>
            </w:r>
          </w:p>
        </w:tc>
        <w:tc>
          <w:tcPr>
            <w:tcW w:w="24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480"/>
              <w:spacing w:after="0" w:line="153" w:lineRule="exact"/>
              <w:rPr>
                <w:sz w:val="20"/>
                <w:szCs w:val="20"/>
                <w:color w:val="auto"/>
              </w:rPr>
            </w:pPr>
            <w:r>
              <w:rPr>
                <w:rFonts w:ascii="Arial" w:cs="Arial" w:eastAsia="Arial" w:hAnsi="Arial"/>
                <w:sz w:val="14"/>
                <w:szCs w:val="14"/>
                <w:color w:val="auto"/>
              </w:rPr>
              <w:t>Long-term - Derivative financial instruments - Synthetic Bonds - Embedded</w:t>
            </w:r>
          </w:p>
        </w:tc>
        <w:tc>
          <w:tcPr>
            <w:tcW w:w="24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1"/>
        </w:trPr>
        <w:tc>
          <w:tcPr>
            <w:tcW w:w="5620" w:type="dxa"/>
            <w:vAlign w:val="bottom"/>
          </w:tcPr>
          <w:p>
            <w:pPr>
              <w:ind w:left="480"/>
              <w:spacing w:after="0"/>
              <w:rPr>
                <w:sz w:val="20"/>
                <w:szCs w:val="20"/>
                <w:color w:val="auto"/>
              </w:rPr>
            </w:pPr>
            <w:r>
              <w:rPr>
                <w:rFonts w:ascii="Arial" w:cs="Arial" w:eastAsia="Arial" w:hAnsi="Arial"/>
                <w:sz w:val="14"/>
                <w:szCs w:val="14"/>
                <w:color w:val="auto"/>
              </w:rPr>
              <w:t>Derivatives</w:t>
            </w: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Cash flow hedges of forecasted transactions, net of tax, which qualify for hedge accounting, resulted in accumulated other comprehensive gains (losses) of $32.5 million and $(5.8) million as of December 31, 2020 and 2019, respectively. We expect to transfer an approximately $107.6 million gain from accumulated OCI to earnings during the next 12 months when the anticipated transactions actually occur. All anticipated transactions currently being hedged are expected to occur by the second half of 2025.</w:t>
      </w:r>
    </w:p>
    <w:p>
      <w:pPr>
        <w:spacing w:after="0" w:line="15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following tables present the location of gains (losses) in the consolidated statements of income related to derivative instruments designated as cash flow hedges.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Gain (Loss) Recognized in OCI</w:t>
            </w:r>
          </w:p>
        </w:tc>
        <w:tc>
          <w:tcPr>
            <w:tcW w:w="1120" w:type="dxa"/>
            <w:vAlign w:val="bottom"/>
            <w:tcBorders>
              <w:bottom w:val="single" w:sz="8" w:color="auto"/>
            </w:tcBorders>
          </w:tcPr>
          <w:p>
            <w:pPr>
              <w:spacing w:after="0"/>
              <w:rPr>
                <w:sz w:val="16"/>
                <w:szCs w:val="16"/>
                <w:color w:val="auto"/>
              </w:rPr>
            </w:pPr>
          </w:p>
        </w:tc>
      </w:tr>
      <w:tr>
        <w:trPr>
          <w:trHeight w:val="183"/>
        </w:trPr>
        <w:tc>
          <w:tcPr>
            <w:tcW w:w="65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right="26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r>
      <w:tr>
        <w:trPr>
          <w:trHeight w:val="18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effect of cash flow hedge accounting on the consolidated statements of income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142"/>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jc w:val="right"/>
              <w:ind w:right="547"/>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Total amount of income</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(expense) presented in</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the consolidated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Selling,</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Selling,</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Selling,</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statements of income</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99"/>
              </w:rPr>
              <w:t>general</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99"/>
              </w:rPr>
              <w:t>general</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99"/>
              </w:rPr>
              <w:t>general</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associated with hedges</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restart"/>
          </w:tcPr>
          <w:p>
            <w:pPr>
              <w:jc w:val="right"/>
              <w:ind w:right="62"/>
              <w:spacing w:after="0"/>
              <w:rPr>
                <w:sz w:val="20"/>
                <w:szCs w:val="20"/>
                <w:color w:val="auto"/>
              </w:rPr>
            </w:pPr>
            <w:r>
              <w:rPr>
                <w:rFonts w:ascii="Arial" w:cs="Arial" w:eastAsia="Arial" w:hAnsi="Arial"/>
                <w:sz w:val="9"/>
                <w:szCs w:val="9"/>
                <w:b w:val="1"/>
                <w:bCs w:val="1"/>
                <w:color w:val="auto"/>
              </w:rPr>
              <w:t>Cost of</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and</w:t>
            </w:r>
          </w:p>
        </w:tc>
        <w:tc>
          <w:tcPr>
            <w:tcW w:w="82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Other income</w:t>
            </w: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6"/>
              </w:rPr>
              <w:t>Cost of</w:t>
            </w:r>
          </w:p>
        </w:tc>
        <w:tc>
          <w:tcPr>
            <w:tcW w:w="120" w:type="dxa"/>
            <w:vAlign w:val="bottom"/>
          </w:tcPr>
          <w:p>
            <w:pPr>
              <w:spacing w:after="0"/>
              <w:rPr>
                <w:sz w:val="5"/>
                <w:szCs w:val="5"/>
                <w:color w:val="auto"/>
              </w:rPr>
            </w:pPr>
          </w:p>
        </w:tc>
        <w:tc>
          <w:tcPr>
            <w:tcW w:w="86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and</w:t>
            </w:r>
          </w:p>
        </w:tc>
        <w:tc>
          <w:tcPr>
            <w:tcW w:w="100" w:type="dxa"/>
            <w:vAlign w:val="bottom"/>
          </w:tcPr>
          <w:p>
            <w:pPr>
              <w:spacing w:after="0"/>
              <w:rPr>
                <w:sz w:val="5"/>
                <w:szCs w:val="5"/>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6"/>
              </w:rPr>
              <w:t>Other income</w:t>
            </w: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6"/>
              </w:rPr>
              <w:t>Cost of</w:t>
            </w:r>
          </w:p>
        </w:tc>
        <w:tc>
          <w:tcPr>
            <w:tcW w:w="100" w:type="dxa"/>
            <w:vAlign w:val="bottom"/>
          </w:tcPr>
          <w:p>
            <w:pPr>
              <w:spacing w:after="0"/>
              <w:rPr>
                <w:sz w:val="5"/>
                <w:szCs w:val="5"/>
                <w:color w:val="auto"/>
              </w:rPr>
            </w:pPr>
          </w:p>
        </w:tc>
        <w:tc>
          <w:tcPr>
            <w:tcW w:w="860" w:type="dxa"/>
            <w:vAlign w:val="bottom"/>
            <w:gridSpan w:val="2"/>
          </w:tcPr>
          <w:p>
            <w:pPr>
              <w:jc w:val="center"/>
              <w:ind w:right="220"/>
              <w:spacing w:after="0" w:line="68" w:lineRule="exact"/>
              <w:rPr>
                <w:sz w:val="20"/>
                <w:szCs w:val="20"/>
                <w:color w:val="auto"/>
              </w:rPr>
            </w:pPr>
            <w:r>
              <w:rPr>
                <w:rFonts w:ascii="Arial" w:cs="Arial" w:eastAsia="Arial" w:hAnsi="Arial"/>
                <w:sz w:val="7"/>
                <w:szCs w:val="7"/>
                <w:b w:val="1"/>
                <w:bCs w:val="1"/>
                <w:color w:val="auto"/>
              </w:rPr>
              <w:t>and</w:t>
            </w:r>
          </w:p>
        </w:tc>
        <w:tc>
          <w:tcPr>
            <w:tcW w:w="100" w:type="dxa"/>
            <w:vAlign w:val="bottom"/>
          </w:tcPr>
          <w:p>
            <w:pPr>
              <w:spacing w:after="0"/>
              <w:rPr>
                <w:sz w:val="5"/>
                <w:szCs w:val="5"/>
                <w:color w:val="auto"/>
              </w:rPr>
            </w:pPr>
          </w:p>
        </w:tc>
        <w:tc>
          <w:tcPr>
            <w:tcW w:w="700" w:type="dxa"/>
            <w:vAlign w:val="bottom"/>
            <w:vMerge w:val="restart"/>
          </w:tcPr>
          <w:p>
            <w:pPr>
              <w:jc w:val="right"/>
              <w:ind w:right="42"/>
              <w:spacing w:after="0"/>
              <w:rPr>
                <w:sz w:val="20"/>
                <w:szCs w:val="20"/>
                <w:color w:val="auto"/>
              </w:rPr>
            </w:pPr>
            <w:r>
              <w:rPr>
                <w:rFonts w:ascii="Arial" w:cs="Arial" w:eastAsia="Arial" w:hAnsi="Arial"/>
                <w:sz w:val="9"/>
                <w:szCs w:val="9"/>
                <w:b w:val="1"/>
                <w:bCs w:val="1"/>
                <w:color w:val="auto"/>
                <w:w w:val="99"/>
              </w:rPr>
              <w:t>Other income</w:t>
            </w:r>
          </w:p>
        </w:tc>
        <w:tc>
          <w:tcPr>
            <w:tcW w:w="0" w:type="dxa"/>
            <w:vAlign w:val="bottom"/>
          </w:tcPr>
          <w:p>
            <w:pPr>
              <w:spacing w:after="0"/>
              <w:rPr>
                <w:sz w:val="1"/>
                <w:szCs w:val="1"/>
                <w:color w:val="auto"/>
              </w:rPr>
            </w:pPr>
          </w:p>
        </w:tc>
      </w:tr>
      <w:tr>
        <w:trPr>
          <w:trHeight w:val="81"/>
        </w:trPr>
        <w:tc>
          <w:tcPr>
            <w:tcW w:w="1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Revenue</w:t>
            </w:r>
          </w:p>
        </w:tc>
        <w:tc>
          <w:tcPr>
            <w:tcW w:w="1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8"/>
              </w:rPr>
              <w:t>administrative</w:t>
            </w:r>
          </w:p>
        </w:tc>
        <w:tc>
          <w:tcPr>
            <w:tcW w:w="8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Revenue</w:t>
            </w: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8"/>
              </w:rPr>
              <w:t>administrative</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Revenue</w:t>
            </w: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administrative</w:t>
            </w: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and derivatives</w:t>
            </w: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02"/>
              <w:spacing w:after="0"/>
              <w:rPr>
                <w:sz w:val="20"/>
                <w:szCs w:val="20"/>
                <w:color w:val="auto"/>
              </w:rPr>
            </w:pPr>
            <w:r>
              <w:rPr>
                <w:rFonts w:ascii="Arial" w:cs="Arial" w:eastAsia="Arial" w:hAnsi="Arial"/>
                <w:sz w:val="9"/>
                <w:szCs w:val="9"/>
                <w:b w:val="1"/>
                <w:bCs w:val="1"/>
                <w:color w:val="auto"/>
              </w:rPr>
              <w:t>sales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expense</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(expense), net</w:t>
            </w: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7"/>
              </w:rPr>
              <w:t>sales</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expense</w:t>
            </w:r>
          </w:p>
        </w:tc>
        <w:tc>
          <w:tcPr>
            <w:tcW w:w="8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9"/>
              </w:rPr>
              <w:t>(expense), net</w:t>
            </w: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sales</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expense</w:t>
            </w:r>
          </w:p>
        </w:tc>
        <w:tc>
          <w:tcPr>
            <w:tcW w:w="100" w:type="dxa"/>
            <w:vAlign w:val="bottom"/>
          </w:tcPr>
          <w:p>
            <w:pPr>
              <w:spacing w:after="0"/>
              <w:rPr>
                <w:sz w:val="10"/>
                <w:szCs w:val="10"/>
                <w:color w:val="auto"/>
              </w:rPr>
            </w:pPr>
          </w:p>
        </w:tc>
        <w:tc>
          <w:tcPr>
            <w:tcW w:w="700" w:type="dxa"/>
            <w:vAlign w:val="bottom"/>
          </w:tcPr>
          <w:p>
            <w:pPr>
              <w:jc w:val="right"/>
              <w:ind w:right="42"/>
              <w:spacing w:after="0"/>
              <w:rPr>
                <w:sz w:val="20"/>
                <w:szCs w:val="20"/>
                <w:color w:val="auto"/>
              </w:rPr>
            </w:pPr>
            <w:r>
              <w:rPr>
                <w:rFonts w:ascii="Arial" w:cs="Arial" w:eastAsia="Arial" w:hAnsi="Arial"/>
                <w:sz w:val="9"/>
                <w:szCs w:val="9"/>
                <w:b w:val="1"/>
                <w:bCs w:val="1"/>
                <w:color w:val="auto"/>
                <w:w w:val="95"/>
              </w:rPr>
              <w:t>(expense), net</w:t>
            </w:r>
          </w:p>
        </w:tc>
        <w:tc>
          <w:tcPr>
            <w:tcW w:w="0" w:type="dxa"/>
            <w:vAlign w:val="bottom"/>
          </w:tcPr>
          <w:p>
            <w:pPr>
              <w:spacing w:after="0"/>
              <w:rPr>
                <w:sz w:val="1"/>
                <w:szCs w:val="1"/>
                <w:color w:val="auto"/>
              </w:rPr>
            </w:pPr>
          </w:p>
        </w:tc>
      </w:tr>
      <w:tr>
        <w:trPr>
          <w:trHeight w:val="88"/>
        </w:trPr>
        <w:tc>
          <w:tcPr>
            <w:tcW w:w="1340" w:type="dxa"/>
            <w:vAlign w:val="bottom"/>
          </w:tcPr>
          <w:p>
            <w:pPr>
              <w:ind w:left="20"/>
              <w:spacing w:after="0" w:line="89" w:lineRule="exact"/>
              <w:rPr>
                <w:sz w:val="20"/>
                <w:szCs w:val="20"/>
                <w:color w:val="auto"/>
              </w:rPr>
            </w:pPr>
            <w:r>
              <w:rPr>
                <w:rFonts w:ascii="Arial" w:cs="Arial" w:eastAsia="Arial" w:hAnsi="Arial"/>
                <w:sz w:val="10"/>
                <w:szCs w:val="10"/>
                <w:i w:val="1"/>
                <w:iCs w:val="1"/>
                <w:color w:val="auto"/>
              </w:rPr>
              <w:t>Cash Flow hedge gain</w:t>
            </w: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i w:val="1"/>
                <w:iCs w:val="1"/>
                <w:color w:val="auto"/>
              </w:rPr>
              <w:t>(loss) recognized in</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i w:val="1"/>
                <w:iCs w:val="1"/>
                <w:color w:val="auto"/>
              </w:rPr>
              <w:t>income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34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i w:val="1"/>
                <w:iCs w:val="1"/>
                <w:color w:val="auto"/>
              </w:rPr>
              <w:t>Foreign Exchange</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i w:val="1"/>
                <w:iCs w:val="1"/>
                <w:color w:val="auto"/>
              </w:rPr>
              <w:t>Contracts</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340" w:type="dxa"/>
            <w:vAlign w:val="bottom"/>
          </w:tcPr>
          <w:p>
            <w:pPr>
              <w:ind w:left="180"/>
              <w:spacing w:after="0" w:line="119" w:lineRule="exact"/>
              <w:rPr>
                <w:sz w:val="20"/>
                <w:szCs w:val="20"/>
                <w:color w:val="auto"/>
              </w:rPr>
            </w:pPr>
            <w:r>
              <w:rPr>
                <w:rFonts w:ascii="Arial" w:cs="Arial" w:eastAsia="Arial" w:hAnsi="Arial"/>
                <w:sz w:val="11"/>
                <w:szCs w:val="11"/>
                <w:color w:val="auto"/>
              </w:rPr>
              <w:t>Amounts reclassified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180"/>
              <w:spacing w:after="0" w:line="108" w:lineRule="exact"/>
              <w:rPr>
                <w:sz w:val="20"/>
                <w:szCs w:val="20"/>
                <w:color w:val="auto"/>
              </w:rPr>
            </w:pPr>
            <w:r>
              <w:rPr>
                <w:rFonts w:ascii="Arial" w:cs="Arial" w:eastAsia="Arial" w:hAnsi="Arial"/>
                <w:sz w:val="11"/>
                <w:szCs w:val="11"/>
                <w:color w:val="auto"/>
              </w:rPr>
              <w:t>from accumulated OCI</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ind w:right="2"/>
              <w:spacing w:after="0"/>
              <w:rPr>
                <w:sz w:val="20"/>
                <w:szCs w:val="20"/>
                <w:color w:val="auto"/>
              </w:rPr>
            </w:pPr>
            <w:r>
              <w:rPr>
                <w:rFonts w:ascii="Arial" w:cs="Arial" w:eastAsia="Arial" w:hAnsi="Arial"/>
                <w:sz w:val="13"/>
                <w:szCs w:val="13"/>
                <w:color w:val="auto"/>
              </w:rPr>
              <w:t>68.5</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9"/>
                <w:szCs w:val="9"/>
                <w:color w:val="auto"/>
              </w:rPr>
            </w:pPr>
          </w:p>
        </w:tc>
        <w:tc>
          <w:tcPr>
            <w:tcW w:w="240" w:type="dxa"/>
            <w:vAlign w:val="bottom"/>
            <w:vMerge w:val="restart"/>
          </w:tcPr>
          <w:p>
            <w:pPr>
              <w:jc w:val="right"/>
              <w:ind w:right="106"/>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center"/>
              <w:ind w:left="122"/>
              <w:spacing w:after="0"/>
              <w:rPr>
                <w:sz w:val="20"/>
                <w:szCs w:val="20"/>
                <w:color w:val="auto"/>
              </w:rPr>
            </w:pPr>
            <w:r>
              <w:rPr>
                <w:rFonts w:ascii="Arial" w:cs="Arial" w:eastAsia="Arial" w:hAnsi="Arial"/>
                <w:sz w:val="13"/>
                <w:szCs w:val="13"/>
                <w:color w:val="auto"/>
                <w:w w:val="88"/>
              </w:rPr>
              <w:t>3.4</w:t>
            </w:r>
          </w:p>
        </w:tc>
        <w:tc>
          <w:tcPr>
            <w:tcW w:w="12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2"/>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4"/>
        </w:trPr>
        <w:tc>
          <w:tcPr>
            <w:tcW w:w="1340" w:type="dxa"/>
            <w:vAlign w:val="bottom"/>
          </w:tcPr>
          <w:p>
            <w:pPr>
              <w:ind w:left="180"/>
              <w:spacing w:after="0"/>
              <w:rPr>
                <w:sz w:val="20"/>
                <w:szCs w:val="20"/>
                <w:color w:val="auto"/>
              </w:rPr>
            </w:pPr>
            <w:r>
              <w:rPr>
                <w:rFonts w:ascii="Arial" w:cs="Arial" w:eastAsia="Arial" w:hAnsi="Arial"/>
                <w:sz w:val="11"/>
                <w:szCs w:val="11"/>
                <w:color w:val="auto"/>
              </w:rPr>
              <w:t>to income (loss)</w:t>
            </w: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8"/>
              </w:rPr>
              <w:t>Amounts excluded from</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center"/>
              <w:ind w:left="102"/>
              <w:spacing w:after="0"/>
              <w:rPr>
                <w:sz w:val="20"/>
                <w:szCs w:val="20"/>
                <w:color w:val="auto"/>
              </w:rPr>
            </w:pPr>
            <w:r>
              <w:rPr>
                <w:rFonts w:ascii="Arial" w:cs="Arial" w:eastAsia="Arial" w:hAnsi="Arial"/>
                <w:sz w:val="13"/>
                <w:szCs w:val="13"/>
                <w:color w:val="auto"/>
                <w:w w:val="97"/>
              </w:rPr>
              <w:t>(4.8)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2"/>
        </w:trPr>
        <w:tc>
          <w:tcPr>
            <w:tcW w:w="1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effectiveness testing</w:t>
            </w:r>
          </w:p>
        </w:tc>
        <w:tc>
          <w:tcPr>
            <w:tcW w:w="1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4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Total cash flow hedge</w:t>
            </w: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gain (loss) recognized in</w:t>
            </w: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(76.0)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3"/>
                <w:szCs w:val="13"/>
                <w:b w:val="1"/>
                <w:bCs w:val="1"/>
                <w:color w:val="auto"/>
              </w:rPr>
              <w:t>58.7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(0.6)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29.8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(26.0)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ind w:right="3"/>
              <w:spacing w:after="0"/>
              <w:rPr>
                <w:sz w:val="20"/>
                <w:szCs w:val="20"/>
                <w:color w:val="auto"/>
              </w:rPr>
            </w:pPr>
            <w:r>
              <w:rPr>
                <w:rFonts w:ascii="Arial" w:cs="Arial" w:eastAsia="Arial" w:hAnsi="Arial"/>
                <w:sz w:val="13"/>
                <w:szCs w:val="13"/>
                <w:b w:val="1"/>
                <w:bCs w:val="1"/>
                <w:color w:val="auto"/>
              </w:rPr>
              <w:t>4.4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(44.0)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center"/>
              <w:ind w:left="102"/>
              <w:spacing w:after="0"/>
              <w:rPr>
                <w:sz w:val="20"/>
                <w:szCs w:val="20"/>
                <w:color w:val="auto"/>
              </w:rPr>
            </w:pPr>
            <w:r>
              <w:rPr>
                <w:rFonts w:ascii="Arial" w:cs="Arial" w:eastAsia="Arial" w:hAnsi="Arial"/>
                <w:sz w:val="13"/>
                <w:szCs w:val="13"/>
                <w:b w:val="1"/>
                <w:bCs w:val="1"/>
                <w:color w:val="auto"/>
                <w:w w:val="97"/>
              </w:rPr>
              <w:t>(1.4)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(11.3)</w:t>
            </w:r>
          </w:p>
        </w:tc>
        <w:tc>
          <w:tcPr>
            <w:tcW w:w="0" w:type="dxa"/>
            <w:vAlign w:val="bottom"/>
          </w:tcPr>
          <w:p>
            <w:pPr>
              <w:spacing w:after="0"/>
              <w:rPr>
                <w:sz w:val="1"/>
                <w:szCs w:val="1"/>
                <w:color w:val="auto"/>
              </w:rPr>
            </w:pPr>
          </w:p>
        </w:tc>
      </w:tr>
      <w:tr>
        <w:trPr>
          <w:trHeight w:val="154"/>
        </w:trPr>
        <w:tc>
          <w:tcPr>
            <w:tcW w:w="1340" w:type="dxa"/>
            <w:vAlign w:val="bottom"/>
          </w:tcPr>
          <w:p>
            <w:pPr>
              <w:ind w:left="20"/>
              <w:spacing w:after="0"/>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340" w:type="dxa"/>
            <w:vAlign w:val="bottom"/>
          </w:tcPr>
          <w:p>
            <w:pPr>
              <w:ind w:left="20"/>
              <w:spacing w:after="0" w:line="119" w:lineRule="exact"/>
              <w:rPr>
                <w:sz w:val="20"/>
                <w:szCs w:val="20"/>
                <w:color w:val="auto"/>
              </w:rPr>
            </w:pPr>
            <w:r>
              <w:rPr>
                <w:rFonts w:ascii="Arial" w:cs="Arial" w:eastAsia="Arial" w:hAnsi="Arial"/>
                <w:sz w:val="11"/>
                <w:szCs w:val="11"/>
                <w:color w:val="auto"/>
              </w:rPr>
              <w:t>Gain (loss) recognized in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income on derivatives not</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tcPr>
          <w:p>
            <w:pPr>
              <w:ind w:left="20"/>
              <w:spacing w:after="0" w:line="108" w:lineRule="exact"/>
              <w:rPr>
                <w:sz w:val="20"/>
                <w:szCs w:val="20"/>
                <w:color w:val="auto"/>
              </w:rPr>
            </w:pPr>
            <w:r>
              <w:rPr>
                <w:rFonts w:ascii="Arial" w:cs="Arial" w:eastAsia="Arial" w:hAnsi="Arial"/>
                <w:sz w:val="11"/>
                <w:szCs w:val="11"/>
                <w:color w:val="auto"/>
              </w:rPr>
              <w:t>designated as hedging</w:t>
            </w: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480" w:type="dxa"/>
            <w:vAlign w:val="bottom"/>
            <w:vMerge w:val="restart"/>
          </w:tcPr>
          <w:p>
            <w:pPr>
              <w:jc w:val="right"/>
              <w:ind w:right="17"/>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ind w:right="3"/>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center"/>
              <w:ind w:left="122"/>
              <w:spacing w:after="0"/>
              <w:rPr>
                <w:sz w:val="20"/>
                <w:szCs w:val="20"/>
                <w:color w:val="auto"/>
              </w:rPr>
            </w:pPr>
            <w:r>
              <w:rPr>
                <w:rFonts w:ascii="Arial" w:cs="Arial" w:eastAsia="Arial" w:hAnsi="Arial"/>
                <w:sz w:val="13"/>
                <w:szCs w:val="13"/>
                <w:color w:val="auto"/>
                <w:w w:val="88"/>
              </w:rPr>
              <w:t>0.2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45"/>
        </w:trPr>
        <w:tc>
          <w:tcPr>
            <w:tcW w:w="1340" w:type="dxa"/>
            <w:vAlign w:val="bottom"/>
          </w:tcPr>
          <w:p>
            <w:pPr>
              <w:ind w:left="20"/>
              <w:spacing w:after="0"/>
              <w:rPr>
                <w:sz w:val="20"/>
                <w:szCs w:val="20"/>
                <w:color w:val="auto"/>
              </w:rPr>
            </w:pPr>
            <w:r>
              <w:rPr>
                <w:rFonts w:ascii="Arial" w:cs="Arial" w:eastAsia="Arial" w:hAnsi="Arial"/>
                <w:sz w:val="11"/>
                <w:szCs w:val="11"/>
                <w:color w:val="auto"/>
              </w:rPr>
              <w:t>instruments</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b w:val="1"/>
                <w:bCs w:val="1"/>
                <w:color w:val="auto"/>
              </w:rPr>
              <w:t>62.1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3"/>
                <w:szCs w:val="13"/>
                <w:b w:val="1"/>
                <w:bCs w:val="1"/>
                <w:color w:val="auto"/>
              </w:rPr>
              <w:t>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top w:val="single" w:sz="8" w:color="auto"/>
              <w:bottom w:val="single" w:sz="8" w:color="auto"/>
            </w:tcBorders>
            <w:shd w:val="clear" w:color="auto" w:fill="CCEEFF"/>
          </w:tcPr>
          <w:p>
            <w:pPr>
              <w:jc w:val="center"/>
              <w:ind w:left="102"/>
              <w:spacing w:after="0"/>
              <w:rPr>
                <w:sz w:val="20"/>
                <w:szCs w:val="20"/>
                <w:color w:val="auto"/>
              </w:rPr>
            </w:pPr>
            <w:r>
              <w:rPr>
                <w:rFonts w:ascii="Arial" w:cs="Arial" w:eastAsia="Arial" w:hAnsi="Arial"/>
                <w:sz w:val="13"/>
                <w:szCs w:val="13"/>
                <w:b w:val="1"/>
                <w:bCs w:val="1"/>
                <w:color w:val="auto"/>
                <w:w w:val="97"/>
              </w:rPr>
              <w:t>(1.2)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(22.7)</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7" w:name="page138"/>
    <w:bookmarkEnd w:id="137"/>
    <w:p>
      <w:pPr>
        <w:ind w:right="2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 net</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the gross derivative assets against gross derivative liabilities. Each instrument is accounted for individually and assets and liabilities are not offset. As of December 31, 2020 and 2019, we had no collateralized derivative contracts. The following tables present both gross information and net information of recognized derivative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 Amounts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Not Offset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Not Offset</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 Amount</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Permitted Under</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 Amount</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Permitted Under</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Master Netting</w:t>
            </w:r>
          </w:p>
        </w:tc>
        <w:tc>
          <w:tcPr>
            <w:tcW w:w="18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Master Netting</w:t>
            </w:r>
          </w:p>
        </w:tc>
        <w:tc>
          <w:tcPr>
            <w:tcW w:w="160" w:type="dxa"/>
            <w:vAlign w:val="bottom"/>
          </w:tcPr>
          <w:p>
            <w:pPr>
              <w:spacing w:after="0"/>
              <w:rPr>
                <w:sz w:val="11"/>
                <w:szCs w:val="11"/>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Agreements</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Investments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Equity securities</w:t>
            </w:r>
            <w:r>
              <w:rPr>
                <w:rFonts w:ascii="Arial" w:cs="Arial" w:eastAsia="Arial" w:hAnsi="Arial"/>
                <w:sz w:val="18"/>
                <w:szCs w:val="18"/>
                <w:color w:val="auto"/>
                <w:vertAlign w:val="superscript"/>
              </w:rPr>
              <w:t>(a)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360"/>
              <w:spacing w:after="0"/>
              <w:rPr>
                <w:sz w:val="20"/>
                <w:szCs w:val="20"/>
                <w:color w:val="auto"/>
              </w:rPr>
            </w:pPr>
            <w:r>
              <w:rPr>
                <w:rFonts w:ascii="Arial" w:cs="Arial" w:eastAsia="Arial" w:hAnsi="Arial"/>
                <w:sz w:val="14"/>
                <w:szCs w:val="14"/>
                <w:color w:val="auto"/>
              </w:rPr>
              <w:t>Money market fund</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Stable value fund</w:t>
            </w:r>
            <w:r>
              <w:rPr>
                <w:rFonts w:ascii="Arial" w:cs="Arial" w:eastAsia="Arial" w:hAnsi="Arial"/>
                <w:sz w:val="18"/>
                <w:szCs w:val="18"/>
                <w:color w:val="auto"/>
                <w:vertAlign w:val="superscript"/>
              </w:rPr>
              <w:t>(b)</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360"/>
              <w:spacing w:after="0"/>
              <w:rPr>
                <w:sz w:val="20"/>
                <w:szCs w:val="20"/>
                <w:color w:val="auto"/>
              </w:rPr>
            </w:pPr>
            <w:r>
              <w:rPr>
                <w:rFonts w:ascii="Arial" w:cs="Arial" w:eastAsia="Arial" w:hAnsi="Arial"/>
                <w:sz w:val="14"/>
                <w:szCs w:val="14"/>
                <w:color w:val="auto"/>
              </w:rPr>
              <w:t>Held-to-maturity debt securities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360"/>
              <w:spacing w:after="0"/>
              <w:rPr>
                <w:sz w:val="20"/>
                <w:szCs w:val="20"/>
                <w:color w:val="auto"/>
              </w:rPr>
            </w:pPr>
            <w:r>
              <w:rPr>
                <w:rFonts w:ascii="Arial" w:cs="Arial" w:eastAsia="Arial" w:hAnsi="Arial"/>
                <w:sz w:val="14"/>
                <w:szCs w:val="14"/>
                <w:color w:val="auto"/>
              </w:rPr>
              <w:t>Synthetic bonds - call option premium</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exchange contracts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Redeemable financial liability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Synthetic bonds - embedded derivatives</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360"/>
              <w:spacing w:after="0"/>
              <w:rPr>
                <w:sz w:val="20"/>
                <w:szCs w:val="20"/>
                <w:color w:val="auto"/>
              </w:rPr>
            </w:pPr>
            <w:r>
              <w:rPr>
                <w:rFonts w:ascii="Arial" w:cs="Arial" w:eastAsia="Arial" w:hAnsi="Arial"/>
                <w:sz w:val="14"/>
                <w:szCs w:val="14"/>
                <w:color w:val="auto"/>
              </w:rPr>
              <w:t>Foreign exchange contracts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held for sale</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437.1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190.5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246.6</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472.1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278.1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 xml:space="preserve">Equity securities and Available-for-sale Securities - </w:t>
      </w:r>
      <w:r>
        <w:rPr>
          <w:rFonts w:ascii="Arial" w:cs="Arial" w:eastAsia="Arial" w:hAnsi="Arial"/>
          <w:sz w:val="18"/>
          <w:szCs w:val="18"/>
          <w:color w:val="auto"/>
        </w:rPr>
        <w:t>The fair value measurement of our traded securities and Available-for-sale-Securities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10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38" w:name="page139"/>
    <w:bookmarkEnd w:id="138"/>
    <w:p>
      <w:pPr>
        <w:ind w:right="20"/>
        <w:spacing w:after="0" w:line="28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pacing w:after="0" w:line="108" w:lineRule="exact"/>
        <w:rPr>
          <w:sz w:val="20"/>
          <w:szCs w:val="20"/>
          <w:color w:val="auto"/>
        </w:rPr>
      </w:pPr>
    </w:p>
    <w:p>
      <w:pPr>
        <w:ind w:right="420"/>
        <w:spacing w:after="0"/>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We have a mandatorily redeemable financial liability which is recorded at its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mandatorily redeemable financial liability relates to our voting control interests in legal Technip Energies contract entities which own and account for the design, engineering and construction of the Yamal LNG plant. The fair value is determined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a 15.0% discount rate and the overall timing of completion of the project.</w:t>
      </w:r>
    </w:p>
    <w:p>
      <w:pPr>
        <w:spacing w:after="0" w:line="2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 mandatorily redeemable financial liability of $ 246.6 million, $268.8 million and $408.5 million was recognized as of December 31, 2020, 2019 and 2018, respectively, to account for the fair value of the non-controlling interests. During the years ended December 31, 2020, 2019 and 2018, we revalued the liability to reflect current expectations about the obligation, which resulted in the recognition of a loss of $202.0 million, $423.1 million and $322.3 million, respectively.</w:t>
      </w:r>
    </w:p>
    <w:p>
      <w:pPr>
        <w:spacing w:after="0" w:line="15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$2.0 million as of December 31, 2020. The fair value measurement is based upon significant unobservable inputs not observable in the market and is consequently classified as a Level 3 fair value measurement.</w:t>
      </w:r>
    </w:p>
    <w:p>
      <w:pPr>
        <w:spacing w:after="0" w:line="148"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8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r>
      <w:tr>
        <w:trPr>
          <w:trHeight w:val="183"/>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rPr>
              <w:t>408.5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rPr>
              <w:t>312.0</w:t>
            </w:r>
          </w:p>
        </w:tc>
      </w:tr>
      <w:tr>
        <w:trPr>
          <w:trHeight w:val="189"/>
        </w:trPr>
        <w:tc>
          <w:tcPr>
            <w:tcW w:w="7520" w:type="dxa"/>
            <w:vAlign w:val="bottom"/>
          </w:tcPr>
          <w:p>
            <w:pPr>
              <w:ind w:left="20"/>
              <w:spacing w:after="0"/>
              <w:rPr>
                <w:sz w:val="20"/>
                <w:szCs w:val="20"/>
                <w:color w:val="auto"/>
              </w:rPr>
            </w:pPr>
            <w:r>
              <w:rPr>
                <w:rFonts w:ascii="Arial" w:cs="Arial" w:eastAsia="Arial" w:hAnsi="Arial"/>
                <w:sz w:val="14"/>
                <w:szCs w:val="14"/>
                <w:color w:val="auto"/>
              </w:rPr>
              <w:t>Less: Expenses recognized in net interest expense</w:t>
            </w:r>
          </w:p>
        </w:tc>
        <w:tc>
          <w:tcPr>
            <w:tcW w:w="240" w:type="dxa"/>
            <w:vAlign w:val="bottom"/>
          </w:tcPr>
          <w:p>
            <w:pPr>
              <w:spacing w:after="0"/>
              <w:rPr>
                <w:sz w:val="16"/>
                <w:szCs w:val="16"/>
                <w:color w:val="auto"/>
              </w:rPr>
            </w:pPr>
          </w:p>
        </w:tc>
        <w:tc>
          <w:tcPr>
            <w:tcW w:w="880" w:type="dxa"/>
            <w:vAlign w:val="bottom"/>
          </w:tcPr>
          <w:p>
            <w:pPr>
              <w:jc w:val="center"/>
              <w:ind w:left="30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left="308"/>
              <w:spacing w:after="0"/>
              <w:rPr>
                <w:sz w:val="20"/>
                <w:szCs w:val="20"/>
                <w:color w:val="auto"/>
              </w:rPr>
            </w:pPr>
            <w:r>
              <w:rPr>
                <w:rFonts w:ascii="Arial" w:cs="Arial" w:eastAsia="Arial" w:hAnsi="Arial"/>
                <w:sz w:val="14"/>
                <w:szCs w:val="14"/>
                <w:color w:val="auto"/>
              </w:rPr>
              <w:t>(423.1)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center"/>
              <w:ind w:left="248"/>
              <w:spacing w:after="0"/>
              <w:rPr>
                <w:sz w:val="20"/>
                <w:szCs w:val="20"/>
                <w:color w:val="auto"/>
              </w:rPr>
            </w:pPr>
            <w:r>
              <w:rPr>
                <w:rFonts w:ascii="Arial" w:cs="Arial" w:eastAsia="Arial" w:hAnsi="Arial"/>
                <w:sz w:val="14"/>
                <w:szCs w:val="14"/>
                <w:color w:val="auto"/>
              </w:rPr>
              <w:t>(322.3)</w:t>
            </w:r>
          </w:p>
        </w:tc>
      </w:tr>
      <w:tr>
        <w:trPr>
          <w:trHeight w:val="189"/>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Settlements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rPr>
              <w:t>224.2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color w:val="auto"/>
              </w:rPr>
              <w:t>562.8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268"/>
              <w:spacing w:after="0"/>
              <w:rPr>
                <w:sz w:val="20"/>
                <w:szCs w:val="20"/>
                <w:color w:val="auto"/>
              </w:rPr>
            </w:pPr>
            <w:r>
              <w:rPr>
                <w:rFonts w:ascii="Arial" w:cs="Arial" w:eastAsia="Arial" w:hAnsi="Arial"/>
                <w:sz w:val="14"/>
                <w:szCs w:val="14"/>
                <w:color w:val="auto"/>
              </w:rPr>
              <w:t>225.8</w:t>
            </w:r>
          </w:p>
        </w:tc>
      </w:tr>
      <w:tr>
        <w:trPr>
          <w:trHeight w:val="182"/>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246.6</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268.8</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408.5</w:t>
            </w: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We own a 51% share in Island Offshore Subsea AS that was subsequently renamed to TIOS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 is recorded as mezzanine equity at fair value. The fair value measurement is based upon significant unobservable inputs not observable in the market and is consequently classified as a Level 3 fair value measurement. As of December 31, 2020 and 2019, the fair value of our redeemable non-controlling interest was $43.7 million and $41.1 million, respectively. See Note 2 for further details.</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 We have no credit-risk-related contingent features in our agreements with the financial institutions that would require us to post collateral for derivative positions in a liability position. See Note 23 for further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 xml:space="preserve">Fair value of long-lived, non-financial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carrying amounts of such assets may not be recoverable.</w:t>
      </w:r>
    </w:p>
    <w:p>
      <w:pPr>
        <w:spacing w:after="0" w:line="12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summarizes impairments of long-lived assets and related post-impairment fair value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r>
      <w:tr>
        <w:trPr>
          <w:trHeight w:val="18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340" w:type="dxa"/>
            <w:vAlign w:val="bottom"/>
            <w:tcBorders>
              <w:bottom w:val="single" w:sz="8" w:color="CCEEFF"/>
            </w:tcBorders>
          </w:tcPr>
          <w:p>
            <w:pPr>
              <w:spacing w:after="0"/>
              <w:rPr>
                <w:sz w:val="15"/>
                <w:szCs w:val="15"/>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 xml:space="preserve">342.5   </w:t>
            </w:r>
            <w:r>
              <w:rPr>
                <w:rFonts w:ascii="Arial" w:cs="Arial" w:eastAsia="Arial" w:hAnsi="Arial"/>
                <w:sz w:val="12"/>
                <w:szCs w:val="12"/>
                <w:color w:val="auto"/>
              </w:rPr>
              <w:t>(b)</w:t>
            </w:r>
          </w:p>
        </w:tc>
      </w:tr>
    </w:tbl>
    <w:p>
      <w:pPr>
        <w:spacing w:after="0" w:line="275"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Measured as of the impairment date using the income approach and a 10.8% risk-adjusted rate of interest, resulting in a Level 3 fair value measurement.</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$104.0 million fair value of vessels determined using the transaction price of a similar vessel, resulting in a Level 2 fair value measurement.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fair value of our Synthetic Bonds, Senior Notes and private placement notes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4"/>
                <w:szCs w:val="14"/>
                <w:b w:val="1"/>
                <w:bCs w:val="1"/>
                <w:color w:val="auto"/>
              </w:rPr>
              <w:t>December 31, 2019</w:t>
            </w:r>
          </w:p>
        </w:tc>
      </w:tr>
      <w:tr>
        <w:trPr>
          <w:trHeight w:val="291"/>
        </w:trPr>
        <w:tc>
          <w:tcPr>
            <w:tcW w:w="3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8"/>
                <w:szCs w:val="18"/>
                <w:b w:val="1"/>
                <w:bCs w:val="1"/>
                <w:color w:val="auto"/>
                <w:vertAlign w:val="superscript"/>
              </w:rPr>
              <w:t>(a)</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(b)</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8"/>
                <w:szCs w:val="18"/>
                <w:b w:val="1"/>
                <w:bCs w:val="1"/>
                <w:color w:val="auto"/>
                <w:vertAlign w:val="superscript"/>
              </w:rPr>
              <w:t>(a)</w:t>
            </w:r>
          </w:p>
        </w:tc>
        <w:tc>
          <w:tcPr>
            <w:tcW w:w="280" w:type="dxa"/>
            <w:vAlign w:val="bottom"/>
          </w:tcPr>
          <w:p>
            <w:pPr>
              <w:spacing w:after="0"/>
              <w:rPr>
                <w:sz w:val="24"/>
                <w:szCs w:val="24"/>
                <w:color w:val="auto"/>
              </w:rPr>
            </w:pPr>
          </w:p>
        </w:tc>
        <w:tc>
          <w:tcPr>
            <w:tcW w:w="1500" w:type="dxa"/>
            <w:vAlign w:val="bottom"/>
          </w:tcPr>
          <w:p>
            <w:pPr>
              <w:jc w:val="right"/>
              <w:ind w:right="40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(b)</w:t>
            </w:r>
          </w:p>
        </w:tc>
      </w:tr>
      <w:tr>
        <w:trPr>
          <w:trHeight w:val="183"/>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Synthetic bonds due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551.2</w:t>
            </w: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492.9</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513.1</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3.45%</w:t>
            </w:r>
          </w:p>
        </w:tc>
        <w:tc>
          <w:tcPr>
            <w:tcW w:w="328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499.2</w:t>
            </w: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5.00% Notes due 2020</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3.40%</w:t>
            </w:r>
          </w:p>
        </w:tc>
        <w:tc>
          <w:tcPr>
            <w:tcW w:w="3280" w:type="dxa"/>
            <w:vAlign w:val="bottom"/>
          </w:tcPr>
          <w:p>
            <w:pPr>
              <w:ind w:left="20"/>
              <w:spacing w:after="0"/>
              <w:rPr>
                <w:sz w:val="20"/>
                <w:szCs w:val="20"/>
                <w:color w:val="auto"/>
              </w:rPr>
            </w:pPr>
            <w:r>
              <w:rPr>
                <w:rFonts w:ascii="Arial" w:cs="Arial" w:eastAsia="Arial" w:hAnsi="Arial"/>
                <w:sz w:val="14"/>
                <w:szCs w:val="14"/>
                <w:color w:val="auto"/>
              </w:rPr>
              <w:t>Notes due 2022</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180.6</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3.15%</w:t>
            </w:r>
          </w:p>
        </w:tc>
        <w:tc>
          <w:tcPr>
            <w:tcW w:w="328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150.5</w:t>
            </w: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4.50% Notes due 2025</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4.00%</w:t>
            </w:r>
          </w:p>
        </w:tc>
        <w:tc>
          <w:tcPr>
            <w:tcW w:w="3280" w:type="dxa"/>
            <w:vAlign w:val="bottom"/>
          </w:tcPr>
          <w:p>
            <w:pPr>
              <w:ind w:left="20"/>
              <w:spacing w:after="0"/>
              <w:rPr>
                <w:sz w:val="20"/>
                <w:szCs w:val="20"/>
                <w:color w:val="auto"/>
              </w:rPr>
            </w:pPr>
            <w:r>
              <w:rPr>
                <w:rFonts w:ascii="Arial" w:cs="Arial" w:eastAsia="Arial" w:hAnsi="Arial"/>
                <w:sz w:val="14"/>
                <w:szCs w:val="14"/>
                <w:color w:val="auto"/>
              </w:rPr>
              <w:t>Notes due 2027</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96.4</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2032</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r>
      <w:tr>
        <w:trPr>
          <w:trHeight w:val="190"/>
        </w:trPr>
        <w:tc>
          <w:tcPr>
            <w:tcW w:w="460" w:type="dxa"/>
            <w:vAlign w:val="bottom"/>
          </w:tcPr>
          <w:p>
            <w:pPr>
              <w:ind w:left="20"/>
              <w:spacing w:after="0"/>
              <w:rPr>
                <w:sz w:val="20"/>
                <w:szCs w:val="20"/>
                <w:color w:val="auto"/>
              </w:rPr>
            </w:pPr>
            <w:r>
              <w:rPr>
                <w:rFonts w:ascii="Arial" w:cs="Arial" w:eastAsia="Arial" w:hAnsi="Arial"/>
                <w:sz w:val="14"/>
                <w:szCs w:val="14"/>
                <w:color w:val="auto"/>
              </w:rPr>
              <w:t>3.75%</w:t>
            </w:r>
          </w:p>
        </w:tc>
        <w:tc>
          <w:tcPr>
            <w:tcW w:w="3280" w:type="dxa"/>
            <w:vAlign w:val="bottom"/>
          </w:tcPr>
          <w:p>
            <w:pPr>
              <w:ind w:left="20"/>
              <w:spacing w:after="0"/>
              <w:rPr>
                <w:sz w:val="20"/>
                <w:szCs w:val="20"/>
                <w:color w:val="auto"/>
              </w:rPr>
            </w:pPr>
            <w:r>
              <w:rPr>
                <w:rFonts w:ascii="Arial" w:cs="Arial" w:eastAsia="Arial" w:hAnsi="Arial"/>
                <w:sz w:val="14"/>
                <w:szCs w:val="14"/>
                <w:color w:val="auto"/>
              </w:rPr>
              <w:t>Notes due 2033</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123.8</w:t>
            </w:r>
          </w:p>
        </w:tc>
      </w:tr>
    </w:tbl>
    <w:p>
      <w:pPr>
        <w:spacing w:after="0" w:line="219" w:lineRule="exact"/>
        <w:rPr>
          <w:sz w:val="20"/>
          <w:szCs w:val="20"/>
          <w:color w:val="auto"/>
        </w:rPr>
      </w:pPr>
    </w:p>
    <w:p>
      <w:pPr>
        <w:ind w:left="340" w:right="100" w:hanging="332"/>
        <w:spacing w:after="0" w:line="258"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Carrying amounts include unamortized debt discounts and premiums and unamortized debt issuance costs of $12.8 million and $9.1 million as of December 31, 2020, and 2019, respectively.</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Fair values are based on Level 2 quoted market prices.</w:t>
      </w:r>
    </w:p>
    <w:p>
      <w:pPr>
        <w:spacing w:after="0" w:line="13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as well as amounts included in other current assets and other current liabilities that meet the definition of financial instruments, approximate fair value.</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NOTE 25. QUARTERLY INFORMATION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Qtr.</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Qtr.</w:t>
            </w: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Qtr.</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1st Qtr.</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Qtr.</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Qtr.</w:t>
            </w: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Qtr.</w:t>
            </w:r>
          </w:p>
        </w:tc>
        <w:tc>
          <w:tcPr>
            <w:tcW w:w="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1st Qtr.</w:t>
            </w:r>
          </w:p>
        </w:tc>
        <w:tc>
          <w:tcPr>
            <w:tcW w:w="0" w:type="dxa"/>
            <w:vAlign w:val="bottom"/>
          </w:tcPr>
          <w:p>
            <w:pPr>
              <w:spacing w:after="0"/>
              <w:rPr>
                <w:sz w:val="1"/>
                <w:szCs w:val="1"/>
                <w:color w:val="auto"/>
              </w:rPr>
            </w:pPr>
          </w:p>
        </w:tc>
      </w:tr>
      <w:tr>
        <w:trPr>
          <w:trHeight w:val="18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3,426.1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3,335.7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3,158.5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3,130.3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3,726.8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3,335.1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3,434.2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2,913.0</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2,973.8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2,882.3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2,706.3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3,067.2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2,745.2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2,411.9</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53"/>
        </w:trPr>
        <w:tc>
          <w:tcPr>
            <w:tcW w:w="2780" w:type="dxa"/>
            <w:vAlign w:val="bottom"/>
          </w:tcPr>
          <w:p>
            <w:pPr>
              <w:ind w:left="20"/>
              <w:spacing w:after="0" w:line="153" w:lineRule="exact"/>
              <w:rPr>
                <w:sz w:val="20"/>
                <w:szCs w:val="20"/>
                <w:color w:val="auto"/>
              </w:rPr>
            </w:pPr>
            <w:r>
              <w:rPr>
                <w:rFonts w:ascii="Arial" w:cs="Arial" w:eastAsia="Arial" w:hAnsi="Arial"/>
                <w:sz w:val="14"/>
                <w:szCs w:val="14"/>
                <w:color w:val="auto"/>
              </w:rPr>
              <w:t>Net income (loss) attributable to</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(3,256.1)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(2,414.0)</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71"/>
        </w:trPr>
        <w:tc>
          <w:tcPr>
            <w:tcW w:w="2780" w:type="dxa"/>
            <w:vAlign w:val="bottom"/>
          </w:tcPr>
          <w:p>
            <w:pPr>
              <w:ind w:left="20"/>
              <w:spacing w:after="0"/>
              <w:rPr>
                <w:sz w:val="20"/>
                <w:szCs w:val="20"/>
                <w:color w:val="auto"/>
              </w:rPr>
            </w:pPr>
            <w:r>
              <w:rPr>
                <w:rFonts w:ascii="Arial" w:cs="Arial" w:eastAsia="Arial" w:hAnsi="Arial"/>
                <w:sz w:val="14"/>
                <w:szCs w:val="14"/>
                <w:color w:val="auto"/>
              </w:rPr>
              <w:t>TechnipFMC plc</w:t>
            </w: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Basic earnings (loss) per share </w:t>
            </w:r>
            <w:r>
              <w:rPr>
                <w:rFonts w:ascii="Arial" w:cs="Arial" w:eastAsia="Arial" w:hAnsi="Arial"/>
                <w:sz w:val="18"/>
                <w:szCs w:val="1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9"/>
        </w:trPr>
        <w:tc>
          <w:tcPr>
            <w:tcW w:w="2780" w:type="dxa"/>
            <w:vAlign w:val="bottom"/>
          </w:tcPr>
          <w:p>
            <w:pPr>
              <w:ind w:left="20"/>
              <w:spacing w:after="0"/>
              <w:rPr>
                <w:sz w:val="20"/>
                <w:szCs w:val="20"/>
                <w:color w:val="auto"/>
              </w:rPr>
            </w:pPr>
            <w:r>
              <w:rPr>
                <w:rFonts w:ascii="Arial" w:cs="Arial" w:eastAsia="Arial" w:hAnsi="Arial"/>
                <w:sz w:val="14"/>
                <w:szCs w:val="14"/>
                <w:color w:val="auto"/>
              </w:rPr>
              <w:t xml:space="preserve">Diluted earnings (loss) per share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hanging="332"/>
        <w:spacing w:after="0" w:line="211" w:lineRule="auto"/>
        <w:tabs>
          <w:tab w:leader="none" w:pos="337"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Basic and diluted earnings (loss) per share are computed independently for each of the quarters presented. Therefore, the sum of quarterly basic and diluted per share information may not equal annual basic and diluted earnings (loss) per share.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SUBSEQUENT EVENT</w:t>
      </w:r>
    </w:p>
    <w:p>
      <w:pPr>
        <w:spacing w:after="0" w:line="274"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On February 16, 2021, we completed the Spin-off, see Note 3 for further details. In connection with the Spin-off, we executed a series of refinancing transactions, in order to provide a capital structure with sufficient cash resources to support future operating and investment plans.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February 16, 2021, we entered into a new senior secured revolving credit facility (the “Revolving Credit Facility”) that provides for aggregate revolving capacity of up to $1.0 billion. Availability of borrowings under the Revolving Credit Facility is reduced by any outstanding letters of credit issued against the facility. At February 25, 2021, there were no outstanding letters of credit and availability of borrowings under the Revolving Credit Facility was $800 million.</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January 29, 2021, we issued $1.0 billion of 6.5% senior notes due 2026 (the “2021 Notes”). The interest on the 2021 Notes is paid semi-annually on February 1 and August 1 of each year, beginning on August 1, 2021. The 2021 Notes are senior unsecured obligations and are guaranteed on a senior unsecured basis by substantially all of our wholly-owned U.S. subsidiaries and non-U.S. subsidiaries in Brazil, the Netherlands, Norway, Singapore and the United Kingdom.</w:t>
      </w:r>
    </w:p>
    <w:p>
      <w:pPr>
        <w:spacing w:after="0" w:line="150" w:lineRule="exact"/>
        <w:rPr>
          <w:sz w:val="20"/>
          <w:szCs w:val="20"/>
          <w:color w:val="auto"/>
        </w:rPr>
      </w:pPr>
    </w:p>
    <w:p>
      <w:pPr>
        <w:jc w:val="both"/>
        <w:ind w:right="720"/>
        <w:spacing w:after="0" w:line="256" w:lineRule="auto"/>
        <w:rPr>
          <w:sz w:val="20"/>
          <w:szCs w:val="20"/>
          <w:color w:val="auto"/>
        </w:rPr>
      </w:pPr>
      <w:r>
        <w:rPr>
          <w:rFonts w:ascii="Arial" w:cs="Arial" w:eastAsia="Arial" w:hAnsi="Arial"/>
          <w:sz w:val="18"/>
          <w:szCs w:val="18"/>
          <w:color w:val="auto"/>
        </w:rPr>
        <w:t>The proceeds from the debt issuance described above along with the available cash on hand were used to fund the repayment of all $522.8 million of the outstanding Synthetic Convertible Bonds that matured in January 2021 and the repayment of all $500.0 million aggregate principal amount of outstanding 3.45% Senior Notes due 2022.</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we terminated the $ 2.5 billion senior unsecured revolving credit facility we entered into on January 17, 2017 and terminated the €500.0 million Euro Facility and CCFF Program we entered into on May 19, 2020. In connection with the termination of these credit facilities, we repaid most of the outstanding commercial paper borrowings, which were $1,525.9 million as December 31,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As of December 31, 2020, and under the direction of our Chief Executive Officer and Chief Financial Officer, we evaluated the effectiveness of our disclosure controls and procedures, as defined in Rule 13a-15(e) under the Exchange Act. Based upon this evaluation, our Chief Executive Officer and Chief Financial Officer concluded as of December 31, 2020, that our disclosure controls and procedures were effective.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141" w:name="page142"/>
    <w:bookmarkEnd w:id="141"/>
    <w:p>
      <w:pPr>
        <w:ind w:right="280"/>
        <w:spacing w:after="0" w:line="261"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Management evaluated the effectiveness of our internal control over financial reporting as of December 31, 2020 based on the framework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issued by the Committee of Sponsoring Organizations of the Treadway Commission (COSO).</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this evaluation, management concluded that our internal control over financial reporting was effective as of December 31, 2020.</w:t>
      </w:r>
    </w:p>
    <w:p>
      <w:pPr>
        <w:spacing w:after="0" w:line="2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PricewaterhouseCoopers LLP, an independent registered public accounting firm, as stated in their report included herein.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year ended December 31, 2020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(“District Court”) against TechnipFMC and certain current and former officers and employees of TechnipFMC. The suit alleged violations of the federal securities laws in connection with the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The shareholder also asserted a claim for alleged violation of Section 11 of the Securities Act in connection with the reporting of certain financial results in our Form S-4 Registration Statement filed in 2016. On December 13, 2020, the parties filed a Stipulation and Agreement of Settlement to settle all claims asserted in the suit with prejudice. The defendants entered into the Stipulation solely to eliminate the burden, expense, uncertainty and risk of further litigation, and denied, and continue to deny, each and all of the claims and contentions alleged by the shareholder plaintiff in this action. On December 16, 2020, the District Court entered an order preliminarily approving the settlement and ordering notice to the settlement class. A settlement hearing is scheduled in the first quarter 2021.</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These actions and disputes can involve our agents, suppliers, clients, and join venture partners and can include claims related to payment of fees, service quality, and ownership arrangements including certain put or call options.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Part I, Item 1 “Executive Officers of the Registrant” of this Annual Report on Form 10 -K for information regarding our executive officers. The information set forth under the sections “Corporate Governance,” “Proposals 1(a) - 1(n) - Election of Directors”, and if applicable, “Delinquent Section 16(a) Reports” in our 2021 Proxy Statement is incorporated herein by reference.</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adopted a Code of Business Conduct, which is applicable to our directors, officers, and employees, including our principal executive officer, financial and accounting officers, and persons performing similar functions. Our Code of Business Conduct may be found on our website at www.technipfmc.com under “About us-Governance” and is available in print to shareholders without charge by submitting a request to 11740 Katy Freeway, Energy Tower 3, Houston, Texas 77079, Attention: Corporate Secretary. We intend to satisfy the disclosure requirements under the Securities and Exchange Act of 1934, as amended, regarding an amendment to or waiver from a provision of our Code of Business Conduct by posting such information on our website.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Occupation</w:t>
            </w:r>
          </w:p>
        </w:tc>
      </w:tr>
      <w:tr>
        <w:trPr>
          <w:trHeight w:val="183"/>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Douglas J. Pferdehirt</w:t>
            </w:r>
          </w:p>
        </w:tc>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Chairman and Chief Executive Officer of TechnipFMC</w:t>
            </w:r>
          </w:p>
        </w:tc>
      </w:tr>
      <w:tr>
        <w:trPr>
          <w:trHeight w:val="153"/>
        </w:trPr>
        <w:tc>
          <w:tcPr>
            <w:tcW w:w="26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Eleazar de Carvalho Filho</w:t>
            </w:r>
          </w:p>
        </w:tc>
        <w:tc>
          <w:tcPr>
            <w:tcW w:w="8560" w:type="dxa"/>
            <w:vAlign w:val="bottom"/>
          </w:tcPr>
          <w:p>
            <w:pPr>
              <w:ind w:left="20"/>
              <w:spacing w:after="0" w:line="153" w:lineRule="exact"/>
              <w:rPr>
                <w:sz w:val="20"/>
                <w:szCs w:val="20"/>
                <w:color w:val="auto"/>
              </w:rPr>
            </w:pPr>
            <w:r>
              <w:rPr>
                <w:rFonts w:ascii="Arial" w:cs="Arial" w:eastAsia="Arial" w:hAnsi="Arial"/>
                <w:sz w:val="14"/>
                <w:szCs w:val="14"/>
                <w:color w:val="auto"/>
              </w:rPr>
              <w:t>Founding Partner of Virtus BR Partners Assessoria Corporativa Ltda. and Founding Partner of Sinfonia Consultoria Financeira e</w:t>
            </w:r>
          </w:p>
        </w:tc>
      </w:tr>
      <w:tr>
        <w:trPr>
          <w:trHeight w:val="171"/>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60" w:type="dxa"/>
            <w:vAlign w:val="bottom"/>
          </w:tcPr>
          <w:p>
            <w:pPr>
              <w:ind w:left="20"/>
              <w:spacing w:after="0"/>
              <w:rPr>
                <w:sz w:val="20"/>
                <w:szCs w:val="20"/>
                <w:color w:val="auto"/>
              </w:rPr>
            </w:pPr>
            <w:r>
              <w:rPr>
                <w:rFonts w:ascii="Arial" w:cs="Arial" w:eastAsia="Arial" w:hAnsi="Arial"/>
                <w:sz w:val="14"/>
                <w:szCs w:val="14"/>
                <w:color w:val="auto"/>
              </w:rPr>
              <w:t>Participações Ltda., financial advisory and consulting firms</w:t>
            </w:r>
          </w:p>
        </w:tc>
      </w:tr>
      <w:tr>
        <w:trPr>
          <w:trHeight w:val="18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Claire S. Farley</w:t>
            </w:r>
          </w:p>
        </w:tc>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Vice Chairman in the Energy &amp; Infrastructure business of KKR &amp; Co. L.P., a global investment firm</w:t>
            </w:r>
          </w:p>
        </w:tc>
      </w:tr>
      <w:tr>
        <w:trPr>
          <w:trHeight w:val="189"/>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Peter Mellbye</w:t>
            </w:r>
          </w:p>
        </w:tc>
        <w:tc>
          <w:tcPr>
            <w:tcW w:w="8560" w:type="dxa"/>
            <w:vAlign w:val="bottom"/>
          </w:tcPr>
          <w:p>
            <w:pPr>
              <w:ind w:left="20"/>
              <w:spacing w:after="0"/>
              <w:rPr>
                <w:sz w:val="20"/>
                <w:szCs w:val="20"/>
                <w:color w:val="auto"/>
              </w:rPr>
            </w:pPr>
            <w:r>
              <w:rPr>
                <w:rFonts w:ascii="Arial" w:cs="Arial" w:eastAsia="Arial" w:hAnsi="Arial"/>
                <w:sz w:val="14"/>
                <w:szCs w:val="14"/>
                <w:color w:val="auto"/>
              </w:rPr>
              <w:t>Former Executive Vice President, Development &amp; Production, International, of Statoil ASA, an international oil and gas company</w:t>
            </w:r>
          </w:p>
        </w:tc>
      </w:tr>
      <w:tr>
        <w:trPr>
          <w:trHeight w:val="18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John O’Leary</w:t>
            </w:r>
          </w:p>
        </w:tc>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Executive Officer of Strand Energy, a Dubai-based company specializing in business development in the oil and gas industry</w:t>
            </w:r>
          </w:p>
        </w:tc>
      </w:tr>
      <w:tr>
        <w:trPr>
          <w:trHeight w:val="189"/>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Margareth Øvrum</w:t>
            </w:r>
          </w:p>
        </w:tc>
        <w:tc>
          <w:tcPr>
            <w:tcW w:w="8560" w:type="dxa"/>
            <w:vAlign w:val="bottom"/>
          </w:tcPr>
          <w:p>
            <w:pPr>
              <w:ind w:left="20"/>
              <w:spacing w:after="0"/>
              <w:rPr>
                <w:sz w:val="20"/>
                <w:szCs w:val="20"/>
                <w:color w:val="auto"/>
              </w:rPr>
            </w:pPr>
            <w:r>
              <w:rPr>
                <w:rFonts w:ascii="Arial" w:cs="Arial" w:eastAsia="Arial" w:hAnsi="Arial"/>
                <w:sz w:val="14"/>
                <w:szCs w:val="14"/>
                <w:color w:val="auto"/>
              </w:rPr>
              <w:t>Executive Vice President of Development and Production Brazil of Equinor ASA, an international oil and gas company</w:t>
            </w:r>
          </w:p>
        </w:tc>
      </w:tr>
      <w:tr>
        <w:trPr>
          <w:trHeight w:val="18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Kay G. Priestly</w:t>
            </w:r>
          </w:p>
        </w:tc>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Former Chief Executive Officer of Turquoise Hill Resources Ltd., an international mining company</w:t>
            </w:r>
          </w:p>
        </w:tc>
      </w:tr>
      <w:tr>
        <w:trPr>
          <w:trHeight w:val="153"/>
        </w:trPr>
        <w:tc>
          <w:tcPr>
            <w:tcW w:w="26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James M. Ringler</w:t>
            </w:r>
          </w:p>
        </w:tc>
        <w:tc>
          <w:tcPr>
            <w:tcW w:w="8560" w:type="dxa"/>
            <w:vAlign w:val="bottom"/>
          </w:tcPr>
          <w:p>
            <w:pPr>
              <w:ind w:left="20"/>
              <w:spacing w:after="0" w:line="153" w:lineRule="exact"/>
              <w:rPr>
                <w:sz w:val="20"/>
                <w:szCs w:val="20"/>
                <w:color w:val="auto"/>
              </w:rPr>
            </w:pPr>
            <w:r>
              <w:rPr>
                <w:rFonts w:ascii="Arial" w:cs="Arial" w:eastAsia="Arial" w:hAnsi="Arial"/>
                <w:sz w:val="14"/>
                <w:szCs w:val="14"/>
                <w:color w:val="auto"/>
              </w:rPr>
              <w:t>Former non-executive Chairman of the Board of Teradata Corporation, a provider of database software, data warehousing and</w:t>
            </w:r>
          </w:p>
        </w:tc>
      </w:tr>
      <w:tr>
        <w:trPr>
          <w:trHeight w:val="171"/>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60" w:type="dxa"/>
            <w:vAlign w:val="bottom"/>
          </w:tcPr>
          <w:p>
            <w:pPr>
              <w:ind w:left="20"/>
              <w:spacing w:after="0"/>
              <w:rPr>
                <w:sz w:val="20"/>
                <w:szCs w:val="20"/>
                <w:color w:val="auto"/>
              </w:rPr>
            </w:pPr>
            <w:r>
              <w:rPr>
                <w:rFonts w:ascii="Arial" w:cs="Arial" w:eastAsia="Arial" w:hAnsi="Arial"/>
                <w:sz w:val="14"/>
                <w:szCs w:val="14"/>
                <w:color w:val="auto"/>
              </w:rPr>
              <w:t>analytics</w:t>
            </w:r>
          </w:p>
        </w:tc>
      </w:tr>
      <w:tr>
        <w:trPr>
          <w:trHeight w:val="153"/>
        </w:trPr>
        <w:tc>
          <w:tcPr>
            <w:tcW w:w="26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John Yearwood</w:t>
            </w:r>
          </w:p>
        </w:tc>
        <w:tc>
          <w:tcPr>
            <w:tcW w:w="85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Former Chief Executive Officer, President, and Chief Operating Officer of Smith International, Inc., a supplier of services and</w:t>
            </w:r>
          </w:p>
        </w:tc>
      </w:tr>
      <w:tr>
        <w:trPr>
          <w:trHeight w:val="171"/>
        </w:trPr>
        <w:tc>
          <w:tcPr>
            <w:tcW w:w="2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manufactured products to oil and gas exploration and production companies</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Information required by this item is incorporated herein by reference from the sections entitled “Director Compensation,” “Corporate Governance </w:t>
      </w:r>
      <w:r>
        <w:rPr>
          <w:rFonts w:ascii="Arial" w:cs="Arial" w:eastAsia="Arial" w:hAnsi="Arial"/>
          <w:sz w:val="18"/>
          <w:szCs w:val="18"/>
          <w:i w:val="1"/>
          <w:iCs w:val="1"/>
          <w:color w:val="auto"/>
        </w:rPr>
        <w:t>-</w:t>
      </w:r>
      <w:r>
        <w:rPr>
          <w:rFonts w:ascii="Arial" w:cs="Arial" w:eastAsia="Arial" w:hAnsi="Arial"/>
          <w:sz w:val="18"/>
          <w:szCs w:val="18"/>
          <w:color w:val="auto"/>
        </w:rPr>
        <w:t xml:space="preserve"> Compensation Committee Interlocks and Insider Participation in Compensation Decisions” and “Executive Compensation Discussion and Analysis” of our Proxy Statement for the 2021 Annual General Meeting of Shareholders.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required by this item is incorporated herein by reference from the section entitled “Security Ownership of Our Management and Holders of More Than 5% of our Outstanding Ordinary Shares” of our Proxy Statement for the 2021 Annual General Meeting of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securities authorized for issuance under equity compensation plans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Weighted Average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 be Issued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Upon Exercise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Exercise Price of</w:t>
            </w: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35"/>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Outstanding Options,</w:t>
            </w: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CCEEFF"/>
            </w:tcBorders>
            <w:vMerge w:val="continue"/>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Borders>
              <w:bottom w:val="single" w:sz="8" w:color="CCEEFF"/>
            </w:tcBorders>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83"/>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security holders</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14,250.2</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4,598.4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29.77</w:t>
            </w:r>
          </w:p>
        </w:tc>
        <w:tc>
          <w:tcPr>
            <w:tcW w:w="1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14,250.2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Information required by this item is incorporated herein by reference from the sections entitled “Transactions with Related Persons” and “Corporate Governance - Director Independence” of our Proxy Statement for the 2021 Annual General Meeting of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Information required by this item is incorporated herein by reference from the sections entitled “Proposal 5 — Ratification of U.S. Auditor” of our Proxy Statement for the 2021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93"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71" w:lineRule="exact"/>
        <w:rPr>
          <w:rFonts w:ascii="Arial" w:cs="Arial" w:eastAsia="Arial" w:hAnsi="Arial"/>
          <w:sz w:val="18"/>
          <w:szCs w:val="18"/>
          <w:color w:val="auto"/>
        </w:rPr>
      </w:pPr>
    </w:p>
    <w:p>
      <w:pPr>
        <w:ind w:left="1300" w:right="20" w:hanging="644"/>
        <w:spacing w:after="0" w:line="261" w:lineRule="auto"/>
        <w:tabs>
          <w:tab w:leader="none" w:pos="128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TechnipFMC plc and subsidiaries are filed as part of this Annual Report on Form 10-K under Part II, Item 8:</w:t>
      </w:r>
    </w:p>
    <w:p>
      <w:pPr>
        <w:spacing w:after="0" w:line="143" w:lineRule="exact"/>
        <w:rPr>
          <w:rFonts w:ascii="Arial" w:cs="Arial" w:eastAsia="Arial" w:hAnsi="Arial"/>
          <w:sz w:val="18"/>
          <w:szCs w:val="18"/>
          <w:color w:val="auto"/>
        </w:rPr>
      </w:pPr>
    </w:p>
    <w:p>
      <w:pPr>
        <w:ind w:left="1300" w:right="1160"/>
        <w:spacing w:after="0" w:line="438" w:lineRule="auto"/>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on Consolidated Financial Statements Consolidated Statements of Income for the Years Ended December 31, 2020, 2019 and 2018 Consolidated Statements of Comprehensive Income for the Years Ended December 31, 2020, 2019, and 2018 Consolidated Balance Sheets as of December 31, 2020 and 2019</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2020, 2019 and 2018</w:t>
      </w:r>
    </w:p>
    <w:p>
      <w:pPr>
        <w:spacing w:after="0" w:line="171" w:lineRule="exact"/>
        <w:rPr>
          <w:rFonts w:ascii="Arial" w:cs="Arial" w:eastAsia="Arial" w:hAnsi="Arial"/>
          <w:sz w:val="18"/>
          <w:szCs w:val="18"/>
          <w:color w:val="auto"/>
        </w:rPr>
      </w:pPr>
    </w:p>
    <w:p>
      <w:pPr>
        <w:ind w:left="1300" w:right="520"/>
        <w:spacing w:after="0" w:line="438" w:lineRule="auto"/>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Years Ended December 31, 2020, 2019 and 2018 Notes to Consolidated Financial Statements</w:t>
      </w:r>
    </w:p>
    <w:p>
      <w:pPr>
        <w:ind w:left="1300" w:hanging="644"/>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71" w:lineRule="exact"/>
        <w:rPr>
          <w:rFonts w:ascii="Arial" w:cs="Arial" w:eastAsia="Arial" w:hAnsi="Arial"/>
          <w:sz w:val="18"/>
          <w:szCs w:val="18"/>
          <w:color w:val="auto"/>
        </w:rPr>
      </w:pPr>
    </w:p>
    <w:p>
      <w:pPr>
        <w:jc w:val="both"/>
        <w:ind w:left="1300"/>
        <w:spacing w:after="0" w:line="256" w:lineRule="auto"/>
        <w:rPr>
          <w:rFonts w:ascii="Arial" w:cs="Arial" w:eastAsia="Arial" w:hAnsi="Arial"/>
          <w:sz w:val="18"/>
          <w:szCs w:val="18"/>
          <w:color w:val="auto"/>
        </w:rPr>
      </w:pPr>
      <w:r>
        <w:rPr>
          <w:rFonts w:ascii="Arial" w:cs="Arial" w:eastAsia="Arial" w:hAnsi="Arial"/>
          <w:sz w:val="18"/>
          <w:szCs w:val="18"/>
          <w:color w:val="auto"/>
        </w:rPr>
        <w:t>See “Schedule II - Valuation and Qualifying Accounts” included herein. All other schedules are omitted because of the absence of conditions under which they are required or because information called for is shown in the consolidated financial statements and notes thereto in Part II, Item 8 of this Annual Report on Form 10-K.</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“Index of Exhibits” filed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18"/>
          <w:szCs w:val="18"/>
          <w:b w:val="1"/>
          <w:bCs w:val="1"/>
          <w:u w:val="single" w:color="auto"/>
          <w:color w:val="auto"/>
        </w:rPr>
        <w:t>Schedule II—Valuation and Qualifying Accounts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Charged to</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Charged to</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Beginning of</w:t>
            </w:r>
          </w:p>
        </w:tc>
        <w:tc>
          <w:tcPr>
            <w:tcW w:w="140" w:type="dxa"/>
            <w:vAlign w:val="bottom"/>
          </w:tcPr>
          <w:p>
            <w:pPr>
              <w:spacing w:after="0"/>
              <w:rPr>
                <w:sz w:val="4"/>
                <w:szCs w:val="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Deductions</w:t>
            </w: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96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rPr>
              <w:t>Other Accounts</w:t>
            </w:r>
            <w:r>
              <w:rPr>
                <w:rFonts w:ascii="Arial" w:cs="Arial" w:eastAsia="Arial" w:hAnsi="Arial"/>
                <w:sz w:val="15"/>
                <w:szCs w:val="15"/>
                <w:b w:val="1"/>
                <w:bCs w:val="1"/>
                <w:color w:val="auto"/>
                <w:vertAlign w:val="subscript"/>
              </w:rPr>
              <w:t>(a)</w:t>
            </w: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500" w:type="dxa"/>
            <w:vAlign w:val="bottom"/>
            <w:gridSpan w:val="2"/>
          </w:tcPr>
          <w:p>
            <w:pPr>
              <w:ind w:left="40"/>
              <w:spacing w:after="0"/>
              <w:rPr>
                <w:sz w:val="20"/>
                <w:szCs w:val="20"/>
                <w:color w:val="auto"/>
              </w:rPr>
            </w:pPr>
            <w:r>
              <w:rPr>
                <w:rFonts w:ascii="Arial" w:cs="Arial" w:eastAsia="Arial" w:hAnsi="Arial"/>
                <w:sz w:val="9"/>
                <w:szCs w:val="9"/>
                <w:b w:val="1"/>
                <w:bCs w:val="1"/>
                <w:color w:val="auto"/>
              </w:rPr>
              <w:t>(b)</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Period</w:t>
            </w:r>
          </w:p>
        </w:tc>
        <w:tc>
          <w:tcPr>
            <w:tcW w:w="140" w:type="dxa"/>
            <w:vAlign w:val="bottom"/>
          </w:tcPr>
          <w:p>
            <w:pPr>
              <w:spacing w:after="0"/>
              <w:rPr>
                <w:sz w:val="8"/>
                <w:szCs w:val="8"/>
                <w:color w:val="auto"/>
              </w:rPr>
            </w:pPr>
          </w:p>
        </w:tc>
        <w:tc>
          <w:tcPr>
            <w:tcW w:w="134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and Expenses</w:t>
            </w: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and Adjustments</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jc w:val="right"/>
              <w:ind w:right="131"/>
              <w:spacing w:after="0" w:line="95" w:lineRule="exact"/>
              <w:rPr>
                <w:sz w:val="20"/>
                <w:szCs w:val="20"/>
                <w:color w:val="auto"/>
              </w:rPr>
            </w:pPr>
            <w:r>
              <w:rPr>
                <w:rFonts w:ascii="Arial" w:cs="Arial" w:eastAsia="Arial" w:hAnsi="Arial"/>
                <w:sz w:val="10"/>
                <w:szCs w:val="10"/>
                <w:b w:val="1"/>
                <w:bCs w:val="1"/>
                <w:color w:val="auto"/>
              </w:rPr>
              <w:t>End of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Trade receivables 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430.0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213.8</w:t>
            </w:r>
          </w:p>
        </w:tc>
        <w:tc>
          <w:tcPr>
            <w:tcW w:w="12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683.4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2019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Trade receivables allowance for doubtful accounts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119.6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2020</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6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4"/>
                <w:szCs w:val="14"/>
                <w:color w:val="auto"/>
              </w:rPr>
              <w:t xml:space="preserve">Trade receivables allowance for doubtful accounts </w:t>
            </w:r>
            <w:r>
              <w:rPr>
                <w:rFonts w:ascii="Arial" w:cs="Arial" w:eastAsia="Arial" w:hAnsi="Arial"/>
                <w:sz w:val="18"/>
                <w:szCs w:val="18"/>
                <w:color w:val="auto"/>
                <w:vertAlign w:val="superscript"/>
              </w:rPr>
              <w:t>(c)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tcPr>
          <w:p>
            <w:pPr>
              <w:ind w:left="20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916.9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935.3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"Additions charged to other accounts” includes translation adjustments.</w:t>
      </w:r>
    </w:p>
    <w:p>
      <w:pPr>
        <w:spacing w:after="0" w:line="163" w:lineRule="exact"/>
        <w:rPr>
          <w:rFonts w:ascii="Arial" w:cs="Arial" w:eastAsia="Arial" w:hAnsi="Arial"/>
          <w:sz w:val="14"/>
          <w:szCs w:val="14"/>
          <w:color w:val="auto"/>
        </w:rPr>
      </w:pPr>
    </w:p>
    <w:p>
      <w:pPr>
        <w:ind w:left="340" w:right="200" w:hanging="332"/>
        <w:spacing w:after="0" w:line="258"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“Deductions and adjustments” includes write-offs, net of recoveries, increases in allowances offset by increases to deferred tax assets, and reductions in the allowances credited to expense.</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On January 1, 2020, we adopted ASU 2016-13, resulting in a $3.8 million increase to our trade receivables allowance for doubtful accounts. See Note 4 for further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ITEM 16.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48" w:right="1440" w:bottom="1440" w:gutter="0" w:footer="0" w:header="0"/>
        </w:sectPr>
      </w:pPr>
    </w:p>
    <w:bookmarkStart w:id="147" w:name="page148"/>
    <w:bookmarkEnd w:id="147"/>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OF EXHIBITS</w:t>
      </w:r>
    </w:p>
    <w:p>
      <w:pPr>
        <w:sectPr>
          <w:pgSz w:w="11900" w:h="17014" w:orient="portrait"/>
          <w:cols w:equalWidth="0" w:num="1">
            <w:col w:w="11240"/>
          </w:cols>
          <w:pgMar w:left="320" w:top="1048" w:right="339"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4"/>
          <w:szCs w:val="14"/>
          <w:b w:val="1"/>
          <w:bCs w:val="1"/>
          <w:color w:val="auto"/>
        </w:rPr>
        <w:t>Number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17780</wp:posOffset>
            </wp:positionV>
            <wp:extent cx="7132320" cy="300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40" w:lineRule="exact"/>
        <w:rPr>
          <w:sz w:val="20"/>
          <w:szCs w:val="20"/>
          <w:color w:val="auto"/>
        </w:rPr>
      </w:pPr>
    </w:p>
    <w:p>
      <w:pPr>
        <w:ind w:right="160"/>
        <w:spacing w:after="0" w:line="219" w:lineRule="auto"/>
        <w:rPr>
          <w:rFonts w:ascii="Arial" w:cs="Arial" w:eastAsia="Arial" w:hAnsi="Arial"/>
          <w:sz w:val="14"/>
          <w:szCs w:val="14"/>
          <w:u w:val="single" w:color="auto"/>
          <w:color w:val="0000FF"/>
        </w:rPr>
      </w:pPr>
      <w:hyperlink r:id="rId172">
        <w:r>
          <w:rPr>
            <w:rFonts w:ascii="Arial" w:cs="Arial" w:eastAsia="Arial" w:hAnsi="Arial"/>
            <w:sz w:val="14"/>
            <w:szCs w:val="14"/>
            <w:u w:val="single" w:color="auto"/>
            <w:color w:val="0000FF"/>
          </w:rPr>
          <w:t>Business Combination Agreement, dated as of June 14, 2016, by and among FMC Technologies, Inc., TechnipFMC plc (f/k/a FMC Technologies SIS</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Limited) and Technip S.A. (incorporated by reference from Annex A-1 to the Registration Statement on Form S-4, as amended, filed on October 21, 2016)</w:t>
        </w:r>
      </w:hyperlink>
      <w:r>
        <w:rPr>
          <w:rFonts w:ascii="Arial" w:cs="Arial" w:eastAsia="Arial" w:hAnsi="Arial"/>
          <w:sz w:val="14"/>
          <w:szCs w:val="14"/>
          <w:u w:val="single" w:color="auto"/>
          <w:color w:val="0000FF"/>
        </w:rPr>
        <w:t xml:space="preserve"> </w:t>
      </w:r>
      <w:hyperlink r:id="rId172">
        <w:r>
          <w:rPr>
            <w:rFonts w:ascii="Arial" w:cs="Arial" w:eastAsia="Arial" w:hAnsi="Arial"/>
            <w:sz w:val="14"/>
            <w:szCs w:val="14"/>
            <w:u w:val="single" w:color="auto"/>
            <w:color w:val="0000FF"/>
          </w:rPr>
          <w:t>(File No. 333-213067)</w:t>
        </w:r>
      </w:hyperlink>
    </w:p>
    <w:p>
      <w:pPr>
        <w:spacing w:after="0" w:line="1" w:lineRule="exact"/>
        <w:rPr>
          <w:rFonts w:ascii="Arial" w:cs="Arial" w:eastAsia="Arial" w:hAnsi="Arial"/>
          <w:sz w:val="14"/>
          <w:szCs w:val="14"/>
          <w:u w:val="single" w:color="auto"/>
          <w:color w:val="0000FF"/>
        </w:rPr>
      </w:pPr>
    </w:p>
    <w:p>
      <w:pPr>
        <w:sectPr>
          <w:pgSz w:w="11900" w:h="17014" w:orient="portrait"/>
          <w:cols w:equalWidth="0" w:num="2">
            <w:col w:w="600" w:space="720"/>
            <w:col w:w="9920"/>
          </w:cols>
          <w:pgMar w:left="320" w:top="1048" w:right="3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20" w:type="dxa"/>
            <w:vAlign w:val="bottom"/>
          </w:tcPr>
          <w:p>
            <w:pPr>
              <w:ind w:left="20"/>
              <w:spacing w:after="0"/>
              <w:rPr>
                <w:sz w:val="20"/>
                <w:szCs w:val="20"/>
                <w:color w:val="auto"/>
              </w:rPr>
            </w:pPr>
            <w:r>
              <w:rPr>
                <w:rFonts w:ascii="Arial" w:cs="Arial" w:eastAsia="Arial" w:hAnsi="Arial"/>
                <w:sz w:val="14"/>
                <w:szCs w:val="14"/>
                <w:color w:val="auto"/>
              </w:rPr>
              <w:t>2.1.a</w:t>
            </w:r>
          </w:p>
        </w:tc>
        <w:tc>
          <w:tcPr>
            <w:tcW w:w="10220" w:type="dxa"/>
            <w:vAlign w:val="bottom"/>
            <w:gridSpan w:val="63"/>
          </w:tcPr>
          <w:p>
            <w:pPr>
              <w:spacing w:after="0"/>
              <w:rPr>
                <w:rFonts w:ascii="Arial" w:cs="Arial" w:eastAsia="Arial" w:hAnsi="Arial"/>
                <w:sz w:val="14"/>
                <w:szCs w:val="14"/>
                <w:color w:val="0000FF"/>
              </w:rPr>
            </w:pPr>
            <w:hyperlink r:id="rId173">
              <w:r>
                <w:rPr>
                  <w:rFonts w:ascii="Arial" w:cs="Arial" w:eastAsia="Arial" w:hAnsi="Arial"/>
                  <w:sz w:val="14"/>
                  <w:szCs w:val="14"/>
                  <w:color w:val="0000FF"/>
                </w:rPr>
                <w:t>Amendment No. 1 to Business Combination Agreement, dated as of December 14, 2016, by and among FMC Technologies, Inc., TechnipFMC plc (f/k/a</w:t>
              </w:r>
            </w:hyperlink>
          </w:p>
        </w:tc>
      </w:tr>
      <w:tr>
        <w:trPr>
          <w:trHeight w:val="115"/>
        </w:trPr>
        <w:tc>
          <w:tcPr>
            <w:tcW w:w="1320" w:type="dxa"/>
            <w:vAlign w:val="bottom"/>
          </w:tcPr>
          <w:p>
            <w:pPr>
              <w:spacing w:after="0"/>
              <w:rPr>
                <w:sz w:val="10"/>
                <w:szCs w:val="10"/>
                <w:color w:val="auto"/>
              </w:rPr>
            </w:pPr>
          </w:p>
        </w:tc>
        <w:tc>
          <w:tcPr>
            <w:tcW w:w="9700" w:type="dxa"/>
            <w:vAlign w:val="bottom"/>
            <w:tcBorders>
              <w:top w:val="single" w:sz="8" w:color="0000FF"/>
              <w:bottom w:val="single" w:sz="8" w:color="0000FF"/>
            </w:tcBorders>
            <w:gridSpan w:val="37"/>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TechnipFMC Limited) and Technip S.A. (incorporated by reference from Exhibit 2.1 to the Current Report on Form 8-K filed on December 14, 2016) (File</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320" w:type="dxa"/>
            <w:vAlign w:val="bottom"/>
          </w:tcPr>
          <w:p>
            <w:pPr>
              <w:spacing w:after="0"/>
              <w:rPr>
                <w:sz w:val="10"/>
                <w:szCs w:val="10"/>
                <w:color w:val="auto"/>
              </w:rPr>
            </w:pPr>
          </w:p>
        </w:tc>
        <w:tc>
          <w:tcPr>
            <w:tcW w:w="9760" w:type="dxa"/>
            <w:vAlign w:val="bottom"/>
            <w:gridSpan w:val="40"/>
          </w:tcPr>
          <w:p>
            <w:pPr>
              <w:spacing w:after="0" w:line="115" w:lineRule="exact"/>
              <w:rPr>
                <w:rFonts w:ascii="Arial" w:cs="Arial" w:eastAsia="Arial" w:hAnsi="Arial"/>
                <w:sz w:val="13"/>
                <w:szCs w:val="13"/>
                <w:color w:val="0000FF"/>
              </w:rPr>
            </w:pPr>
            <w:hyperlink r:id="rId173">
              <w:r>
                <w:rPr>
                  <w:rFonts w:ascii="Arial" w:cs="Arial" w:eastAsia="Arial" w:hAnsi="Arial"/>
                  <w:sz w:val="13"/>
                  <w:szCs w:val="13"/>
                  <w:color w:val="0000FF"/>
                </w:rPr>
                <w:t>No. 333-213067)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
        </w:trPr>
        <w:tc>
          <w:tcPr>
            <w:tcW w:w="11540" w:type="dxa"/>
            <w:vAlign w:val="bottom"/>
            <w:gridSpan w:val="64"/>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2.3</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74">
              <w:r>
                <w:rPr>
                  <w:rFonts w:ascii="Arial" w:cs="Arial" w:eastAsia="Arial" w:hAnsi="Arial"/>
                  <w:sz w:val="14"/>
                  <w:szCs w:val="14"/>
                  <w:color w:val="0000FF"/>
                </w:rPr>
                <w:t>Joinder Agreement, dated as of December 14, 2016, by and among FMC Technologies, Inc., TechnipFMC plc (f/k/a TechnipFMC Limited), Technip S.A.,</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740" w:type="dxa"/>
            <w:vAlign w:val="bottom"/>
            <w:tcBorders>
              <w:top w:val="single" w:sz="8" w:color="0000FF"/>
            </w:tcBorders>
            <w:gridSpan w:val="39"/>
            <w:shd w:val="clear" w:color="auto" w:fill="CCEEFF"/>
          </w:tcPr>
          <w:p>
            <w:pPr>
              <w:spacing w:after="0" w:line="115" w:lineRule="exact"/>
              <w:rPr>
                <w:rFonts w:ascii="Arial" w:cs="Arial" w:eastAsia="Arial" w:hAnsi="Arial"/>
                <w:sz w:val="13"/>
                <w:szCs w:val="13"/>
                <w:color w:val="0000FF"/>
              </w:rPr>
            </w:pPr>
            <w:hyperlink r:id="rId174">
              <w:r>
                <w:rPr>
                  <w:rFonts w:ascii="Arial" w:cs="Arial" w:eastAsia="Arial" w:hAnsi="Arial"/>
                  <w:sz w:val="13"/>
                  <w:szCs w:val="13"/>
                  <w:color w:val="0000FF"/>
                </w:rPr>
                <w:t>TechnipFMC Holdings Limited, TechnipFMC US Holdings LLC and TechnipFMC US Merger Sub LLC (incorporated by reference from Exhibit 2.2 to the</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580" w:type="dxa"/>
            <w:vAlign w:val="bottom"/>
            <w:tcBorders>
              <w:top w:val="single" w:sz="8" w:color="0000FF"/>
            </w:tcBorders>
            <w:gridSpan w:val="31"/>
            <w:shd w:val="clear" w:color="auto" w:fill="CCEEFF"/>
          </w:tcPr>
          <w:p>
            <w:pPr>
              <w:spacing w:after="0" w:line="115" w:lineRule="exact"/>
              <w:rPr>
                <w:rFonts w:ascii="Arial" w:cs="Arial" w:eastAsia="Arial" w:hAnsi="Arial"/>
                <w:sz w:val="13"/>
                <w:szCs w:val="13"/>
                <w:color w:val="0000FF"/>
              </w:rPr>
            </w:pPr>
            <w:hyperlink r:id="rId174">
              <w:r>
                <w:rPr>
                  <w:rFonts w:ascii="Arial" w:cs="Arial" w:eastAsia="Arial" w:hAnsi="Arial"/>
                  <w:sz w:val="13"/>
                  <w:szCs w:val="13"/>
                  <w:color w:val="0000FF"/>
                </w:rPr>
                <w:t>Current Report on Form 8-K filed on December 14, 2016) (File No. 333-213067)</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6460" w:type="dxa"/>
            <w:vAlign w:val="bottom"/>
            <w:tcBorders>
              <w:right w:val="single" w:sz="8" w:color="CCEEFF"/>
            </w:tcBorders>
            <w:gridSpan w:val="12"/>
            <w:shd w:val="clear" w:color="auto" w:fill="CCEEFF"/>
          </w:tcPr>
          <w:p>
            <w:pPr>
              <w:spacing w:after="0"/>
              <w:rPr>
                <w:sz w:val="2"/>
                <w:szCs w:val="2"/>
                <w:color w:val="auto"/>
              </w:rPr>
            </w:pPr>
          </w:p>
        </w:tc>
        <w:tc>
          <w:tcPr>
            <w:tcW w:w="2040" w:type="dxa"/>
            <w:vAlign w:val="bottom"/>
            <w:tcBorders>
              <w:left w:val="single" w:sz="8" w:color="CCEEFF"/>
              <w:right w:val="single" w:sz="8" w:color="CCEEFF"/>
            </w:tcBorders>
            <w:gridSpan w:val="9"/>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3.1</w:t>
            </w:r>
          </w:p>
        </w:tc>
        <w:tc>
          <w:tcPr>
            <w:tcW w:w="10220" w:type="dxa"/>
            <w:vAlign w:val="bottom"/>
            <w:gridSpan w:val="63"/>
          </w:tcPr>
          <w:p>
            <w:pPr>
              <w:spacing w:after="0"/>
              <w:rPr>
                <w:rFonts w:ascii="Arial" w:cs="Arial" w:eastAsia="Arial" w:hAnsi="Arial"/>
                <w:sz w:val="14"/>
                <w:szCs w:val="14"/>
                <w:color w:val="0000FF"/>
              </w:rPr>
            </w:pPr>
            <w:hyperlink r:id="rId175">
              <w:r>
                <w:rPr>
                  <w:rFonts w:ascii="Arial" w:cs="Arial" w:eastAsia="Arial" w:hAnsi="Arial"/>
                  <w:sz w:val="14"/>
                  <w:szCs w:val="14"/>
                  <w:color w:val="0000FF"/>
                </w:rPr>
                <w:t>Articles of Association of TechnipFMC plc (incorporated by reference from Exhibit 3.1 to the Current Report on Form 8-K filed on January 17, 2017) (File</w:t>
              </w:r>
            </w:hyperlink>
          </w:p>
        </w:tc>
      </w:tr>
      <w:tr>
        <w:trPr>
          <w:trHeight w:val="115"/>
        </w:trPr>
        <w:tc>
          <w:tcPr>
            <w:tcW w:w="1320" w:type="dxa"/>
            <w:vAlign w:val="bottom"/>
          </w:tcPr>
          <w:p>
            <w:pPr>
              <w:spacing w:after="0"/>
              <w:rPr>
                <w:sz w:val="10"/>
                <w:szCs w:val="10"/>
                <w:color w:val="auto"/>
              </w:rPr>
            </w:pPr>
          </w:p>
        </w:tc>
        <w:tc>
          <w:tcPr>
            <w:tcW w:w="976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75">
              <w:r>
                <w:rPr>
                  <w:rFonts w:ascii="Arial" w:cs="Arial" w:eastAsia="Arial" w:hAnsi="Arial"/>
                  <w:sz w:val="13"/>
                  <w:szCs w:val="13"/>
                  <w:color w:val="0000FF"/>
                </w:rPr>
                <w:t>No. 001-37983)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
        </w:trPr>
        <w:tc>
          <w:tcPr>
            <w:tcW w:w="11540" w:type="dxa"/>
            <w:vAlign w:val="bottom"/>
            <w:gridSpan w:val="64"/>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76">
              <w:r>
                <w:rPr>
                  <w:rFonts w:ascii="Arial" w:cs="Arial" w:eastAsia="Arial" w:hAnsi="Arial"/>
                  <w:sz w:val="14"/>
                  <w:szCs w:val="14"/>
                  <w:color w:val="0000FF"/>
                </w:rPr>
                <w:t>Indenture, dated March 29, 2017, between TechnipFMC plc and U.S. Bank National Association, as trustee (incorporated by reference from Exhibit 4.1 to</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900" w:type="dxa"/>
            <w:vAlign w:val="bottom"/>
            <w:tcBorders>
              <w:top w:val="single" w:sz="8" w:color="0000FF"/>
            </w:tcBorders>
            <w:gridSpan w:val="47"/>
            <w:shd w:val="clear" w:color="auto" w:fill="CCEEFF"/>
          </w:tcPr>
          <w:p>
            <w:pPr>
              <w:spacing w:after="0" w:line="115" w:lineRule="exact"/>
              <w:rPr>
                <w:rFonts w:ascii="Arial" w:cs="Arial" w:eastAsia="Arial" w:hAnsi="Arial"/>
                <w:sz w:val="13"/>
                <w:szCs w:val="13"/>
                <w:color w:val="0000FF"/>
              </w:rPr>
            </w:pPr>
            <w:hyperlink r:id="rId176">
              <w:r>
                <w:rPr>
                  <w:rFonts w:ascii="Arial" w:cs="Arial" w:eastAsia="Arial" w:hAnsi="Arial"/>
                  <w:sz w:val="13"/>
                  <w:szCs w:val="13"/>
                  <w:color w:val="0000FF"/>
                </w:rPr>
                <w:t>the Current Report on Form 8-K filed on March 30, 2017) (File No. 001-37983)</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6460" w:type="dxa"/>
            <w:vAlign w:val="bottom"/>
            <w:tcBorders>
              <w:right w:val="single" w:sz="8" w:color="CCEEFF"/>
            </w:tcBorders>
            <w:gridSpan w:val="12"/>
            <w:shd w:val="clear" w:color="auto" w:fill="CCEEFF"/>
          </w:tcPr>
          <w:p>
            <w:pPr>
              <w:spacing w:after="0"/>
              <w:rPr>
                <w:sz w:val="2"/>
                <w:szCs w:val="2"/>
                <w:color w:val="auto"/>
              </w:rPr>
            </w:pPr>
          </w:p>
        </w:tc>
        <w:tc>
          <w:tcPr>
            <w:tcW w:w="2040" w:type="dxa"/>
            <w:vAlign w:val="bottom"/>
            <w:tcBorders>
              <w:left w:val="single" w:sz="8" w:color="CCEEFF"/>
              <w:right w:val="single" w:sz="8" w:color="CCEEFF"/>
            </w:tcBorders>
            <w:gridSpan w:val="9"/>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4.1.a</w:t>
            </w:r>
          </w:p>
        </w:tc>
        <w:tc>
          <w:tcPr>
            <w:tcW w:w="10220" w:type="dxa"/>
            <w:vAlign w:val="bottom"/>
            <w:gridSpan w:val="63"/>
          </w:tcPr>
          <w:p>
            <w:pPr>
              <w:spacing w:after="0"/>
              <w:rPr>
                <w:rFonts w:ascii="Arial" w:cs="Arial" w:eastAsia="Arial" w:hAnsi="Arial"/>
                <w:sz w:val="14"/>
                <w:szCs w:val="14"/>
                <w:color w:val="0000FF"/>
              </w:rPr>
            </w:pPr>
            <w:hyperlink r:id="rId177">
              <w:r>
                <w:rPr>
                  <w:rFonts w:ascii="Arial" w:cs="Arial" w:eastAsia="Arial" w:hAnsi="Arial"/>
                  <w:sz w:val="14"/>
                  <w:szCs w:val="14"/>
                  <w:color w:val="0000FF"/>
                </w:rPr>
                <w:t>Second Supplemental Indenture, dated March 29, 2017, between TechnipFMC plc and U.S. Bank National Association, as trustee (including the form of</w:t>
              </w:r>
            </w:hyperlink>
          </w:p>
        </w:tc>
      </w:tr>
      <w:tr>
        <w:trPr>
          <w:trHeight w:val="115"/>
        </w:trPr>
        <w:tc>
          <w:tcPr>
            <w:tcW w:w="1320" w:type="dxa"/>
            <w:vAlign w:val="bottom"/>
          </w:tcPr>
          <w:p>
            <w:pPr>
              <w:spacing w:after="0"/>
              <w:rPr>
                <w:sz w:val="10"/>
                <w:szCs w:val="10"/>
                <w:color w:val="auto"/>
              </w:rPr>
            </w:pPr>
          </w:p>
        </w:tc>
        <w:tc>
          <w:tcPr>
            <w:tcW w:w="972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77">
              <w:r>
                <w:rPr>
                  <w:rFonts w:ascii="Arial" w:cs="Arial" w:eastAsia="Arial" w:hAnsi="Arial"/>
                  <w:sz w:val="13"/>
                  <w:szCs w:val="13"/>
                  <w:color w:val="0000FF"/>
                </w:rPr>
                <w:t>3.</w:t>
              </w:r>
              <w:r>
                <w:rPr>
                  <w:rFonts w:ascii="Arial" w:cs="Arial" w:eastAsia="Arial" w:hAnsi="Arial"/>
                  <w:sz w:val="13"/>
                  <w:szCs w:val="13"/>
                  <w:u w:val="single" w:color="auto"/>
                  <w:color w:val="0000FF"/>
                </w:rPr>
                <w:t>45%</w:t>
              </w:r>
              <w:r>
                <w:rPr>
                  <w:rFonts w:ascii="Arial" w:cs="Arial" w:eastAsia="Arial" w:hAnsi="Arial"/>
                  <w:sz w:val="13"/>
                  <w:szCs w:val="13"/>
                  <w:color w:val="0000FF"/>
                </w:rPr>
                <w:t xml:space="preserve"> Senior Notes due 2022) (incorporated by reference from Exhibit 4.3 to the Current Report on Form 8-K filed on March 30, 2017) (File No. 001-</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320" w:type="dxa"/>
            <w:vAlign w:val="bottom"/>
          </w:tcPr>
          <w:p>
            <w:pPr>
              <w:spacing w:after="0"/>
              <w:rPr>
                <w:sz w:val="10"/>
                <w:szCs w:val="10"/>
                <w:color w:val="auto"/>
              </w:rPr>
            </w:pPr>
          </w:p>
        </w:tc>
        <w:tc>
          <w:tcPr>
            <w:tcW w:w="946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77">
              <w:r>
                <w:rPr>
                  <w:rFonts w:ascii="Arial" w:cs="Arial" w:eastAsia="Arial" w:hAnsi="Arial"/>
                  <w:sz w:val="13"/>
                  <w:szCs w:val="13"/>
                  <w:color w:val="0000FF"/>
                </w:rPr>
                <w:t>37983)</w:t>
              </w:r>
            </w:hyperlink>
          </w:p>
        </w:tc>
        <w:tc>
          <w:tcPr>
            <w:tcW w:w="760" w:type="dxa"/>
            <w:vAlign w:val="bottom"/>
            <w:gridSpan w:val="38"/>
          </w:tcPr>
          <w:p>
            <w:pPr>
              <w:spacing w:after="0"/>
              <w:rPr>
                <w:sz w:val="10"/>
                <w:szCs w:val="10"/>
                <w:color w:val="auto"/>
              </w:rPr>
            </w:pPr>
          </w:p>
        </w:tc>
      </w:tr>
      <w:tr>
        <w:trPr>
          <w:trHeight w:val="27"/>
        </w:trPr>
        <w:tc>
          <w:tcPr>
            <w:tcW w:w="11540" w:type="dxa"/>
            <w:vAlign w:val="bottom"/>
            <w:gridSpan w:val="64"/>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4.2</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78">
              <w:r>
                <w:rPr>
                  <w:rFonts w:ascii="Arial" w:cs="Arial" w:eastAsia="Arial" w:hAnsi="Arial"/>
                  <w:sz w:val="14"/>
                  <w:szCs w:val="14"/>
                  <w:color w:val="0000FF"/>
                </w:rPr>
                <w:t>Indenture, dated January 29, 2021, between TechnipFMC plc and U.S. Bank National Association, as trustee (including the form of 6.500% Senior Note</w:t>
              </w:r>
            </w:hyperlink>
          </w:p>
        </w:tc>
      </w:tr>
      <w:tr>
        <w:trPr>
          <w:trHeight w:val="142"/>
        </w:trPr>
        <w:tc>
          <w:tcPr>
            <w:tcW w:w="132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FF"/>
            </w:tcBorders>
            <w:gridSpan w:val="36"/>
            <w:shd w:val="clear" w:color="auto" w:fill="CCEEFF"/>
          </w:tcPr>
          <w:p>
            <w:pPr>
              <w:spacing w:after="0" w:line="142" w:lineRule="exact"/>
              <w:rPr>
                <w:rFonts w:ascii="Arial" w:cs="Arial" w:eastAsia="Arial" w:hAnsi="Arial"/>
                <w:sz w:val="14"/>
                <w:szCs w:val="14"/>
                <w:u w:val="single" w:color="auto"/>
                <w:color w:val="0000FF"/>
              </w:rPr>
            </w:pPr>
            <w:hyperlink r:id="rId178">
              <w:r>
                <w:rPr>
                  <w:rFonts w:ascii="Arial" w:cs="Arial" w:eastAsia="Arial" w:hAnsi="Arial"/>
                  <w:sz w:val="14"/>
                  <w:szCs w:val="14"/>
                  <w:u w:val="single" w:color="auto"/>
                  <w:color w:val="0000FF"/>
                </w:rPr>
                <w:t>due 2026) (incorporated by reference from Exhibit 4.1 to the Current Report on Form 8-K filed on January 29, 2021 (File No. 001-37983)</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4.2.a</w:t>
            </w:r>
          </w:p>
        </w:tc>
        <w:tc>
          <w:tcPr>
            <w:tcW w:w="10220" w:type="dxa"/>
            <w:vAlign w:val="bottom"/>
            <w:gridSpan w:val="63"/>
          </w:tcPr>
          <w:p>
            <w:pPr>
              <w:spacing w:after="0"/>
              <w:rPr>
                <w:rFonts w:ascii="Arial" w:cs="Arial" w:eastAsia="Arial" w:hAnsi="Arial"/>
                <w:sz w:val="14"/>
                <w:szCs w:val="14"/>
                <w:color w:val="0000FF"/>
              </w:rPr>
            </w:pPr>
            <w:hyperlink r:id="rId179">
              <w:r>
                <w:rPr>
                  <w:rFonts w:ascii="Arial" w:cs="Arial" w:eastAsia="Arial" w:hAnsi="Arial"/>
                  <w:sz w:val="14"/>
                  <w:szCs w:val="14"/>
                  <w:color w:val="0000FF"/>
                </w:rPr>
                <w:t>Supplemental Indenture, dated February 16, 2021, by and among TechnipFMC plc, the guarantors party thereto, and U.S. Bank National Association, as</w:t>
              </w:r>
            </w:hyperlink>
          </w:p>
        </w:tc>
      </w:tr>
      <w:tr>
        <w:trPr>
          <w:trHeight w:val="142"/>
        </w:trPr>
        <w:tc>
          <w:tcPr>
            <w:tcW w:w="1320" w:type="dxa"/>
            <w:vAlign w:val="bottom"/>
          </w:tcPr>
          <w:p>
            <w:pPr>
              <w:spacing w:after="0"/>
              <w:rPr>
                <w:sz w:val="12"/>
                <w:szCs w:val="12"/>
                <w:color w:val="auto"/>
              </w:rPr>
            </w:pPr>
          </w:p>
        </w:tc>
        <w:tc>
          <w:tcPr>
            <w:tcW w:w="9820" w:type="dxa"/>
            <w:vAlign w:val="bottom"/>
            <w:tcBorders>
              <w:top w:val="single" w:sz="8" w:color="0000FF"/>
            </w:tcBorders>
            <w:gridSpan w:val="43"/>
          </w:tcPr>
          <w:p>
            <w:pPr>
              <w:spacing w:after="0" w:line="142" w:lineRule="exact"/>
              <w:rPr>
                <w:rFonts w:ascii="Arial" w:cs="Arial" w:eastAsia="Arial" w:hAnsi="Arial"/>
                <w:sz w:val="14"/>
                <w:szCs w:val="14"/>
                <w:u w:val="single" w:color="auto"/>
                <w:color w:val="0000FF"/>
              </w:rPr>
            </w:pPr>
            <w:hyperlink r:id="rId179">
              <w:r>
                <w:rPr>
                  <w:rFonts w:ascii="Arial" w:cs="Arial" w:eastAsia="Arial" w:hAnsi="Arial"/>
                  <w:sz w:val="14"/>
                  <w:szCs w:val="14"/>
                  <w:u w:val="single" w:color="auto"/>
                  <w:color w:val="0000FF"/>
                </w:rPr>
                <w:t>trustee (incorporated by reference from Exhibit 4.1 to the Current Report on Form 8-K filed on February 16, 2021) (File No. 001-37983)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4.3</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80">
              <w:r>
                <w:rPr>
                  <w:rFonts w:ascii="Arial" w:cs="Arial" w:eastAsia="Arial" w:hAnsi="Arial"/>
                  <w:sz w:val="14"/>
                  <w:szCs w:val="14"/>
                  <w:color w:val="0000FF"/>
                </w:rPr>
                <w:t>Description of Registrant’s Securities Registered Pursuant to Section 12 of the Securities Exchange Act of 1934, as amended (incorporated by reference</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6160" w:type="dxa"/>
            <w:vAlign w:val="bottom"/>
            <w:tcBorders>
              <w:top w:val="single" w:sz="8" w:color="0000FF"/>
              <w:bottom w:val="single" w:sz="8" w:color="0000FF"/>
            </w:tcBorders>
            <w:gridSpan w:val="15"/>
            <w:shd w:val="clear" w:color="auto" w:fill="CCEEFF"/>
          </w:tcPr>
          <w:p>
            <w:pPr>
              <w:spacing w:after="0" w:line="115" w:lineRule="exact"/>
              <w:rPr>
                <w:rFonts w:ascii="Arial" w:cs="Arial" w:eastAsia="Arial" w:hAnsi="Arial"/>
                <w:sz w:val="13"/>
                <w:szCs w:val="13"/>
                <w:color w:val="0000FF"/>
              </w:rPr>
            </w:pPr>
            <w:hyperlink r:id="rId180">
              <w:r>
                <w:rPr>
                  <w:rFonts w:ascii="Arial" w:cs="Arial" w:eastAsia="Arial" w:hAnsi="Arial"/>
                  <w:sz w:val="13"/>
                  <w:szCs w:val="13"/>
                  <w:color w:val="0000FF"/>
                </w:rPr>
                <w:t>from Exhibit 4.2 to the Annual Report on Form 10-K filed on March 3, 2020) (File No. 001-37983)</w:t>
              </w:r>
            </w:hyperlink>
          </w:p>
        </w:tc>
        <w:tc>
          <w:tcPr>
            <w:tcW w:w="3680" w:type="dxa"/>
            <w:vAlign w:val="bottom"/>
            <w:tcBorders>
              <w:top w:val="single" w:sz="8" w:color="0000FF"/>
              <w:bottom w:val="single" w:sz="8" w:color="CCEEFF"/>
            </w:tcBorders>
            <w:gridSpan w:val="29"/>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10.1*</w:t>
            </w:r>
          </w:p>
        </w:tc>
        <w:tc>
          <w:tcPr>
            <w:tcW w:w="10220" w:type="dxa"/>
            <w:vAlign w:val="bottom"/>
            <w:gridSpan w:val="63"/>
          </w:tcPr>
          <w:p>
            <w:pPr>
              <w:spacing w:after="0"/>
              <w:rPr>
                <w:rFonts w:ascii="Arial" w:cs="Arial" w:eastAsia="Arial" w:hAnsi="Arial"/>
                <w:sz w:val="14"/>
                <w:szCs w:val="14"/>
                <w:color w:val="0000FF"/>
              </w:rPr>
            </w:pPr>
            <w:hyperlink r:id="rId181">
              <w:r>
                <w:rPr>
                  <w:rFonts w:ascii="Arial" w:cs="Arial" w:eastAsia="Arial" w:hAnsi="Arial"/>
                  <w:sz w:val="14"/>
                  <w:szCs w:val="14"/>
                  <w:color w:val="0000FF"/>
                </w:rPr>
                <w:t>Amended and Restated FMC Technologies, Inc. Non-Qualified Savings and Investment Plan, dated July 31, 2008 (incorporated by reference from Exhibit</w:t>
              </w:r>
            </w:hyperlink>
          </w:p>
        </w:tc>
      </w:tr>
      <w:tr>
        <w:trPr>
          <w:trHeight w:val="122"/>
        </w:trPr>
        <w:tc>
          <w:tcPr>
            <w:tcW w:w="1320" w:type="dxa"/>
            <w:vAlign w:val="bottom"/>
          </w:tcPr>
          <w:p>
            <w:pPr>
              <w:spacing w:after="0"/>
              <w:rPr>
                <w:sz w:val="10"/>
                <w:szCs w:val="10"/>
                <w:color w:val="auto"/>
              </w:rPr>
            </w:pPr>
          </w:p>
        </w:tc>
        <w:tc>
          <w:tcPr>
            <w:tcW w:w="7180" w:type="dxa"/>
            <w:vAlign w:val="bottom"/>
            <w:tcBorders>
              <w:top w:val="single" w:sz="8" w:color="0000FF"/>
              <w:bottom w:val="single" w:sz="8" w:color="0000FF"/>
            </w:tcBorders>
            <w:gridSpan w:val="20"/>
          </w:tcPr>
          <w:p>
            <w:pPr>
              <w:spacing w:after="0" w:line="115" w:lineRule="exact"/>
              <w:rPr>
                <w:rFonts w:ascii="Arial" w:cs="Arial" w:eastAsia="Arial" w:hAnsi="Arial"/>
                <w:sz w:val="13"/>
                <w:szCs w:val="13"/>
                <w:color w:val="0000FF"/>
              </w:rPr>
            </w:pPr>
            <w:hyperlink r:id="rId181">
              <w:r>
                <w:rPr>
                  <w:rFonts w:ascii="Arial" w:cs="Arial" w:eastAsia="Arial" w:hAnsi="Arial"/>
                  <w:sz w:val="13"/>
                  <w:szCs w:val="13"/>
                  <w:color w:val="0000FF"/>
                </w:rPr>
                <w:t>10.</w:t>
              </w:r>
              <w:r>
                <w:rPr>
                  <w:rFonts w:ascii="Arial" w:cs="Arial" w:eastAsia="Arial" w:hAnsi="Arial"/>
                  <w:sz w:val="13"/>
                  <w:szCs w:val="13"/>
                  <w:u w:val="single" w:color="auto"/>
                  <w:color w:val="0000FF"/>
                </w:rPr>
                <w:t>9</w:t>
              </w:r>
              <w:r>
                <w:rPr>
                  <w:rFonts w:ascii="Arial" w:cs="Arial" w:eastAsia="Arial" w:hAnsi="Arial"/>
                  <w:sz w:val="13"/>
                  <w:szCs w:val="13"/>
                  <w:color w:val="0000FF"/>
                </w:rPr>
                <w:t xml:space="preserve"> to the Annual Report on Form 10-K of FMC Technologies, Inc. filed on March 1, 2010) (File No. 001-16489)</w:t>
              </w:r>
            </w:hyperlink>
          </w:p>
        </w:tc>
        <w:tc>
          <w:tcPr>
            <w:tcW w:w="2800" w:type="dxa"/>
            <w:vAlign w:val="bottom"/>
            <w:tcBorders>
              <w:top w:val="single" w:sz="8" w:color="0000FF"/>
            </w:tcBorders>
            <w:gridSpan w:val="3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10.1.a*</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82">
              <w:r>
                <w:rPr>
                  <w:rFonts w:ascii="Arial" w:cs="Arial" w:eastAsia="Arial" w:hAnsi="Arial"/>
                  <w:sz w:val="14"/>
                  <w:szCs w:val="14"/>
                  <w:color w:val="0000FF"/>
                </w:rPr>
                <w:t>First Amendment of FMC Technologies, Inc. Non-Qualified Savings and Investment Plan, dated October 29, 2009 (incorporated by reference from Exhibit</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7580" w:type="dxa"/>
            <w:vAlign w:val="bottom"/>
            <w:tcBorders>
              <w:top w:val="single" w:sz="8" w:color="0000FF"/>
              <w:bottom w:val="single" w:sz="8" w:color="0000FF"/>
              <w:right w:val="single" w:sz="8" w:color="CCEEFF"/>
            </w:tcBorders>
            <w:gridSpan w:val="21"/>
            <w:shd w:val="clear" w:color="auto" w:fill="CCEEFF"/>
          </w:tcPr>
          <w:p>
            <w:pPr>
              <w:spacing w:after="0" w:line="115" w:lineRule="exact"/>
              <w:rPr>
                <w:rFonts w:ascii="Arial" w:cs="Arial" w:eastAsia="Arial" w:hAnsi="Arial"/>
                <w:sz w:val="13"/>
                <w:szCs w:val="13"/>
                <w:color w:val="0000FF"/>
              </w:rPr>
            </w:pPr>
            <w:hyperlink r:id="rId182">
              <w:r>
                <w:rPr>
                  <w:rFonts w:ascii="Arial" w:cs="Arial" w:eastAsia="Arial" w:hAnsi="Arial"/>
                  <w:sz w:val="13"/>
                  <w:szCs w:val="13"/>
                  <w:color w:val="0000FF"/>
                </w:rPr>
                <w:t>10.</w:t>
              </w:r>
              <w:r>
                <w:rPr>
                  <w:rFonts w:ascii="Arial" w:cs="Arial" w:eastAsia="Arial" w:hAnsi="Arial"/>
                  <w:sz w:val="13"/>
                  <w:szCs w:val="13"/>
                  <w:u w:val="single" w:color="auto"/>
                  <w:color w:val="0000FF"/>
                </w:rPr>
                <w:t>9</w:t>
              </w:r>
              <w:r>
                <w:rPr>
                  <w:rFonts w:ascii="Arial" w:cs="Arial" w:eastAsia="Arial" w:hAnsi="Arial"/>
                  <w:sz w:val="13"/>
                  <w:szCs w:val="13"/>
                  <w:color w:val="0000FF"/>
                </w:rPr>
                <w:t xml:space="preserve"> to the Quarterly Report on Form 10-Q of FMC Technologies, Inc. filed on November 3, 2009) (File No. 001-16489)</w:t>
              </w:r>
            </w:hyperlink>
          </w:p>
        </w:tc>
        <w:tc>
          <w:tcPr>
            <w:tcW w:w="2380" w:type="dxa"/>
            <w:vAlign w:val="bottom"/>
            <w:tcBorders>
              <w:top w:val="single" w:sz="8" w:color="0000FF"/>
              <w:bottom w:val="single" w:sz="8" w:color="CCEEFF"/>
            </w:tcBorders>
            <w:gridSpan w:val="29"/>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10.1.b*</w:t>
            </w:r>
          </w:p>
        </w:tc>
        <w:tc>
          <w:tcPr>
            <w:tcW w:w="10220" w:type="dxa"/>
            <w:vAlign w:val="bottom"/>
            <w:gridSpan w:val="63"/>
          </w:tcPr>
          <w:p>
            <w:pPr>
              <w:spacing w:after="0"/>
              <w:rPr>
                <w:rFonts w:ascii="Arial" w:cs="Arial" w:eastAsia="Arial" w:hAnsi="Arial"/>
                <w:sz w:val="14"/>
                <w:szCs w:val="14"/>
                <w:color w:val="0000FF"/>
              </w:rPr>
            </w:pPr>
            <w:hyperlink r:id="rId183">
              <w:r>
                <w:rPr>
                  <w:rFonts w:ascii="Arial" w:cs="Arial" w:eastAsia="Arial" w:hAnsi="Arial"/>
                  <w:sz w:val="14"/>
                  <w:szCs w:val="14"/>
                  <w:color w:val="0000FF"/>
                </w:rPr>
                <w:t>Second Amendment of FMC Technologies, Inc. Non-Qualified Savings and Investment Plan, dated December 18, 2015 (incorporated by reference from</w:t>
              </w:r>
            </w:hyperlink>
          </w:p>
        </w:tc>
      </w:tr>
      <w:tr>
        <w:trPr>
          <w:trHeight w:val="142"/>
        </w:trPr>
        <w:tc>
          <w:tcPr>
            <w:tcW w:w="1320" w:type="dxa"/>
            <w:vAlign w:val="bottom"/>
          </w:tcPr>
          <w:p>
            <w:pPr>
              <w:spacing w:after="0"/>
              <w:rPr>
                <w:sz w:val="12"/>
                <w:szCs w:val="12"/>
                <w:color w:val="auto"/>
              </w:rPr>
            </w:pPr>
          </w:p>
        </w:tc>
        <w:tc>
          <w:tcPr>
            <w:tcW w:w="9660" w:type="dxa"/>
            <w:vAlign w:val="bottom"/>
            <w:tcBorders>
              <w:top w:val="single" w:sz="8" w:color="0000FF"/>
            </w:tcBorders>
            <w:gridSpan w:val="35"/>
          </w:tcPr>
          <w:p>
            <w:pPr>
              <w:spacing w:after="0" w:line="142" w:lineRule="exact"/>
              <w:rPr>
                <w:rFonts w:ascii="Arial" w:cs="Arial" w:eastAsia="Arial" w:hAnsi="Arial"/>
                <w:sz w:val="14"/>
                <w:szCs w:val="14"/>
                <w:u w:val="single" w:color="auto"/>
                <w:color w:val="0000FF"/>
              </w:rPr>
            </w:pPr>
            <w:hyperlink r:id="rId183">
              <w:r>
                <w:rPr>
                  <w:rFonts w:ascii="Arial" w:cs="Arial" w:eastAsia="Arial" w:hAnsi="Arial"/>
                  <w:sz w:val="14"/>
                  <w:szCs w:val="14"/>
                  <w:u w:val="single" w:color="auto"/>
                  <w:color w:val="0000FF"/>
                </w:rPr>
                <w:t>Exhibit 10.14.b to the Annual Report on Form 10-K of FMC Technologies, Inc. filed on February 24, 2016) (File No. 001-16489)</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10.2*</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84">
              <w:r>
                <w:rPr>
                  <w:rFonts w:ascii="Arial" w:cs="Arial" w:eastAsia="Arial" w:hAnsi="Arial"/>
                  <w:sz w:val="14"/>
                  <w:szCs w:val="14"/>
                  <w:color w:val="0000FF"/>
                </w:rPr>
                <w:t>Amended and Restated TechnipFMC plc Incentive Award Plan (incorporated by reference from Exhibit 10.2 to the Annual Report on Form 10-K filed on</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600" w:type="dxa"/>
            <w:vAlign w:val="bottom"/>
            <w:tcBorders>
              <w:top w:val="single" w:sz="8" w:color="0000FF"/>
            </w:tcBorders>
            <w:gridSpan w:val="32"/>
            <w:shd w:val="clear" w:color="auto" w:fill="CCEEFF"/>
          </w:tcPr>
          <w:p>
            <w:pPr>
              <w:spacing w:after="0" w:line="115" w:lineRule="exact"/>
              <w:rPr>
                <w:rFonts w:ascii="Arial" w:cs="Arial" w:eastAsia="Arial" w:hAnsi="Arial"/>
                <w:sz w:val="13"/>
                <w:szCs w:val="13"/>
                <w:color w:val="0000FF"/>
              </w:rPr>
            </w:pPr>
            <w:hyperlink r:id="rId184">
              <w:r>
                <w:rPr>
                  <w:rFonts w:ascii="Arial" w:cs="Arial" w:eastAsia="Arial" w:hAnsi="Arial"/>
                  <w:sz w:val="13"/>
                  <w:szCs w:val="13"/>
                  <w:color w:val="0000FF"/>
                </w:rPr>
                <w:t>March 11, 2019) (File No. 001-37983)</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7"/>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6460" w:type="dxa"/>
            <w:vAlign w:val="bottom"/>
            <w:tcBorders>
              <w:right w:val="single" w:sz="8" w:color="CCEEFF"/>
            </w:tcBorders>
            <w:gridSpan w:val="12"/>
            <w:shd w:val="clear" w:color="auto" w:fill="CCEEFF"/>
          </w:tcPr>
          <w:p>
            <w:pPr>
              <w:spacing w:after="0"/>
              <w:rPr>
                <w:sz w:val="2"/>
                <w:szCs w:val="2"/>
                <w:color w:val="auto"/>
              </w:rPr>
            </w:pPr>
          </w:p>
        </w:tc>
        <w:tc>
          <w:tcPr>
            <w:tcW w:w="2040" w:type="dxa"/>
            <w:vAlign w:val="bottom"/>
            <w:tcBorders>
              <w:left w:val="single" w:sz="8" w:color="CCEEFF"/>
              <w:right w:val="single" w:sz="8" w:color="CCEEFF"/>
            </w:tcBorders>
            <w:gridSpan w:val="9"/>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10.3*</w:t>
            </w:r>
          </w:p>
        </w:tc>
        <w:tc>
          <w:tcPr>
            <w:tcW w:w="10220" w:type="dxa"/>
            <w:vAlign w:val="bottom"/>
            <w:gridSpan w:val="63"/>
          </w:tcPr>
          <w:p>
            <w:pPr>
              <w:spacing w:after="0"/>
              <w:rPr>
                <w:rFonts w:ascii="Arial" w:cs="Arial" w:eastAsia="Arial" w:hAnsi="Arial"/>
                <w:sz w:val="14"/>
                <w:szCs w:val="14"/>
                <w:color w:val="0000FF"/>
              </w:rPr>
            </w:pPr>
            <w:hyperlink r:id="rId185">
              <w:r>
                <w:rPr>
                  <w:rFonts w:ascii="Arial" w:cs="Arial" w:eastAsia="Arial" w:hAnsi="Arial"/>
                  <w:sz w:val="14"/>
                  <w:szCs w:val="14"/>
                  <w:color w:val="0000FF"/>
                </w:rPr>
                <w:t>Form of Restricted Stock Unit Agreement pursuant to the TechnipFMC plc Incentive Award Plan (Employee) (incorporated by reference from Exhibit 10.1 to</w:t>
              </w:r>
            </w:hyperlink>
          </w:p>
        </w:tc>
      </w:tr>
      <w:tr>
        <w:trPr>
          <w:trHeight w:val="122"/>
        </w:trPr>
        <w:tc>
          <w:tcPr>
            <w:tcW w:w="1320" w:type="dxa"/>
            <w:vAlign w:val="bottom"/>
          </w:tcPr>
          <w:p>
            <w:pPr>
              <w:spacing w:after="0"/>
              <w:rPr>
                <w:sz w:val="10"/>
                <w:szCs w:val="10"/>
                <w:color w:val="auto"/>
              </w:rPr>
            </w:pPr>
          </w:p>
        </w:tc>
        <w:tc>
          <w:tcPr>
            <w:tcW w:w="514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rPr>
            </w:pPr>
            <w:hyperlink r:id="rId185">
              <w:r>
                <w:rPr>
                  <w:rFonts w:ascii="Arial" w:cs="Arial" w:eastAsia="Arial" w:hAnsi="Arial"/>
                  <w:sz w:val="13"/>
                  <w:szCs w:val="13"/>
                  <w:color w:val="0000FF"/>
                </w:rPr>
                <w:t>the Quarterly Report on Form 10-Q filed on August 4, 2017) (File No. 001-37983)</w:t>
              </w:r>
            </w:hyperlink>
          </w:p>
        </w:tc>
        <w:tc>
          <w:tcPr>
            <w:tcW w:w="5040" w:type="dxa"/>
            <w:vAlign w:val="bottom"/>
            <w:tcBorders>
              <w:top w:val="single" w:sz="8" w:color="0000FF"/>
            </w:tcBorders>
            <w:gridSpan w:val="5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10.3a*</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86">
              <w:r>
                <w:rPr>
                  <w:rFonts w:ascii="Arial" w:cs="Arial" w:eastAsia="Arial" w:hAnsi="Arial"/>
                  <w:sz w:val="14"/>
                  <w:szCs w:val="14"/>
                  <w:color w:val="0000FF"/>
                </w:rPr>
                <w:t>Form of Restricted Stock Unit Agreement pursuant to the Amended and Restated TechnipFMC plc Incentive Award Plan (Employee) (incorporated by</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6920" w:type="dxa"/>
            <w:vAlign w:val="bottom"/>
            <w:tcBorders>
              <w:top w:val="single" w:sz="8" w:color="0000FF"/>
              <w:bottom w:val="single" w:sz="8" w:color="0000FF"/>
            </w:tcBorders>
            <w:gridSpan w:val="18"/>
            <w:shd w:val="clear" w:color="auto" w:fill="CCEEFF"/>
          </w:tcPr>
          <w:p>
            <w:pPr>
              <w:spacing w:after="0" w:line="115" w:lineRule="exact"/>
              <w:rPr>
                <w:rFonts w:ascii="Arial" w:cs="Arial" w:eastAsia="Arial" w:hAnsi="Arial"/>
                <w:sz w:val="13"/>
                <w:szCs w:val="13"/>
                <w:color w:val="0000FF"/>
              </w:rPr>
            </w:pPr>
            <w:hyperlink r:id="rId186">
              <w:r>
                <w:rPr>
                  <w:rFonts w:ascii="Arial" w:cs="Arial" w:eastAsia="Arial" w:hAnsi="Arial"/>
                  <w:sz w:val="13"/>
                  <w:szCs w:val="13"/>
                  <w:color w:val="0000FF"/>
                </w:rPr>
                <w:t>reference from Exhibit 10.1 to the Quarterly Report on Form 10-Q filed on May 9, 2019) (File No. 001-37983)</w:t>
              </w:r>
            </w:hyperlink>
          </w:p>
        </w:tc>
        <w:tc>
          <w:tcPr>
            <w:tcW w:w="2580" w:type="dxa"/>
            <w:vAlign w:val="bottom"/>
            <w:tcBorders>
              <w:top w:val="single" w:sz="8" w:color="0000FF"/>
              <w:bottom w:val="single" w:sz="8" w:color="CCEEFF"/>
            </w:tcBorders>
            <w:gridSpan w:val="9"/>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gridSpan w:val="7"/>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10.3b*</w:t>
            </w:r>
          </w:p>
        </w:tc>
        <w:tc>
          <w:tcPr>
            <w:tcW w:w="10220" w:type="dxa"/>
            <w:vAlign w:val="bottom"/>
            <w:gridSpan w:val="63"/>
          </w:tcPr>
          <w:p>
            <w:pPr>
              <w:spacing w:after="0"/>
              <w:rPr>
                <w:rFonts w:ascii="Arial" w:cs="Arial" w:eastAsia="Arial" w:hAnsi="Arial"/>
                <w:sz w:val="14"/>
                <w:szCs w:val="14"/>
                <w:color w:val="0000FF"/>
              </w:rPr>
            </w:pPr>
            <w:hyperlink r:id="rId187">
              <w:r>
                <w:rPr>
                  <w:rFonts w:ascii="Arial" w:cs="Arial" w:eastAsia="Arial" w:hAnsi="Arial"/>
                  <w:sz w:val="14"/>
                  <w:szCs w:val="14"/>
                  <w:color w:val="0000FF"/>
                </w:rPr>
                <w:t>Form of Restricted Stock Unit Agreement pursuant to the TechnipFMC plc Incentive Award Plan (Employee) (incorporated by reference from Exhibit 10.1 to</w:t>
              </w:r>
            </w:hyperlink>
          </w:p>
        </w:tc>
      </w:tr>
      <w:tr>
        <w:trPr>
          <w:trHeight w:val="115"/>
        </w:trPr>
        <w:tc>
          <w:tcPr>
            <w:tcW w:w="1320" w:type="dxa"/>
            <w:vAlign w:val="bottom"/>
          </w:tcPr>
          <w:p>
            <w:pPr>
              <w:spacing w:after="0"/>
              <w:rPr>
                <w:sz w:val="10"/>
                <w:szCs w:val="10"/>
                <w:color w:val="auto"/>
              </w:rPr>
            </w:pPr>
          </w:p>
        </w:tc>
        <w:tc>
          <w:tcPr>
            <w:tcW w:w="10180" w:type="dxa"/>
            <w:vAlign w:val="bottom"/>
            <w:tcBorders>
              <w:top w:val="single" w:sz="8" w:color="0000FF"/>
            </w:tcBorders>
            <w:gridSpan w:val="61"/>
          </w:tcPr>
          <w:p>
            <w:pPr>
              <w:spacing w:after="0" w:line="115" w:lineRule="exact"/>
              <w:rPr>
                <w:rFonts w:ascii="Arial" w:cs="Arial" w:eastAsia="Arial" w:hAnsi="Arial"/>
                <w:sz w:val="13"/>
                <w:szCs w:val="13"/>
                <w:color w:val="0000FF"/>
              </w:rPr>
            </w:pPr>
            <w:hyperlink r:id="rId187">
              <w:r>
                <w:rPr>
                  <w:rFonts w:ascii="Arial" w:cs="Arial" w:eastAsia="Arial" w:hAnsi="Arial"/>
                  <w:sz w:val="13"/>
                  <w:szCs w:val="13"/>
                  <w:color w:val="0000FF"/>
                </w:rPr>
                <w:t>the Quarterly Report on Form 10-Q filed on May 4, 2020) (File No. 001-37983)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
        </w:trPr>
        <w:tc>
          <w:tcPr>
            <w:tcW w:w="11540" w:type="dxa"/>
            <w:vAlign w:val="bottom"/>
            <w:gridSpan w:val="64"/>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10.4*</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88">
              <w:r>
                <w:rPr>
                  <w:rFonts w:ascii="Arial" w:cs="Arial" w:eastAsia="Arial" w:hAnsi="Arial"/>
                  <w:sz w:val="14"/>
                  <w:szCs w:val="14"/>
                  <w:color w:val="0000FF"/>
                </w:rPr>
                <w:t>Form of Restricted Stock Unit Agreement pursuant to the TechnipFMC plc Incentive Award Plan (Non-Employee Director) (incorporated by reference from</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6120" w:type="dxa"/>
            <w:vAlign w:val="bottom"/>
            <w:tcBorders>
              <w:top w:val="single" w:sz="8" w:color="0000FF"/>
              <w:bottom w:val="single" w:sz="8" w:color="0000FF"/>
            </w:tcBorders>
            <w:gridSpan w:val="14"/>
            <w:shd w:val="clear" w:color="auto" w:fill="CCEEFF"/>
          </w:tcPr>
          <w:p>
            <w:pPr>
              <w:spacing w:after="0" w:line="115" w:lineRule="exact"/>
              <w:rPr>
                <w:rFonts w:ascii="Arial" w:cs="Arial" w:eastAsia="Arial" w:hAnsi="Arial"/>
                <w:sz w:val="13"/>
                <w:szCs w:val="13"/>
                <w:color w:val="0000FF"/>
              </w:rPr>
            </w:pPr>
            <w:hyperlink r:id="rId188">
              <w:r>
                <w:rPr>
                  <w:rFonts w:ascii="Arial" w:cs="Arial" w:eastAsia="Arial" w:hAnsi="Arial"/>
                  <w:sz w:val="13"/>
                  <w:szCs w:val="13"/>
                  <w:color w:val="0000FF"/>
                </w:rPr>
                <w:t>Exhibit 10.2 to the Quarterly Report on Form 10-Q filed on August 4, 2017) (File No. 001-37983)</w:t>
              </w:r>
            </w:hyperlink>
          </w:p>
        </w:tc>
        <w:tc>
          <w:tcPr>
            <w:tcW w:w="3920" w:type="dxa"/>
            <w:vAlign w:val="bottom"/>
            <w:tcBorders>
              <w:top w:val="single" w:sz="8" w:color="0000FF"/>
              <w:bottom w:val="single" w:sz="8" w:color="CCEEFF"/>
            </w:tcBorders>
            <w:gridSpan w:val="40"/>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10.5*</w:t>
            </w:r>
          </w:p>
        </w:tc>
        <w:tc>
          <w:tcPr>
            <w:tcW w:w="10220" w:type="dxa"/>
            <w:vAlign w:val="bottom"/>
            <w:gridSpan w:val="63"/>
          </w:tcPr>
          <w:p>
            <w:pPr>
              <w:spacing w:after="0"/>
              <w:rPr>
                <w:rFonts w:ascii="Arial" w:cs="Arial" w:eastAsia="Arial" w:hAnsi="Arial"/>
                <w:sz w:val="14"/>
                <w:szCs w:val="14"/>
                <w:color w:val="0000FF"/>
              </w:rPr>
            </w:pPr>
            <w:hyperlink r:id="rId189">
              <w:r>
                <w:rPr>
                  <w:rFonts w:ascii="Arial" w:cs="Arial" w:eastAsia="Arial" w:hAnsi="Arial"/>
                  <w:sz w:val="14"/>
                  <w:szCs w:val="14"/>
                  <w:color w:val="0000FF"/>
                </w:rPr>
                <w:t>Form of Performance Stock Unit Agreement pursuant to the TechnipFMC plc Incentive Award Plan (Employee) (incorporated by reference from Exhibit 10.3</w:t>
              </w:r>
            </w:hyperlink>
          </w:p>
        </w:tc>
      </w:tr>
      <w:tr>
        <w:trPr>
          <w:trHeight w:val="122"/>
        </w:trPr>
        <w:tc>
          <w:tcPr>
            <w:tcW w:w="1320" w:type="dxa"/>
            <w:vAlign w:val="bottom"/>
          </w:tcPr>
          <w:p>
            <w:pPr>
              <w:spacing w:after="0"/>
              <w:rPr>
                <w:sz w:val="10"/>
                <w:szCs w:val="10"/>
                <w:color w:val="auto"/>
              </w:rPr>
            </w:pPr>
          </w:p>
        </w:tc>
        <w:tc>
          <w:tcPr>
            <w:tcW w:w="5320" w:type="dxa"/>
            <w:vAlign w:val="bottom"/>
            <w:tcBorders>
              <w:top w:val="single" w:sz="8" w:color="0000FF"/>
              <w:bottom w:val="single" w:sz="8" w:color="0000FF"/>
            </w:tcBorders>
            <w:gridSpan w:val="12"/>
          </w:tcPr>
          <w:p>
            <w:pPr>
              <w:spacing w:after="0" w:line="115" w:lineRule="exact"/>
              <w:rPr>
                <w:rFonts w:ascii="Arial" w:cs="Arial" w:eastAsia="Arial" w:hAnsi="Arial"/>
                <w:sz w:val="13"/>
                <w:szCs w:val="13"/>
                <w:color w:val="0000FF"/>
              </w:rPr>
            </w:pPr>
            <w:hyperlink r:id="rId189">
              <w:r>
                <w:rPr>
                  <w:rFonts w:ascii="Arial" w:cs="Arial" w:eastAsia="Arial" w:hAnsi="Arial"/>
                  <w:sz w:val="13"/>
                  <w:szCs w:val="13"/>
                  <w:color w:val="0000FF"/>
                </w:rPr>
                <w:t>to the Quarterly Report on Form 10-Q filed on August 4, 2017) (File No. 001-37983)</w:t>
              </w:r>
            </w:hyperlink>
          </w:p>
        </w:tc>
        <w:tc>
          <w:tcPr>
            <w:tcW w:w="4880" w:type="dxa"/>
            <w:vAlign w:val="bottom"/>
            <w:tcBorders>
              <w:top w:val="single" w:sz="8" w:color="0000FF"/>
            </w:tcBorders>
            <w:gridSpan w:val="50"/>
          </w:tcPr>
          <w:p>
            <w:pPr>
              <w:spacing w:after="0"/>
              <w:rPr>
                <w:sz w:val="10"/>
                <w:szCs w:val="10"/>
                <w:color w:val="auto"/>
              </w:rPr>
            </w:pPr>
          </w:p>
        </w:tc>
        <w:tc>
          <w:tcPr>
            <w:tcW w:w="20" w:type="dxa"/>
            <w:vAlign w:val="bottom"/>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10.5a*</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90">
              <w:r>
                <w:rPr>
                  <w:rFonts w:ascii="Arial" w:cs="Arial" w:eastAsia="Arial" w:hAnsi="Arial"/>
                  <w:sz w:val="14"/>
                  <w:szCs w:val="14"/>
                  <w:color w:val="0000FF"/>
                </w:rPr>
                <w:t>Form of Performance Stock Unit Agreement pursuant to the Amended and Restated TechnipFMC plc Incentive Award Plan (Employee) (incorporated by</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6920" w:type="dxa"/>
            <w:vAlign w:val="bottom"/>
            <w:tcBorders>
              <w:top w:val="single" w:sz="8" w:color="0000FF"/>
              <w:bottom w:val="single" w:sz="8" w:color="0000FF"/>
            </w:tcBorders>
            <w:gridSpan w:val="18"/>
            <w:shd w:val="clear" w:color="auto" w:fill="CCEEFF"/>
          </w:tcPr>
          <w:p>
            <w:pPr>
              <w:spacing w:after="0" w:line="115" w:lineRule="exact"/>
              <w:rPr>
                <w:rFonts w:ascii="Arial" w:cs="Arial" w:eastAsia="Arial" w:hAnsi="Arial"/>
                <w:sz w:val="13"/>
                <w:szCs w:val="13"/>
                <w:color w:val="0000FF"/>
              </w:rPr>
            </w:pPr>
            <w:hyperlink r:id="rId190">
              <w:r>
                <w:rPr>
                  <w:rFonts w:ascii="Arial" w:cs="Arial" w:eastAsia="Arial" w:hAnsi="Arial"/>
                  <w:sz w:val="13"/>
                  <w:szCs w:val="13"/>
                  <w:color w:val="0000FF"/>
                </w:rPr>
                <w:t>reference from Exhibit 10.2 to the Quarterly Report on Form 10-Q filed on May 9, 2019) (File No. 001-37983)</w:t>
              </w:r>
            </w:hyperlink>
          </w:p>
        </w:tc>
        <w:tc>
          <w:tcPr>
            <w:tcW w:w="2860" w:type="dxa"/>
            <w:vAlign w:val="bottom"/>
            <w:tcBorders>
              <w:top w:val="single" w:sz="8" w:color="0000FF"/>
              <w:bottom w:val="single" w:sz="8" w:color="CCEEFF"/>
            </w:tcBorders>
            <w:gridSpan w:val="2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10.5b*</w:t>
            </w:r>
          </w:p>
        </w:tc>
        <w:tc>
          <w:tcPr>
            <w:tcW w:w="10220" w:type="dxa"/>
            <w:vAlign w:val="bottom"/>
            <w:gridSpan w:val="63"/>
          </w:tcPr>
          <w:p>
            <w:pPr>
              <w:spacing w:after="0"/>
              <w:rPr>
                <w:rFonts w:ascii="Arial" w:cs="Arial" w:eastAsia="Arial" w:hAnsi="Arial"/>
                <w:sz w:val="14"/>
                <w:szCs w:val="14"/>
                <w:color w:val="0000FF"/>
              </w:rPr>
            </w:pPr>
            <w:hyperlink r:id="rId191">
              <w:r>
                <w:rPr>
                  <w:rFonts w:ascii="Arial" w:cs="Arial" w:eastAsia="Arial" w:hAnsi="Arial"/>
                  <w:sz w:val="14"/>
                  <w:szCs w:val="14"/>
                  <w:color w:val="0000FF"/>
                </w:rPr>
                <w:t>Form of Performance Stock Unit Agreement pursuant to the TechnipFMC plc Incentive Award Plan (Employee) (incorporated by reference from Exhibit 10.2</w:t>
              </w:r>
            </w:hyperlink>
          </w:p>
        </w:tc>
      </w:tr>
      <w:tr>
        <w:trPr>
          <w:trHeight w:val="115"/>
        </w:trPr>
        <w:tc>
          <w:tcPr>
            <w:tcW w:w="1320" w:type="dxa"/>
            <w:vAlign w:val="bottom"/>
          </w:tcPr>
          <w:p>
            <w:pPr>
              <w:spacing w:after="0"/>
              <w:rPr>
                <w:sz w:val="10"/>
                <w:szCs w:val="10"/>
                <w:color w:val="auto"/>
              </w:rPr>
            </w:pPr>
          </w:p>
        </w:tc>
        <w:tc>
          <w:tcPr>
            <w:tcW w:w="10200" w:type="dxa"/>
            <w:vAlign w:val="bottom"/>
            <w:tcBorders>
              <w:top w:val="single" w:sz="8" w:color="0000FF"/>
            </w:tcBorders>
            <w:gridSpan w:val="62"/>
          </w:tcPr>
          <w:p>
            <w:pPr>
              <w:spacing w:after="0" w:line="115" w:lineRule="exact"/>
              <w:rPr>
                <w:rFonts w:ascii="Arial" w:cs="Arial" w:eastAsia="Arial" w:hAnsi="Arial"/>
                <w:sz w:val="13"/>
                <w:szCs w:val="13"/>
                <w:color w:val="0000FF"/>
              </w:rPr>
            </w:pPr>
            <w:hyperlink r:id="rId191">
              <w:r>
                <w:rPr>
                  <w:rFonts w:ascii="Arial" w:cs="Arial" w:eastAsia="Arial" w:hAnsi="Arial"/>
                  <w:sz w:val="13"/>
                  <w:szCs w:val="13"/>
                  <w:color w:val="0000FF"/>
                </w:rPr>
                <w:t>to the Quarterly Report on Form 10-Q filed on May 4, 2020) (File No. 001-37983)</w:t>
              </w:r>
            </w:hyperlink>
          </w:p>
        </w:tc>
        <w:tc>
          <w:tcPr>
            <w:tcW w:w="20" w:type="dxa"/>
            <w:vAlign w:val="bottom"/>
          </w:tcPr>
          <w:p>
            <w:pPr>
              <w:spacing w:after="0"/>
              <w:rPr>
                <w:sz w:val="10"/>
                <w:szCs w:val="10"/>
                <w:color w:val="auto"/>
              </w:rPr>
            </w:pPr>
          </w:p>
        </w:tc>
      </w:tr>
      <w:tr>
        <w:trPr>
          <w:trHeight w:val="27"/>
        </w:trPr>
        <w:tc>
          <w:tcPr>
            <w:tcW w:w="6460" w:type="dxa"/>
            <w:vAlign w:val="bottom"/>
            <w:tcBorders>
              <w:right w:val="single" w:sz="8" w:color="0000FF"/>
            </w:tcBorders>
            <w:gridSpan w:val="12"/>
          </w:tcPr>
          <w:p>
            <w:pPr>
              <w:spacing w:after="0"/>
              <w:rPr>
                <w:sz w:val="2"/>
                <w:szCs w:val="2"/>
                <w:color w:val="auto"/>
              </w:rPr>
            </w:pPr>
          </w:p>
        </w:tc>
        <w:tc>
          <w:tcPr>
            <w:tcW w:w="5080" w:type="dxa"/>
            <w:vAlign w:val="bottom"/>
            <w:gridSpan w:val="52"/>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10.6*</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92">
              <w:r>
                <w:rPr>
                  <w:rFonts w:ascii="Arial" w:cs="Arial" w:eastAsia="Arial" w:hAnsi="Arial"/>
                  <w:sz w:val="14"/>
                  <w:szCs w:val="14"/>
                  <w:color w:val="0000FF"/>
                </w:rPr>
                <w:t>Form of Nonqualified Stock Option Agreement pursuant to the TechnipFMC plc Incentive Award Plan (Employee) (incorporated by reference from Exhibit</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5640" w:type="dxa"/>
            <w:vAlign w:val="bottom"/>
            <w:tcBorders>
              <w:top w:val="single" w:sz="8" w:color="0000FF"/>
              <w:bottom w:val="single" w:sz="8" w:color="0000FF"/>
            </w:tcBorders>
            <w:gridSpan w:val="13"/>
            <w:shd w:val="clear" w:color="auto" w:fill="CCEEFF"/>
          </w:tcPr>
          <w:p>
            <w:pPr>
              <w:spacing w:after="0" w:line="115" w:lineRule="exact"/>
              <w:rPr>
                <w:rFonts w:ascii="Arial" w:cs="Arial" w:eastAsia="Arial" w:hAnsi="Arial"/>
                <w:sz w:val="13"/>
                <w:szCs w:val="13"/>
                <w:color w:val="0000FF"/>
              </w:rPr>
            </w:pPr>
            <w:hyperlink r:id="rId192">
              <w:r>
                <w:rPr>
                  <w:rFonts w:ascii="Arial" w:cs="Arial" w:eastAsia="Arial" w:hAnsi="Arial"/>
                  <w:sz w:val="13"/>
                  <w:szCs w:val="13"/>
                  <w:color w:val="0000FF"/>
                </w:rPr>
                <w:t>10.</w:t>
              </w:r>
              <w:r>
                <w:rPr>
                  <w:rFonts w:ascii="Arial" w:cs="Arial" w:eastAsia="Arial" w:hAnsi="Arial"/>
                  <w:sz w:val="13"/>
                  <w:szCs w:val="13"/>
                  <w:u w:val="single" w:color="auto"/>
                  <w:color w:val="0000FF"/>
                </w:rPr>
                <w:t>4</w:t>
              </w:r>
              <w:r>
                <w:rPr>
                  <w:rFonts w:ascii="Arial" w:cs="Arial" w:eastAsia="Arial" w:hAnsi="Arial"/>
                  <w:sz w:val="13"/>
                  <w:szCs w:val="13"/>
                  <w:color w:val="0000FF"/>
                </w:rPr>
                <w:t xml:space="preserve"> to the Quarterly Report on Form 10-Q filed on August 4, 2017) (File No. 001-37983)</w:t>
              </w:r>
            </w:hyperlink>
          </w:p>
        </w:tc>
        <w:tc>
          <w:tcPr>
            <w:tcW w:w="4220" w:type="dxa"/>
            <w:vAlign w:val="bottom"/>
            <w:tcBorders>
              <w:top w:val="single" w:sz="8" w:color="0000FF"/>
              <w:bottom w:val="single" w:sz="8" w:color="CCEEFF"/>
            </w:tcBorders>
            <w:gridSpan w:val="3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10.7*</w:t>
            </w:r>
          </w:p>
        </w:tc>
        <w:tc>
          <w:tcPr>
            <w:tcW w:w="10220" w:type="dxa"/>
            <w:vAlign w:val="bottom"/>
            <w:gridSpan w:val="63"/>
          </w:tcPr>
          <w:p>
            <w:pPr>
              <w:spacing w:after="0"/>
              <w:rPr>
                <w:rFonts w:ascii="Arial" w:cs="Arial" w:eastAsia="Arial" w:hAnsi="Arial"/>
                <w:sz w:val="14"/>
                <w:szCs w:val="14"/>
                <w:color w:val="0000FF"/>
              </w:rPr>
            </w:pPr>
            <w:hyperlink r:id="rId193">
              <w:r>
                <w:rPr>
                  <w:rFonts w:ascii="Arial" w:cs="Arial" w:eastAsia="Arial" w:hAnsi="Arial"/>
                  <w:sz w:val="14"/>
                  <w:szCs w:val="14"/>
                  <w:color w:val="0000FF"/>
                </w:rPr>
                <w:t>Form of Nonqualified Stock Option Agreement pursuant to the Amended and Restated TechnipFMC plc Incentive Award Plan (Employee) (incorporated by</w:t>
              </w:r>
            </w:hyperlink>
          </w:p>
        </w:tc>
      </w:tr>
      <w:tr>
        <w:trPr>
          <w:trHeight w:val="122"/>
        </w:trPr>
        <w:tc>
          <w:tcPr>
            <w:tcW w:w="1320" w:type="dxa"/>
            <w:vAlign w:val="bottom"/>
          </w:tcPr>
          <w:p>
            <w:pPr>
              <w:spacing w:after="0"/>
              <w:rPr>
                <w:sz w:val="10"/>
                <w:szCs w:val="10"/>
                <w:color w:val="auto"/>
              </w:rPr>
            </w:pPr>
          </w:p>
        </w:tc>
        <w:tc>
          <w:tcPr>
            <w:tcW w:w="692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193">
              <w:r>
                <w:rPr>
                  <w:rFonts w:ascii="Arial" w:cs="Arial" w:eastAsia="Arial" w:hAnsi="Arial"/>
                  <w:sz w:val="13"/>
                  <w:szCs w:val="13"/>
                  <w:color w:val="0000FF"/>
                </w:rPr>
                <w:t>reference from Exhibit 10.3 to the Quarterly Report on Form 10-Q filed on May 9, 2019) (File No. 001-37983)</w:t>
              </w:r>
            </w:hyperlink>
          </w:p>
        </w:tc>
        <w:tc>
          <w:tcPr>
            <w:tcW w:w="3180" w:type="dxa"/>
            <w:vAlign w:val="bottom"/>
            <w:tcBorders>
              <w:top w:val="single" w:sz="8" w:color="0000FF"/>
            </w:tcBorders>
            <w:gridSpan w:val="3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10.8*</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94">
              <w:r>
                <w:rPr>
                  <w:rFonts w:ascii="Arial" w:cs="Arial" w:eastAsia="Arial" w:hAnsi="Arial"/>
                  <w:sz w:val="14"/>
                  <w:szCs w:val="14"/>
                  <w:color w:val="0000FF"/>
                </w:rPr>
                <w:t>2013 Technip Incentive and Reward Plan (Rules of the Performance Shares Plan) June 14, 2013 allocation (incorporated by reference from Exhibit 99.4 to</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10120" w:type="dxa"/>
            <w:vAlign w:val="bottom"/>
            <w:tcBorders>
              <w:top w:val="single" w:sz="8" w:color="0000FF"/>
            </w:tcBorders>
            <w:gridSpan w:val="58"/>
            <w:shd w:val="clear" w:color="auto" w:fill="CCEEFF"/>
          </w:tcPr>
          <w:p>
            <w:pPr>
              <w:spacing w:after="0" w:line="115" w:lineRule="exact"/>
              <w:rPr>
                <w:rFonts w:ascii="Arial" w:cs="Arial" w:eastAsia="Arial" w:hAnsi="Arial"/>
                <w:sz w:val="13"/>
                <w:szCs w:val="13"/>
                <w:color w:val="0000FF"/>
              </w:rPr>
            </w:pPr>
            <w:hyperlink r:id="rId194">
              <w:r>
                <w:rPr>
                  <w:rFonts w:ascii="Arial" w:cs="Arial" w:eastAsia="Arial" w:hAnsi="Arial"/>
                  <w:sz w:val="13"/>
                  <w:szCs w:val="13"/>
                  <w:color w:val="0000FF"/>
                </w:rPr>
                <w:t>the Registration Statement on Form S-8 of TechnipFMC plc, filed on February 27, 2017) (File No. 333-216289)</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27"/>
        </w:trPr>
        <w:tc>
          <w:tcPr>
            <w:tcW w:w="6460" w:type="dxa"/>
            <w:vAlign w:val="bottom"/>
            <w:tcBorders>
              <w:right w:val="single" w:sz="8" w:color="0000FF"/>
            </w:tcBorders>
            <w:gridSpan w:val="12"/>
            <w:shd w:val="clear" w:color="auto" w:fill="CCEEFF"/>
          </w:tcPr>
          <w:p>
            <w:pPr>
              <w:spacing w:after="0"/>
              <w:rPr>
                <w:sz w:val="2"/>
                <w:szCs w:val="2"/>
                <w:color w:val="auto"/>
              </w:rPr>
            </w:pPr>
          </w:p>
        </w:tc>
        <w:tc>
          <w:tcPr>
            <w:tcW w:w="2040" w:type="dxa"/>
            <w:vAlign w:val="bottom"/>
            <w:tcBorders>
              <w:left w:val="single" w:sz="8" w:color="0000FF"/>
              <w:right w:val="single" w:sz="8" w:color="CCEEFF"/>
            </w:tcBorders>
            <w:gridSpan w:val="9"/>
            <w:shd w:val="clear" w:color="auto" w:fill="0000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10.9*</w:t>
            </w:r>
          </w:p>
        </w:tc>
        <w:tc>
          <w:tcPr>
            <w:tcW w:w="10220" w:type="dxa"/>
            <w:vAlign w:val="bottom"/>
            <w:gridSpan w:val="63"/>
          </w:tcPr>
          <w:p>
            <w:pPr>
              <w:spacing w:after="0"/>
              <w:rPr>
                <w:rFonts w:ascii="Arial" w:cs="Arial" w:eastAsia="Arial" w:hAnsi="Arial"/>
                <w:sz w:val="14"/>
                <w:szCs w:val="14"/>
                <w:color w:val="0000FF"/>
              </w:rPr>
            </w:pPr>
            <w:hyperlink r:id="rId195">
              <w:r>
                <w:rPr>
                  <w:rFonts w:ascii="Arial" w:cs="Arial" w:eastAsia="Arial" w:hAnsi="Arial"/>
                  <w:sz w:val="14"/>
                  <w:szCs w:val="14"/>
                  <w:color w:val="0000FF"/>
                </w:rPr>
                <w:t>2013 Technip Incentive and Reward Plan (Stock Option Plan Rules) June 14, 2013 allocation (incorporated by reference from Exhibit 99.5 to the</w:t>
              </w:r>
            </w:hyperlink>
          </w:p>
        </w:tc>
      </w:tr>
      <w:tr>
        <w:trPr>
          <w:trHeight w:val="115"/>
        </w:trPr>
        <w:tc>
          <w:tcPr>
            <w:tcW w:w="1320" w:type="dxa"/>
            <w:vAlign w:val="bottom"/>
          </w:tcPr>
          <w:p>
            <w:pPr>
              <w:spacing w:after="0"/>
              <w:rPr>
                <w:sz w:val="10"/>
                <w:szCs w:val="10"/>
                <w:color w:val="auto"/>
              </w:rPr>
            </w:pPr>
          </w:p>
        </w:tc>
        <w:tc>
          <w:tcPr>
            <w:tcW w:w="916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195">
              <w:r>
                <w:rPr>
                  <w:rFonts w:ascii="Arial" w:cs="Arial" w:eastAsia="Arial" w:hAnsi="Arial"/>
                  <w:sz w:val="13"/>
                  <w:szCs w:val="13"/>
                  <w:color w:val="0000FF"/>
                </w:rPr>
                <w:t>Registration Statement on Form S-8 of TechnipFMC plc, filed on February 27, 2017) (File No. 333-216289)</w:t>
              </w:r>
            </w:hyperlink>
          </w:p>
        </w:tc>
        <w:tc>
          <w:tcPr>
            <w:tcW w:w="20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8"/>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7"/>
        </w:trPr>
        <w:tc>
          <w:tcPr>
            <w:tcW w:w="6460" w:type="dxa"/>
            <w:vAlign w:val="bottom"/>
            <w:tcBorders>
              <w:right w:val="single" w:sz="8" w:color="0000FF"/>
            </w:tcBorders>
            <w:gridSpan w:val="12"/>
          </w:tcPr>
          <w:p>
            <w:pPr>
              <w:spacing w:after="0"/>
              <w:rPr>
                <w:sz w:val="2"/>
                <w:szCs w:val="2"/>
                <w:color w:val="auto"/>
              </w:rPr>
            </w:pPr>
          </w:p>
        </w:tc>
        <w:tc>
          <w:tcPr>
            <w:tcW w:w="5080" w:type="dxa"/>
            <w:vAlign w:val="bottom"/>
            <w:tcBorders>
              <w:left w:val="single" w:sz="8" w:color="0000FF"/>
            </w:tcBorders>
            <w:gridSpan w:val="52"/>
            <w:shd w:val="clear" w:color="auto" w:fill="0000FF"/>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10.10*</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96">
              <w:r>
                <w:rPr>
                  <w:rFonts w:ascii="Arial" w:cs="Arial" w:eastAsia="Arial" w:hAnsi="Arial"/>
                  <w:sz w:val="14"/>
                  <w:szCs w:val="14"/>
                  <w:color w:val="0000FF"/>
                </w:rPr>
                <w:t>2013 Technip Incentive and Reward Plan (Rules of the Performance Shares Plan) January 10, 2014 allocation (incorporated by reference from Exhibit 99.6</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10160" w:type="dxa"/>
            <w:vAlign w:val="bottom"/>
            <w:tcBorders>
              <w:top w:val="single" w:sz="8" w:color="0000FF"/>
            </w:tcBorders>
            <w:gridSpan w:val="60"/>
            <w:shd w:val="clear" w:color="auto" w:fill="CCEEFF"/>
          </w:tcPr>
          <w:p>
            <w:pPr>
              <w:spacing w:after="0" w:line="115" w:lineRule="exact"/>
              <w:rPr>
                <w:rFonts w:ascii="Arial" w:cs="Arial" w:eastAsia="Arial" w:hAnsi="Arial"/>
                <w:sz w:val="13"/>
                <w:szCs w:val="13"/>
                <w:color w:val="0000FF"/>
              </w:rPr>
            </w:pPr>
            <w:hyperlink r:id="rId196">
              <w:r>
                <w:rPr>
                  <w:rFonts w:ascii="Arial" w:cs="Arial" w:eastAsia="Arial" w:hAnsi="Arial"/>
                  <w:sz w:val="13"/>
                  <w:szCs w:val="13"/>
                  <w:color w:val="0000FF"/>
                </w:rPr>
                <w:t>to the Registration Statement on Form S-8 of TechnipFMC plc, filed on February 27, 2017) (File No. 333-216289)</w:t>
              </w:r>
            </w:hyperlink>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27"/>
        </w:trPr>
        <w:tc>
          <w:tcPr>
            <w:tcW w:w="6460" w:type="dxa"/>
            <w:vAlign w:val="bottom"/>
            <w:tcBorders>
              <w:right w:val="single" w:sz="8" w:color="0000FF"/>
            </w:tcBorders>
            <w:gridSpan w:val="12"/>
            <w:shd w:val="clear" w:color="auto" w:fill="CCEEFF"/>
          </w:tcPr>
          <w:p>
            <w:pPr>
              <w:spacing w:after="0"/>
              <w:rPr>
                <w:sz w:val="2"/>
                <w:szCs w:val="2"/>
                <w:color w:val="auto"/>
              </w:rPr>
            </w:pPr>
          </w:p>
        </w:tc>
        <w:tc>
          <w:tcPr>
            <w:tcW w:w="2040" w:type="dxa"/>
            <w:vAlign w:val="bottom"/>
            <w:tcBorders>
              <w:left w:val="single" w:sz="8" w:color="0000FF"/>
              <w:right w:val="single" w:sz="8" w:color="0000FF"/>
            </w:tcBorders>
            <w:gridSpan w:val="9"/>
            <w:shd w:val="clear" w:color="auto" w:fill="0000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10.11*</w:t>
            </w:r>
          </w:p>
        </w:tc>
        <w:tc>
          <w:tcPr>
            <w:tcW w:w="10220" w:type="dxa"/>
            <w:vAlign w:val="bottom"/>
            <w:gridSpan w:val="63"/>
          </w:tcPr>
          <w:p>
            <w:pPr>
              <w:spacing w:after="0"/>
              <w:rPr>
                <w:rFonts w:ascii="Arial" w:cs="Arial" w:eastAsia="Arial" w:hAnsi="Arial"/>
                <w:sz w:val="14"/>
                <w:szCs w:val="14"/>
                <w:color w:val="0000FF"/>
              </w:rPr>
            </w:pPr>
            <w:hyperlink r:id="rId197">
              <w:r>
                <w:rPr>
                  <w:rFonts w:ascii="Arial" w:cs="Arial" w:eastAsia="Arial" w:hAnsi="Arial"/>
                  <w:sz w:val="14"/>
                  <w:szCs w:val="14"/>
                  <w:color w:val="0000FF"/>
                </w:rPr>
                <w:t>2013 Technip Incentive and Reward Plan (Stock Option Plan Rules) January 10, 2014 allocation (incorporated by reference from Exhibit 99.7 to the</w:t>
              </w:r>
            </w:hyperlink>
          </w:p>
        </w:tc>
      </w:tr>
      <w:tr>
        <w:trPr>
          <w:trHeight w:val="115"/>
        </w:trPr>
        <w:tc>
          <w:tcPr>
            <w:tcW w:w="1320" w:type="dxa"/>
            <w:vAlign w:val="bottom"/>
          </w:tcPr>
          <w:p>
            <w:pPr>
              <w:spacing w:after="0"/>
              <w:rPr>
                <w:sz w:val="10"/>
                <w:szCs w:val="10"/>
                <w:color w:val="auto"/>
              </w:rPr>
            </w:pPr>
          </w:p>
        </w:tc>
        <w:tc>
          <w:tcPr>
            <w:tcW w:w="93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197">
              <w:r>
                <w:rPr>
                  <w:rFonts w:ascii="Arial" w:cs="Arial" w:eastAsia="Arial" w:hAnsi="Arial"/>
                  <w:sz w:val="13"/>
                  <w:szCs w:val="13"/>
                  <w:color w:val="0000FF"/>
                </w:rPr>
                <w:t>Registration Statement on Form S-8 of TechnipFMC plc, filed on February 27, 2017) (File No. 333-216289)</w:t>
              </w:r>
            </w:hyperlink>
          </w:p>
        </w:tc>
        <w:tc>
          <w:tcPr>
            <w:tcW w:w="1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8"/>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7"/>
        </w:trPr>
        <w:tc>
          <w:tcPr>
            <w:tcW w:w="6460" w:type="dxa"/>
            <w:vAlign w:val="bottom"/>
            <w:tcBorders>
              <w:right w:val="single" w:sz="8" w:color="0000FF"/>
            </w:tcBorders>
            <w:gridSpan w:val="12"/>
          </w:tcPr>
          <w:p>
            <w:pPr>
              <w:spacing w:after="0"/>
              <w:rPr>
                <w:sz w:val="2"/>
                <w:szCs w:val="2"/>
                <w:color w:val="auto"/>
              </w:rPr>
            </w:pPr>
          </w:p>
        </w:tc>
        <w:tc>
          <w:tcPr>
            <w:tcW w:w="5080" w:type="dxa"/>
            <w:vAlign w:val="bottom"/>
            <w:tcBorders>
              <w:left w:val="single" w:sz="8" w:color="0000FF"/>
            </w:tcBorders>
            <w:gridSpan w:val="52"/>
            <w:shd w:val="clear" w:color="auto" w:fill="0000FF"/>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10.12*</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198">
              <w:r>
                <w:rPr>
                  <w:rFonts w:ascii="Arial" w:cs="Arial" w:eastAsia="Arial" w:hAnsi="Arial"/>
                  <w:sz w:val="14"/>
                  <w:szCs w:val="14"/>
                  <w:color w:val="0000FF"/>
                </w:rPr>
                <w:t>2014 Technip Incentive and Reward Plan (Rules of the Performance Shares Plan) December 10, 2014 allocation (incorporated by reference from Exhibit</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800" w:type="dxa"/>
            <w:vAlign w:val="bottom"/>
            <w:tcBorders>
              <w:top w:val="single" w:sz="8" w:color="0000FF"/>
            </w:tcBorders>
            <w:gridSpan w:val="42"/>
            <w:shd w:val="clear" w:color="auto" w:fill="CCEEFF"/>
          </w:tcPr>
          <w:p>
            <w:pPr>
              <w:spacing w:after="0" w:line="115" w:lineRule="exact"/>
              <w:rPr>
                <w:rFonts w:ascii="Arial" w:cs="Arial" w:eastAsia="Arial" w:hAnsi="Arial"/>
                <w:sz w:val="13"/>
                <w:szCs w:val="13"/>
                <w:color w:val="0000FF"/>
              </w:rPr>
            </w:pPr>
            <w:hyperlink r:id="rId198">
              <w:r>
                <w:rPr>
                  <w:rFonts w:ascii="Arial" w:cs="Arial" w:eastAsia="Arial" w:hAnsi="Arial"/>
                  <w:sz w:val="13"/>
                  <w:szCs w:val="13"/>
                  <w:color w:val="0000FF"/>
                </w:rPr>
                <w:t>99.</w:t>
              </w:r>
              <w:r>
                <w:rPr>
                  <w:rFonts w:ascii="Arial" w:cs="Arial" w:eastAsia="Arial" w:hAnsi="Arial"/>
                  <w:sz w:val="13"/>
                  <w:szCs w:val="13"/>
                  <w:u w:val="single" w:color="auto"/>
                  <w:color w:val="0000FF"/>
                </w:rPr>
                <w:t>8</w:t>
              </w:r>
              <w:r>
                <w:rPr>
                  <w:rFonts w:ascii="Arial" w:cs="Arial" w:eastAsia="Arial" w:hAnsi="Arial"/>
                  <w:sz w:val="13"/>
                  <w:szCs w:val="13"/>
                  <w:color w:val="0000FF"/>
                </w:rPr>
                <w:t xml:space="preserve"> to the Registration Statement on Form S-8 of TechnipFMC plc, filed on February 27, 2017) (File No. 333-216289)</w:t>
              </w:r>
            </w:hyperlink>
          </w:p>
        </w:tc>
        <w:tc>
          <w:tcPr>
            <w:tcW w:w="80" w:type="dxa"/>
            <w:vAlign w:val="bottom"/>
            <w:tcBorders>
              <w:top w:val="single" w:sz="8" w:color="CCEEFF"/>
            </w:tcBorders>
            <w:gridSpan w:val="4"/>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6460" w:type="dxa"/>
            <w:vAlign w:val="bottom"/>
            <w:tcBorders>
              <w:right w:val="single" w:sz="8" w:color="0000FF"/>
            </w:tcBorders>
            <w:gridSpan w:val="12"/>
            <w:shd w:val="clear" w:color="auto" w:fill="CCEEFF"/>
          </w:tcPr>
          <w:p>
            <w:pPr>
              <w:spacing w:after="0"/>
              <w:rPr>
                <w:sz w:val="2"/>
                <w:szCs w:val="2"/>
                <w:color w:val="auto"/>
              </w:rPr>
            </w:pPr>
          </w:p>
        </w:tc>
        <w:tc>
          <w:tcPr>
            <w:tcW w:w="2040" w:type="dxa"/>
            <w:vAlign w:val="bottom"/>
            <w:tcBorders>
              <w:left w:val="single" w:sz="8" w:color="0000FF"/>
              <w:right w:val="single" w:sz="8" w:color="0000FF"/>
            </w:tcBorders>
            <w:gridSpan w:val="9"/>
            <w:shd w:val="clear" w:color="auto" w:fill="0000FF"/>
          </w:tcPr>
          <w:p>
            <w:pPr>
              <w:spacing w:after="0"/>
              <w:rPr>
                <w:sz w:val="2"/>
                <w:szCs w:val="2"/>
                <w:color w:val="auto"/>
              </w:rPr>
            </w:pPr>
          </w:p>
        </w:tc>
        <w:tc>
          <w:tcPr>
            <w:tcW w:w="400" w:type="dxa"/>
            <w:vAlign w:val="bottom"/>
            <w:tcBorders>
              <w:right w:val="single" w:sz="8" w:color="CCEEFF"/>
            </w:tcBorders>
            <w:shd w:val="clear" w:color="auto" w:fill="0000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10.13*</w:t>
            </w:r>
          </w:p>
        </w:tc>
        <w:tc>
          <w:tcPr>
            <w:tcW w:w="10220" w:type="dxa"/>
            <w:vAlign w:val="bottom"/>
            <w:gridSpan w:val="63"/>
          </w:tcPr>
          <w:p>
            <w:pPr>
              <w:spacing w:after="0"/>
              <w:rPr>
                <w:rFonts w:ascii="Arial" w:cs="Arial" w:eastAsia="Arial" w:hAnsi="Arial"/>
                <w:sz w:val="14"/>
                <w:szCs w:val="14"/>
                <w:color w:val="0000FF"/>
              </w:rPr>
            </w:pPr>
            <w:hyperlink r:id="rId199">
              <w:r>
                <w:rPr>
                  <w:rFonts w:ascii="Arial" w:cs="Arial" w:eastAsia="Arial" w:hAnsi="Arial"/>
                  <w:sz w:val="14"/>
                  <w:szCs w:val="14"/>
                  <w:color w:val="0000FF"/>
                </w:rPr>
                <w:t>2015 Technip Incentive and Reward Plan (Stock Option Plan Rules) September 7, 2015 allocation (incorporated by reference from Exhibit 99.9 to the</w:t>
              </w:r>
            </w:hyperlink>
          </w:p>
        </w:tc>
      </w:tr>
      <w:tr>
        <w:trPr>
          <w:trHeight w:val="115"/>
        </w:trPr>
        <w:tc>
          <w:tcPr>
            <w:tcW w:w="1320" w:type="dxa"/>
            <w:vAlign w:val="bottom"/>
          </w:tcPr>
          <w:p>
            <w:pPr>
              <w:spacing w:after="0"/>
              <w:rPr>
                <w:sz w:val="10"/>
                <w:szCs w:val="10"/>
                <w:color w:val="auto"/>
              </w:rPr>
            </w:pPr>
          </w:p>
        </w:tc>
        <w:tc>
          <w:tcPr>
            <w:tcW w:w="9480" w:type="dxa"/>
            <w:vAlign w:val="bottom"/>
            <w:tcBorders>
              <w:top w:val="single" w:sz="8" w:color="0000FF"/>
            </w:tcBorders>
            <w:gridSpan w:val="26"/>
          </w:tcPr>
          <w:p>
            <w:pPr>
              <w:spacing w:after="0" w:line="115" w:lineRule="exact"/>
              <w:rPr>
                <w:rFonts w:ascii="Arial" w:cs="Arial" w:eastAsia="Arial" w:hAnsi="Arial"/>
                <w:sz w:val="13"/>
                <w:szCs w:val="13"/>
                <w:color w:val="0000FF"/>
              </w:rPr>
            </w:pPr>
            <w:hyperlink r:id="rId199">
              <w:r>
                <w:rPr>
                  <w:rFonts w:ascii="Arial" w:cs="Arial" w:eastAsia="Arial" w:hAnsi="Arial"/>
                  <w:sz w:val="13"/>
                  <w:szCs w:val="13"/>
                  <w:color w:val="0000FF"/>
                </w:rPr>
                <w:t>Registration Statement on Form S-8 of TechnipFMC plc, filed on February 27, 2017) (File No. 333-216289)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7"/>
        </w:trPr>
        <w:tc>
          <w:tcPr>
            <w:tcW w:w="6460" w:type="dxa"/>
            <w:vAlign w:val="bottom"/>
            <w:tcBorders>
              <w:right w:val="single" w:sz="8" w:color="0000FF"/>
            </w:tcBorders>
            <w:gridSpan w:val="12"/>
          </w:tcPr>
          <w:p>
            <w:pPr>
              <w:spacing w:after="0"/>
              <w:rPr>
                <w:sz w:val="2"/>
                <w:szCs w:val="2"/>
                <w:color w:val="auto"/>
              </w:rPr>
            </w:pPr>
          </w:p>
        </w:tc>
        <w:tc>
          <w:tcPr>
            <w:tcW w:w="5080" w:type="dxa"/>
            <w:vAlign w:val="bottom"/>
            <w:tcBorders>
              <w:left w:val="single" w:sz="8" w:color="0000FF"/>
            </w:tcBorders>
            <w:gridSpan w:val="52"/>
            <w:shd w:val="clear" w:color="auto" w:fill="0000FF"/>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10.14*</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200">
              <w:r>
                <w:rPr>
                  <w:rFonts w:ascii="Arial" w:cs="Arial" w:eastAsia="Arial" w:hAnsi="Arial"/>
                  <w:sz w:val="14"/>
                  <w:szCs w:val="14"/>
                  <w:color w:val="0000FF"/>
                </w:rPr>
                <w:t>2016 Technip Incentive and Reward Plan (Rules of the Performance Shares Plan) July 1, 2016 allocation (incorporated by reference from Exhibit 99.10 to</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10020" w:type="dxa"/>
            <w:vAlign w:val="bottom"/>
            <w:tcBorders>
              <w:top w:val="single" w:sz="8" w:color="0000FF"/>
            </w:tcBorders>
            <w:gridSpan w:val="53"/>
            <w:shd w:val="clear" w:color="auto" w:fill="CCEEFF"/>
          </w:tcPr>
          <w:p>
            <w:pPr>
              <w:spacing w:after="0" w:line="115" w:lineRule="exact"/>
              <w:rPr>
                <w:rFonts w:ascii="Arial" w:cs="Arial" w:eastAsia="Arial" w:hAnsi="Arial"/>
                <w:sz w:val="13"/>
                <w:szCs w:val="13"/>
                <w:color w:val="0000FF"/>
              </w:rPr>
            </w:pPr>
            <w:hyperlink r:id="rId200">
              <w:r>
                <w:rPr>
                  <w:rFonts w:ascii="Arial" w:cs="Arial" w:eastAsia="Arial" w:hAnsi="Arial"/>
                  <w:sz w:val="13"/>
                  <w:szCs w:val="13"/>
                  <w:color w:val="0000FF"/>
                </w:rPr>
                <w:t>the Registration Statement on Form S-8 of TechnipFMC plc, filed on February 27, 2017) (File No. 333-216289)</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6460" w:type="dxa"/>
            <w:vAlign w:val="bottom"/>
            <w:tcBorders>
              <w:right w:val="single" w:sz="8" w:color="0000FF"/>
            </w:tcBorders>
            <w:gridSpan w:val="12"/>
            <w:shd w:val="clear" w:color="auto" w:fill="CCEEFF"/>
          </w:tcPr>
          <w:p>
            <w:pPr>
              <w:spacing w:after="0"/>
              <w:rPr>
                <w:sz w:val="2"/>
                <w:szCs w:val="2"/>
                <w:color w:val="auto"/>
              </w:rPr>
            </w:pPr>
          </w:p>
        </w:tc>
        <w:tc>
          <w:tcPr>
            <w:tcW w:w="2040" w:type="dxa"/>
            <w:vAlign w:val="bottom"/>
            <w:tcBorders>
              <w:left w:val="single" w:sz="8" w:color="0000FF"/>
              <w:right w:val="single" w:sz="8" w:color="CCEEFF"/>
            </w:tcBorders>
            <w:gridSpan w:val="9"/>
            <w:shd w:val="clear" w:color="auto" w:fill="0000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10.15*</w:t>
            </w:r>
          </w:p>
        </w:tc>
        <w:tc>
          <w:tcPr>
            <w:tcW w:w="10220" w:type="dxa"/>
            <w:vAlign w:val="bottom"/>
            <w:gridSpan w:val="63"/>
          </w:tcPr>
          <w:p>
            <w:pPr>
              <w:spacing w:after="0"/>
              <w:rPr>
                <w:rFonts w:ascii="Arial" w:cs="Arial" w:eastAsia="Arial" w:hAnsi="Arial"/>
                <w:sz w:val="14"/>
                <w:szCs w:val="14"/>
                <w:color w:val="0000FF"/>
              </w:rPr>
            </w:pPr>
            <w:hyperlink r:id="rId201">
              <w:r>
                <w:rPr>
                  <w:rFonts w:ascii="Arial" w:cs="Arial" w:eastAsia="Arial" w:hAnsi="Arial"/>
                  <w:sz w:val="14"/>
                  <w:szCs w:val="14"/>
                  <w:color w:val="0000FF"/>
                </w:rPr>
                <w:t>2016 Technip Incentive and Reward Plan (Stock Option Plan Rules) July 1, 2016 allocation (incorporated by reference from Exhibit 99.11 to the</w:t>
              </w:r>
            </w:hyperlink>
          </w:p>
        </w:tc>
      </w:tr>
      <w:tr>
        <w:trPr>
          <w:trHeight w:val="115"/>
        </w:trPr>
        <w:tc>
          <w:tcPr>
            <w:tcW w:w="1320" w:type="dxa"/>
            <w:vAlign w:val="bottom"/>
          </w:tcPr>
          <w:p>
            <w:pPr>
              <w:spacing w:after="0"/>
              <w:rPr>
                <w:sz w:val="10"/>
                <w:szCs w:val="10"/>
                <w:color w:val="auto"/>
              </w:rPr>
            </w:pPr>
          </w:p>
        </w:tc>
        <w:tc>
          <w:tcPr>
            <w:tcW w:w="910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201">
              <w:r>
                <w:rPr>
                  <w:rFonts w:ascii="Arial" w:cs="Arial" w:eastAsia="Arial" w:hAnsi="Arial"/>
                  <w:sz w:val="13"/>
                  <w:szCs w:val="13"/>
                  <w:color w:val="0000FF"/>
                </w:rPr>
                <w:t>Registration Statement on Form S-8 of TechnipFMC plc, filed on February 27, 2017) (File No. 333-216289)</w:t>
              </w:r>
            </w:hyperlink>
          </w:p>
        </w:tc>
        <w:tc>
          <w:tcPr>
            <w:tcW w:w="4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7"/>
        </w:trPr>
        <w:tc>
          <w:tcPr>
            <w:tcW w:w="6460" w:type="dxa"/>
            <w:vAlign w:val="bottom"/>
            <w:tcBorders>
              <w:right w:val="single" w:sz="8" w:color="0000FF"/>
            </w:tcBorders>
            <w:gridSpan w:val="12"/>
          </w:tcPr>
          <w:p>
            <w:pPr>
              <w:spacing w:after="0"/>
              <w:rPr>
                <w:sz w:val="2"/>
                <w:szCs w:val="2"/>
                <w:color w:val="auto"/>
              </w:rPr>
            </w:pPr>
          </w:p>
        </w:tc>
        <w:tc>
          <w:tcPr>
            <w:tcW w:w="5080" w:type="dxa"/>
            <w:vAlign w:val="bottom"/>
            <w:tcBorders>
              <w:left w:val="single" w:sz="8" w:color="0000FF"/>
            </w:tcBorders>
            <w:gridSpan w:val="52"/>
            <w:shd w:val="clear" w:color="auto" w:fill="0000FF"/>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10.16*</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202">
              <w:r>
                <w:rPr>
                  <w:rFonts w:ascii="Arial" w:cs="Arial" w:eastAsia="Arial" w:hAnsi="Arial"/>
                  <w:sz w:val="14"/>
                  <w:szCs w:val="14"/>
                  <w:color w:val="0000FF"/>
                </w:rPr>
                <w:t>2016 Technip Incentive and Reward Plan (Rules of the Performance Shares Plan) December 6, 2016 allocation (incorporated by reference from Exhibit</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620" w:type="dxa"/>
            <w:vAlign w:val="bottom"/>
            <w:tcBorders>
              <w:top w:val="single" w:sz="8" w:color="0000FF"/>
            </w:tcBorders>
            <w:gridSpan w:val="33"/>
            <w:shd w:val="clear" w:color="auto" w:fill="CCEEFF"/>
          </w:tcPr>
          <w:p>
            <w:pPr>
              <w:spacing w:after="0" w:line="115" w:lineRule="exact"/>
              <w:rPr>
                <w:rFonts w:ascii="Arial" w:cs="Arial" w:eastAsia="Arial" w:hAnsi="Arial"/>
                <w:sz w:val="13"/>
                <w:szCs w:val="13"/>
                <w:color w:val="0000FF"/>
              </w:rPr>
            </w:pPr>
            <w:hyperlink r:id="rId202">
              <w:r>
                <w:rPr>
                  <w:rFonts w:ascii="Arial" w:cs="Arial" w:eastAsia="Arial" w:hAnsi="Arial"/>
                  <w:sz w:val="13"/>
                  <w:szCs w:val="13"/>
                  <w:color w:val="0000FF"/>
                </w:rPr>
                <w:t>99.</w:t>
              </w:r>
              <w:r>
                <w:rPr>
                  <w:rFonts w:ascii="Arial" w:cs="Arial" w:eastAsia="Arial" w:hAnsi="Arial"/>
                  <w:sz w:val="13"/>
                  <w:szCs w:val="13"/>
                  <w:u w:val="single" w:color="auto"/>
                  <w:color w:val="0000FF"/>
                </w:rPr>
                <w:t>12</w:t>
              </w:r>
              <w:r>
                <w:rPr>
                  <w:rFonts w:ascii="Arial" w:cs="Arial" w:eastAsia="Arial" w:hAnsi="Arial"/>
                  <w:sz w:val="13"/>
                  <w:szCs w:val="13"/>
                  <w:color w:val="0000FF"/>
                </w:rPr>
                <w:t xml:space="preserve"> to the Registration Statement on Form S-8 of TechnipFMC plc, filed on February 27, 2017) (File No. 333-216289)</w:t>
              </w:r>
            </w:hyperlink>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gridSpan w:val="1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6460" w:type="dxa"/>
            <w:vAlign w:val="bottom"/>
            <w:tcBorders>
              <w:right w:val="single" w:sz="8" w:color="0000FF"/>
            </w:tcBorders>
            <w:gridSpan w:val="12"/>
            <w:shd w:val="clear" w:color="auto" w:fill="CCEEFF"/>
          </w:tcPr>
          <w:p>
            <w:pPr>
              <w:spacing w:after="0"/>
              <w:rPr>
                <w:sz w:val="2"/>
                <w:szCs w:val="2"/>
                <w:color w:val="auto"/>
              </w:rPr>
            </w:pPr>
          </w:p>
        </w:tc>
        <w:tc>
          <w:tcPr>
            <w:tcW w:w="2040" w:type="dxa"/>
            <w:vAlign w:val="bottom"/>
            <w:tcBorders>
              <w:left w:val="single" w:sz="8" w:color="0000FF"/>
              <w:right w:val="single" w:sz="8" w:color="0000FF"/>
            </w:tcBorders>
            <w:gridSpan w:val="9"/>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10.17*</w:t>
            </w:r>
          </w:p>
        </w:tc>
        <w:tc>
          <w:tcPr>
            <w:tcW w:w="10220" w:type="dxa"/>
            <w:vAlign w:val="bottom"/>
            <w:gridSpan w:val="63"/>
          </w:tcPr>
          <w:p>
            <w:pPr>
              <w:spacing w:after="0"/>
              <w:rPr>
                <w:rFonts w:ascii="Arial" w:cs="Arial" w:eastAsia="Arial" w:hAnsi="Arial"/>
                <w:sz w:val="14"/>
                <w:szCs w:val="14"/>
                <w:color w:val="0000FF"/>
              </w:rPr>
            </w:pPr>
            <w:hyperlink r:id="rId203">
              <w:r>
                <w:rPr>
                  <w:rFonts w:ascii="Arial" w:cs="Arial" w:eastAsia="Arial" w:hAnsi="Arial"/>
                  <w:sz w:val="14"/>
                  <w:szCs w:val="14"/>
                  <w:color w:val="0000FF"/>
                </w:rPr>
                <w:t>Form of TechnipFMC plc Executive Severance Agreement (incorporated by reference from Exhibit 10.1 to the Quarterly Report on Form 10-Q filed on</w:t>
              </w:r>
            </w:hyperlink>
          </w:p>
        </w:tc>
      </w:tr>
      <w:tr>
        <w:trPr>
          <w:trHeight w:val="122"/>
        </w:trPr>
        <w:tc>
          <w:tcPr>
            <w:tcW w:w="13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rPr>
            </w:pPr>
            <w:hyperlink r:id="rId203">
              <w:r>
                <w:rPr>
                  <w:rFonts w:ascii="Arial" w:cs="Arial" w:eastAsia="Arial" w:hAnsi="Arial"/>
                  <w:sz w:val="13"/>
                  <w:szCs w:val="13"/>
                  <w:color w:val="0000FF"/>
                </w:rPr>
                <w:t>November 2, 2020) (File No. 001-37983)</w:t>
              </w:r>
            </w:hyperlink>
          </w:p>
        </w:tc>
        <w:tc>
          <w:tcPr>
            <w:tcW w:w="692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40" w:type="dxa"/>
            <w:vAlign w:val="bottom"/>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10.18*</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204">
              <w:r>
                <w:rPr>
                  <w:rFonts w:ascii="Arial" w:cs="Arial" w:eastAsia="Arial" w:hAnsi="Arial"/>
                  <w:sz w:val="14"/>
                  <w:szCs w:val="14"/>
                  <w:color w:val="0000FF"/>
                </w:rPr>
                <w:t>Service Agreement between TechnipFMC plc and Thierry Pilenko dated January 16, 2017 (incorporated by reference from Exhibit 10.21 to the Annual</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4120" w:type="dxa"/>
            <w:vAlign w:val="bottom"/>
            <w:tcBorders>
              <w:top w:val="single" w:sz="8" w:color="0000FF"/>
              <w:bottom w:val="single" w:sz="8" w:color="0000FF"/>
            </w:tcBorders>
            <w:gridSpan w:val="9"/>
            <w:shd w:val="clear" w:color="auto" w:fill="CCEEFF"/>
          </w:tcPr>
          <w:p>
            <w:pPr>
              <w:spacing w:after="0" w:line="115" w:lineRule="exact"/>
              <w:rPr>
                <w:rFonts w:ascii="Arial" w:cs="Arial" w:eastAsia="Arial" w:hAnsi="Arial"/>
                <w:sz w:val="13"/>
                <w:szCs w:val="13"/>
                <w:color w:val="0000FF"/>
              </w:rPr>
            </w:pPr>
            <w:hyperlink r:id="rId204">
              <w:r>
                <w:rPr>
                  <w:rFonts w:ascii="Arial" w:cs="Arial" w:eastAsia="Arial" w:hAnsi="Arial"/>
                  <w:sz w:val="13"/>
                  <w:szCs w:val="13"/>
                  <w:color w:val="0000FF"/>
                </w:rPr>
                <w:t>Report on Form 10-K filed on April 2, 2018) (File No. 001-37983)</w:t>
              </w:r>
            </w:hyperlink>
          </w:p>
        </w:tc>
        <w:tc>
          <w:tcPr>
            <w:tcW w:w="5420" w:type="dxa"/>
            <w:vAlign w:val="bottom"/>
            <w:tcBorders>
              <w:top w:val="single" w:sz="8" w:color="0000FF"/>
              <w:bottom w:val="single" w:sz="8" w:color="CCEEFF"/>
            </w:tcBorders>
            <w:gridSpan w:val="20"/>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4"/>
            <w:shd w:val="clear" w:color="auto" w:fill="CCEEFF"/>
          </w:tcPr>
          <w:p>
            <w:pPr>
              <w:spacing w:after="0"/>
              <w:rPr>
                <w:sz w:val="10"/>
                <w:szCs w:val="10"/>
                <w:color w:val="auto"/>
              </w:rPr>
            </w:pPr>
          </w:p>
        </w:tc>
        <w:tc>
          <w:tcPr>
            <w:tcW w:w="240" w:type="dxa"/>
            <w:vAlign w:val="bottom"/>
            <w:tcBorders>
              <w:top w:val="single" w:sz="8" w:color="CCEEFF"/>
              <w:bottom w:val="single" w:sz="8" w:color="CCEEFF"/>
            </w:tcBorders>
            <w:gridSpan w:val="12"/>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4"/>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10.19*</w:t>
            </w:r>
          </w:p>
        </w:tc>
        <w:tc>
          <w:tcPr>
            <w:tcW w:w="10220" w:type="dxa"/>
            <w:vAlign w:val="bottom"/>
            <w:gridSpan w:val="63"/>
          </w:tcPr>
          <w:p>
            <w:pPr>
              <w:spacing w:after="0"/>
              <w:rPr>
                <w:rFonts w:ascii="Arial" w:cs="Arial" w:eastAsia="Arial" w:hAnsi="Arial"/>
                <w:sz w:val="14"/>
                <w:szCs w:val="14"/>
                <w:color w:val="0000FF"/>
              </w:rPr>
            </w:pPr>
            <w:hyperlink r:id="rId205">
              <w:r>
                <w:rPr>
                  <w:rFonts w:ascii="Arial" w:cs="Arial" w:eastAsia="Arial" w:hAnsi="Arial"/>
                  <w:sz w:val="14"/>
                  <w:szCs w:val="14"/>
                  <w:color w:val="0000FF"/>
                </w:rPr>
                <w:t>Letter Agreement between TechnipFMC plc and Thierry Pilenko dated September 20, 2017 (incorporated by reference from Exhibit 10.22 to the Annual</w:t>
              </w:r>
            </w:hyperlink>
          </w:p>
        </w:tc>
      </w:tr>
      <w:tr>
        <w:trPr>
          <w:trHeight w:val="122"/>
        </w:trPr>
        <w:tc>
          <w:tcPr>
            <w:tcW w:w="1320" w:type="dxa"/>
            <w:vAlign w:val="bottom"/>
          </w:tcPr>
          <w:p>
            <w:pPr>
              <w:spacing w:after="0"/>
              <w:rPr>
                <w:sz w:val="10"/>
                <w:szCs w:val="10"/>
                <w:color w:val="auto"/>
              </w:rPr>
            </w:pPr>
          </w:p>
        </w:tc>
        <w:tc>
          <w:tcPr>
            <w:tcW w:w="412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rPr>
            </w:pPr>
            <w:hyperlink r:id="rId205">
              <w:r>
                <w:rPr>
                  <w:rFonts w:ascii="Arial" w:cs="Arial" w:eastAsia="Arial" w:hAnsi="Arial"/>
                  <w:sz w:val="13"/>
                  <w:szCs w:val="13"/>
                  <w:color w:val="0000FF"/>
                </w:rPr>
                <w:t>Report on Form 10-K filed on April 2, 2018) (File No. 001-37983)</w:t>
              </w:r>
            </w:hyperlink>
          </w:p>
        </w:tc>
        <w:tc>
          <w:tcPr>
            <w:tcW w:w="5520" w:type="dxa"/>
            <w:vAlign w:val="bottom"/>
            <w:tcBorders>
              <w:top w:val="single" w:sz="8" w:color="0000FF"/>
            </w:tcBorders>
            <w:gridSpan w:val="25"/>
          </w:tcPr>
          <w:p>
            <w:pPr>
              <w:spacing w:after="0"/>
              <w:rPr>
                <w:sz w:val="10"/>
                <w:szCs w:val="10"/>
                <w:color w:val="auto"/>
              </w:rPr>
            </w:pPr>
          </w:p>
        </w:tc>
        <w:tc>
          <w:tcPr>
            <w:tcW w:w="240" w:type="dxa"/>
            <w:vAlign w:val="bottom"/>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10.20*</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206">
              <w:r>
                <w:rPr>
                  <w:rFonts w:ascii="Arial" w:cs="Arial" w:eastAsia="Arial" w:hAnsi="Arial"/>
                  <w:sz w:val="14"/>
                  <w:szCs w:val="14"/>
                  <w:color w:val="0000FF"/>
                </w:rPr>
                <w:t>Form of Executive Director Appointment Letter (incorporated by reference from Exhibit 10.2 to the Current Report on Form 8-K filed on January 17, 2017)</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940" w:type="dxa"/>
            <w:vAlign w:val="bottom"/>
            <w:tcBorders>
              <w:top w:val="single" w:sz="8" w:color="0000FF"/>
            </w:tcBorders>
            <w:gridSpan w:val="49"/>
            <w:shd w:val="clear" w:color="auto" w:fill="CCEEFF"/>
          </w:tcPr>
          <w:p>
            <w:pPr>
              <w:spacing w:after="0" w:line="115" w:lineRule="exact"/>
              <w:rPr>
                <w:rFonts w:ascii="Arial" w:cs="Arial" w:eastAsia="Arial" w:hAnsi="Arial"/>
                <w:sz w:val="13"/>
                <w:szCs w:val="13"/>
                <w:color w:val="0000FF"/>
              </w:rPr>
            </w:pPr>
            <w:hyperlink r:id="rId206">
              <w:r>
                <w:rPr>
                  <w:rFonts w:ascii="Arial" w:cs="Arial" w:eastAsia="Arial" w:hAnsi="Arial"/>
                  <w:sz w:val="13"/>
                  <w:szCs w:val="13"/>
                  <w:color w:val="0000FF"/>
                </w:rPr>
                <w:t>(File No. 001-37983)</w:t>
              </w:r>
            </w:hyperlink>
          </w:p>
        </w:tc>
        <w:tc>
          <w:tcPr>
            <w:tcW w:w="6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6460" w:type="dxa"/>
            <w:vAlign w:val="bottom"/>
            <w:tcBorders>
              <w:right w:val="single" w:sz="8" w:color="CCEEFF"/>
            </w:tcBorders>
            <w:gridSpan w:val="12"/>
            <w:shd w:val="clear" w:color="auto" w:fill="CCEEFF"/>
          </w:tcPr>
          <w:p>
            <w:pPr>
              <w:spacing w:after="0"/>
              <w:rPr>
                <w:sz w:val="2"/>
                <w:szCs w:val="2"/>
                <w:color w:val="auto"/>
              </w:rPr>
            </w:pPr>
          </w:p>
        </w:tc>
        <w:tc>
          <w:tcPr>
            <w:tcW w:w="2040" w:type="dxa"/>
            <w:vAlign w:val="bottom"/>
            <w:tcBorders>
              <w:left w:val="single" w:sz="8" w:color="CCEEFF"/>
              <w:right w:val="single" w:sz="8" w:color="CCEEFF"/>
            </w:tcBorders>
            <w:gridSpan w:val="9"/>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10.21</w:t>
            </w:r>
          </w:p>
        </w:tc>
        <w:tc>
          <w:tcPr>
            <w:tcW w:w="10220" w:type="dxa"/>
            <w:vAlign w:val="bottom"/>
            <w:gridSpan w:val="63"/>
          </w:tcPr>
          <w:p>
            <w:pPr>
              <w:spacing w:after="0"/>
              <w:rPr>
                <w:rFonts w:ascii="Arial" w:cs="Arial" w:eastAsia="Arial" w:hAnsi="Arial"/>
                <w:sz w:val="14"/>
                <w:szCs w:val="14"/>
                <w:color w:val="0000FF"/>
              </w:rPr>
            </w:pPr>
            <w:hyperlink r:id="rId207">
              <w:r>
                <w:rPr>
                  <w:rFonts w:ascii="Arial" w:cs="Arial" w:eastAsia="Arial" w:hAnsi="Arial"/>
                  <w:sz w:val="14"/>
                  <w:szCs w:val="14"/>
                  <w:color w:val="0000FF"/>
                </w:rPr>
                <w:t>Form of Non-Executive Director Appointment Letter (incorporated by reference from Exhibit 10.3 to the Current Report on Form 8-K filed on January 17,</w:t>
              </w:r>
            </w:hyperlink>
          </w:p>
        </w:tc>
      </w:tr>
      <w:tr>
        <w:trPr>
          <w:trHeight w:val="115"/>
        </w:trPr>
        <w:tc>
          <w:tcPr>
            <w:tcW w:w="1320" w:type="dxa"/>
            <w:vAlign w:val="bottom"/>
          </w:tcPr>
          <w:p>
            <w:pPr>
              <w:spacing w:after="0"/>
              <w:rPr>
                <w:sz w:val="10"/>
                <w:szCs w:val="10"/>
                <w:color w:val="auto"/>
              </w:rPr>
            </w:pPr>
          </w:p>
        </w:tc>
        <w:tc>
          <w:tcPr>
            <w:tcW w:w="974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207">
              <w:r>
                <w:rPr>
                  <w:rFonts w:ascii="Arial" w:cs="Arial" w:eastAsia="Arial" w:hAnsi="Arial"/>
                  <w:sz w:val="13"/>
                  <w:szCs w:val="13"/>
                  <w:color w:val="0000FF"/>
                </w:rPr>
                <w:t>2017) (File No. 001-37983)</w:t>
              </w:r>
            </w:hyperlink>
          </w:p>
        </w:tc>
        <w:tc>
          <w:tcPr>
            <w:tcW w:w="140" w:type="dxa"/>
            <w:vAlign w:val="bottom"/>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7"/>
        </w:trPr>
        <w:tc>
          <w:tcPr>
            <w:tcW w:w="11540" w:type="dxa"/>
            <w:vAlign w:val="bottom"/>
            <w:gridSpan w:val="64"/>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10.22</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208">
              <w:r>
                <w:rPr>
                  <w:rFonts w:ascii="Arial" w:cs="Arial" w:eastAsia="Arial" w:hAnsi="Arial"/>
                  <w:sz w:val="14"/>
                  <w:szCs w:val="14"/>
                  <w:color w:val="0000FF"/>
                </w:rPr>
                <w:t>Form of Director Deed of Indemnity (Directors) (incorporated by reference from Exhibit 10.2 to the Current Report on Form 8-K filed on January 17, 2017)</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920" w:type="dxa"/>
            <w:vAlign w:val="bottom"/>
            <w:tcBorders>
              <w:top w:val="single" w:sz="8" w:color="0000FF"/>
            </w:tcBorders>
            <w:gridSpan w:val="48"/>
            <w:shd w:val="clear" w:color="auto" w:fill="CCEEFF"/>
          </w:tcPr>
          <w:p>
            <w:pPr>
              <w:spacing w:after="0" w:line="115" w:lineRule="exact"/>
              <w:rPr>
                <w:rFonts w:ascii="Arial" w:cs="Arial" w:eastAsia="Arial" w:hAnsi="Arial"/>
                <w:sz w:val="13"/>
                <w:szCs w:val="13"/>
                <w:color w:val="0000FF"/>
              </w:rPr>
            </w:pPr>
            <w:hyperlink r:id="rId208">
              <w:r>
                <w:rPr>
                  <w:rFonts w:ascii="Arial" w:cs="Arial" w:eastAsia="Arial" w:hAnsi="Arial"/>
                  <w:sz w:val="13"/>
                  <w:szCs w:val="13"/>
                  <w:color w:val="0000FF"/>
                </w:rPr>
                <w:t>(File No. 001-37983)</w:t>
              </w:r>
            </w:hyperlink>
          </w:p>
        </w:tc>
        <w:tc>
          <w:tcPr>
            <w:tcW w:w="80" w:type="dxa"/>
            <w:vAlign w:val="bottom"/>
            <w:tcBorders>
              <w:top w:val="single" w:sz="8" w:color="CCEEFF"/>
            </w:tcBorders>
            <w:gridSpan w:val="4"/>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6460" w:type="dxa"/>
            <w:vAlign w:val="bottom"/>
            <w:tcBorders>
              <w:right w:val="single" w:sz="8" w:color="CCEEFF"/>
            </w:tcBorders>
            <w:gridSpan w:val="12"/>
            <w:shd w:val="clear" w:color="auto" w:fill="CCEEFF"/>
          </w:tcPr>
          <w:p>
            <w:pPr>
              <w:spacing w:after="0"/>
              <w:rPr>
                <w:sz w:val="2"/>
                <w:szCs w:val="2"/>
                <w:color w:val="auto"/>
              </w:rPr>
            </w:pPr>
          </w:p>
        </w:tc>
        <w:tc>
          <w:tcPr>
            <w:tcW w:w="2040" w:type="dxa"/>
            <w:vAlign w:val="bottom"/>
            <w:tcBorders>
              <w:left w:val="single" w:sz="8" w:color="CCEEFF"/>
              <w:right w:val="single" w:sz="8" w:color="CCEEFF"/>
            </w:tcBorders>
            <w:gridSpan w:val="9"/>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10.23*</w:t>
            </w:r>
          </w:p>
        </w:tc>
        <w:tc>
          <w:tcPr>
            <w:tcW w:w="10220" w:type="dxa"/>
            <w:vAlign w:val="bottom"/>
            <w:gridSpan w:val="63"/>
          </w:tcPr>
          <w:p>
            <w:pPr>
              <w:spacing w:after="0"/>
              <w:rPr>
                <w:rFonts w:ascii="Arial" w:cs="Arial" w:eastAsia="Arial" w:hAnsi="Arial"/>
                <w:sz w:val="14"/>
                <w:szCs w:val="14"/>
                <w:color w:val="0000FF"/>
              </w:rPr>
            </w:pPr>
            <w:hyperlink r:id="rId209">
              <w:r>
                <w:rPr>
                  <w:rFonts w:ascii="Arial" w:cs="Arial" w:eastAsia="Arial" w:hAnsi="Arial"/>
                  <w:sz w:val="14"/>
                  <w:szCs w:val="14"/>
                  <w:color w:val="0000FF"/>
                </w:rPr>
                <w:t>Form of Deed of Indemnity (Executive Officers) (incorporated by reference from Exhibit 10.3 to the Current Report on Form 8-K filed on January 17, 2017)</w:t>
              </w:r>
            </w:hyperlink>
          </w:p>
        </w:tc>
      </w:tr>
      <w:tr>
        <w:trPr>
          <w:trHeight w:val="115"/>
        </w:trPr>
        <w:tc>
          <w:tcPr>
            <w:tcW w:w="1320" w:type="dxa"/>
            <w:vAlign w:val="bottom"/>
          </w:tcPr>
          <w:p>
            <w:pPr>
              <w:spacing w:after="0"/>
              <w:rPr>
                <w:sz w:val="10"/>
                <w:szCs w:val="10"/>
                <w:color w:val="auto"/>
              </w:rPr>
            </w:pPr>
          </w:p>
        </w:tc>
        <w:tc>
          <w:tcPr>
            <w:tcW w:w="10060" w:type="dxa"/>
            <w:vAlign w:val="bottom"/>
            <w:tcBorders>
              <w:top w:val="single" w:sz="8" w:color="0000FF"/>
            </w:tcBorders>
            <w:gridSpan w:val="55"/>
          </w:tcPr>
          <w:p>
            <w:pPr>
              <w:spacing w:after="0" w:line="115" w:lineRule="exact"/>
              <w:rPr>
                <w:rFonts w:ascii="Arial" w:cs="Arial" w:eastAsia="Arial" w:hAnsi="Arial"/>
                <w:sz w:val="13"/>
                <w:szCs w:val="13"/>
                <w:color w:val="0000FF"/>
              </w:rPr>
            </w:pPr>
            <w:hyperlink r:id="rId209">
              <w:r>
                <w:rPr>
                  <w:rFonts w:ascii="Arial" w:cs="Arial" w:eastAsia="Arial" w:hAnsi="Arial"/>
                  <w:sz w:val="13"/>
                  <w:szCs w:val="13"/>
                  <w:color w:val="0000FF"/>
                </w:rPr>
                <w:t>(File No. 001-37983)</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7"/>
        </w:trPr>
        <w:tc>
          <w:tcPr>
            <w:tcW w:w="11540" w:type="dxa"/>
            <w:vAlign w:val="bottom"/>
            <w:gridSpan w:val="64"/>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10.24</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210">
              <w:r>
                <w:rPr>
                  <w:rFonts w:ascii="Arial" w:cs="Arial" w:eastAsia="Arial" w:hAnsi="Arial"/>
                  <w:sz w:val="14"/>
                  <w:szCs w:val="14"/>
                  <w:color w:val="0000FF"/>
                </w:rPr>
                <w:t>Form of Director Deed of Indemnity (Executive Directors) (incorporated by reference from Exhibit 10.4 to the Current Report on Form 8-K filed on January</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10000" w:type="dxa"/>
            <w:vAlign w:val="bottom"/>
            <w:tcBorders>
              <w:top w:val="single" w:sz="8" w:color="0000FF"/>
            </w:tcBorders>
            <w:gridSpan w:val="52"/>
            <w:shd w:val="clear" w:color="auto" w:fill="CCEEFF"/>
          </w:tcPr>
          <w:p>
            <w:pPr>
              <w:spacing w:after="0" w:line="115" w:lineRule="exact"/>
              <w:rPr>
                <w:rFonts w:ascii="Arial" w:cs="Arial" w:eastAsia="Arial" w:hAnsi="Arial"/>
                <w:sz w:val="13"/>
                <w:szCs w:val="13"/>
                <w:color w:val="0000FF"/>
              </w:rPr>
            </w:pPr>
            <w:hyperlink r:id="rId210">
              <w:r>
                <w:rPr>
                  <w:rFonts w:ascii="Arial" w:cs="Arial" w:eastAsia="Arial" w:hAnsi="Arial"/>
                  <w:sz w:val="13"/>
                  <w:szCs w:val="13"/>
                  <w:color w:val="0000FF"/>
                </w:rPr>
                <w:t>17, 2017) (File No. 001-37983)</w:t>
              </w:r>
            </w:hyperlink>
          </w:p>
        </w:tc>
        <w:tc>
          <w:tcPr>
            <w:tcW w:w="80" w:type="dxa"/>
            <w:vAlign w:val="bottom"/>
            <w:tcBorders>
              <w:top w:val="single" w:sz="8" w:color="CCEEFF"/>
            </w:tcBorders>
            <w:gridSpan w:val="4"/>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6460" w:type="dxa"/>
            <w:vAlign w:val="bottom"/>
            <w:tcBorders>
              <w:right w:val="single" w:sz="8" w:color="CCEEFF"/>
            </w:tcBorders>
            <w:gridSpan w:val="12"/>
            <w:shd w:val="clear" w:color="auto" w:fill="CCEEFF"/>
          </w:tcPr>
          <w:p>
            <w:pPr>
              <w:spacing w:after="0"/>
              <w:rPr>
                <w:sz w:val="2"/>
                <w:szCs w:val="2"/>
                <w:color w:val="auto"/>
              </w:rPr>
            </w:pPr>
          </w:p>
        </w:tc>
        <w:tc>
          <w:tcPr>
            <w:tcW w:w="2040" w:type="dxa"/>
            <w:vAlign w:val="bottom"/>
            <w:tcBorders>
              <w:left w:val="single" w:sz="8" w:color="CCEEFF"/>
              <w:right w:val="single" w:sz="8" w:color="CCEEFF"/>
            </w:tcBorders>
            <w:gridSpan w:val="9"/>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10.25*</w:t>
            </w:r>
          </w:p>
        </w:tc>
        <w:tc>
          <w:tcPr>
            <w:tcW w:w="10220" w:type="dxa"/>
            <w:vAlign w:val="bottom"/>
            <w:gridSpan w:val="63"/>
          </w:tcPr>
          <w:p>
            <w:pPr>
              <w:spacing w:after="0"/>
              <w:rPr>
                <w:rFonts w:ascii="Arial" w:cs="Arial" w:eastAsia="Arial" w:hAnsi="Arial"/>
                <w:sz w:val="14"/>
                <w:szCs w:val="14"/>
                <w:u w:val="single" w:color="auto"/>
                <w:color w:val="0000FF"/>
              </w:rPr>
            </w:pPr>
            <w:hyperlink w:anchor="page151">
              <w:r>
                <w:rPr>
                  <w:rFonts w:ascii="Arial" w:cs="Arial" w:eastAsia="Arial" w:hAnsi="Arial"/>
                  <w:sz w:val="14"/>
                  <w:szCs w:val="14"/>
                  <w:u w:val="single" w:color="auto"/>
                  <w:color w:val="0000FF"/>
                </w:rPr>
                <w:t>TechnipFMC plc Directors Deferred Compensation Plan</w:t>
              </w:r>
            </w:hyperlink>
          </w:p>
        </w:tc>
      </w:tr>
      <w:tr>
        <w:trPr>
          <w:trHeight w:val="155"/>
        </w:trPr>
        <w:tc>
          <w:tcPr>
            <w:tcW w:w="1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10.26</w:t>
            </w:r>
          </w:p>
        </w:tc>
        <w:tc>
          <w:tcPr>
            <w:tcW w:w="10220" w:type="dxa"/>
            <w:vAlign w:val="bottom"/>
            <w:gridSpan w:val="63"/>
            <w:shd w:val="clear" w:color="auto" w:fill="CCEEFF"/>
          </w:tcPr>
          <w:p>
            <w:pPr>
              <w:spacing w:after="0" w:line="153" w:lineRule="exact"/>
              <w:rPr>
                <w:rFonts w:ascii="Arial" w:cs="Arial" w:eastAsia="Arial" w:hAnsi="Arial"/>
                <w:sz w:val="14"/>
                <w:szCs w:val="14"/>
                <w:color w:val="0000FF"/>
              </w:rPr>
            </w:pPr>
            <w:hyperlink r:id="rId211">
              <w:r>
                <w:rPr>
                  <w:rFonts w:ascii="Arial" w:cs="Arial" w:eastAsia="Arial" w:hAnsi="Arial"/>
                  <w:sz w:val="14"/>
                  <w:szCs w:val="14"/>
                  <w:u w:val="single" w:color="auto"/>
                  <w:color w:val="0000FF"/>
                </w:rPr>
                <w:t>US$</w:t>
              </w:r>
              <w:r>
                <w:rPr>
                  <w:rFonts w:ascii="Arial" w:cs="Arial" w:eastAsia="Arial" w:hAnsi="Arial"/>
                  <w:sz w:val="14"/>
                  <w:szCs w:val="14"/>
                  <w:color w:val="0000FF"/>
                </w:rPr>
                <w:t>2,500,000,000 Facility Agreement, dated January 12, 2017, by and among FMC Technologies, Inc., Technip Eurocash SNC and TechnipFMC plc, as</w:t>
              </w:r>
            </w:hyperlink>
          </w:p>
        </w:tc>
      </w:tr>
      <w:tr>
        <w:trPr>
          <w:trHeight w:val="122"/>
        </w:trPr>
        <w:tc>
          <w:tcPr>
            <w:tcW w:w="1320" w:type="dxa"/>
            <w:vAlign w:val="bottom"/>
            <w:tcBorders>
              <w:top w:val="single" w:sz="8" w:color="CCEEFF"/>
            </w:tcBorders>
            <w:shd w:val="clear" w:color="auto" w:fill="CCEEFF"/>
          </w:tcPr>
          <w:p>
            <w:pPr>
              <w:spacing w:after="0"/>
              <w:rPr>
                <w:sz w:val="10"/>
                <w:szCs w:val="10"/>
                <w:color w:val="auto"/>
              </w:rPr>
            </w:pPr>
          </w:p>
        </w:tc>
        <w:tc>
          <w:tcPr>
            <w:tcW w:w="9880" w:type="dxa"/>
            <w:vAlign w:val="bottom"/>
            <w:tcBorders>
              <w:top w:val="single" w:sz="8" w:color="0000FF"/>
            </w:tcBorders>
            <w:gridSpan w:val="46"/>
            <w:shd w:val="clear" w:color="auto" w:fill="CCEEFF"/>
          </w:tcPr>
          <w:p>
            <w:pPr>
              <w:spacing w:after="0" w:line="122" w:lineRule="exact"/>
              <w:rPr>
                <w:rFonts w:ascii="Arial" w:cs="Arial" w:eastAsia="Arial" w:hAnsi="Arial"/>
                <w:sz w:val="14"/>
                <w:szCs w:val="14"/>
                <w:color w:val="0000FF"/>
              </w:rPr>
            </w:pPr>
            <w:hyperlink r:id="rId211">
              <w:r>
                <w:rPr>
                  <w:rFonts w:ascii="Arial" w:cs="Arial" w:eastAsia="Arial" w:hAnsi="Arial"/>
                  <w:sz w:val="14"/>
                  <w:szCs w:val="14"/>
                  <w:color w:val="0000FF"/>
                </w:rPr>
                <w:t>borrowers; JPMorgan Chase Bank, N.A., as agent; SG Americas Securities, LLC as syndication agent; and the other lenders party thereto (incorporated</w:t>
              </w:r>
            </w:hyperlink>
          </w:p>
        </w:tc>
        <w:tc>
          <w:tcPr>
            <w:tcW w:w="340" w:type="dxa"/>
            <w:vAlign w:val="bottom"/>
            <w:tcBorders>
              <w:top w:val="single" w:sz="8" w:color="CCEEFF"/>
            </w:tcBorders>
            <w:gridSpan w:val="17"/>
            <w:shd w:val="clear" w:color="auto" w:fill="CCEEFF"/>
          </w:tcPr>
          <w:p>
            <w:pPr>
              <w:spacing w:after="0" w:line="122" w:lineRule="exact"/>
              <w:rPr>
                <w:rFonts w:ascii="Arial" w:cs="Arial" w:eastAsia="Arial" w:hAnsi="Arial"/>
                <w:sz w:val="14"/>
                <w:szCs w:val="14"/>
                <w:color w:val="0000FF"/>
              </w:rPr>
            </w:pPr>
            <w:hyperlink r:id="rId211">
              <w:r>
                <w:rPr>
                  <w:rFonts w:ascii="Arial" w:cs="Arial" w:eastAsia="Arial" w:hAnsi="Arial"/>
                  <w:sz w:val="14"/>
                  <w:szCs w:val="14"/>
                  <w:color w:val="0000FF"/>
                </w:rPr>
                <w:t>by</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10140" w:type="dxa"/>
            <w:vAlign w:val="bottom"/>
            <w:tcBorders>
              <w:top w:val="single" w:sz="8" w:color="0000FF"/>
            </w:tcBorders>
            <w:gridSpan w:val="59"/>
            <w:shd w:val="clear" w:color="auto" w:fill="CCEEFF"/>
          </w:tcPr>
          <w:p>
            <w:pPr>
              <w:spacing w:after="0" w:line="115" w:lineRule="exact"/>
              <w:rPr>
                <w:rFonts w:ascii="Arial" w:cs="Arial" w:eastAsia="Arial" w:hAnsi="Arial"/>
                <w:sz w:val="13"/>
                <w:szCs w:val="13"/>
                <w:color w:val="0000FF"/>
              </w:rPr>
            </w:pPr>
            <w:hyperlink r:id="rId211">
              <w:r>
                <w:rPr>
                  <w:rFonts w:ascii="Arial" w:cs="Arial" w:eastAsia="Arial" w:hAnsi="Arial"/>
                  <w:sz w:val="13"/>
                  <w:szCs w:val="13"/>
                  <w:color w:val="0000FF"/>
                </w:rPr>
                <w:t>reference from Exhibit 10.1 to the Current Report on Form 8-K filed on January 17, 2017) (File No. 001-37983)</w:t>
              </w:r>
            </w:hyperlink>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6460" w:type="dxa"/>
            <w:vAlign w:val="bottom"/>
            <w:tcBorders>
              <w:right w:val="single" w:sz="8" w:color="0000FF"/>
            </w:tcBorders>
            <w:gridSpan w:val="12"/>
            <w:shd w:val="clear" w:color="auto" w:fill="CCEEFF"/>
          </w:tcPr>
          <w:p>
            <w:pPr>
              <w:spacing w:after="0"/>
              <w:rPr>
                <w:sz w:val="2"/>
                <w:szCs w:val="2"/>
                <w:color w:val="auto"/>
              </w:rPr>
            </w:pPr>
          </w:p>
        </w:tc>
        <w:tc>
          <w:tcPr>
            <w:tcW w:w="2040" w:type="dxa"/>
            <w:vAlign w:val="bottom"/>
            <w:tcBorders>
              <w:left w:val="single" w:sz="8" w:color="0000FF"/>
              <w:right w:val="single" w:sz="8" w:color="CCEEFF"/>
            </w:tcBorders>
            <w:gridSpan w:val="9"/>
            <w:shd w:val="clear" w:color="auto" w:fill="0000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2640" w:type="dxa"/>
            <w:vAlign w:val="bottom"/>
            <w:gridSpan w:val="42"/>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10.27</w:t>
            </w:r>
          </w:p>
        </w:tc>
        <w:tc>
          <w:tcPr>
            <w:tcW w:w="10220" w:type="dxa"/>
            <w:vAlign w:val="bottom"/>
            <w:gridSpan w:val="63"/>
          </w:tcPr>
          <w:p>
            <w:pPr>
              <w:spacing w:after="0"/>
              <w:rPr>
                <w:rFonts w:ascii="Arial" w:cs="Arial" w:eastAsia="Arial" w:hAnsi="Arial"/>
                <w:sz w:val="14"/>
                <w:szCs w:val="14"/>
                <w:color w:val="0000FF"/>
              </w:rPr>
            </w:pPr>
            <w:hyperlink r:id="rId212">
              <w:r>
                <w:rPr>
                  <w:rFonts w:ascii="Arial" w:cs="Arial" w:eastAsia="Arial" w:hAnsi="Arial"/>
                  <w:sz w:val="14"/>
                  <w:szCs w:val="14"/>
                  <w:color w:val="0000FF"/>
                </w:rPr>
                <w:t>Form of Commercial Paper Dealer Agreement, by and among FMC Technologies, Inc., as Issuer, TechnipFMC plc, as Guarantor, and the Dealer party</w:t>
              </w:r>
            </w:hyperlink>
          </w:p>
        </w:tc>
      </w:tr>
      <w:tr>
        <w:trPr>
          <w:trHeight w:val="142"/>
        </w:trPr>
        <w:tc>
          <w:tcPr>
            <w:tcW w:w="1320" w:type="dxa"/>
            <w:vAlign w:val="bottom"/>
          </w:tcPr>
          <w:p>
            <w:pPr>
              <w:spacing w:after="0"/>
              <w:rPr>
                <w:sz w:val="12"/>
                <w:szCs w:val="12"/>
                <w:color w:val="auto"/>
              </w:rPr>
            </w:pPr>
          </w:p>
        </w:tc>
        <w:tc>
          <w:tcPr>
            <w:tcW w:w="9560" w:type="dxa"/>
            <w:vAlign w:val="bottom"/>
            <w:tcBorders>
              <w:top w:val="single" w:sz="8" w:color="0000FF"/>
            </w:tcBorders>
            <w:gridSpan w:val="30"/>
          </w:tcPr>
          <w:p>
            <w:pPr>
              <w:spacing w:after="0" w:line="142" w:lineRule="exact"/>
              <w:rPr>
                <w:rFonts w:ascii="Arial" w:cs="Arial" w:eastAsia="Arial" w:hAnsi="Arial"/>
                <w:sz w:val="14"/>
                <w:szCs w:val="14"/>
                <w:u w:val="single" w:color="auto"/>
                <w:color w:val="0000FF"/>
              </w:rPr>
            </w:pPr>
            <w:hyperlink r:id="rId212">
              <w:r>
                <w:rPr>
                  <w:rFonts w:ascii="Arial" w:cs="Arial" w:eastAsia="Arial" w:hAnsi="Arial"/>
                  <w:sz w:val="14"/>
                  <w:szCs w:val="14"/>
                  <w:u w:val="single" w:color="auto"/>
                  <w:color w:val="0000FF"/>
                </w:rPr>
                <w:t>thereto (incorporated by reference from Exhibit 10.1 to the Current Report on Form 8-K filed on September 20, 2017) (File No. 001-37983)</w:t>
              </w:r>
            </w:hyperlink>
          </w:p>
        </w:tc>
        <w:tc>
          <w:tcPr>
            <w:tcW w:w="520" w:type="dxa"/>
            <w:vAlign w:val="bottom"/>
            <w:gridSpan w:val="26"/>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10.28</w:t>
            </w:r>
          </w:p>
        </w:tc>
        <w:tc>
          <w:tcPr>
            <w:tcW w:w="10220" w:type="dxa"/>
            <w:vAlign w:val="bottom"/>
            <w:gridSpan w:val="63"/>
            <w:shd w:val="clear" w:color="auto" w:fill="CCEEFF"/>
          </w:tcPr>
          <w:p>
            <w:pPr>
              <w:spacing w:after="0"/>
              <w:rPr>
                <w:rFonts w:ascii="Arial" w:cs="Arial" w:eastAsia="Arial" w:hAnsi="Arial"/>
                <w:sz w:val="14"/>
                <w:szCs w:val="14"/>
                <w:color w:val="0000FF"/>
              </w:rPr>
            </w:pPr>
            <w:hyperlink r:id="rId213">
              <w:r>
                <w:rPr>
                  <w:rFonts w:ascii="Arial" w:cs="Arial" w:eastAsia="Arial" w:hAnsi="Arial"/>
                  <w:sz w:val="14"/>
                  <w:szCs w:val="14"/>
                  <w:color w:val="0000FF"/>
                </w:rPr>
                <w:t>Separation and Distribution Agreement, dated as of January 7, 2021, by and between the Company and Technip Energies B.V. (incorporated by reference</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6380" w:type="dxa"/>
            <w:vAlign w:val="bottom"/>
            <w:tcBorders>
              <w:top w:val="single" w:sz="8" w:color="0000FF"/>
              <w:bottom w:val="single" w:sz="8" w:color="0000FF"/>
            </w:tcBorders>
            <w:gridSpan w:val="16"/>
            <w:shd w:val="clear" w:color="auto" w:fill="CCEEFF"/>
          </w:tcPr>
          <w:p>
            <w:pPr>
              <w:spacing w:after="0" w:line="115" w:lineRule="exact"/>
              <w:rPr>
                <w:rFonts w:ascii="Arial" w:cs="Arial" w:eastAsia="Arial" w:hAnsi="Arial"/>
                <w:sz w:val="13"/>
                <w:szCs w:val="13"/>
                <w:color w:val="0000FF"/>
              </w:rPr>
            </w:pPr>
            <w:hyperlink r:id="rId213">
              <w:r>
                <w:rPr>
                  <w:rFonts w:ascii="Arial" w:cs="Arial" w:eastAsia="Arial" w:hAnsi="Arial"/>
                  <w:sz w:val="13"/>
                  <w:szCs w:val="13"/>
                  <w:color w:val="0000FF"/>
                </w:rPr>
                <w:t>from Exhibit 10.1 to the Current Report on Form 8-K filed on January 12, 2021) (File No. 001-37983)</w:t>
              </w:r>
            </w:hyperlink>
          </w:p>
        </w:tc>
        <w:tc>
          <w:tcPr>
            <w:tcW w:w="3700" w:type="dxa"/>
            <w:vAlign w:val="bottom"/>
            <w:tcBorders>
              <w:top w:val="single" w:sz="8" w:color="0000FF"/>
              <w:bottom w:val="single" w:sz="8" w:color="CCEEFF"/>
            </w:tcBorders>
            <w:gridSpan w:val="40"/>
            <w:shd w:val="clear" w:color="auto" w:fill="CCEEFF"/>
          </w:tcPr>
          <w:p>
            <w:pPr>
              <w:spacing w:after="0"/>
              <w:rPr>
                <w:sz w:val="10"/>
                <w:szCs w:val="10"/>
                <w:color w:val="auto"/>
              </w:rPr>
            </w:pPr>
          </w:p>
        </w:tc>
        <w:tc>
          <w:tcPr>
            <w:tcW w:w="140" w:type="dxa"/>
            <w:vAlign w:val="bottom"/>
            <w:tcBorders>
              <w:top w:val="single" w:sz="8" w:color="CCEEFF"/>
              <w:bottom w:val="single" w:sz="8" w:color="CCEEFF"/>
            </w:tcBorders>
            <w:gridSpan w:val="7"/>
            <w:shd w:val="clear" w:color="auto" w:fill="CCEEFF"/>
          </w:tcPr>
          <w:p>
            <w:pPr>
              <w:spacing w:after="0"/>
              <w:rPr>
                <w:sz w:val="10"/>
                <w:szCs w:val="10"/>
                <w:color w:val="auto"/>
              </w:rPr>
            </w:pPr>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10.29</w:t>
            </w:r>
          </w:p>
        </w:tc>
        <w:tc>
          <w:tcPr>
            <w:tcW w:w="10220" w:type="dxa"/>
            <w:vAlign w:val="bottom"/>
            <w:gridSpan w:val="63"/>
          </w:tcPr>
          <w:p>
            <w:pPr>
              <w:spacing w:after="0" w:line="153" w:lineRule="exact"/>
              <w:rPr>
                <w:rFonts w:ascii="Arial" w:cs="Arial" w:eastAsia="Arial" w:hAnsi="Arial"/>
                <w:sz w:val="14"/>
                <w:szCs w:val="14"/>
                <w:u w:val="single" w:color="auto"/>
                <w:color w:val="0000FF"/>
              </w:rPr>
            </w:pPr>
            <w:hyperlink r:id="rId214">
              <w:r>
                <w:rPr>
                  <w:rFonts w:ascii="Arial" w:cs="Arial" w:eastAsia="Arial" w:hAnsi="Arial"/>
                  <w:sz w:val="14"/>
                  <w:szCs w:val="14"/>
                  <w:u w:val="single" w:color="auto"/>
                  <w:color w:val="0000FF"/>
                </w:rPr>
                <w:t>Share Purchase Agreement, dated as of January 7, 2021, by and between the Company and Bpifrance Participations SA (incorporated by reference from</w:t>
              </w:r>
            </w:hyperlink>
          </w:p>
        </w:tc>
      </w:tr>
      <w:tr>
        <w:trPr>
          <w:trHeight w:val="172"/>
        </w:trPr>
        <w:tc>
          <w:tcPr>
            <w:tcW w:w="1320" w:type="dxa"/>
            <w:vAlign w:val="bottom"/>
          </w:tcPr>
          <w:p>
            <w:pPr>
              <w:spacing w:after="0"/>
              <w:rPr>
                <w:sz w:val="14"/>
                <w:szCs w:val="14"/>
                <w:color w:val="auto"/>
              </w:rPr>
            </w:pPr>
          </w:p>
        </w:tc>
        <w:tc>
          <w:tcPr>
            <w:tcW w:w="10220" w:type="dxa"/>
            <w:vAlign w:val="bottom"/>
            <w:gridSpan w:val="63"/>
          </w:tcPr>
          <w:p>
            <w:pPr>
              <w:spacing w:after="0"/>
              <w:rPr>
                <w:sz w:val="20"/>
                <w:szCs w:val="20"/>
                <w:color w:val="auto"/>
              </w:rPr>
            </w:pPr>
            <w:r>
              <w:rPr>
                <w:rFonts w:ascii="Arial" w:cs="Arial" w:eastAsia="Arial" w:hAnsi="Arial"/>
                <w:sz w:val="14"/>
                <w:szCs w:val="14"/>
                <w:u w:val="single" w:color="auto"/>
                <w:color w:val="0000FF"/>
              </w:rPr>
              <w:t>Exhibit 10 2 to the Current Report on Form 8 K filed on January 12 2021) (File No 001 37983)</w:t>
            </w:r>
          </w:p>
        </w:tc>
      </w:tr>
    </w:tbl>
    <w:p>
      <w:pPr>
        <w:sectPr>
          <w:pgSz w:w="11900" w:h="17014" w:orient="portrait"/>
          <w:cols w:equalWidth="0" w:num="1">
            <w:col w:w="11240"/>
          </w:cols>
          <w:pgMar w:left="320" w:top="1048" w:right="339" w:bottom="0" w:gutter="0" w:footer="0" w:header="0"/>
          <w:type w:val="continuous"/>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00" w:type="dxa"/>
            <w:vAlign w:val="bottom"/>
            <w:gridSpan w:val="24"/>
          </w:tcPr>
          <w:p>
            <w:pPr>
              <w:spacing w:after="0"/>
              <w:rPr>
                <w:sz w:val="20"/>
                <w:szCs w:val="20"/>
                <w:color w:val="auto"/>
              </w:rPr>
            </w:pPr>
            <w:r>
              <w:rPr>
                <w:rFonts w:ascii="Arial" w:cs="Arial" w:eastAsia="Arial" w:hAnsi="Arial"/>
                <w:sz w:val="14"/>
                <w:szCs w:val="14"/>
                <w:color w:val="0000FF"/>
              </w:rPr>
              <w:t>Exhibit 10.2 to the Current Report on Form 8-K filed on January 12, 2021) (File No. 001-37983)</w:t>
            </w:r>
          </w:p>
        </w:tc>
      </w:tr>
      <w:tr>
        <w:trPr>
          <w:trHeight w:val="27"/>
        </w:trPr>
        <w:tc>
          <w:tcPr>
            <w:tcW w:w="132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10.30</w:t>
            </w:r>
          </w:p>
        </w:tc>
        <w:tc>
          <w:tcPr>
            <w:tcW w:w="10000" w:type="dxa"/>
            <w:vAlign w:val="bottom"/>
            <w:gridSpan w:val="24"/>
            <w:shd w:val="clear" w:color="auto" w:fill="CCEEFF"/>
          </w:tcPr>
          <w:p>
            <w:pPr>
              <w:spacing w:after="0"/>
              <w:rPr>
                <w:rFonts w:ascii="Arial" w:cs="Arial" w:eastAsia="Arial" w:hAnsi="Arial"/>
                <w:sz w:val="14"/>
                <w:szCs w:val="14"/>
                <w:color w:val="0000FF"/>
              </w:rPr>
            </w:pPr>
            <w:hyperlink r:id="rId215">
              <w:r>
                <w:rPr>
                  <w:rFonts w:ascii="Arial" w:cs="Arial" w:eastAsia="Arial" w:hAnsi="Arial"/>
                  <w:sz w:val="14"/>
                  <w:szCs w:val="14"/>
                  <w:color w:val="0000FF"/>
                </w:rPr>
                <w:t>Relationship Agreement, dated as of January 7, 2021, by and among the Company, Technip Energies B.V. and Bpifrance Participations SA (incorporated by</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980" w:type="dxa"/>
            <w:vAlign w:val="bottom"/>
            <w:tcBorders>
              <w:top w:val="single" w:sz="8" w:color="0000FF"/>
            </w:tcBorders>
            <w:gridSpan w:val="23"/>
            <w:shd w:val="clear" w:color="auto" w:fill="CCEEFF"/>
          </w:tcPr>
          <w:p>
            <w:pPr>
              <w:spacing w:after="0" w:line="115" w:lineRule="exact"/>
              <w:rPr>
                <w:rFonts w:ascii="Arial" w:cs="Arial" w:eastAsia="Arial" w:hAnsi="Arial"/>
                <w:sz w:val="13"/>
                <w:szCs w:val="13"/>
                <w:color w:val="0000FF"/>
              </w:rPr>
            </w:pPr>
            <w:hyperlink r:id="rId215">
              <w:r>
                <w:rPr>
                  <w:rFonts w:ascii="Arial" w:cs="Arial" w:eastAsia="Arial" w:hAnsi="Arial"/>
                  <w:sz w:val="13"/>
                  <w:szCs w:val="13"/>
                  <w:color w:val="0000FF"/>
                </w:rPr>
                <w:t>reference from Exhibit 10.3 to the Current Report on Form 8-K filed on January 12, 2021) (File No. 001-37983)</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1320" w:type="dxa"/>
            <w:vAlign w:val="bottom"/>
            <w:shd w:val="clear" w:color="auto" w:fill="CCEE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10.31</w:t>
            </w:r>
          </w:p>
        </w:tc>
        <w:tc>
          <w:tcPr>
            <w:tcW w:w="10000" w:type="dxa"/>
            <w:vAlign w:val="bottom"/>
            <w:gridSpan w:val="24"/>
          </w:tcPr>
          <w:p>
            <w:pPr>
              <w:spacing w:after="0"/>
              <w:rPr>
                <w:rFonts w:ascii="Arial" w:cs="Arial" w:eastAsia="Arial" w:hAnsi="Arial"/>
                <w:sz w:val="14"/>
                <w:szCs w:val="14"/>
                <w:color w:val="0000FF"/>
              </w:rPr>
            </w:pPr>
            <w:hyperlink r:id="rId216">
              <w:r>
                <w:rPr>
                  <w:rFonts w:ascii="Arial" w:cs="Arial" w:eastAsia="Arial" w:hAnsi="Arial"/>
                  <w:sz w:val="14"/>
                  <w:szCs w:val="14"/>
                  <w:color w:val="0000FF"/>
                </w:rPr>
                <w:t>Commitment Letter, dated as of January 7, 2021, by and among the Company and the financial institutions party thereto (incorporated by reference from</w:t>
              </w:r>
            </w:hyperlink>
          </w:p>
        </w:tc>
      </w:tr>
      <w:tr>
        <w:trPr>
          <w:trHeight w:val="115"/>
        </w:trPr>
        <w:tc>
          <w:tcPr>
            <w:tcW w:w="1320" w:type="dxa"/>
            <w:vAlign w:val="bottom"/>
          </w:tcPr>
          <w:p>
            <w:pPr>
              <w:spacing w:after="0"/>
              <w:rPr>
                <w:sz w:val="10"/>
                <w:szCs w:val="10"/>
                <w:color w:val="auto"/>
              </w:rPr>
            </w:pPr>
          </w:p>
        </w:tc>
        <w:tc>
          <w:tcPr>
            <w:tcW w:w="9700" w:type="dxa"/>
            <w:vAlign w:val="bottom"/>
            <w:tcBorders>
              <w:top w:val="single" w:sz="8" w:color="0000FF"/>
            </w:tcBorders>
            <w:gridSpan w:val="12"/>
          </w:tcPr>
          <w:p>
            <w:pPr>
              <w:spacing w:after="0" w:line="115" w:lineRule="exact"/>
              <w:rPr>
                <w:rFonts w:ascii="Arial" w:cs="Arial" w:eastAsia="Arial" w:hAnsi="Arial"/>
                <w:sz w:val="13"/>
                <w:szCs w:val="13"/>
                <w:color w:val="0000FF"/>
              </w:rPr>
            </w:pPr>
            <w:hyperlink r:id="rId216">
              <w:r>
                <w:rPr>
                  <w:rFonts w:ascii="Arial" w:cs="Arial" w:eastAsia="Arial" w:hAnsi="Arial"/>
                  <w:sz w:val="13"/>
                  <w:szCs w:val="13"/>
                  <w:color w:val="0000FF"/>
                </w:rPr>
                <w:t>Exhibit 10.4 to the Current Report on Form 8-K filed on January 12, 2021) (File No. 001-37983)</w:t>
              </w:r>
            </w:hyperlink>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7"/>
        </w:trPr>
        <w:tc>
          <w:tcPr>
            <w:tcW w:w="132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10.32</w:t>
            </w:r>
          </w:p>
        </w:tc>
        <w:tc>
          <w:tcPr>
            <w:tcW w:w="10000" w:type="dxa"/>
            <w:vAlign w:val="bottom"/>
            <w:gridSpan w:val="24"/>
            <w:shd w:val="clear" w:color="auto" w:fill="CCEEFF"/>
          </w:tcPr>
          <w:p>
            <w:pPr>
              <w:spacing w:after="0"/>
              <w:rPr>
                <w:rFonts w:ascii="Arial" w:cs="Arial" w:eastAsia="Arial" w:hAnsi="Arial"/>
                <w:sz w:val="14"/>
                <w:szCs w:val="14"/>
                <w:color w:val="0000FF"/>
              </w:rPr>
            </w:pPr>
            <w:hyperlink r:id="rId217">
              <w:r>
                <w:rPr>
                  <w:rFonts w:ascii="Arial" w:cs="Arial" w:eastAsia="Arial" w:hAnsi="Arial"/>
                  <w:sz w:val="14"/>
                  <w:szCs w:val="14"/>
                  <w:color w:val="0000FF"/>
                </w:rPr>
                <w:t>Dealer Agreement, dated as of May 19, 2020 between TechnipFMC plc, as Issuer; FMC Technologies, Inc., as Guarantor; and Bank of America Merrill</w:t>
              </w:r>
            </w:hyperlink>
          </w:p>
        </w:tc>
      </w:tr>
      <w:tr>
        <w:trPr>
          <w:trHeight w:val="20"/>
        </w:trPr>
        <w:tc>
          <w:tcPr>
            <w:tcW w:w="1320" w:type="dxa"/>
            <w:vAlign w:val="bottom"/>
            <w:shd w:val="clear" w:color="auto" w:fill="CCEE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15"/>
        </w:trPr>
        <w:tc>
          <w:tcPr>
            <w:tcW w:w="1320" w:type="dxa"/>
            <w:vAlign w:val="bottom"/>
            <w:shd w:val="clear" w:color="auto" w:fill="CCEEFF"/>
          </w:tcPr>
          <w:p>
            <w:pPr>
              <w:spacing w:after="0"/>
              <w:rPr>
                <w:sz w:val="10"/>
                <w:szCs w:val="10"/>
                <w:color w:val="auto"/>
              </w:rPr>
            </w:pPr>
          </w:p>
        </w:tc>
        <w:tc>
          <w:tcPr>
            <w:tcW w:w="10000" w:type="dxa"/>
            <w:vAlign w:val="bottom"/>
            <w:gridSpan w:val="24"/>
            <w:shd w:val="clear" w:color="auto" w:fill="CCEEFF"/>
          </w:tcPr>
          <w:p>
            <w:pPr>
              <w:spacing w:after="0" w:line="115" w:lineRule="exact"/>
              <w:rPr>
                <w:rFonts w:ascii="Arial" w:cs="Arial" w:eastAsia="Arial" w:hAnsi="Arial"/>
                <w:sz w:val="13"/>
                <w:szCs w:val="13"/>
                <w:color w:val="0000FF"/>
              </w:rPr>
            </w:pPr>
            <w:hyperlink r:id="rId217">
              <w:r>
                <w:rPr>
                  <w:rFonts w:ascii="Arial" w:cs="Arial" w:eastAsia="Arial" w:hAnsi="Arial"/>
                  <w:sz w:val="13"/>
                  <w:szCs w:val="13"/>
                  <w:color w:val="0000FF"/>
                </w:rPr>
                <w:t>Lynch International DAC, as Arranger and Dealer (incorporated by reference from Exhibit 10.1 to the Current Report on Form 8-K filed on May 21, 2020)</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680" w:type="dxa"/>
            <w:vAlign w:val="bottom"/>
            <w:tcBorders>
              <w:top w:val="single" w:sz="8" w:color="0000FF"/>
              <w:right w:val="single" w:sz="8" w:color="CCEEFF"/>
            </w:tcBorders>
            <w:gridSpan w:val="11"/>
            <w:shd w:val="clear" w:color="auto" w:fill="CCEEFF"/>
          </w:tcPr>
          <w:p>
            <w:pPr>
              <w:spacing w:after="0" w:line="115" w:lineRule="exact"/>
              <w:rPr>
                <w:rFonts w:ascii="Arial" w:cs="Arial" w:eastAsia="Arial" w:hAnsi="Arial"/>
                <w:sz w:val="13"/>
                <w:szCs w:val="13"/>
                <w:color w:val="0000FF"/>
              </w:rPr>
            </w:pPr>
            <w:hyperlink r:id="rId217">
              <w:r>
                <w:rPr>
                  <w:rFonts w:ascii="Arial" w:cs="Arial" w:eastAsia="Arial" w:hAnsi="Arial"/>
                  <w:sz w:val="13"/>
                  <w:szCs w:val="13"/>
                  <w:color w:val="0000FF"/>
                </w:rPr>
                <w:t>(File No. 001-37983)</w:t>
              </w:r>
            </w:hyperlink>
          </w:p>
        </w:tc>
        <w:tc>
          <w:tcPr>
            <w:tcW w:w="8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27"/>
        </w:trPr>
        <w:tc>
          <w:tcPr>
            <w:tcW w:w="1320" w:type="dxa"/>
            <w:vAlign w:val="bottom"/>
            <w:shd w:val="clear" w:color="auto" w:fill="CCEE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10.33</w:t>
            </w:r>
          </w:p>
        </w:tc>
        <w:tc>
          <w:tcPr>
            <w:tcW w:w="10000" w:type="dxa"/>
            <w:vAlign w:val="bottom"/>
            <w:gridSpan w:val="24"/>
          </w:tcPr>
          <w:p>
            <w:pPr>
              <w:spacing w:after="0"/>
              <w:rPr>
                <w:rFonts w:ascii="Arial" w:cs="Arial" w:eastAsia="Arial" w:hAnsi="Arial"/>
                <w:sz w:val="14"/>
                <w:szCs w:val="14"/>
                <w:color w:val="0000FF"/>
              </w:rPr>
            </w:pPr>
            <w:hyperlink r:id="rId218">
              <w:r>
                <w:rPr>
                  <w:rFonts w:ascii="Arial" w:cs="Arial" w:eastAsia="Arial" w:hAnsi="Arial"/>
                  <w:sz w:val="14"/>
                  <w:szCs w:val="14"/>
                  <w:color w:val="0000FF"/>
                </w:rPr>
                <w:t>Issuing and Paying Agency Agreement, dated as of May 19, 2020 between TechnipFMC plc, as Issuer; FMC Technologies, Inc., as Guarantor; and Bank of</w:t>
              </w:r>
            </w:hyperlink>
          </w:p>
        </w:tc>
      </w:tr>
      <w:tr>
        <w:trPr>
          <w:trHeight w:val="115"/>
        </w:trPr>
        <w:tc>
          <w:tcPr>
            <w:tcW w:w="1320" w:type="dxa"/>
            <w:vAlign w:val="bottom"/>
          </w:tcPr>
          <w:p>
            <w:pPr>
              <w:spacing w:after="0"/>
              <w:rPr>
                <w:sz w:val="10"/>
                <w:szCs w:val="10"/>
                <w:color w:val="auto"/>
              </w:rPr>
            </w:pPr>
          </w:p>
        </w:tc>
        <w:tc>
          <w:tcPr>
            <w:tcW w:w="9900" w:type="dxa"/>
            <w:vAlign w:val="bottom"/>
            <w:tcBorders>
              <w:top w:val="single" w:sz="8" w:color="0000FF"/>
            </w:tcBorders>
            <w:gridSpan w:val="19"/>
          </w:tcPr>
          <w:p>
            <w:pPr>
              <w:spacing w:after="0" w:line="115" w:lineRule="exact"/>
              <w:rPr>
                <w:rFonts w:ascii="Arial" w:cs="Arial" w:eastAsia="Arial" w:hAnsi="Arial"/>
                <w:sz w:val="13"/>
                <w:szCs w:val="13"/>
                <w:color w:val="0000FF"/>
              </w:rPr>
            </w:pPr>
            <w:hyperlink r:id="rId218">
              <w:r>
                <w:rPr>
                  <w:rFonts w:ascii="Arial" w:cs="Arial" w:eastAsia="Arial" w:hAnsi="Arial"/>
                  <w:sz w:val="13"/>
                  <w:szCs w:val="13"/>
                  <w:color w:val="0000FF"/>
                </w:rPr>
                <w:t>America, National Association, London Branch, as Issue and Paying Agent and Calculation Agent (incorporated by reference from Exhibit 10.2 to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2"/>
        </w:trPr>
        <w:tc>
          <w:tcPr>
            <w:tcW w:w="1320" w:type="dxa"/>
            <w:vAlign w:val="bottom"/>
          </w:tcPr>
          <w:p>
            <w:pPr>
              <w:spacing w:after="0"/>
              <w:rPr>
                <w:sz w:val="10"/>
                <w:szCs w:val="10"/>
                <w:color w:val="auto"/>
              </w:rPr>
            </w:pPr>
          </w:p>
        </w:tc>
        <w:tc>
          <w:tcPr>
            <w:tcW w:w="462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218">
              <w:r>
                <w:rPr>
                  <w:rFonts w:ascii="Arial" w:cs="Arial" w:eastAsia="Arial" w:hAnsi="Arial"/>
                  <w:sz w:val="13"/>
                  <w:szCs w:val="13"/>
                  <w:color w:val="0000FF"/>
                </w:rPr>
                <w:t>Current Report on Form 8-K filed on May 21, 2020) (File No. 001-37983)</w:t>
              </w:r>
            </w:hyperlink>
          </w:p>
        </w:tc>
        <w:tc>
          <w:tcPr>
            <w:tcW w:w="4840" w:type="dxa"/>
            <w:vAlign w:val="bottom"/>
            <w:tcBorders>
              <w:top w:val="single" w:sz="8" w:color="0000FF"/>
            </w:tcBorders>
            <w:gridSpan w:val="7"/>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10.34</w:t>
            </w:r>
          </w:p>
        </w:tc>
        <w:tc>
          <w:tcPr>
            <w:tcW w:w="10000" w:type="dxa"/>
            <w:vAlign w:val="bottom"/>
            <w:gridSpan w:val="24"/>
            <w:shd w:val="clear" w:color="auto" w:fill="CCEEFF"/>
          </w:tcPr>
          <w:p>
            <w:pPr>
              <w:spacing w:after="0"/>
              <w:rPr>
                <w:rFonts w:ascii="Arial" w:cs="Arial" w:eastAsia="Arial" w:hAnsi="Arial"/>
                <w:sz w:val="14"/>
                <w:szCs w:val="14"/>
                <w:color w:val="0000FF"/>
              </w:rPr>
            </w:pPr>
            <w:hyperlink r:id="rId219">
              <w:r>
                <w:rPr>
                  <w:rFonts w:ascii="Arial" w:cs="Arial" w:eastAsia="Arial" w:hAnsi="Arial"/>
                  <w:sz w:val="14"/>
                  <w:szCs w:val="14"/>
                  <w:u w:val="single" w:color="auto"/>
                  <w:color w:val="0000FF"/>
                </w:rPr>
                <w:t>€</w:t>
              </w:r>
              <w:r>
                <w:rPr>
                  <w:rFonts w:ascii="Arial" w:cs="Arial" w:eastAsia="Arial" w:hAnsi="Arial"/>
                  <w:sz w:val="14"/>
                  <w:szCs w:val="14"/>
                  <w:color w:val="0000FF"/>
                </w:rPr>
                <w:t>500,000,000 Facility Agreement dated as of May 19, 2020 between TechnipFMC plc and Technip Eurocash SNC, as borrowers; HSBC France, as Agent;</w:t>
              </w:r>
            </w:hyperlink>
          </w:p>
        </w:tc>
      </w:tr>
      <w:tr>
        <w:trPr>
          <w:trHeight w:val="142"/>
        </w:trPr>
        <w:tc>
          <w:tcPr>
            <w:tcW w:w="13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16"/>
            <w:shd w:val="clear" w:color="auto" w:fill="CCEEFF"/>
          </w:tcPr>
          <w:p>
            <w:pPr>
              <w:spacing w:after="0" w:line="142" w:lineRule="exact"/>
              <w:rPr>
                <w:rFonts w:ascii="Arial" w:cs="Arial" w:eastAsia="Arial" w:hAnsi="Arial"/>
                <w:sz w:val="14"/>
                <w:szCs w:val="14"/>
                <w:u w:val="single" w:color="auto"/>
                <w:color w:val="0000FF"/>
              </w:rPr>
            </w:pPr>
            <w:hyperlink r:id="rId219">
              <w:r>
                <w:rPr>
                  <w:rFonts w:ascii="Arial" w:cs="Arial" w:eastAsia="Arial" w:hAnsi="Arial"/>
                  <w:sz w:val="14"/>
                  <w:szCs w:val="14"/>
                  <w:u w:val="single" w:color="auto"/>
                  <w:color w:val="0000FF"/>
                </w:rPr>
                <w:t>and the lenders party thereto (incorporated by reference from Exhibit 10.3 to the Current Report on Form 8-K filed on May 21, 2020) (File No. 001-37983)</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10.35</w:t>
            </w:r>
          </w:p>
        </w:tc>
        <w:tc>
          <w:tcPr>
            <w:tcW w:w="9800" w:type="dxa"/>
            <w:vAlign w:val="bottom"/>
            <w:tcBorders>
              <w:bottom w:val="single" w:sz="8" w:color="0000FF"/>
            </w:tcBorders>
            <w:gridSpan w:val="14"/>
          </w:tcPr>
          <w:p>
            <w:pPr>
              <w:spacing w:after="0"/>
              <w:rPr>
                <w:rFonts w:ascii="Arial" w:cs="Arial" w:eastAsia="Arial" w:hAnsi="Arial"/>
                <w:sz w:val="14"/>
                <w:szCs w:val="14"/>
                <w:color w:val="0000FF"/>
              </w:rPr>
            </w:pPr>
            <w:hyperlink r:id="rId220">
              <w:r>
                <w:rPr>
                  <w:rFonts w:ascii="Arial" w:cs="Arial" w:eastAsia="Arial" w:hAnsi="Arial"/>
                  <w:sz w:val="14"/>
                  <w:szCs w:val="14"/>
                  <w:color w:val="0000FF"/>
                </w:rPr>
                <w:t xml:space="preserve">Amendment and Restatement Agreement to </w:t>
              </w:r>
              <w:r>
                <w:rPr>
                  <w:rFonts w:ascii="Arial" w:cs="Arial" w:eastAsia="Arial" w:hAnsi="Arial"/>
                  <w:sz w:val="14"/>
                  <w:szCs w:val="14"/>
                  <w:u w:val="single" w:color="auto"/>
                  <w:color w:val="0000FF"/>
                </w:rPr>
                <w:t>€</w:t>
              </w:r>
              <w:r>
                <w:rPr>
                  <w:rFonts w:ascii="Arial" w:cs="Arial" w:eastAsia="Arial" w:hAnsi="Arial"/>
                  <w:sz w:val="14"/>
                  <w:szCs w:val="14"/>
                  <w:color w:val="0000FF"/>
                </w:rPr>
                <w:t>500,000,000 Facility Agreement dated as of June 12, 2020 between TechnipFMC plc and Technip Eurocash</w:t>
              </w:r>
            </w:hyperlink>
          </w:p>
        </w:tc>
        <w:tc>
          <w:tcPr>
            <w:tcW w:w="200" w:type="dxa"/>
            <w:vAlign w:val="bottom"/>
            <w:gridSpan w:val="10"/>
          </w:tcPr>
          <w:p>
            <w:pPr>
              <w:spacing w:after="0"/>
              <w:rPr>
                <w:sz w:val="14"/>
                <w:szCs w:val="14"/>
                <w:color w:val="auto"/>
              </w:rPr>
            </w:pPr>
          </w:p>
        </w:tc>
      </w:tr>
      <w:tr>
        <w:trPr>
          <w:trHeight w:val="115"/>
        </w:trPr>
        <w:tc>
          <w:tcPr>
            <w:tcW w:w="1320" w:type="dxa"/>
            <w:vAlign w:val="bottom"/>
          </w:tcPr>
          <w:p>
            <w:pPr>
              <w:spacing w:after="0"/>
              <w:rPr>
                <w:sz w:val="10"/>
                <w:szCs w:val="10"/>
                <w:color w:val="auto"/>
              </w:rPr>
            </w:pPr>
          </w:p>
        </w:tc>
        <w:tc>
          <w:tcPr>
            <w:tcW w:w="10000" w:type="dxa"/>
            <w:vAlign w:val="bottom"/>
            <w:gridSpan w:val="24"/>
          </w:tcPr>
          <w:p>
            <w:pPr>
              <w:spacing w:after="0" w:line="115" w:lineRule="exact"/>
              <w:rPr>
                <w:rFonts w:ascii="Arial" w:cs="Arial" w:eastAsia="Arial" w:hAnsi="Arial"/>
                <w:sz w:val="13"/>
                <w:szCs w:val="13"/>
                <w:color w:val="0000FF"/>
              </w:rPr>
            </w:pPr>
            <w:hyperlink r:id="rId220">
              <w:r>
                <w:rPr>
                  <w:rFonts w:ascii="Arial" w:cs="Arial" w:eastAsia="Arial" w:hAnsi="Arial"/>
                  <w:sz w:val="13"/>
                  <w:szCs w:val="13"/>
                  <w:color w:val="0000FF"/>
                </w:rPr>
                <w:t>SNC, as borrowers; HSBC France, as Agent; and the lenders party thereto (incorporated by reference from Exhibit 10.2 to the Current Report on Form 8-K</w:t>
              </w:r>
            </w:hyperlink>
          </w:p>
        </w:tc>
      </w:tr>
      <w:tr>
        <w:trPr>
          <w:trHeight w:val="115"/>
        </w:trPr>
        <w:tc>
          <w:tcPr>
            <w:tcW w:w="1320" w:type="dxa"/>
            <w:vAlign w:val="bottom"/>
          </w:tcPr>
          <w:p>
            <w:pPr>
              <w:spacing w:after="0"/>
              <w:rPr>
                <w:sz w:val="10"/>
                <w:szCs w:val="10"/>
                <w:color w:val="auto"/>
              </w:rPr>
            </w:pPr>
          </w:p>
        </w:tc>
        <w:tc>
          <w:tcPr>
            <w:tcW w:w="988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r:id="rId220">
              <w:r>
                <w:rPr>
                  <w:rFonts w:ascii="Arial" w:cs="Arial" w:eastAsia="Arial" w:hAnsi="Arial"/>
                  <w:sz w:val="13"/>
                  <w:szCs w:val="13"/>
                  <w:color w:val="0000FF"/>
                </w:rPr>
                <w:t>filed on June 15, 2020) (File No. 001-37983)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7"/>
        </w:trPr>
        <w:tc>
          <w:tcPr>
            <w:tcW w:w="132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10.36</w:t>
            </w:r>
          </w:p>
        </w:tc>
        <w:tc>
          <w:tcPr>
            <w:tcW w:w="10000" w:type="dxa"/>
            <w:vAlign w:val="bottom"/>
            <w:gridSpan w:val="24"/>
            <w:shd w:val="clear" w:color="auto" w:fill="CCEEFF"/>
          </w:tcPr>
          <w:p>
            <w:pPr>
              <w:spacing w:after="0"/>
              <w:rPr>
                <w:rFonts w:ascii="Arial" w:cs="Arial" w:eastAsia="Arial" w:hAnsi="Arial"/>
                <w:sz w:val="14"/>
                <w:szCs w:val="14"/>
                <w:color w:val="0000FF"/>
              </w:rPr>
            </w:pPr>
            <w:hyperlink r:id="rId221">
              <w:r>
                <w:rPr>
                  <w:rFonts w:ascii="Arial" w:cs="Arial" w:eastAsia="Arial" w:hAnsi="Arial"/>
                  <w:sz w:val="14"/>
                  <w:szCs w:val="14"/>
                  <w:color w:val="0000FF"/>
                </w:rPr>
                <w:t xml:space="preserve">Amendment No. 1 to </w:t>
              </w:r>
              <w:r>
                <w:rPr>
                  <w:rFonts w:ascii="Arial" w:cs="Arial" w:eastAsia="Arial" w:hAnsi="Arial"/>
                  <w:sz w:val="14"/>
                  <w:szCs w:val="14"/>
                  <w:u w:val="single" w:color="auto"/>
                  <w:color w:val="0000FF"/>
                </w:rPr>
                <w:t>$</w:t>
              </w:r>
              <w:r>
                <w:rPr>
                  <w:rFonts w:ascii="Arial" w:cs="Arial" w:eastAsia="Arial" w:hAnsi="Arial"/>
                  <w:sz w:val="14"/>
                  <w:szCs w:val="14"/>
                  <w:color w:val="0000FF"/>
                </w:rPr>
                <w:t>2,500,000,000 Facility Agreement, dated as of June 12, 2020, by and among TechnipFMC plc, FMC Technologies, Inc. and Technip</w:t>
              </w:r>
            </w:hyperlink>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9820" w:type="dxa"/>
            <w:vAlign w:val="bottom"/>
            <w:tcBorders>
              <w:top w:val="single" w:sz="8" w:color="0000FF"/>
            </w:tcBorders>
            <w:gridSpan w:val="15"/>
            <w:shd w:val="clear" w:color="auto" w:fill="CCEEFF"/>
          </w:tcPr>
          <w:p>
            <w:pPr>
              <w:spacing w:after="0" w:line="115" w:lineRule="exact"/>
              <w:rPr>
                <w:rFonts w:ascii="Arial" w:cs="Arial" w:eastAsia="Arial" w:hAnsi="Arial"/>
                <w:sz w:val="13"/>
                <w:szCs w:val="13"/>
                <w:color w:val="0000FF"/>
              </w:rPr>
            </w:pPr>
            <w:hyperlink r:id="rId221">
              <w:r>
                <w:rPr>
                  <w:rFonts w:ascii="Arial" w:cs="Arial" w:eastAsia="Arial" w:hAnsi="Arial"/>
                  <w:sz w:val="13"/>
                  <w:szCs w:val="13"/>
                  <w:color w:val="0000FF"/>
                </w:rPr>
                <w:t>Eurocash SNC, as borrowers; JPMorgan Chase Bank, N.A., as agent and an arranger; SG Americas Securities LLC as an arranger; and the other lenders</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142"/>
        </w:trPr>
        <w:tc>
          <w:tcPr>
            <w:tcW w:w="132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14"/>
            <w:shd w:val="clear" w:color="auto" w:fill="CCEEFF"/>
          </w:tcPr>
          <w:p>
            <w:pPr>
              <w:spacing w:after="0" w:line="142" w:lineRule="exact"/>
              <w:rPr>
                <w:rFonts w:ascii="Arial" w:cs="Arial" w:eastAsia="Arial" w:hAnsi="Arial"/>
                <w:sz w:val="14"/>
                <w:szCs w:val="14"/>
                <w:u w:val="single" w:color="auto"/>
                <w:color w:val="0000FF"/>
              </w:rPr>
            </w:pPr>
            <w:hyperlink r:id="rId221">
              <w:r>
                <w:rPr>
                  <w:rFonts w:ascii="Arial" w:cs="Arial" w:eastAsia="Arial" w:hAnsi="Arial"/>
                  <w:sz w:val="14"/>
                  <w:szCs w:val="14"/>
                  <w:u w:val="single" w:color="auto"/>
                  <w:color w:val="0000FF"/>
                </w:rPr>
                <w:t>party thereto (incorporated by reference from Exhibit 10.1 to the Current Report on Form 8-K filed on June 15, 2020) (File No. 001-37983)</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10.37</w:t>
            </w:r>
          </w:p>
        </w:tc>
        <w:tc>
          <w:tcPr>
            <w:tcW w:w="10000" w:type="dxa"/>
            <w:vAlign w:val="bottom"/>
            <w:gridSpan w:val="24"/>
          </w:tcPr>
          <w:p>
            <w:pPr>
              <w:spacing w:after="0"/>
              <w:rPr>
                <w:rFonts w:ascii="Arial" w:cs="Arial" w:eastAsia="Arial" w:hAnsi="Arial"/>
                <w:sz w:val="14"/>
                <w:szCs w:val="14"/>
                <w:color w:val="0000FF"/>
              </w:rPr>
            </w:pPr>
            <w:hyperlink r:id="rId222">
              <w:r>
                <w:rPr>
                  <w:rFonts w:ascii="Arial" w:cs="Arial" w:eastAsia="Arial" w:hAnsi="Arial"/>
                  <w:sz w:val="14"/>
                  <w:szCs w:val="14"/>
                  <w:color w:val="0000FF"/>
                </w:rPr>
                <w:t>Tax Matters Agreement, dated as of February 16, 2021 by and between TechnipFMC plc and Technip Energies B.V. (incorporated by reference from Exhibit</w:t>
              </w:r>
            </w:hyperlink>
          </w:p>
        </w:tc>
      </w:tr>
      <w:tr>
        <w:trPr>
          <w:trHeight w:val="122"/>
        </w:trPr>
        <w:tc>
          <w:tcPr>
            <w:tcW w:w="1320" w:type="dxa"/>
            <w:vAlign w:val="bottom"/>
          </w:tcPr>
          <w:p>
            <w:pPr>
              <w:spacing w:after="0"/>
              <w:rPr>
                <w:sz w:val="10"/>
                <w:szCs w:val="10"/>
                <w:color w:val="auto"/>
              </w:rPr>
            </w:pPr>
          </w:p>
        </w:tc>
        <w:tc>
          <w:tcPr>
            <w:tcW w:w="564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222">
              <w:r>
                <w:rPr>
                  <w:rFonts w:ascii="Arial" w:cs="Arial" w:eastAsia="Arial" w:hAnsi="Arial"/>
                  <w:sz w:val="13"/>
                  <w:szCs w:val="13"/>
                  <w:color w:val="0000FF"/>
                </w:rPr>
                <w:t>10.</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Current Report on Form 8-K filed on February 16, 2021) (File No. 001-37983)</w:t>
              </w:r>
            </w:hyperlink>
          </w:p>
        </w:tc>
        <w:tc>
          <w:tcPr>
            <w:tcW w:w="430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10.38</w:t>
            </w:r>
          </w:p>
        </w:tc>
        <w:tc>
          <w:tcPr>
            <w:tcW w:w="10000" w:type="dxa"/>
            <w:vAlign w:val="bottom"/>
            <w:gridSpan w:val="24"/>
            <w:shd w:val="clear" w:color="auto" w:fill="CCEEFF"/>
          </w:tcPr>
          <w:p>
            <w:pPr>
              <w:spacing w:after="0"/>
              <w:rPr>
                <w:rFonts w:ascii="Arial" w:cs="Arial" w:eastAsia="Arial" w:hAnsi="Arial"/>
                <w:sz w:val="14"/>
                <w:szCs w:val="14"/>
                <w:color w:val="0000FF"/>
              </w:rPr>
            </w:pPr>
            <w:hyperlink r:id="rId223">
              <w:r>
                <w:rPr>
                  <w:rFonts w:ascii="Arial" w:cs="Arial" w:eastAsia="Arial" w:hAnsi="Arial"/>
                  <w:sz w:val="14"/>
                  <w:szCs w:val="14"/>
                  <w:color w:val="0000FF"/>
                </w:rPr>
                <w:t>Employee Matters Agreement, dated as of February 15, 2021, by and between TechnipFMC plc and Technip Energies B.V. (incorporated by reference from</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6120" w:type="dxa"/>
            <w:vAlign w:val="bottom"/>
            <w:tcBorders>
              <w:top w:val="single" w:sz="8" w:color="0000FF"/>
              <w:bottom w:val="single" w:sz="8" w:color="0000FF"/>
            </w:tcBorders>
            <w:gridSpan w:val="6"/>
            <w:shd w:val="clear" w:color="auto" w:fill="CCEEFF"/>
          </w:tcPr>
          <w:p>
            <w:pPr>
              <w:spacing w:after="0" w:line="115" w:lineRule="exact"/>
              <w:rPr>
                <w:rFonts w:ascii="Arial" w:cs="Arial" w:eastAsia="Arial" w:hAnsi="Arial"/>
                <w:sz w:val="13"/>
                <w:szCs w:val="13"/>
                <w:color w:val="0000FF"/>
              </w:rPr>
            </w:pPr>
            <w:hyperlink r:id="rId223">
              <w:r>
                <w:rPr>
                  <w:rFonts w:ascii="Arial" w:cs="Arial" w:eastAsia="Arial" w:hAnsi="Arial"/>
                  <w:sz w:val="13"/>
                  <w:szCs w:val="13"/>
                  <w:color w:val="0000FF"/>
                </w:rPr>
                <w:t>Exhibit 10.2 to the Current Report on Form 8-K filed on February 16, 2021) (File No. 001-37983)</w:t>
              </w:r>
            </w:hyperlink>
          </w:p>
        </w:tc>
        <w:tc>
          <w:tcPr>
            <w:tcW w:w="3800" w:type="dxa"/>
            <w:vAlign w:val="bottom"/>
            <w:tcBorders>
              <w:top w:val="single" w:sz="8" w:color="0000FF"/>
              <w:bottom w:val="single" w:sz="8" w:color="CCEEFF"/>
            </w:tcBorders>
            <w:gridSpan w:val="14"/>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10.39</w:t>
            </w:r>
          </w:p>
        </w:tc>
        <w:tc>
          <w:tcPr>
            <w:tcW w:w="10000" w:type="dxa"/>
            <w:vAlign w:val="bottom"/>
            <w:gridSpan w:val="24"/>
          </w:tcPr>
          <w:p>
            <w:pPr>
              <w:spacing w:after="0"/>
              <w:rPr>
                <w:rFonts w:ascii="Arial" w:cs="Arial" w:eastAsia="Arial" w:hAnsi="Arial"/>
                <w:sz w:val="14"/>
                <w:szCs w:val="14"/>
                <w:color w:val="0000FF"/>
              </w:rPr>
            </w:pPr>
            <w:hyperlink r:id="rId224">
              <w:r>
                <w:rPr>
                  <w:rFonts w:ascii="Arial" w:cs="Arial" w:eastAsia="Arial" w:hAnsi="Arial"/>
                  <w:sz w:val="14"/>
                  <w:szCs w:val="14"/>
                  <w:color w:val="0000FF"/>
                </w:rPr>
                <w:t>Transition Services Agreement, dated as of February 15, 2021 by and between TechnipFMC plc and Technip Energies B.V. (incorporated by reference from</w:t>
              </w:r>
            </w:hyperlink>
          </w:p>
        </w:tc>
      </w:tr>
      <w:tr>
        <w:trPr>
          <w:trHeight w:val="122"/>
        </w:trPr>
        <w:tc>
          <w:tcPr>
            <w:tcW w:w="1320" w:type="dxa"/>
            <w:vAlign w:val="bottom"/>
          </w:tcPr>
          <w:p>
            <w:pPr>
              <w:spacing w:after="0"/>
              <w:rPr>
                <w:sz w:val="10"/>
                <w:szCs w:val="10"/>
                <w:color w:val="auto"/>
              </w:rPr>
            </w:pPr>
          </w:p>
        </w:tc>
        <w:tc>
          <w:tcPr>
            <w:tcW w:w="612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r:id="rId224">
              <w:r>
                <w:rPr>
                  <w:rFonts w:ascii="Arial" w:cs="Arial" w:eastAsia="Arial" w:hAnsi="Arial"/>
                  <w:sz w:val="13"/>
                  <w:szCs w:val="13"/>
                  <w:color w:val="0000FF"/>
                </w:rPr>
                <w:t>Exhibit 10.3 to the Current Report on Form 8-K filed on February 16, 2021) (File No. 001-37983)</w:t>
              </w:r>
            </w:hyperlink>
          </w:p>
        </w:tc>
        <w:tc>
          <w:tcPr>
            <w:tcW w:w="384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10.40</w:t>
            </w:r>
          </w:p>
        </w:tc>
        <w:tc>
          <w:tcPr>
            <w:tcW w:w="10000" w:type="dxa"/>
            <w:vAlign w:val="bottom"/>
            <w:gridSpan w:val="24"/>
            <w:shd w:val="clear" w:color="auto" w:fill="CCEEFF"/>
          </w:tcPr>
          <w:p>
            <w:pPr>
              <w:spacing w:after="0"/>
              <w:rPr>
                <w:rFonts w:ascii="Arial" w:cs="Arial" w:eastAsia="Arial" w:hAnsi="Arial"/>
                <w:sz w:val="14"/>
                <w:szCs w:val="14"/>
                <w:color w:val="0000FF"/>
              </w:rPr>
            </w:pPr>
            <w:hyperlink r:id="rId225">
              <w:r>
                <w:rPr>
                  <w:rFonts w:ascii="Arial" w:cs="Arial" w:eastAsia="Arial" w:hAnsi="Arial"/>
                  <w:sz w:val="14"/>
                  <w:szCs w:val="14"/>
                  <w:color w:val="0000FF"/>
                </w:rPr>
                <w:t>Patent License Agreement, dated as of February 15, 2021 by and between TechnipFMC plc and Technip Energies B.V. (incorporated by reference from</w:t>
              </w:r>
            </w:hyperlink>
          </w:p>
        </w:tc>
      </w:tr>
      <w:tr>
        <w:trPr>
          <w:trHeight w:val="122"/>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6120" w:type="dxa"/>
            <w:vAlign w:val="bottom"/>
            <w:tcBorders>
              <w:top w:val="single" w:sz="8" w:color="0000FF"/>
              <w:bottom w:val="single" w:sz="8" w:color="0000FF"/>
            </w:tcBorders>
            <w:gridSpan w:val="6"/>
            <w:shd w:val="clear" w:color="auto" w:fill="CCEEFF"/>
          </w:tcPr>
          <w:p>
            <w:pPr>
              <w:spacing w:after="0" w:line="115" w:lineRule="exact"/>
              <w:rPr>
                <w:rFonts w:ascii="Arial" w:cs="Arial" w:eastAsia="Arial" w:hAnsi="Arial"/>
                <w:sz w:val="13"/>
                <w:szCs w:val="13"/>
                <w:color w:val="0000FF"/>
              </w:rPr>
            </w:pPr>
            <w:hyperlink r:id="rId225">
              <w:r>
                <w:rPr>
                  <w:rFonts w:ascii="Arial" w:cs="Arial" w:eastAsia="Arial" w:hAnsi="Arial"/>
                  <w:sz w:val="13"/>
                  <w:szCs w:val="13"/>
                  <w:color w:val="0000FF"/>
                </w:rPr>
                <w:t>Exhibit 10.4 to the Current Report on Form 8-K filed on February 16, 2021) (File No. 001-37983)</w:t>
              </w:r>
            </w:hyperlink>
          </w:p>
        </w:tc>
        <w:tc>
          <w:tcPr>
            <w:tcW w:w="3560" w:type="dxa"/>
            <w:vAlign w:val="bottom"/>
            <w:tcBorders>
              <w:top w:val="single" w:sz="8" w:color="0000FF"/>
              <w:bottom w:val="single" w:sz="8" w:color="CCEEFF"/>
              <w:right w:val="single" w:sz="8" w:color="CCEEFF"/>
            </w:tcBorders>
            <w:gridSpan w:val="5"/>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100" w:type="dxa"/>
            <w:vAlign w:val="bottom"/>
            <w:tcBorders>
              <w:top w:val="single" w:sz="8" w:color="CCEEFF"/>
              <w:bottom w:val="single" w:sz="8" w:color="CCEEFF"/>
            </w:tcBorders>
            <w:gridSpan w:val="4"/>
            <w:shd w:val="clear" w:color="auto" w:fill="CCEEFF"/>
          </w:tcPr>
          <w:p>
            <w:pPr>
              <w:spacing w:after="0"/>
              <w:rPr>
                <w:sz w:val="10"/>
                <w:szCs w:val="10"/>
                <w:color w:val="auto"/>
              </w:rPr>
            </w:pPr>
          </w:p>
        </w:tc>
        <w:tc>
          <w:tcPr>
            <w:tcW w:w="140" w:type="dxa"/>
            <w:vAlign w:val="bottom"/>
            <w:tcBorders>
              <w:top w:val="single" w:sz="8" w:color="CCEEFF"/>
              <w:bottom w:val="single" w:sz="8" w:color="CCEEFF"/>
            </w:tcBorders>
            <w:gridSpan w:val="7"/>
            <w:shd w:val="clear" w:color="auto" w:fill="CCEEFF"/>
          </w:tcPr>
          <w:p>
            <w:pPr>
              <w:spacing w:after="0"/>
              <w:rPr>
                <w:sz w:val="10"/>
                <w:szCs w:val="10"/>
                <w:color w:val="auto"/>
              </w:rPr>
            </w:pPr>
          </w:p>
        </w:tc>
      </w:tr>
      <w:tr>
        <w:trPr>
          <w:trHeight w:val="162"/>
        </w:trPr>
        <w:tc>
          <w:tcPr>
            <w:tcW w:w="1320" w:type="dxa"/>
            <w:vAlign w:val="bottom"/>
          </w:tcPr>
          <w:p>
            <w:pPr>
              <w:ind w:left="20"/>
              <w:spacing w:after="0"/>
              <w:rPr>
                <w:sz w:val="20"/>
                <w:szCs w:val="20"/>
                <w:color w:val="auto"/>
              </w:rPr>
            </w:pPr>
            <w:r>
              <w:rPr>
                <w:rFonts w:ascii="Arial" w:cs="Arial" w:eastAsia="Arial" w:hAnsi="Arial"/>
                <w:sz w:val="14"/>
                <w:szCs w:val="14"/>
                <w:color w:val="auto"/>
              </w:rPr>
              <w:t>10.41</w:t>
            </w:r>
          </w:p>
        </w:tc>
        <w:tc>
          <w:tcPr>
            <w:tcW w:w="10000" w:type="dxa"/>
            <w:vAlign w:val="bottom"/>
            <w:gridSpan w:val="24"/>
          </w:tcPr>
          <w:p>
            <w:pPr>
              <w:spacing w:after="0"/>
              <w:rPr>
                <w:rFonts w:ascii="Arial" w:cs="Arial" w:eastAsia="Arial" w:hAnsi="Arial"/>
                <w:sz w:val="14"/>
                <w:szCs w:val="14"/>
                <w:color w:val="0000FF"/>
              </w:rPr>
            </w:pPr>
            <w:hyperlink r:id="rId226">
              <w:r>
                <w:rPr>
                  <w:rFonts w:ascii="Arial" w:cs="Arial" w:eastAsia="Arial" w:hAnsi="Arial"/>
                  <w:sz w:val="14"/>
                  <w:szCs w:val="14"/>
                  <w:color w:val="0000FF"/>
                </w:rPr>
                <w:t>Coexistence and Trademark Matters Agreement, dated as of February 15, 2021 by and between TechnipFMC plc and Technip Energies B.V. (incorporated</w:t>
              </w:r>
            </w:hyperlink>
          </w:p>
        </w:tc>
      </w:tr>
      <w:tr>
        <w:trPr>
          <w:trHeight w:val="122"/>
        </w:trPr>
        <w:tc>
          <w:tcPr>
            <w:tcW w:w="1320" w:type="dxa"/>
            <w:vAlign w:val="bottom"/>
          </w:tcPr>
          <w:p>
            <w:pPr>
              <w:spacing w:after="0"/>
              <w:rPr>
                <w:sz w:val="10"/>
                <w:szCs w:val="10"/>
                <w:color w:val="auto"/>
              </w:rPr>
            </w:pPr>
          </w:p>
        </w:tc>
        <w:tc>
          <w:tcPr>
            <w:tcW w:w="728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rPr>
            </w:pPr>
            <w:hyperlink r:id="rId226">
              <w:r>
                <w:rPr>
                  <w:rFonts w:ascii="Arial" w:cs="Arial" w:eastAsia="Arial" w:hAnsi="Arial"/>
                  <w:sz w:val="13"/>
                  <w:szCs w:val="13"/>
                  <w:color w:val="0000FF"/>
                </w:rPr>
                <w:t>by reference from Exhibit 10.5 to the Current Report on Form 8-K filed on February 16, 2021) (File No. 001-37983)</w:t>
              </w:r>
            </w:hyperlink>
          </w:p>
        </w:tc>
        <w:tc>
          <w:tcPr>
            <w:tcW w:w="2580" w:type="dxa"/>
            <w:vAlign w:val="bottom"/>
            <w:tcBorders>
              <w:top w:val="single" w:sz="8" w:color="0000FF"/>
            </w:tcBorders>
            <w:gridSpan w:val="9"/>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10.42</w:t>
            </w:r>
          </w:p>
        </w:tc>
        <w:tc>
          <w:tcPr>
            <w:tcW w:w="10000" w:type="dxa"/>
            <w:vAlign w:val="bottom"/>
            <w:gridSpan w:val="24"/>
            <w:shd w:val="clear" w:color="auto" w:fill="CCEEFF"/>
          </w:tcPr>
          <w:p>
            <w:pPr>
              <w:spacing w:after="0"/>
              <w:rPr>
                <w:rFonts w:ascii="Arial" w:cs="Arial" w:eastAsia="Arial" w:hAnsi="Arial"/>
                <w:sz w:val="14"/>
                <w:szCs w:val="14"/>
                <w:color w:val="0000FF"/>
              </w:rPr>
            </w:pPr>
            <w:hyperlink r:id="rId227">
              <w:r>
                <w:rPr>
                  <w:rFonts w:ascii="Arial" w:cs="Arial" w:eastAsia="Arial" w:hAnsi="Arial"/>
                  <w:sz w:val="14"/>
                  <w:szCs w:val="14"/>
                  <w:color w:val="0000FF"/>
                </w:rPr>
                <w:t>Credit Agreement, dated February 16, 2021, by and among TechnipFMC plc, JPMorgan Chase Bank, N.A., Citigroup Global Markets Inc. or an affiliate,</w:t>
              </w:r>
            </w:hyperlink>
          </w:p>
        </w:tc>
      </w:tr>
      <w:tr>
        <w:trPr>
          <w:trHeight w:val="115"/>
        </w:trPr>
        <w:tc>
          <w:tcPr>
            <w:tcW w:w="1320" w:type="dxa"/>
            <w:vAlign w:val="bottom"/>
            <w:tcBorders>
              <w:top w:val="single" w:sz="8" w:color="CCEEFF"/>
              <w:bottom w:val="single" w:sz="8" w:color="CCEEFF"/>
            </w:tcBorders>
            <w:shd w:val="clear" w:color="auto" w:fill="CCEEFF"/>
          </w:tcPr>
          <w:p>
            <w:pPr>
              <w:spacing w:after="0"/>
              <w:rPr>
                <w:sz w:val="10"/>
                <w:szCs w:val="10"/>
                <w:color w:val="auto"/>
              </w:rPr>
            </w:pPr>
          </w:p>
        </w:tc>
        <w:tc>
          <w:tcPr>
            <w:tcW w:w="9200" w:type="dxa"/>
            <w:vAlign w:val="bottom"/>
            <w:tcBorders>
              <w:top w:val="single" w:sz="8" w:color="0000FF"/>
              <w:bottom w:val="single" w:sz="8" w:color="0000FF"/>
            </w:tcBorders>
            <w:gridSpan w:val="9"/>
            <w:shd w:val="clear" w:color="auto" w:fill="CCEEFF"/>
          </w:tcPr>
          <w:p>
            <w:pPr>
              <w:spacing w:after="0" w:line="115" w:lineRule="exact"/>
              <w:rPr>
                <w:rFonts w:ascii="Arial" w:cs="Arial" w:eastAsia="Arial" w:hAnsi="Arial"/>
                <w:sz w:val="13"/>
                <w:szCs w:val="13"/>
                <w:color w:val="0000FF"/>
              </w:rPr>
            </w:pPr>
            <w:hyperlink r:id="rId227">
              <w:r>
                <w:rPr>
                  <w:rFonts w:ascii="Arial" w:cs="Arial" w:eastAsia="Arial" w:hAnsi="Arial"/>
                  <w:sz w:val="13"/>
                  <w:szCs w:val="13"/>
                  <w:color w:val="0000FF"/>
                </w:rPr>
                <w:t>DNB Capital, LLC or an affiliate, Société Générale, Sumitomo Mitsui Banking Corporation, Wells Fargo Securities, LLC and BofA Securities, Inc.,</w:t>
              </w:r>
            </w:hyperlink>
          </w:p>
        </w:tc>
        <w:tc>
          <w:tcPr>
            <w:tcW w:w="480" w:type="dxa"/>
            <w:vAlign w:val="bottom"/>
            <w:tcBorders>
              <w:top w:val="single" w:sz="8" w:color="0000FF"/>
              <w:bottom w:val="single" w:sz="8" w:color="CCEEFF"/>
              <w:right w:val="single" w:sz="8" w:color="CCEEFF"/>
            </w:tcBorders>
            <w:gridSpan w:val="2"/>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40" w:type="dxa"/>
            <w:vAlign w:val="bottom"/>
            <w:tcBorders>
              <w:top w:val="single" w:sz="8" w:color="CCEEFF"/>
              <w:bottom w:val="single" w:sz="8" w:color="CCEEFF"/>
            </w:tcBorders>
            <w:gridSpan w:val="11"/>
            <w:shd w:val="clear" w:color="auto" w:fill="CCEEFF"/>
          </w:tcPr>
          <w:p>
            <w:pPr>
              <w:spacing w:after="0"/>
              <w:rPr>
                <w:sz w:val="10"/>
                <w:szCs w:val="10"/>
                <w:color w:val="auto"/>
              </w:rPr>
            </w:pPr>
          </w:p>
        </w:tc>
      </w:tr>
      <w:tr>
        <w:trPr>
          <w:trHeight w:val="115"/>
        </w:trPr>
        <w:tc>
          <w:tcPr>
            <w:tcW w:w="1320" w:type="dxa"/>
            <w:vAlign w:val="bottom"/>
            <w:shd w:val="clear" w:color="auto" w:fill="CCEEFF"/>
          </w:tcPr>
          <w:p>
            <w:pPr>
              <w:spacing w:after="0"/>
              <w:rPr>
                <w:sz w:val="10"/>
                <w:szCs w:val="10"/>
                <w:color w:val="auto"/>
              </w:rPr>
            </w:pPr>
          </w:p>
        </w:tc>
        <w:tc>
          <w:tcPr>
            <w:tcW w:w="10000" w:type="dxa"/>
            <w:vAlign w:val="bottom"/>
            <w:gridSpan w:val="24"/>
            <w:shd w:val="clear" w:color="auto" w:fill="CCEEFF"/>
          </w:tcPr>
          <w:p>
            <w:pPr>
              <w:spacing w:after="0" w:line="115" w:lineRule="exact"/>
              <w:rPr>
                <w:rFonts w:ascii="Arial" w:cs="Arial" w:eastAsia="Arial" w:hAnsi="Arial"/>
                <w:sz w:val="13"/>
                <w:szCs w:val="13"/>
                <w:color w:val="0000FF"/>
              </w:rPr>
            </w:pPr>
            <w:hyperlink r:id="rId227">
              <w:r>
                <w:rPr>
                  <w:rFonts w:ascii="Arial" w:cs="Arial" w:eastAsia="Arial" w:hAnsi="Arial"/>
                  <w:sz w:val="13"/>
                  <w:szCs w:val="13"/>
                  <w:color w:val="0000FF"/>
                </w:rPr>
                <w:t>collectively, as lead arrangers, JPMorgan Chase Bank, N.A., as administrative agent, Standard Chartered Bank, as documentation agent, and the lenders</w:t>
              </w:r>
            </w:hyperlink>
          </w:p>
        </w:tc>
      </w:tr>
      <w:tr>
        <w:trPr>
          <w:trHeight w:val="142"/>
        </w:trPr>
        <w:tc>
          <w:tcPr>
            <w:tcW w:w="132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13"/>
            <w:shd w:val="clear" w:color="auto" w:fill="CCEEFF"/>
          </w:tcPr>
          <w:p>
            <w:pPr>
              <w:spacing w:after="0" w:line="142" w:lineRule="exact"/>
              <w:rPr>
                <w:rFonts w:ascii="Arial" w:cs="Arial" w:eastAsia="Arial" w:hAnsi="Arial"/>
                <w:sz w:val="14"/>
                <w:szCs w:val="14"/>
                <w:u w:val="single" w:color="auto"/>
                <w:color w:val="0000FF"/>
              </w:rPr>
            </w:pPr>
            <w:hyperlink r:id="rId227">
              <w:r>
                <w:rPr>
                  <w:rFonts w:ascii="Arial" w:cs="Arial" w:eastAsia="Arial" w:hAnsi="Arial"/>
                  <w:sz w:val="14"/>
                  <w:szCs w:val="14"/>
                  <w:u w:val="single" w:color="auto"/>
                  <w:color w:val="0000FF"/>
                </w:rPr>
                <w:t>party thereto (incorporated by reference from Exhibit 10.6 to the Current Report on Form 8-K filed on February 16, 2021) (File No. 001-37983)</w:t>
              </w:r>
            </w:hyperlink>
          </w:p>
        </w:tc>
        <w:tc>
          <w:tcPr>
            <w:tcW w:w="240" w:type="dxa"/>
            <w:vAlign w:val="bottom"/>
            <w:tcBorders>
              <w:top w:val="single" w:sz="8" w:color="CCEEFF"/>
            </w:tcBorders>
            <w:gridSpan w:val="11"/>
            <w:shd w:val="clear" w:color="auto" w:fill="CCEEFF"/>
          </w:tcPr>
          <w:p>
            <w:pPr>
              <w:spacing w:after="0"/>
              <w:rPr>
                <w:sz w:val="12"/>
                <w:szCs w:val="12"/>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21.1</w:t>
            </w:r>
          </w:p>
        </w:tc>
        <w:tc>
          <w:tcPr>
            <w:tcW w:w="10000" w:type="dxa"/>
            <w:vAlign w:val="bottom"/>
            <w:gridSpan w:val="24"/>
          </w:tcPr>
          <w:p>
            <w:pPr>
              <w:spacing w:after="0"/>
              <w:rPr>
                <w:rFonts w:ascii="Arial" w:cs="Arial" w:eastAsia="Arial" w:hAnsi="Arial"/>
                <w:sz w:val="14"/>
                <w:szCs w:val="14"/>
                <w:u w:val="single" w:color="auto"/>
                <w:color w:val="0000FF"/>
              </w:rPr>
            </w:pPr>
            <w:hyperlink w:anchor="page154">
              <w:r>
                <w:rPr>
                  <w:rFonts w:ascii="Arial" w:cs="Arial" w:eastAsia="Arial" w:hAnsi="Arial"/>
                  <w:sz w:val="14"/>
                  <w:szCs w:val="14"/>
                  <w:u w:val="single" w:color="auto"/>
                  <w:color w:val="0000FF"/>
                </w:rPr>
                <w:t>List of Significant Subsidiaries</w:t>
              </w:r>
            </w:hyperlink>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23.1</w:t>
            </w:r>
          </w:p>
        </w:tc>
        <w:tc>
          <w:tcPr>
            <w:tcW w:w="10000" w:type="dxa"/>
            <w:vAlign w:val="bottom"/>
            <w:gridSpan w:val="24"/>
            <w:shd w:val="clear" w:color="auto" w:fill="CCEEFF"/>
          </w:tcPr>
          <w:p>
            <w:pPr>
              <w:spacing w:after="0"/>
              <w:rPr>
                <w:rFonts w:ascii="Arial" w:cs="Arial" w:eastAsia="Arial" w:hAnsi="Arial"/>
                <w:sz w:val="14"/>
                <w:szCs w:val="14"/>
                <w:u w:val="single" w:color="auto"/>
                <w:color w:val="0000FF"/>
              </w:rPr>
            </w:pPr>
            <w:hyperlink w:anchor="page155">
              <w:r>
                <w:rPr>
                  <w:rFonts w:ascii="Arial" w:cs="Arial" w:eastAsia="Arial" w:hAnsi="Arial"/>
                  <w:sz w:val="14"/>
                  <w:szCs w:val="14"/>
                  <w:u w:val="single" w:color="auto"/>
                  <w:color w:val="0000FF"/>
                </w:rPr>
                <w:t>Consent of PricewaterhouseCoopers LLP</w:t>
              </w:r>
            </w:hyperlink>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31.1</w:t>
            </w:r>
          </w:p>
        </w:tc>
        <w:tc>
          <w:tcPr>
            <w:tcW w:w="10000" w:type="dxa"/>
            <w:vAlign w:val="bottom"/>
            <w:gridSpan w:val="24"/>
          </w:tcPr>
          <w:p>
            <w:pPr>
              <w:spacing w:after="0"/>
              <w:rPr>
                <w:rFonts w:ascii="Arial" w:cs="Arial" w:eastAsia="Arial" w:hAnsi="Arial"/>
                <w:sz w:val="14"/>
                <w:szCs w:val="14"/>
                <w:u w:val="single" w:color="auto"/>
                <w:color w:val="0000FF"/>
              </w:rPr>
            </w:pPr>
            <w:hyperlink w:anchor="page156">
              <w:r>
                <w:rPr>
                  <w:rFonts w:ascii="Arial" w:cs="Arial" w:eastAsia="Arial" w:hAnsi="Arial"/>
                  <w:sz w:val="14"/>
                  <w:szCs w:val="14"/>
                  <w:u w:val="single" w:color="auto"/>
                  <w:color w:val="0000FF"/>
                </w:rPr>
                <w:t>Certification of Chief Executive Officer</w:t>
              </w:r>
            </w:hyperlink>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31.2</w:t>
            </w:r>
          </w:p>
        </w:tc>
        <w:tc>
          <w:tcPr>
            <w:tcW w:w="10000" w:type="dxa"/>
            <w:vAlign w:val="bottom"/>
            <w:gridSpan w:val="24"/>
            <w:shd w:val="clear" w:color="auto" w:fill="CCEEFF"/>
          </w:tcPr>
          <w:p>
            <w:pPr>
              <w:spacing w:after="0"/>
              <w:rPr>
                <w:rFonts w:ascii="Arial" w:cs="Arial" w:eastAsia="Arial" w:hAnsi="Arial"/>
                <w:sz w:val="14"/>
                <w:szCs w:val="14"/>
                <w:u w:val="single" w:color="auto"/>
                <w:color w:val="0000FF"/>
              </w:rPr>
            </w:pPr>
            <w:hyperlink w:anchor="page157">
              <w:r>
                <w:rPr>
                  <w:rFonts w:ascii="Arial" w:cs="Arial" w:eastAsia="Arial" w:hAnsi="Arial"/>
                  <w:sz w:val="14"/>
                  <w:szCs w:val="14"/>
                  <w:u w:val="single" w:color="auto"/>
                  <w:color w:val="0000FF"/>
                </w:rPr>
                <w:t>Certification of Chief Financial Officer</w:t>
              </w:r>
            </w:hyperlink>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32.1**</w:t>
            </w:r>
          </w:p>
        </w:tc>
        <w:tc>
          <w:tcPr>
            <w:tcW w:w="10000" w:type="dxa"/>
            <w:vAlign w:val="bottom"/>
            <w:gridSpan w:val="24"/>
          </w:tcPr>
          <w:p>
            <w:pPr>
              <w:spacing w:after="0"/>
              <w:rPr>
                <w:rFonts w:ascii="Arial" w:cs="Arial" w:eastAsia="Arial" w:hAnsi="Arial"/>
                <w:sz w:val="14"/>
                <w:szCs w:val="14"/>
                <w:u w:val="single" w:color="auto"/>
                <w:color w:val="0000FF"/>
              </w:rPr>
            </w:pPr>
            <w:hyperlink w:anchor="page158">
              <w:r>
                <w:rPr>
                  <w:rFonts w:ascii="Arial" w:cs="Arial" w:eastAsia="Arial" w:hAnsi="Arial"/>
                  <w:sz w:val="14"/>
                  <w:szCs w:val="14"/>
                  <w:u w:val="single" w:color="auto"/>
                  <w:color w:val="0000FF"/>
                </w:rPr>
                <w:t>Certification of Chief Executive Officer pursuant to 18 U.S.C.</w:t>
              </w:r>
            </w:hyperlink>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32.2**</w:t>
            </w:r>
          </w:p>
        </w:tc>
        <w:tc>
          <w:tcPr>
            <w:tcW w:w="10000" w:type="dxa"/>
            <w:vAlign w:val="bottom"/>
            <w:gridSpan w:val="24"/>
            <w:shd w:val="clear" w:color="auto" w:fill="CCEEFF"/>
          </w:tcPr>
          <w:p>
            <w:pPr>
              <w:spacing w:after="0"/>
              <w:rPr>
                <w:rFonts w:ascii="Arial" w:cs="Arial" w:eastAsia="Arial" w:hAnsi="Arial"/>
                <w:sz w:val="14"/>
                <w:szCs w:val="14"/>
                <w:color w:val="0000FF"/>
              </w:rPr>
            </w:pPr>
            <w:hyperlink w:anchor="page159">
              <w:r>
                <w:rPr>
                  <w:rFonts w:ascii="Arial" w:cs="Arial" w:eastAsia="Arial" w:hAnsi="Arial"/>
                  <w:sz w:val="14"/>
                  <w:szCs w:val="14"/>
                  <w:u w:val="single" w:color="auto"/>
                  <w:color w:val="0000FF"/>
                </w:rPr>
                <w:t>Certification of Chief Financial Officer pursuant to 18 U.S.C</w:t>
              </w:r>
              <w:r>
                <w:rPr>
                  <w:rFonts w:ascii="Arial" w:cs="Arial" w:eastAsia="Arial" w:hAnsi="Arial"/>
                  <w:sz w:val="14"/>
                  <w:szCs w:val="14"/>
                  <w:color w:val="0000FF"/>
                </w:rPr>
                <w:t>.</w:t>
              </w:r>
            </w:hyperlink>
          </w:p>
        </w:tc>
      </w:tr>
      <w:tr>
        <w:trPr>
          <w:trHeight w:val="153"/>
        </w:trPr>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101.INS</w:t>
            </w:r>
          </w:p>
        </w:tc>
        <w:tc>
          <w:tcPr>
            <w:tcW w:w="10000" w:type="dxa"/>
            <w:vAlign w:val="bottom"/>
            <w:gridSpan w:val="24"/>
          </w:tcPr>
          <w:p>
            <w:pPr>
              <w:spacing w:after="0" w:line="153" w:lineRule="exact"/>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171"/>
        </w:trPr>
        <w:tc>
          <w:tcPr>
            <w:tcW w:w="1320" w:type="dxa"/>
            <w:vAlign w:val="bottom"/>
          </w:tcPr>
          <w:p>
            <w:pPr>
              <w:spacing w:after="0"/>
              <w:rPr>
                <w:sz w:val="14"/>
                <w:szCs w:val="14"/>
                <w:color w:val="auto"/>
              </w:rPr>
            </w:pPr>
          </w:p>
        </w:tc>
        <w:tc>
          <w:tcPr>
            <w:tcW w:w="10000" w:type="dxa"/>
            <w:vAlign w:val="bottom"/>
            <w:gridSpan w:val="24"/>
          </w:tcPr>
          <w:p>
            <w:pPr>
              <w:spacing w:after="0"/>
              <w:rPr>
                <w:sz w:val="20"/>
                <w:szCs w:val="20"/>
                <w:color w:val="auto"/>
              </w:rPr>
            </w:pPr>
            <w:r>
              <w:rPr>
                <w:rFonts w:ascii="Arial" w:cs="Arial" w:eastAsia="Arial" w:hAnsi="Arial"/>
                <w:sz w:val="14"/>
                <w:szCs w:val="14"/>
                <w:color w:val="auto"/>
              </w:rPr>
              <w:t>XBRL document.</w:t>
            </w: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10000" w:type="dxa"/>
            <w:vAlign w:val="bottom"/>
            <w:gridSpan w:val="24"/>
            <w:shd w:val="clear" w:color="auto" w:fill="CCEEFF"/>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101.CAL</w:t>
            </w:r>
          </w:p>
        </w:tc>
        <w:tc>
          <w:tcPr>
            <w:tcW w:w="10000" w:type="dxa"/>
            <w:vAlign w:val="bottom"/>
            <w:gridSpan w:val="24"/>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10000" w:type="dxa"/>
            <w:vAlign w:val="bottom"/>
            <w:gridSpan w:val="24"/>
            <w:shd w:val="clear" w:color="auto" w:fill="CCEEFF"/>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101.LAB</w:t>
            </w:r>
          </w:p>
        </w:tc>
        <w:tc>
          <w:tcPr>
            <w:tcW w:w="10000" w:type="dxa"/>
            <w:vAlign w:val="bottom"/>
            <w:gridSpan w:val="24"/>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89"/>
        </w:trPr>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10000" w:type="dxa"/>
            <w:vAlign w:val="bottom"/>
            <w:gridSpan w:val="24"/>
            <w:shd w:val="clear" w:color="auto" w:fill="CCEEFF"/>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18" w:lineRule="exact"/>
        <w:rPr>
          <w:sz w:val="20"/>
          <w:szCs w:val="20"/>
          <w:color w:val="auto"/>
        </w:rPr>
      </w:pPr>
    </w:p>
    <w:p>
      <w:pPr>
        <w:ind w:right="4220" w:firstLine="26"/>
        <w:spacing w:after="0" w:line="593" w:lineRule="auto"/>
        <w:tabs>
          <w:tab w:leader="none" w:pos="1314" w:val="left"/>
        </w:tabs>
        <w:numPr>
          <w:ilvl w:val="1"/>
          <w:numId w:val="67"/>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Indicates a management contract or compensatory plan or arrangement.</w:t>
      </w:r>
    </w:p>
    <w:p>
      <w:pPr>
        <w:ind w:left="160" w:hanging="152"/>
        <w:spacing w:after="0"/>
        <w:tabs>
          <w:tab w:leader="none" w:pos="1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Furnished with this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TechnipFMC plc</w:t>
      </w:r>
    </w:p>
    <w:p>
      <w:pPr>
        <w:ind w:left="522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5220"/>
        <w:spacing w:after="0"/>
        <w:tabs>
          <w:tab w:leader="none" w:pos="7060" w:val="left"/>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6350</wp:posOffset>
            </wp:positionV>
            <wp:extent cx="3549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14"/>
          <w:szCs w:val="14"/>
          <w:b w:val="1"/>
          <w:bCs w:val="1"/>
          <w:color w:val="auto"/>
        </w:rPr>
        <w:t>Krisztina Doroghazi</w:t>
      </w:r>
    </w:p>
    <w:p>
      <w:pPr>
        <w:jc w:val="center"/>
        <w:ind w:left="5640"/>
        <w:spacing w:after="0" w:line="201" w:lineRule="auto"/>
        <w:rPr>
          <w:sz w:val="20"/>
          <w:szCs w:val="20"/>
          <w:color w:val="auto"/>
        </w:rPr>
      </w:pPr>
      <w:r>
        <w:rPr>
          <w:rFonts w:ascii="Arial" w:cs="Arial" w:eastAsia="Arial" w:hAnsi="Arial"/>
          <w:sz w:val="14"/>
          <w:szCs w:val="14"/>
          <w:b w:val="1"/>
          <w:bCs w:val="1"/>
          <w:color w:val="auto"/>
        </w:rPr>
        <w:t>Senior Vice President, Controller and Chief Accounting Officer</w:t>
      </w:r>
    </w:p>
    <w:p>
      <w:pPr>
        <w:jc w:val="center"/>
        <w:ind w:left="5640"/>
        <w:spacing w:after="0"/>
        <w:rPr>
          <w:sz w:val="20"/>
          <w:szCs w:val="20"/>
          <w:color w:val="auto"/>
        </w:rPr>
      </w:pPr>
      <w:r>
        <w:rPr>
          <w:rFonts w:ascii="Arial" w:cs="Arial" w:eastAsia="Arial" w:hAnsi="Arial"/>
          <w:sz w:val="14"/>
          <w:szCs w:val="14"/>
          <w:b w:val="1"/>
          <w:bCs w:val="1"/>
          <w:color w:val="auto"/>
        </w:rPr>
        <w:t>(Principal Accounting Officer and a Duly Authorized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p>
      <w:pPr>
        <w:ind w:left="1800"/>
        <w:spacing w:after="0"/>
        <w:tabs>
          <w:tab w:leader="none" w:pos="734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1380" w:type="dxa"/>
        <w:tblCellMar>
          <w:top w:w="0" w:type="dxa"/>
          <w:left w:w="0" w:type="dxa"/>
          <w:bottom w:w="0" w:type="dxa"/>
          <w:right w:w="0" w:type="dxa"/>
        </w:tblCellMar>
      </w:tblPr>
      <w:tr>
        <w:trPr>
          <w:trHeight w:val="2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7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OUGLAS</w:t>
            </w:r>
            <w:r>
              <w:rPr>
                <w:rFonts w:ascii="Arial" w:cs="Arial" w:eastAsia="Arial" w:hAnsi="Arial"/>
                <w:sz w:val="18"/>
                <w:szCs w:val="18"/>
                <w:color w:val="auto"/>
              </w:rPr>
              <w:t xml:space="preserve"> J. P</w:t>
            </w:r>
            <w:r>
              <w:rPr>
                <w:rFonts w:ascii="Arial" w:cs="Arial" w:eastAsia="Arial" w:hAnsi="Arial"/>
                <w:sz w:val="14"/>
                <w:szCs w:val="14"/>
                <w:color w:val="auto"/>
              </w:rPr>
              <w:t>FERDEHIRT</w:t>
            </w:r>
          </w:p>
        </w:tc>
      </w:tr>
      <w:tr>
        <w:trPr>
          <w:trHeight w:val="142"/>
        </w:trPr>
        <w:tc>
          <w:tcPr>
            <w:tcW w:w="2780" w:type="dxa"/>
            <w:vAlign w:val="bottom"/>
          </w:tcPr>
          <w:p>
            <w:pPr>
              <w:spacing w:after="0"/>
              <w:rPr>
                <w:sz w:val="12"/>
                <w:szCs w:val="12"/>
                <w:color w:val="auto"/>
              </w:rPr>
            </w:pPr>
          </w:p>
        </w:tc>
        <w:tc>
          <w:tcPr>
            <w:tcW w:w="70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Douglas J. Pferdehirt</w:t>
            </w:r>
          </w:p>
        </w:tc>
      </w:tr>
      <w:tr>
        <w:trPr>
          <w:trHeight w:val="135"/>
        </w:trPr>
        <w:tc>
          <w:tcPr>
            <w:tcW w:w="2780" w:type="dxa"/>
            <w:vAlign w:val="bottom"/>
          </w:tcPr>
          <w:p>
            <w:pPr>
              <w:spacing w:after="0"/>
              <w:rPr>
                <w:sz w:val="11"/>
                <w:szCs w:val="11"/>
                <w:color w:val="auto"/>
              </w:rPr>
            </w:pPr>
          </w:p>
        </w:tc>
        <w:tc>
          <w:tcPr>
            <w:tcW w:w="70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rPr>
              <w:t>Chairman and Chief Executive Officer</w:t>
            </w:r>
          </w:p>
        </w:tc>
      </w:tr>
      <w:tr>
        <w:trPr>
          <w:trHeight w:val="190"/>
        </w:trPr>
        <w:tc>
          <w:tcPr>
            <w:tcW w:w="2780" w:type="dxa"/>
            <w:vAlign w:val="bottom"/>
          </w:tcPr>
          <w:p>
            <w:pPr>
              <w:spacing w:after="0"/>
              <w:rPr>
                <w:sz w:val="16"/>
                <w:szCs w:val="16"/>
                <w:color w:val="auto"/>
              </w:rPr>
            </w:pPr>
          </w:p>
        </w:tc>
        <w:tc>
          <w:tcPr>
            <w:tcW w:w="70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2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20" w:type="dxa"/>
            <w:vAlign w:val="bottom"/>
            <w:tcBorders>
              <w:bottom w:val="single" w:sz="8" w:color="auto"/>
            </w:tcBorders>
          </w:tcPr>
          <w:p>
            <w:pPr>
              <w:jc w:val="center"/>
              <w:ind w:right="2705"/>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LF</w:t>
            </w:r>
            <w:r>
              <w:rPr>
                <w:rFonts w:ascii="Arial" w:cs="Arial" w:eastAsia="Arial" w:hAnsi="Arial"/>
                <w:sz w:val="18"/>
                <w:szCs w:val="18"/>
                <w:color w:val="auto"/>
                <w:w w:val="98"/>
              </w:rPr>
              <w:t xml:space="preserve"> M</w:t>
            </w:r>
            <w:r>
              <w:rPr>
                <w:rFonts w:ascii="Arial" w:cs="Arial" w:eastAsia="Arial" w:hAnsi="Arial"/>
                <w:sz w:val="14"/>
                <w:szCs w:val="14"/>
                <w:color w:val="auto"/>
                <w:w w:val="98"/>
              </w:rPr>
              <w:t>ELIN</w:t>
            </w:r>
          </w:p>
        </w:tc>
      </w:tr>
      <w:tr>
        <w:trPr>
          <w:trHeight w:val="142"/>
        </w:trPr>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20" w:type="dxa"/>
            <w:vAlign w:val="bottom"/>
          </w:tcPr>
          <w:p>
            <w:pPr>
              <w:jc w:val="center"/>
              <w:ind w:right="3085"/>
              <w:spacing w:after="0" w:line="142" w:lineRule="exact"/>
              <w:rPr>
                <w:sz w:val="20"/>
                <w:szCs w:val="20"/>
                <w:color w:val="auto"/>
              </w:rPr>
            </w:pPr>
            <w:r>
              <w:rPr>
                <w:rFonts w:ascii="Arial" w:cs="Arial" w:eastAsia="Arial" w:hAnsi="Arial"/>
                <w:sz w:val="14"/>
                <w:szCs w:val="14"/>
                <w:b w:val="1"/>
                <w:bCs w:val="1"/>
                <w:color w:val="auto"/>
              </w:rPr>
              <w:t>Alf Melin</w:t>
            </w:r>
          </w:p>
        </w:tc>
      </w:tr>
      <w:tr>
        <w:trPr>
          <w:trHeight w:val="135"/>
        </w:trPr>
        <w:tc>
          <w:tcPr>
            <w:tcW w:w="2780" w:type="dxa"/>
            <w:vAlign w:val="bottom"/>
          </w:tcPr>
          <w:p>
            <w:pPr>
              <w:spacing w:after="0"/>
              <w:rPr>
                <w:sz w:val="11"/>
                <w:szCs w:val="11"/>
                <w:color w:val="auto"/>
              </w:rPr>
            </w:pPr>
          </w:p>
        </w:tc>
        <w:tc>
          <w:tcPr>
            <w:tcW w:w="70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190"/>
        </w:trPr>
        <w:tc>
          <w:tcPr>
            <w:tcW w:w="2780" w:type="dxa"/>
            <w:vAlign w:val="bottom"/>
          </w:tcPr>
          <w:p>
            <w:pPr>
              <w:spacing w:after="0"/>
              <w:rPr>
                <w:sz w:val="16"/>
                <w:szCs w:val="16"/>
                <w:color w:val="auto"/>
              </w:rPr>
            </w:pPr>
          </w:p>
        </w:tc>
        <w:tc>
          <w:tcPr>
            <w:tcW w:w="70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7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LEAZAR</w:t>
            </w:r>
            <w:r>
              <w:rPr>
                <w:rFonts w:ascii="Arial" w:cs="Arial" w:eastAsia="Arial" w:hAnsi="Arial"/>
                <w:sz w:val="18"/>
                <w:szCs w:val="18"/>
                <w:color w:val="auto"/>
              </w:rPr>
              <w:t xml:space="preserve"> D</w:t>
            </w:r>
            <w:r>
              <w:rPr>
                <w:rFonts w:ascii="Arial" w:cs="Arial" w:eastAsia="Arial" w:hAnsi="Arial"/>
                <w:sz w:val="14"/>
                <w:szCs w:val="14"/>
                <w:color w:val="auto"/>
              </w:rPr>
              <w:t>E</w:t>
            </w:r>
            <w:r>
              <w:rPr>
                <w:rFonts w:ascii="Arial" w:cs="Arial" w:eastAsia="Arial" w:hAnsi="Arial"/>
                <w:sz w:val="18"/>
                <w:szCs w:val="18"/>
                <w:color w:val="auto"/>
              </w:rPr>
              <w:t xml:space="preserve"> C</w:t>
            </w:r>
            <w:r>
              <w:rPr>
                <w:rFonts w:ascii="Arial" w:cs="Arial" w:eastAsia="Arial" w:hAnsi="Arial"/>
                <w:sz w:val="14"/>
                <w:szCs w:val="14"/>
                <w:color w:val="auto"/>
              </w:rPr>
              <w:t>ARVALHO</w:t>
            </w:r>
            <w:r>
              <w:rPr>
                <w:rFonts w:ascii="Arial" w:cs="Arial" w:eastAsia="Arial" w:hAnsi="Arial"/>
                <w:sz w:val="18"/>
                <w:szCs w:val="18"/>
                <w:color w:val="auto"/>
              </w:rPr>
              <w:t xml:space="preserve"> F</w:t>
            </w:r>
            <w:r>
              <w:rPr>
                <w:rFonts w:ascii="Arial" w:cs="Arial" w:eastAsia="Arial" w:hAnsi="Arial"/>
                <w:sz w:val="14"/>
                <w:szCs w:val="14"/>
                <w:color w:val="auto"/>
              </w:rPr>
              <w:t>ILHO</w:t>
            </w:r>
          </w:p>
        </w:tc>
      </w:tr>
      <w:tr>
        <w:trPr>
          <w:trHeight w:val="142"/>
        </w:trPr>
        <w:tc>
          <w:tcPr>
            <w:tcW w:w="2780" w:type="dxa"/>
            <w:vAlign w:val="bottom"/>
          </w:tcPr>
          <w:p>
            <w:pPr>
              <w:spacing w:after="0"/>
              <w:rPr>
                <w:sz w:val="12"/>
                <w:szCs w:val="12"/>
                <w:color w:val="auto"/>
              </w:rPr>
            </w:pPr>
          </w:p>
        </w:tc>
        <w:tc>
          <w:tcPr>
            <w:tcW w:w="70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Eleazar de Carvalho Filho,</w:t>
            </w:r>
          </w:p>
        </w:tc>
      </w:tr>
      <w:tr>
        <w:trPr>
          <w:trHeight w:val="190"/>
        </w:trPr>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jc w:val="center"/>
              <w:ind w:right="3085"/>
              <w:spacing w:after="0"/>
              <w:rPr>
                <w:sz w:val="20"/>
                <w:szCs w:val="20"/>
                <w:color w:val="auto"/>
              </w:rPr>
            </w:pPr>
            <w:r>
              <w:rPr>
                <w:rFonts w:ascii="Arial" w:cs="Arial" w:eastAsia="Arial" w:hAnsi="Arial"/>
                <w:sz w:val="14"/>
                <w:szCs w:val="14"/>
                <w:b w:val="1"/>
                <w:bCs w:val="1"/>
                <w:color w:val="auto"/>
              </w:rPr>
              <w:t>Director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292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160" w:type="dxa"/>
            <w:vAlign w:val="bottom"/>
            <w:tcBorders>
              <w:bottom w:val="single" w:sz="8" w:color="auto"/>
            </w:tcBorders>
            <w:gridSpan w:val="2"/>
          </w:tcPr>
          <w:p>
            <w:pPr>
              <w:jc w:val="center"/>
              <w:ind w:right="2445"/>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LAIRE</w:t>
            </w:r>
            <w:r>
              <w:rPr>
                <w:rFonts w:ascii="Arial" w:cs="Arial" w:eastAsia="Arial" w:hAnsi="Arial"/>
                <w:sz w:val="18"/>
                <w:szCs w:val="18"/>
                <w:color w:val="auto"/>
              </w:rPr>
              <w:t xml:space="preserve"> S. F</w:t>
            </w:r>
            <w:r>
              <w:rPr>
                <w:rFonts w:ascii="Arial" w:cs="Arial" w:eastAsia="Arial" w:hAnsi="Arial"/>
                <w:sz w:val="14"/>
                <w:szCs w:val="14"/>
                <w:color w:val="auto"/>
              </w:rPr>
              <w:t>ARLEY</w:t>
            </w:r>
          </w:p>
        </w:tc>
      </w:tr>
      <w:tr>
        <w:trPr>
          <w:trHeight w:val="142"/>
        </w:trPr>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160" w:type="dxa"/>
            <w:vAlign w:val="bottom"/>
            <w:gridSpan w:val="2"/>
          </w:tcPr>
          <w:p>
            <w:pPr>
              <w:jc w:val="center"/>
              <w:ind w:right="2845"/>
              <w:spacing w:after="0" w:line="142" w:lineRule="exact"/>
              <w:rPr>
                <w:sz w:val="20"/>
                <w:szCs w:val="20"/>
                <w:color w:val="auto"/>
              </w:rPr>
            </w:pPr>
            <w:r>
              <w:rPr>
                <w:rFonts w:ascii="Arial" w:cs="Arial" w:eastAsia="Arial" w:hAnsi="Arial"/>
                <w:sz w:val="14"/>
                <w:szCs w:val="14"/>
                <w:b w:val="1"/>
                <w:bCs w:val="1"/>
                <w:color w:val="auto"/>
              </w:rPr>
              <w:t>Claire S. Farley,</w:t>
            </w:r>
          </w:p>
        </w:tc>
      </w:tr>
      <w:tr>
        <w:trPr>
          <w:trHeight w:val="190"/>
        </w:trPr>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jc w:val="center"/>
              <w:ind w:right="3085"/>
              <w:spacing w:after="0"/>
              <w:rPr>
                <w:sz w:val="20"/>
                <w:szCs w:val="20"/>
                <w:color w:val="auto"/>
              </w:rPr>
            </w:pPr>
            <w:r>
              <w:rPr>
                <w:rFonts w:ascii="Arial" w:cs="Arial" w:eastAsia="Arial" w:hAnsi="Arial"/>
                <w:sz w:val="14"/>
                <w:szCs w:val="14"/>
                <w:b w:val="1"/>
                <w:bCs w:val="1"/>
                <w:color w:val="auto"/>
              </w:rPr>
              <w:t>Director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2920" w:type="dxa"/>
            <w:vAlign w:val="bottom"/>
            <w:tcBorders>
              <w:bottom w:val="single" w:sz="8" w:color="auto"/>
            </w:tcBorders>
          </w:tcPr>
          <w:p>
            <w:pPr>
              <w:ind w:left="27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4160" w:type="dxa"/>
            <w:vAlign w:val="bottom"/>
            <w:tcBorders>
              <w:bottom w:val="single" w:sz="8" w:color="auto"/>
            </w:tcBorders>
            <w:gridSpan w:val="2"/>
          </w:tcPr>
          <w:p>
            <w:pPr>
              <w:jc w:val="center"/>
              <w:ind w:right="2445"/>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M</w:t>
            </w:r>
            <w:r>
              <w:rPr>
                <w:rFonts w:ascii="Arial" w:cs="Arial" w:eastAsia="Arial" w:hAnsi="Arial"/>
                <w:sz w:val="14"/>
                <w:szCs w:val="14"/>
                <w:color w:val="auto"/>
              </w:rPr>
              <w:t>ELLBYE</w:t>
            </w:r>
          </w:p>
        </w:tc>
      </w:tr>
      <w:tr>
        <w:trPr>
          <w:trHeight w:val="142"/>
        </w:trPr>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160" w:type="dxa"/>
            <w:vAlign w:val="bottom"/>
            <w:gridSpan w:val="2"/>
          </w:tcPr>
          <w:p>
            <w:pPr>
              <w:jc w:val="center"/>
              <w:ind w:right="2845"/>
              <w:spacing w:after="0" w:line="142" w:lineRule="exact"/>
              <w:rPr>
                <w:sz w:val="20"/>
                <w:szCs w:val="20"/>
                <w:color w:val="auto"/>
              </w:rPr>
            </w:pPr>
            <w:r>
              <w:rPr>
                <w:rFonts w:ascii="Arial" w:cs="Arial" w:eastAsia="Arial" w:hAnsi="Arial"/>
                <w:sz w:val="14"/>
                <w:szCs w:val="14"/>
                <w:b w:val="1"/>
                <w:bCs w:val="1"/>
                <w:color w:val="auto"/>
              </w:rPr>
              <w:t>Peter Mellbye,</w:t>
            </w:r>
          </w:p>
        </w:tc>
      </w:tr>
      <w:tr>
        <w:trPr>
          <w:trHeight w:val="190"/>
        </w:trPr>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jc w:val="center"/>
              <w:ind w:right="3085"/>
              <w:spacing w:after="0"/>
              <w:rPr>
                <w:sz w:val="20"/>
                <w:szCs w:val="20"/>
                <w:color w:val="auto"/>
              </w:rPr>
            </w:pPr>
            <w:r>
              <w:rPr>
                <w:rFonts w:ascii="Arial" w:cs="Arial" w:eastAsia="Arial" w:hAnsi="Arial"/>
                <w:sz w:val="14"/>
                <w:szCs w:val="14"/>
                <w:b w:val="1"/>
                <w:bCs w:val="1"/>
                <w:color w:val="auto"/>
              </w:rPr>
              <w:t>Director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3160" w:type="dxa"/>
            <w:vAlign w:val="bottom"/>
            <w:tcBorders>
              <w:bottom w:val="single" w:sz="8" w:color="auto"/>
            </w:tcBorders>
            <w:gridSpan w:val="2"/>
          </w:tcPr>
          <w:p>
            <w:pPr>
              <w:ind w:left="2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920" w:type="dxa"/>
            <w:vAlign w:val="bottom"/>
            <w:tcBorders>
              <w:bottom w:val="single" w:sz="8" w:color="auto"/>
            </w:tcBorders>
          </w:tcPr>
          <w:p>
            <w:pPr>
              <w:jc w:val="center"/>
              <w:ind w:right="2705"/>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O’L</w:t>
            </w:r>
            <w:r>
              <w:rPr>
                <w:rFonts w:ascii="Arial" w:cs="Arial" w:eastAsia="Arial" w:hAnsi="Arial"/>
                <w:sz w:val="14"/>
                <w:szCs w:val="14"/>
                <w:color w:val="auto"/>
              </w:rPr>
              <w:t>EARY</w:t>
            </w:r>
          </w:p>
        </w:tc>
      </w:tr>
      <w:tr>
        <w:trPr>
          <w:trHeight w:val="142"/>
        </w:trPr>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160" w:type="dxa"/>
            <w:vAlign w:val="bottom"/>
            <w:gridSpan w:val="2"/>
          </w:tcPr>
          <w:p>
            <w:pPr>
              <w:jc w:val="center"/>
              <w:ind w:right="2845"/>
              <w:spacing w:after="0" w:line="142" w:lineRule="exact"/>
              <w:rPr>
                <w:sz w:val="20"/>
                <w:szCs w:val="20"/>
                <w:color w:val="auto"/>
              </w:rPr>
            </w:pPr>
            <w:r>
              <w:rPr>
                <w:rFonts w:ascii="Arial" w:cs="Arial" w:eastAsia="Arial" w:hAnsi="Arial"/>
                <w:sz w:val="14"/>
                <w:szCs w:val="14"/>
                <w:b w:val="1"/>
                <w:bCs w:val="1"/>
                <w:color w:val="auto"/>
              </w:rPr>
              <w:t>John O’Leary,</w:t>
            </w:r>
          </w:p>
        </w:tc>
      </w:tr>
      <w:tr>
        <w:trPr>
          <w:trHeight w:val="190"/>
        </w:trPr>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jc w:val="center"/>
              <w:ind w:right="3085"/>
              <w:spacing w:after="0"/>
              <w:rPr>
                <w:sz w:val="20"/>
                <w:szCs w:val="20"/>
                <w:color w:val="auto"/>
              </w:rPr>
            </w:pPr>
            <w:r>
              <w:rPr>
                <w:rFonts w:ascii="Arial" w:cs="Arial" w:eastAsia="Arial" w:hAnsi="Arial"/>
                <w:sz w:val="14"/>
                <w:szCs w:val="14"/>
                <w:b w:val="1"/>
                <w:bCs w:val="1"/>
                <w:color w:val="auto"/>
              </w:rPr>
              <w:t>Director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2920" w:type="dxa"/>
            <w:vAlign w:val="bottom"/>
            <w:tcBorders>
              <w:bottom w:val="single" w:sz="8" w:color="auto"/>
            </w:tcBorders>
          </w:tcPr>
          <w:p>
            <w:pPr>
              <w:ind w:left="2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160" w:type="dxa"/>
            <w:vAlign w:val="bottom"/>
            <w:tcBorders>
              <w:bottom w:val="single" w:sz="8" w:color="auto"/>
            </w:tcBorders>
            <w:gridSpan w:val="2"/>
          </w:tcPr>
          <w:p>
            <w:pPr>
              <w:jc w:val="center"/>
              <w:ind w:right="2505"/>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ARGARETH</w:t>
            </w:r>
            <w:r>
              <w:rPr>
                <w:rFonts w:ascii="Arial" w:cs="Arial" w:eastAsia="Arial" w:hAnsi="Arial"/>
                <w:sz w:val="18"/>
                <w:szCs w:val="18"/>
                <w:color w:val="auto"/>
              </w:rPr>
              <w:t xml:space="preserve"> Ø</w:t>
            </w:r>
            <w:r>
              <w:rPr>
                <w:rFonts w:ascii="Arial" w:cs="Arial" w:eastAsia="Arial" w:hAnsi="Arial"/>
                <w:sz w:val="14"/>
                <w:szCs w:val="14"/>
                <w:color w:val="auto"/>
              </w:rPr>
              <w:t>VRUM</w:t>
            </w:r>
          </w:p>
        </w:tc>
      </w:tr>
      <w:tr>
        <w:trPr>
          <w:trHeight w:val="142"/>
        </w:trPr>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160" w:type="dxa"/>
            <w:vAlign w:val="bottom"/>
            <w:gridSpan w:val="2"/>
          </w:tcPr>
          <w:p>
            <w:pPr>
              <w:jc w:val="center"/>
              <w:ind w:right="2845"/>
              <w:spacing w:after="0" w:line="142" w:lineRule="exact"/>
              <w:rPr>
                <w:sz w:val="20"/>
                <w:szCs w:val="20"/>
                <w:color w:val="auto"/>
              </w:rPr>
            </w:pPr>
            <w:r>
              <w:rPr>
                <w:rFonts w:ascii="Arial" w:cs="Arial" w:eastAsia="Arial" w:hAnsi="Arial"/>
                <w:sz w:val="14"/>
                <w:szCs w:val="14"/>
                <w:b w:val="1"/>
                <w:bCs w:val="1"/>
                <w:color w:val="auto"/>
              </w:rPr>
              <w:t>Margareth Øvrum,</w:t>
            </w:r>
          </w:p>
        </w:tc>
      </w:tr>
      <w:tr>
        <w:trPr>
          <w:trHeight w:val="190"/>
        </w:trPr>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jc w:val="center"/>
              <w:ind w:right="3085"/>
              <w:spacing w:after="0"/>
              <w:rPr>
                <w:sz w:val="20"/>
                <w:szCs w:val="20"/>
                <w:color w:val="auto"/>
              </w:rPr>
            </w:pPr>
            <w:r>
              <w:rPr>
                <w:rFonts w:ascii="Arial" w:cs="Arial" w:eastAsia="Arial" w:hAnsi="Arial"/>
                <w:sz w:val="14"/>
                <w:szCs w:val="14"/>
                <w:b w:val="1"/>
                <w:bCs w:val="1"/>
                <w:color w:val="auto"/>
              </w:rPr>
              <w:t>Director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2920" w:type="dxa"/>
            <w:vAlign w:val="bottom"/>
            <w:tcBorders>
              <w:bottom w:val="single" w:sz="8" w:color="auto"/>
            </w:tcBorders>
          </w:tcPr>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160" w:type="dxa"/>
            <w:vAlign w:val="bottom"/>
            <w:tcBorders>
              <w:bottom w:val="single" w:sz="8" w:color="auto"/>
            </w:tcBorders>
            <w:gridSpan w:val="2"/>
          </w:tcPr>
          <w:p>
            <w:pPr>
              <w:jc w:val="center"/>
              <w:ind w:right="2465"/>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AY</w:t>
            </w:r>
            <w:r>
              <w:rPr>
                <w:rFonts w:ascii="Arial" w:cs="Arial" w:eastAsia="Arial" w:hAnsi="Arial"/>
                <w:sz w:val="18"/>
                <w:szCs w:val="18"/>
                <w:color w:val="auto"/>
                <w:w w:val="99"/>
              </w:rPr>
              <w:t xml:space="preserve"> G. P</w:t>
            </w:r>
            <w:r>
              <w:rPr>
                <w:rFonts w:ascii="Arial" w:cs="Arial" w:eastAsia="Arial" w:hAnsi="Arial"/>
                <w:sz w:val="14"/>
                <w:szCs w:val="14"/>
                <w:color w:val="auto"/>
                <w:w w:val="99"/>
              </w:rPr>
              <w:t>RIESTLY</w:t>
            </w:r>
          </w:p>
        </w:tc>
      </w:tr>
      <w:tr>
        <w:trPr>
          <w:trHeight w:val="142"/>
        </w:trPr>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160" w:type="dxa"/>
            <w:vAlign w:val="bottom"/>
            <w:gridSpan w:val="2"/>
          </w:tcPr>
          <w:p>
            <w:pPr>
              <w:jc w:val="center"/>
              <w:ind w:right="2845"/>
              <w:spacing w:after="0" w:line="142" w:lineRule="exact"/>
              <w:rPr>
                <w:sz w:val="20"/>
                <w:szCs w:val="20"/>
                <w:color w:val="auto"/>
              </w:rPr>
            </w:pPr>
            <w:r>
              <w:rPr>
                <w:rFonts w:ascii="Arial" w:cs="Arial" w:eastAsia="Arial" w:hAnsi="Arial"/>
                <w:sz w:val="14"/>
                <w:szCs w:val="14"/>
                <w:b w:val="1"/>
                <w:bCs w:val="1"/>
                <w:color w:val="auto"/>
              </w:rPr>
              <w:t>Kay G. Priestly,</w:t>
            </w:r>
          </w:p>
        </w:tc>
      </w:tr>
      <w:tr>
        <w:trPr>
          <w:trHeight w:val="190"/>
        </w:trPr>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jc w:val="center"/>
              <w:ind w:right="3085"/>
              <w:spacing w:after="0"/>
              <w:rPr>
                <w:sz w:val="20"/>
                <w:szCs w:val="20"/>
                <w:color w:val="auto"/>
              </w:rPr>
            </w:pPr>
            <w:r>
              <w:rPr>
                <w:rFonts w:ascii="Arial" w:cs="Arial" w:eastAsia="Arial" w:hAnsi="Arial"/>
                <w:sz w:val="14"/>
                <w:szCs w:val="14"/>
                <w:b w:val="1"/>
                <w:bCs w:val="1"/>
                <w:color w:val="auto"/>
              </w:rPr>
              <w:t>Director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292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160" w:type="dxa"/>
            <w:vAlign w:val="bottom"/>
            <w:tcBorders>
              <w:bottom w:val="single" w:sz="8" w:color="auto"/>
            </w:tcBorders>
            <w:gridSpan w:val="2"/>
          </w:tcPr>
          <w:p>
            <w:pPr>
              <w:jc w:val="center"/>
              <w:ind w:right="2465"/>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M. R</w:t>
            </w:r>
            <w:r>
              <w:rPr>
                <w:rFonts w:ascii="Arial" w:cs="Arial" w:eastAsia="Arial" w:hAnsi="Arial"/>
                <w:sz w:val="14"/>
                <w:szCs w:val="14"/>
                <w:color w:val="auto"/>
              </w:rPr>
              <w:t>INGLER</w:t>
            </w:r>
          </w:p>
        </w:tc>
      </w:tr>
      <w:tr>
        <w:trPr>
          <w:trHeight w:val="142"/>
        </w:trPr>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160" w:type="dxa"/>
            <w:vAlign w:val="bottom"/>
            <w:gridSpan w:val="2"/>
          </w:tcPr>
          <w:p>
            <w:pPr>
              <w:jc w:val="center"/>
              <w:ind w:right="2865"/>
              <w:spacing w:after="0" w:line="142" w:lineRule="exact"/>
              <w:rPr>
                <w:sz w:val="20"/>
                <w:szCs w:val="20"/>
                <w:color w:val="auto"/>
              </w:rPr>
            </w:pPr>
            <w:r>
              <w:rPr>
                <w:rFonts w:ascii="Arial" w:cs="Arial" w:eastAsia="Arial" w:hAnsi="Arial"/>
                <w:sz w:val="14"/>
                <w:szCs w:val="14"/>
                <w:b w:val="1"/>
                <w:bCs w:val="1"/>
                <w:color w:val="auto"/>
              </w:rPr>
              <w:t>James M. Ringler,</w:t>
            </w:r>
          </w:p>
        </w:tc>
      </w:tr>
      <w:tr>
        <w:trPr>
          <w:trHeight w:val="190"/>
        </w:trPr>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jc w:val="center"/>
              <w:ind w:right="3085"/>
              <w:spacing w:after="0"/>
              <w:rPr>
                <w:sz w:val="20"/>
                <w:szCs w:val="20"/>
                <w:color w:val="auto"/>
              </w:rPr>
            </w:pPr>
            <w:r>
              <w:rPr>
                <w:rFonts w:ascii="Arial" w:cs="Arial" w:eastAsia="Arial" w:hAnsi="Arial"/>
                <w:sz w:val="14"/>
                <w:szCs w:val="14"/>
                <w:b w:val="1"/>
                <w:bCs w:val="1"/>
                <w:color w:val="auto"/>
              </w:rPr>
              <w:t>Director</w:t>
            </w:r>
          </w:p>
        </w:tc>
      </w:tr>
      <w:tr>
        <w:trPr>
          <w:trHeight w:val="417"/>
        </w:trPr>
        <w:tc>
          <w:tcPr>
            <w:tcW w:w="2780" w:type="dxa"/>
            <w:vAlign w:val="bottom"/>
          </w:tcPr>
          <w:p>
            <w:pPr>
              <w:spacing w:after="0"/>
              <w:rPr>
                <w:sz w:val="20"/>
                <w:szCs w:val="20"/>
                <w:color w:val="auto"/>
              </w:rPr>
            </w:pPr>
            <w:r>
              <w:rPr>
                <w:rFonts w:ascii="Arial" w:cs="Arial" w:eastAsia="Arial" w:hAnsi="Arial"/>
                <w:sz w:val="18"/>
                <w:szCs w:val="18"/>
                <w:color w:val="auto"/>
              </w:rPr>
              <w:t>March 5, 2021</w:t>
            </w:r>
          </w:p>
        </w:tc>
        <w:tc>
          <w:tcPr>
            <w:tcW w:w="2920" w:type="dxa"/>
            <w:vAlign w:val="bottom"/>
            <w:tcBorders>
              <w:bottom w:val="single" w:sz="8" w:color="auto"/>
            </w:tcBorders>
          </w:tcPr>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160" w:type="dxa"/>
            <w:vAlign w:val="bottom"/>
            <w:tcBorders>
              <w:bottom w:val="single" w:sz="8" w:color="auto"/>
            </w:tcBorders>
            <w:gridSpan w:val="2"/>
          </w:tcPr>
          <w:p>
            <w:pPr>
              <w:jc w:val="center"/>
              <w:ind w:right="2465"/>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Y</w:t>
            </w:r>
            <w:r>
              <w:rPr>
                <w:rFonts w:ascii="Arial" w:cs="Arial" w:eastAsia="Arial" w:hAnsi="Arial"/>
                <w:sz w:val="14"/>
                <w:szCs w:val="14"/>
                <w:color w:val="auto"/>
              </w:rPr>
              <w:t>EARWOOD</w:t>
            </w:r>
          </w:p>
        </w:tc>
      </w:tr>
      <w:tr>
        <w:trPr>
          <w:trHeight w:val="142"/>
        </w:trPr>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160" w:type="dxa"/>
            <w:vAlign w:val="bottom"/>
            <w:gridSpan w:val="2"/>
          </w:tcPr>
          <w:p>
            <w:pPr>
              <w:jc w:val="center"/>
              <w:ind w:right="2865"/>
              <w:spacing w:after="0" w:line="142" w:lineRule="exact"/>
              <w:rPr>
                <w:sz w:val="20"/>
                <w:szCs w:val="20"/>
                <w:color w:val="auto"/>
              </w:rPr>
            </w:pPr>
            <w:r>
              <w:rPr>
                <w:rFonts w:ascii="Arial" w:cs="Arial" w:eastAsia="Arial" w:hAnsi="Arial"/>
                <w:sz w:val="14"/>
                <w:szCs w:val="14"/>
                <w:b w:val="1"/>
                <w:bCs w:val="1"/>
                <w:color w:val="auto"/>
              </w:rPr>
              <w:t>John Yearwood,</w:t>
            </w:r>
          </w:p>
        </w:tc>
      </w:tr>
      <w:tr>
        <w:trPr>
          <w:trHeight w:val="190"/>
        </w:trPr>
        <w:tc>
          <w:tcPr>
            <w:tcW w:w="27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Pr>
          <w:p>
            <w:pPr>
              <w:jc w:val="center"/>
              <w:ind w:right="3085"/>
              <w:spacing w:after="0"/>
              <w:rPr>
                <w:sz w:val="20"/>
                <w:szCs w:val="20"/>
                <w:color w:val="auto"/>
              </w:rPr>
            </w:pPr>
            <w:r>
              <w:rPr>
                <w:rFonts w:ascii="Arial" w:cs="Arial" w:eastAsia="Arial" w:hAnsi="Arial"/>
                <w:sz w:val="14"/>
                <w:szCs w:val="14"/>
                <w:b w:val="1"/>
                <w:bCs w:val="1"/>
                <w:color w:val="auto"/>
              </w:rPr>
              <w:t>Director</w:t>
            </w:r>
          </w:p>
        </w:tc>
      </w:tr>
    </w:tbl>
    <w:p>
      <w:pPr>
        <w:spacing w:after="0" w:line="200" w:lineRule="exact"/>
        <w:rPr>
          <w:sz w:val="20"/>
          <w:szCs w:val="20"/>
          <w:color w:val="auto"/>
        </w:rPr>
      </w:pP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240"/>
          </w:cols>
          <w:pgMar w:left="320" w:top="1048" w:right="33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20"/>
          <w:szCs w:val="20"/>
          <w:b w:val="1"/>
          <w:bCs w:val="1"/>
          <w:color w:val="auto"/>
        </w:rPr>
        <w:t>TECHNIPFMC PLC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 DEFERRED COMPENSATION PLAN</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6"/>
          <w:szCs w:val="16"/>
          <w:b w:val="1"/>
          <w:bCs w:val="1"/>
          <w:u w:val="single" w:color="auto"/>
          <w:color w:val="auto"/>
        </w:rPr>
        <w:t>Purpose and Effective Date</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purpose of this Plan is to provide the non-executive members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TechnipFMC plc (the “</w:t>
      </w:r>
      <w:r>
        <w:rPr>
          <w:rFonts w:ascii="Arial" w:cs="Arial" w:eastAsia="Arial" w:hAnsi="Arial"/>
          <w:sz w:val="18"/>
          <w:szCs w:val="18"/>
          <w:u w:val="single" w:color="auto"/>
          <w:color w:val="auto"/>
        </w:rPr>
        <w:t>Company</w:t>
      </w:r>
      <w:r>
        <w:rPr>
          <w:rFonts w:ascii="Arial" w:cs="Arial" w:eastAsia="Arial" w:hAnsi="Arial"/>
          <w:sz w:val="18"/>
          <w:szCs w:val="18"/>
          <w:color w:val="auto"/>
        </w:rPr>
        <w:t>”) with an opportunity to elect the date on which their Annual Equity RSUs will be settled and paid, including any deferral thereon (in addition to any vesting requirements set forth in the RSU Grant Agreement) and to establish the terms for such elections and deferrals.</w:t>
      </w:r>
    </w:p>
    <w:p>
      <w:pPr>
        <w:spacing w:after="0" w:line="173"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b w:val="1"/>
          <w:bCs w:val="1"/>
          <w:u w:val="single" w:color="auto"/>
          <w:color w:val="auto"/>
        </w:rPr>
        <w:t>Eligibility</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member of the Board (a “</w:t>
      </w:r>
      <w:r>
        <w:rPr>
          <w:rFonts w:ascii="Arial" w:cs="Arial" w:eastAsia="Arial" w:hAnsi="Arial"/>
          <w:sz w:val="20"/>
          <w:szCs w:val="20"/>
          <w:u w:val="single" w:color="auto"/>
          <w:color w:val="auto"/>
        </w:rPr>
        <w:t>Director</w:t>
      </w:r>
      <w:r>
        <w:rPr>
          <w:rFonts w:ascii="Arial" w:cs="Arial" w:eastAsia="Arial" w:hAnsi="Arial"/>
          <w:sz w:val="20"/>
          <w:szCs w:val="20"/>
          <w:color w:val="auto"/>
        </w:rPr>
        <w:t>”) who is not an officer or employee of the Company or a subsidiary of the Company is eligible to participate in the Plan.</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u w:val="single" w:color="auto"/>
          <w:color w:val="auto"/>
        </w:rPr>
        <w:t>Elections to With Respect to an Annual Equity RSUs</w:t>
      </w:r>
    </w:p>
    <w:p>
      <w:pPr>
        <w:spacing w:after="0" w:line="235" w:lineRule="exact"/>
        <w:rPr>
          <w:sz w:val="20"/>
          <w:szCs w:val="20"/>
          <w:color w:val="auto"/>
        </w:rPr>
      </w:pPr>
    </w:p>
    <w:p>
      <w:pPr>
        <w:jc w:val="both"/>
        <w:ind w:firstLine="656"/>
        <w:spacing w:after="0" w:line="291" w:lineRule="auto"/>
        <w:tabs>
          <w:tab w:leader="none" w:pos="112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Normal Time of Election</w:t>
      </w:r>
      <w:r>
        <w:rPr>
          <w:rFonts w:ascii="Arial" w:cs="Arial" w:eastAsia="Arial" w:hAnsi="Arial"/>
          <w:sz w:val="18"/>
          <w:szCs w:val="18"/>
          <w:color w:val="auto"/>
        </w:rPr>
        <w:t xml:space="preserve"> . Elections under this Plan with respect to any Annual Equity RSUs for a Plan Year shall be made no later than the date specified by the Plan Administrator, but no later than December 31 of the calendar year prior to the year in which the services are performed. Any such election shall be effective for Annual Equity RSUs earned in the following calendar year.</w:t>
      </w:r>
    </w:p>
    <w:p>
      <w:pPr>
        <w:spacing w:after="0" w:line="178" w:lineRule="exact"/>
        <w:rPr>
          <w:rFonts w:ascii="Arial" w:cs="Arial" w:eastAsia="Arial" w:hAnsi="Arial"/>
          <w:sz w:val="18"/>
          <w:szCs w:val="18"/>
          <w:color w:val="auto"/>
        </w:rPr>
      </w:pPr>
    </w:p>
    <w:p>
      <w:pPr>
        <w:jc w:val="both"/>
        <w:ind w:firstLine="656"/>
        <w:spacing w:after="0" w:line="246" w:lineRule="auto"/>
        <w:tabs>
          <w:tab w:leader="none" w:pos="1144"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Initial Service as a Director</w:t>
      </w:r>
      <w:r>
        <w:rPr>
          <w:rFonts w:ascii="Arial" w:cs="Arial" w:eastAsia="Arial" w:hAnsi="Arial"/>
          <w:sz w:val="20"/>
          <w:szCs w:val="20"/>
          <w:color w:val="auto"/>
        </w:rPr>
        <w:t>. Notwithstanding Section 3(a), a new Director nominee (who is not at the time of nomination a sitting Director) may make an initial election prior to or within 30 days following the date the nominee commences service as a Director and such election shall be effective for the Annual Equity RSUs earned following the later of the date the nominee commences services as a Director and the date the election form is provided to the Secretary of the Company.</w:t>
      </w:r>
    </w:p>
    <w:p>
      <w:pPr>
        <w:spacing w:after="0" w:line="218" w:lineRule="exact"/>
        <w:rPr>
          <w:rFonts w:ascii="Arial" w:cs="Arial" w:eastAsia="Arial" w:hAnsi="Arial"/>
          <w:sz w:val="20"/>
          <w:szCs w:val="20"/>
          <w:color w:val="auto"/>
        </w:rPr>
      </w:pPr>
    </w:p>
    <w:p>
      <w:pPr>
        <w:jc w:val="both"/>
        <w:ind w:firstLine="656"/>
        <w:spacing w:after="0" w:line="246" w:lineRule="auto"/>
        <w:tabs>
          <w:tab w:leader="none" w:pos="1155"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Manner of Election</w:t>
      </w:r>
      <w:r>
        <w:rPr>
          <w:rFonts w:ascii="Arial" w:cs="Arial" w:eastAsia="Arial" w:hAnsi="Arial"/>
          <w:sz w:val="20"/>
          <w:szCs w:val="20"/>
          <w:color w:val="auto"/>
        </w:rPr>
        <w:t xml:space="preserve"> . Unless otherwise determined by the Plan Administrator, a participant may elect to a Settlement Date for all, but not less than all, of such participant’s Annual Equity RSUs for a Plan Year within the time periods prescribed under this Section 3 by giving written notice on an election form provided by the Company, which notice shall specify (to the extent applicable) the Settlement Date elected under Section 4.</w:t>
      </w:r>
    </w:p>
    <w:p>
      <w:pPr>
        <w:spacing w:after="0" w:line="218" w:lineRule="exact"/>
        <w:rPr>
          <w:rFonts w:ascii="Arial" w:cs="Arial" w:eastAsia="Arial" w:hAnsi="Arial"/>
          <w:sz w:val="20"/>
          <w:szCs w:val="20"/>
          <w:color w:val="auto"/>
        </w:rPr>
      </w:pPr>
    </w:p>
    <w:p>
      <w:pPr>
        <w:jc w:val="both"/>
        <w:ind w:firstLine="656"/>
        <w:spacing w:after="0" w:line="259" w:lineRule="auto"/>
        <w:tabs>
          <w:tab w:leader="none" w:pos="130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Duration and Effect of Election</w:t>
      </w:r>
      <w:r>
        <w:rPr>
          <w:rFonts w:ascii="Arial" w:cs="Arial" w:eastAsia="Arial" w:hAnsi="Arial"/>
          <w:sz w:val="19"/>
          <w:szCs w:val="19"/>
          <w:color w:val="auto"/>
        </w:rPr>
        <w:t>. An election to defer Annual Equity RSUs shall become effective and binding on the participant once the Plan Year to which the election applies has commenced and, except as provided by this paragraph, once made, is irrevocable and may not be changed. An election for a Plan Year may be cancelled upon demonstration of an “unforeseeable emergency” (within the meaning of Section 409A) and with the concurrence of the Chairman of the Board. The Plan Administrator may in its discretion provide that elections may be evergreen and apply to all future Plan Years until revoked according to such procedures established by the Plan Administrator. However, any revocation will only apply to a future Plan Year.</w:t>
      </w:r>
    </w:p>
    <w:p>
      <w:pPr>
        <w:spacing w:after="0" w:line="199"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6"/>
          <w:szCs w:val="16"/>
          <w:b w:val="1"/>
          <w:bCs w:val="1"/>
          <w:u w:val="single" w:color="auto"/>
          <w:color w:val="auto"/>
        </w:rPr>
        <w:t>Settlement Date Election</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participant may elect the Settlement Date of his or her Annual Equity RSU for a Plan Year to be paid upon (i) a specified year in the future, between one (1) and ten (10) years following the date of grant,</w:t>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50" w:lineRule="auto"/>
        <w:rPr>
          <w:sz w:val="20"/>
          <w:szCs w:val="20"/>
          <w:color w:val="auto"/>
        </w:rPr>
      </w:pPr>
      <w:r>
        <w:rPr>
          <w:rFonts w:ascii="Arial" w:cs="Arial" w:eastAsia="Arial" w:hAnsi="Arial"/>
          <w:sz w:val="20"/>
          <w:szCs w:val="20"/>
          <w:color w:val="auto"/>
        </w:rPr>
        <w:t>provided the Settlement Date and payment will be made on the March 15 of the selected year (or the first business day immediately following March 15 if March 15 is not a business day) If a participant does not make an election under this Plan with respect to the Annual Equity RSUs, then that Annual Equity RSU will be paid as provided in the RSU Grant Agreement.</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8"/>
          <w:szCs w:val="18"/>
          <w:b w:val="1"/>
          <w:bCs w:val="1"/>
          <w:u w:val="single" w:color="auto"/>
          <w:color w:val="auto"/>
        </w:rPr>
        <w:t>Death or Disability Prior to Receipt</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event of a participant’s death or Disability prior to the date elected by the participant to receive the Shares underlying an Annual RSU Grant deferred hereunder, then such Shares shall be paid to the participant (or the participant’s estate or personal representative, as applicable) in a lump sum within sixty (60) days following the date of the participant’s death or Disability.</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6"/>
          <w:szCs w:val="16"/>
          <w:b w:val="1"/>
          <w:bCs w:val="1"/>
          <w:u w:val="single" w:color="auto"/>
          <w:color w:val="auto"/>
        </w:rPr>
        <w:t>Participant's Rights Unsecured</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Nothing in this Plan shall require the segregation of any assets of the Company or any type of funding by the Company, it being the intention of the parties that the Plan be an unfunded arrangement for federal income tax purposes. No participant shall have any rights to or interest in any specific assets or Shares by reason of the Plan, and any participant’s rights to enforce payment of the obligations of the Company hereunder shall be those of a general creditor of the Company.</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6"/>
          <w:szCs w:val="16"/>
          <w:b w:val="1"/>
          <w:bCs w:val="1"/>
          <w:u w:val="single" w:color="auto"/>
          <w:color w:val="auto"/>
        </w:rPr>
        <w:t>Assignability</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 right to receive payments hereunder shall be transferable or assignable by a participant, except by will or by the laws of descent and distribution. A participant may not sell, assign, transfer, pledge or otherwise encumber any interest in the participant’s Annual RSU Grant and any attempt to do so shall be void against, and shall not be recognized by, the Company.</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8"/>
          <w:szCs w:val="18"/>
          <w:b w:val="1"/>
          <w:bCs w:val="1"/>
          <w:u w:val="single" w:color="auto"/>
          <w:color w:val="auto"/>
        </w:rPr>
        <w:t>Administration</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Plan shall be administered by the Plan Administrator, who shall have the authority to adopt rules and regulations for carrying out the Plan and interpret, construe and implement the provisions of the Plan consistent with those applicable under the Equity Plan.</w:t>
      </w:r>
    </w:p>
    <w:p>
      <w:pPr>
        <w:spacing w:after="0" w:line="173"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8"/>
          <w:szCs w:val="18"/>
          <w:b w:val="1"/>
          <w:bCs w:val="1"/>
          <w:u w:val="single" w:color="auto"/>
          <w:color w:val="auto"/>
        </w:rPr>
        <w:t>Construction</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the extent applicable to a participant, the Plan is intended to comply with Section 409A and any regulations and guidance thereunder and shall be interpreted and administered in accordance with that intent. If any provision of the Plan would otherwise conflict with or frustrate this intent, that provision will be interpreted and deemed amended so as to avoid the conflict. The laws of the State of Delaware shall govern all questions of law arising with respect to the Plan, without regard to the choice of law principles of any jurisdiction that would result in the application of the laws of another jurisdiction. If any provision of the Plan is held to be illegal or void, such illegality or invalidity shall not affect the remaining provisions of the Plan, but shall be fully severable, and the Plan shall be construed and enforced as if the illegal or invalid provision had never been inserted.</w:t>
      </w:r>
    </w:p>
    <w:p>
      <w:pPr>
        <w:spacing w:after="0" w:line="214"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6"/>
          <w:szCs w:val="16"/>
          <w:b w:val="1"/>
          <w:bCs w:val="1"/>
          <w:u w:val="single" w:color="auto"/>
          <w:color w:val="auto"/>
        </w:rPr>
        <w:t>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1419" w:right="339" w:bottom="1440" w:gutter="0" w:footer="0" w:header="0"/>
        </w:sectPr>
      </w:pPr>
    </w:p>
    <w:bookmarkStart w:id="152" w:name="page153"/>
    <w:bookmarkEnd w:id="152"/>
    <w:p>
      <w:pPr>
        <w:jc w:val="both"/>
        <w:spacing w:after="0" w:line="257" w:lineRule="auto"/>
        <w:rPr>
          <w:sz w:val="20"/>
          <w:szCs w:val="20"/>
          <w:color w:val="auto"/>
        </w:rPr>
      </w:pPr>
      <w:r>
        <w:rPr>
          <w:rFonts w:ascii="Arial" w:cs="Arial" w:eastAsia="Arial" w:hAnsi="Arial"/>
          <w:sz w:val="19"/>
          <w:szCs w:val="19"/>
          <w:color w:val="auto"/>
        </w:rPr>
        <w:t>The Plan may at any time or from time to time be amended, modified or terminated by the Company. No amendment, modification or termination shall, without the consent of the participant, adversely affect any Annual RSU Grants deferred under this Plan , except that the Plan Administrator may terminate the Plan and distribute the Shares underlying any Annual RSU Grants deferred under this Plan to participants in accordance with and subject to the rules of Treas. Reg. Section 1.409A-3(j)(4)(ix), or successor provisions, and any generally applicable guidance issued by the Internal Revenue Service permitting such termination and distribution. The Plan Administrator may delegate to a committee consisting of at least three employees of the Company the authority to make technical amendments to the Plan and to establish procedures regarding elections hereunder.</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8"/>
          <w:szCs w:val="18"/>
          <w:b w:val="1"/>
          <w:bCs w:val="1"/>
          <w:u w:val="single" w:color="auto"/>
          <w:color w:val="auto"/>
        </w:rPr>
        <w:t>Definitions</w:t>
      </w:r>
    </w:p>
    <w:p>
      <w:pPr>
        <w:spacing w:after="0" w:line="249"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Equity RSUs</w:t>
      </w:r>
      <w:r>
        <w:rPr>
          <w:rFonts w:ascii="Arial" w:cs="Arial" w:eastAsia="Arial" w:hAnsi="Arial"/>
          <w:sz w:val="20"/>
          <w:szCs w:val="20"/>
          <w:color w:val="auto"/>
        </w:rPr>
        <w:t>” means the annual RSUs granted to a Director for serving as a member of the Board.</w:t>
      </w:r>
    </w:p>
    <w:p>
      <w:pPr>
        <w:spacing w:after="0" w:line="242" w:lineRule="exact"/>
        <w:rPr>
          <w:rFonts w:ascii="Arial" w:cs="Arial" w:eastAsia="Arial" w:hAnsi="Arial"/>
          <w:sz w:val="20"/>
          <w:szCs w:val="20"/>
          <w:color w:val="auto"/>
        </w:rPr>
      </w:pPr>
    </w:p>
    <w:p>
      <w:pPr>
        <w:jc w:val="both"/>
        <w:ind w:right="20" w:firstLine="656"/>
        <w:spacing w:after="0" w:line="250" w:lineRule="auto"/>
        <w:tabs>
          <w:tab w:leader="none" w:pos="12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212" w:lineRule="exact"/>
        <w:rPr>
          <w:rFonts w:ascii="Arial" w:cs="Arial" w:eastAsia="Arial" w:hAnsi="Arial"/>
          <w:sz w:val="20"/>
          <w:szCs w:val="20"/>
          <w:color w:val="auto"/>
        </w:rPr>
      </w:pPr>
    </w:p>
    <w:p>
      <w:pPr>
        <w:ind w:right="20" w:firstLine="656"/>
        <w:spacing w:after="0" w:line="260" w:lineRule="auto"/>
        <w:tabs>
          <w:tab w:leader="none" w:pos="1286"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Plan</w:t>
      </w:r>
      <w:r>
        <w:rPr>
          <w:rFonts w:ascii="Arial" w:cs="Arial" w:eastAsia="Arial" w:hAnsi="Arial"/>
          <w:sz w:val="20"/>
          <w:szCs w:val="20"/>
          <w:color w:val="auto"/>
        </w:rPr>
        <w:t>” means the Amended and Restated Company Incentive Award Plan (as it may be amended from time to time) or any successor plan.</w:t>
      </w:r>
    </w:p>
    <w:p>
      <w:pPr>
        <w:spacing w:after="0" w:line="203" w:lineRule="exact"/>
        <w:rPr>
          <w:rFonts w:ascii="Arial" w:cs="Arial" w:eastAsia="Arial" w:hAnsi="Arial"/>
          <w:sz w:val="20"/>
          <w:szCs w:val="20"/>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TechnipFMC PLC Directors Deferred Compensation Plan.</w:t>
      </w:r>
    </w:p>
    <w:p>
      <w:pPr>
        <w:spacing w:after="0" w:line="242" w:lineRule="exact"/>
        <w:rPr>
          <w:rFonts w:ascii="Arial" w:cs="Arial" w:eastAsia="Arial" w:hAnsi="Arial"/>
          <w:sz w:val="20"/>
          <w:szCs w:val="20"/>
          <w:color w:val="auto"/>
        </w:rPr>
      </w:pPr>
    </w:p>
    <w:p>
      <w:pPr>
        <w:ind w:right="20" w:firstLine="656"/>
        <w:spacing w:after="0" w:line="260" w:lineRule="auto"/>
        <w:tabs>
          <w:tab w:leader="none" w:pos="1286"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Administrator</w:t>
      </w:r>
      <w:r>
        <w:rPr>
          <w:rFonts w:ascii="Arial" w:cs="Arial" w:eastAsia="Arial" w:hAnsi="Arial"/>
          <w:sz w:val="20"/>
          <w:szCs w:val="20"/>
          <w:color w:val="auto"/>
        </w:rPr>
        <w:t>” means the Administrator of the Equity Plan, including any officer who may be delegated powers of the Administrator under Section 12.6 of the Equity Plan.</w:t>
      </w:r>
    </w:p>
    <w:p>
      <w:pPr>
        <w:spacing w:after="0" w:line="203" w:lineRule="exact"/>
        <w:rPr>
          <w:rFonts w:ascii="Arial" w:cs="Arial" w:eastAsia="Arial" w:hAnsi="Arial"/>
          <w:sz w:val="20"/>
          <w:szCs w:val="20"/>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Year</w:t>
      </w:r>
      <w:r>
        <w:rPr>
          <w:rFonts w:ascii="Arial" w:cs="Arial" w:eastAsia="Arial" w:hAnsi="Arial"/>
          <w:sz w:val="20"/>
          <w:szCs w:val="20"/>
          <w:color w:val="auto"/>
        </w:rPr>
        <w:t>” means a calendar year.</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RSU</w:t>
      </w:r>
      <w:r>
        <w:rPr>
          <w:rFonts w:ascii="Arial" w:cs="Arial" w:eastAsia="Arial" w:hAnsi="Arial"/>
          <w:sz w:val="20"/>
          <w:szCs w:val="20"/>
          <w:color w:val="auto"/>
        </w:rPr>
        <w:t>” means a stock-settled restricted stock unit granted under the Equity Plan.</w:t>
      </w:r>
    </w:p>
    <w:p>
      <w:pPr>
        <w:spacing w:after="0" w:line="242" w:lineRule="exact"/>
        <w:rPr>
          <w:rFonts w:ascii="Arial" w:cs="Arial" w:eastAsia="Arial" w:hAnsi="Arial"/>
          <w:sz w:val="20"/>
          <w:szCs w:val="20"/>
          <w:color w:val="auto"/>
        </w:rPr>
      </w:pPr>
    </w:p>
    <w:p>
      <w:pPr>
        <w:ind w:firstLine="656"/>
        <w:spacing w:after="0" w:line="260" w:lineRule="auto"/>
        <w:tabs>
          <w:tab w:leader="none" w:pos="12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RSU Grant Agreement</w:t>
      </w:r>
      <w:r>
        <w:rPr>
          <w:rFonts w:ascii="Arial" w:cs="Arial" w:eastAsia="Arial" w:hAnsi="Arial"/>
          <w:sz w:val="20"/>
          <w:szCs w:val="20"/>
          <w:color w:val="auto"/>
        </w:rPr>
        <w:t>” means the agreement between the Company and a Director which sets forth the terms and conditions of the participant’s Annual Equity RSUs.</w:t>
      </w:r>
    </w:p>
    <w:p>
      <w:pPr>
        <w:spacing w:after="0" w:line="203" w:lineRule="exact"/>
        <w:rPr>
          <w:rFonts w:ascii="Arial" w:cs="Arial" w:eastAsia="Arial" w:hAnsi="Arial"/>
          <w:sz w:val="20"/>
          <w:szCs w:val="20"/>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w:t>
      </w:r>
      <w:r>
        <w:rPr>
          <w:rFonts w:ascii="Arial" w:cs="Arial" w:eastAsia="Arial" w:hAnsi="Arial"/>
          <w:sz w:val="20"/>
          <w:szCs w:val="20"/>
          <w:color w:val="auto"/>
        </w:rPr>
        <w:t>” means Section 409A of the Internal Revenue Code of 1986, as amended.</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Shares</w:t>
      </w:r>
      <w:r>
        <w:rPr>
          <w:rFonts w:ascii="Arial" w:cs="Arial" w:eastAsia="Arial" w:hAnsi="Arial"/>
          <w:sz w:val="20"/>
          <w:szCs w:val="20"/>
          <w:color w:val="auto"/>
        </w:rPr>
        <w:t>” means the ordinary shares in the capital of the Company.</w:t>
      </w:r>
    </w:p>
    <w:p>
      <w:pPr>
        <w:spacing w:after="0" w:line="242" w:lineRule="exact"/>
        <w:rPr>
          <w:rFonts w:ascii="Arial" w:cs="Arial" w:eastAsia="Arial" w:hAnsi="Arial"/>
          <w:sz w:val="20"/>
          <w:szCs w:val="20"/>
          <w:color w:val="auto"/>
        </w:rPr>
      </w:pPr>
    </w:p>
    <w:p>
      <w:pPr>
        <w:ind w:firstLine="656"/>
        <w:spacing w:after="0" w:line="260" w:lineRule="auto"/>
        <w:tabs>
          <w:tab w:leader="none" w:pos="12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Date</w:t>
      </w:r>
      <w:r>
        <w:rPr>
          <w:rFonts w:ascii="Arial" w:cs="Arial" w:eastAsia="Arial" w:hAnsi="Arial"/>
          <w:sz w:val="20"/>
          <w:szCs w:val="20"/>
          <w:color w:val="auto"/>
        </w:rPr>
        <w:t>” has the meaning set forth in the RSU Grant Agreement as the date the Shares become payable under the Annual RSU Grant.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9" w:lineRule="exact"/>
        <w:rPr>
          <w:rFonts w:ascii="Arial" w:cs="Arial" w:eastAsia="Arial" w:hAnsi="Arial"/>
          <w:sz w:val="20"/>
          <w:szCs w:val="20"/>
          <w:color w:val="auto"/>
        </w:rPr>
      </w:pPr>
    </w:p>
    <w:p>
      <w:pPr>
        <w:ind w:left="5580" w:hanging="136"/>
        <w:spacing w:after="0"/>
        <w:tabs>
          <w:tab w:leader="none" w:pos="55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19"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21.1</w:t>
      </w:r>
    </w:p>
    <w:p>
      <w:pPr>
        <w:spacing w:after="0" w:line="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TechnipFMC plc</w:t>
            </w:r>
          </w:p>
        </w:tc>
      </w:tr>
      <w:tr>
        <w:trPr>
          <w:trHeight w:val="216"/>
        </w:trPr>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Significant Subsidiaries of the Registrant</w:t>
            </w:r>
          </w:p>
        </w:tc>
      </w:tr>
      <w:tr>
        <w:trPr>
          <w:trHeight w:val="239"/>
        </w:trPr>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December 31, 2020</w:t>
            </w:r>
          </w:p>
        </w:tc>
      </w:tr>
      <w:tr>
        <w:trPr>
          <w:trHeight w:val="797"/>
        </w:trPr>
        <w:tc>
          <w:tcPr>
            <w:tcW w:w="2420" w:type="dxa"/>
            <w:vAlign w:val="bottom"/>
            <w:gridSpan w:val="2"/>
          </w:tcPr>
          <w:p>
            <w:pPr>
              <w:spacing w:after="0"/>
              <w:rPr>
                <w:sz w:val="20"/>
                <w:szCs w:val="20"/>
                <w:color w:val="auto"/>
              </w:rPr>
            </w:pPr>
            <w:r>
              <w:rPr>
                <w:rFonts w:ascii="Arial" w:cs="Arial" w:eastAsia="Arial" w:hAnsi="Arial"/>
                <w:sz w:val="18"/>
                <w:szCs w:val="18"/>
                <w:color w:val="auto"/>
              </w:rPr>
              <w:t>Name of Company</w:t>
            </w:r>
          </w:p>
        </w:tc>
        <w:tc>
          <w:tcPr>
            <w:tcW w:w="3700" w:type="dxa"/>
            <w:vAlign w:val="bottom"/>
            <w:gridSpan w:val="2"/>
          </w:tcPr>
          <w:p>
            <w:pPr>
              <w:ind w:left="1760"/>
              <w:spacing w:after="0"/>
              <w:rPr>
                <w:sz w:val="20"/>
                <w:szCs w:val="20"/>
                <w:color w:val="auto"/>
              </w:rPr>
            </w:pPr>
            <w:r>
              <w:rPr>
                <w:rFonts w:ascii="Arial" w:cs="Arial" w:eastAsia="Arial" w:hAnsi="Arial"/>
                <w:sz w:val="18"/>
                <w:szCs w:val="18"/>
                <w:color w:val="auto"/>
                <w:w w:val="99"/>
              </w:rPr>
              <w:t>Country of Incorporation</w:t>
            </w:r>
          </w:p>
        </w:tc>
      </w:tr>
      <w:tr>
        <w:trPr>
          <w:trHeight w:val="20"/>
        </w:trPr>
        <w:tc>
          <w:tcPr>
            <w:tcW w:w="15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547"/>
        </w:trPr>
        <w:tc>
          <w:tcPr>
            <w:tcW w:w="2420" w:type="dxa"/>
            <w:vAlign w:val="bottom"/>
            <w:gridSpan w:val="2"/>
          </w:tcPr>
          <w:p>
            <w:pPr>
              <w:spacing w:after="0"/>
              <w:rPr>
                <w:sz w:val="20"/>
                <w:szCs w:val="20"/>
                <w:color w:val="auto"/>
              </w:rPr>
            </w:pPr>
            <w:r>
              <w:rPr>
                <w:rFonts w:ascii="Arial" w:cs="Arial" w:eastAsia="Arial" w:hAnsi="Arial"/>
                <w:sz w:val="18"/>
                <w:szCs w:val="18"/>
                <w:color w:val="auto"/>
                <w:w w:val="99"/>
              </w:rPr>
              <w:t>Technip Offshore International</w:t>
            </w:r>
          </w:p>
        </w:tc>
        <w:tc>
          <w:tcPr>
            <w:tcW w:w="3700" w:type="dxa"/>
            <w:vAlign w:val="bottom"/>
            <w:gridSpan w:val="2"/>
          </w:tcPr>
          <w:p>
            <w:pPr>
              <w:ind w:left="1760"/>
              <w:spacing w:after="0"/>
              <w:rPr>
                <w:sz w:val="20"/>
                <w:szCs w:val="20"/>
                <w:color w:val="auto"/>
              </w:rPr>
            </w:pPr>
            <w:r>
              <w:rPr>
                <w:rFonts w:ascii="Arial" w:cs="Arial" w:eastAsia="Arial" w:hAnsi="Arial"/>
                <w:sz w:val="18"/>
                <w:szCs w:val="18"/>
                <w:color w:val="auto"/>
              </w:rPr>
              <w:t>France</w:t>
            </w:r>
          </w:p>
        </w:tc>
      </w:tr>
      <w:tr>
        <w:trPr>
          <w:trHeight w:val="257"/>
        </w:trPr>
        <w:tc>
          <w:tcPr>
            <w:tcW w:w="2420" w:type="dxa"/>
            <w:vAlign w:val="bottom"/>
            <w:gridSpan w:val="2"/>
          </w:tcPr>
          <w:p>
            <w:pPr>
              <w:spacing w:after="0"/>
              <w:rPr>
                <w:sz w:val="20"/>
                <w:szCs w:val="20"/>
                <w:color w:val="auto"/>
              </w:rPr>
            </w:pPr>
            <w:r>
              <w:rPr>
                <w:rFonts w:ascii="Arial" w:cs="Arial" w:eastAsia="Arial" w:hAnsi="Arial"/>
                <w:sz w:val="18"/>
                <w:szCs w:val="18"/>
                <w:color w:val="auto"/>
                <w:w w:val="99"/>
              </w:rPr>
              <w:t>TechnipFMC Holdings Limited</w:t>
            </w:r>
          </w:p>
        </w:tc>
        <w:tc>
          <w:tcPr>
            <w:tcW w:w="3700" w:type="dxa"/>
            <w:vAlign w:val="bottom"/>
            <w:gridSpan w:val="2"/>
          </w:tcPr>
          <w:p>
            <w:pPr>
              <w:ind w:left="1760"/>
              <w:spacing w:after="0"/>
              <w:rPr>
                <w:sz w:val="20"/>
                <w:szCs w:val="20"/>
                <w:color w:val="auto"/>
              </w:rPr>
            </w:pPr>
            <w:r>
              <w:rPr>
                <w:rFonts w:ascii="Arial" w:cs="Arial" w:eastAsia="Arial" w:hAnsi="Arial"/>
                <w:sz w:val="18"/>
                <w:szCs w:val="18"/>
                <w:color w:val="auto"/>
              </w:rPr>
              <w:t>United Kingdom</w:t>
            </w:r>
          </w:p>
        </w:tc>
      </w:tr>
      <w:tr>
        <w:trPr>
          <w:trHeight w:val="257"/>
        </w:trPr>
        <w:tc>
          <w:tcPr>
            <w:tcW w:w="2420" w:type="dxa"/>
            <w:vAlign w:val="bottom"/>
            <w:gridSpan w:val="2"/>
          </w:tcPr>
          <w:p>
            <w:pPr>
              <w:spacing w:after="0"/>
              <w:rPr>
                <w:sz w:val="20"/>
                <w:szCs w:val="20"/>
                <w:color w:val="auto"/>
              </w:rPr>
            </w:pPr>
            <w:r>
              <w:rPr>
                <w:rFonts w:ascii="Arial" w:cs="Arial" w:eastAsia="Arial" w:hAnsi="Arial"/>
                <w:sz w:val="18"/>
                <w:szCs w:val="18"/>
                <w:color w:val="auto"/>
              </w:rPr>
              <w:t>FMC Technologies Inc</w:t>
            </w:r>
          </w:p>
        </w:tc>
        <w:tc>
          <w:tcPr>
            <w:tcW w:w="3700" w:type="dxa"/>
            <w:vAlign w:val="bottom"/>
            <w:gridSpan w:val="2"/>
          </w:tcPr>
          <w:p>
            <w:pPr>
              <w:ind w:left="1760"/>
              <w:spacing w:after="0"/>
              <w:rPr>
                <w:sz w:val="20"/>
                <w:szCs w:val="20"/>
                <w:color w:val="auto"/>
              </w:rPr>
            </w:pPr>
            <w:r>
              <w:rPr>
                <w:rFonts w:ascii="Arial" w:cs="Arial" w:eastAsia="Arial" w:hAnsi="Arial"/>
                <w:sz w:val="18"/>
                <w:szCs w:val="18"/>
                <w:color w:val="auto"/>
              </w:rPr>
              <w:t>United States</w:t>
            </w:r>
          </w:p>
        </w:tc>
      </w:tr>
      <w:tr>
        <w:trPr>
          <w:trHeight w:val="256"/>
        </w:trPr>
        <w:tc>
          <w:tcPr>
            <w:tcW w:w="2420" w:type="dxa"/>
            <w:vAlign w:val="bottom"/>
            <w:gridSpan w:val="2"/>
          </w:tcPr>
          <w:p>
            <w:pPr>
              <w:spacing w:after="0"/>
              <w:rPr>
                <w:sz w:val="20"/>
                <w:szCs w:val="20"/>
                <w:color w:val="auto"/>
              </w:rPr>
            </w:pPr>
            <w:r>
              <w:rPr>
                <w:rFonts w:ascii="Arial" w:cs="Arial" w:eastAsia="Arial" w:hAnsi="Arial"/>
                <w:sz w:val="18"/>
                <w:szCs w:val="18"/>
                <w:color w:val="auto"/>
              </w:rPr>
              <w:t>Technip USA Inc</w:t>
            </w:r>
          </w:p>
        </w:tc>
        <w:tc>
          <w:tcPr>
            <w:tcW w:w="3700" w:type="dxa"/>
            <w:vAlign w:val="bottom"/>
            <w:gridSpan w:val="2"/>
          </w:tcPr>
          <w:p>
            <w:pPr>
              <w:ind w:left="1760"/>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0120"/>
          </w:cols>
          <w:pgMar w:left="1440" w:top="886" w:right="339" w:bottom="1440" w:gutter="0" w:footer="0" w:header="0"/>
        </w:sectPr>
      </w:pPr>
    </w:p>
    <w:bookmarkStart w:id="154" w:name="page155"/>
    <w:bookmarkEnd w:id="154"/>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(333-216284) and on Form S-3 (No. 333-240355) of TechnipFMC plc of our report dated March 5, 2021 relating to the financial statements and financial statement schedule and the effectiveness of internal control over financial reporting, which appears in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ectPr>
          <w:pgSz w:w="11900" w:h="16838" w:orient="portrait"/>
          <w:cols w:equalWidth="0" w:num="1">
            <w:col w:w="11240"/>
          </w:cols>
          <w:pgMar w:left="320" w:top="1440"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2020 of TechnipFMC plc (the “registrant”);</w:t>
      </w:r>
    </w:p>
    <w:p>
      <w:pPr>
        <w:spacing w:after="0" w:line="167"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53" w:lineRule="auto"/>
        <w:tabs>
          <w:tab w:leader="none" w:pos="135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right="160" w:hanging="320"/>
        <w:spacing w:after="0" w:line="253" w:lineRule="auto"/>
        <w:tabs>
          <w:tab w:leader="none" w:pos="135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60" w:lineRule="auto"/>
        <w:tabs>
          <w:tab w:leader="none" w:pos="1345"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53" w:lineRule="auto"/>
        <w:tabs>
          <w:tab w:leader="none" w:pos="1354"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00" w:hanging="320"/>
        <w:spacing w:after="0" w:line="260" w:lineRule="auto"/>
        <w:tabs>
          <w:tab w:leader="none" w:pos="1345"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40" w:hanging="320"/>
        <w:spacing w:after="0" w:line="260" w:lineRule="auto"/>
        <w:tabs>
          <w:tab w:leader="none" w:pos="1345"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Date: March 5, 2021</w:t>
      </w:r>
    </w:p>
    <w:p>
      <w:pPr>
        <w:spacing w:after="0" w:line="208"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10795</wp:posOffset>
            </wp:positionV>
            <wp:extent cx="29921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1">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26"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Douglas J. Pferdehirt</w:t>
      </w:r>
    </w:p>
    <w:p>
      <w:pPr>
        <w:spacing w:after="0" w:line="32"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Executive Chairman and Chief Executive Officer</w:t>
      </w:r>
    </w:p>
    <w:p>
      <w:pPr>
        <w:spacing w:after="0" w:line="32"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 Alf Melin, certify that:</w:t>
      </w:r>
    </w:p>
    <w:p>
      <w:pPr>
        <w:spacing w:after="0" w:line="16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2020 of TechnipFMC plc (the “registrant”);</w:t>
      </w:r>
    </w:p>
    <w:p>
      <w:pPr>
        <w:spacing w:after="0" w:line="167"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53" w:lineRule="auto"/>
        <w:tabs>
          <w:tab w:leader="none" w:pos="1354"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left="1300" w:right="160" w:hanging="320"/>
        <w:spacing w:after="0" w:line="253" w:lineRule="auto"/>
        <w:tabs>
          <w:tab w:leader="none" w:pos="1354"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60" w:lineRule="auto"/>
        <w:tabs>
          <w:tab w:leader="none" w:pos="1345"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53" w:lineRule="auto"/>
        <w:tabs>
          <w:tab w:leader="none" w:pos="1354"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00" w:hanging="320"/>
        <w:spacing w:after="0" w:line="260" w:lineRule="auto"/>
        <w:tabs>
          <w:tab w:leader="none" w:pos="1345"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40" w:hanging="320"/>
        <w:spacing w:after="0" w:line="260" w:lineRule="auto"/>
        <w:tabs>
          <w:tab w:leader="none" w:pos="1345"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Date: March 5, 2021</w:t>
      </w:r>
    </w:p>
    <w:p>
      <w:pPr>
        <w:spacing w:after="0" w:line="208"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10795</wp:posOffset>
            </wp:positionV>
            <wp:extent cx="29921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2">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26" w:lineRule="exact"/>
        <w:rPr>
          <w:sz w:val="20"/>
          <w:szCs w:val="20"/>
          <w:color w:val="auto"/>
        </w:rPr>
      </w:pPr>
    </w:p>
    <w:p>
      <w:pPr>
        <w:ind w:left="8540"/>
        <w:spacing w:after="0"/>
        <w:rPr>
          <w:sz w:val="20"/>
          <w:szCs w:val="20"/>
          <w:color w:val="auto"/>
        </w:rPr>
      </w:pPr>
      <w:r>
        <w:rPr>
          <w:rFonts w:ascii="Arial" w:cs="Arial" w:eastAsia="Arial" w:hAnsi="Arial"/>
          <w:sz w:val="16"/>
          <w:szCs w:val="16"/>
          <w:color w:val="auto"/>
        </w:rPr>
        <w:t>Alf Melin</w:t>
      </w:r>
    </w:p>
    <w:p>
      <w:pPr>
        <w:spacing w:after="0" w:line="32"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89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Executive Chairman and Chief Executive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248" w:lineRule="exact"/>
        <w:rPr>
          <w:sz w:val="20"/>
          <w:szCs w:val="20"/>
          <w:color w:val="auto"/>
        </w:rPr>
      </w:pPr>
    </w:p>
    <w:p>
      <w:pPr>
        <w:ind w:right="140" w:firstLine="8"/>
        <w:spacing w:after="0" w:line="260" w:lineRule="auto"/>
        <w:tabs>
          <w:tab w:leader="none" w:pos="2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2020,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March 5, 2021</w:t>
      </w:r>
    </w:p>
    <w:p>
      <w:pPr>
        <w:spacing w:after="0" w:line="262"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10795</wp:posOffset>
            </wp:positionV>
            <wp:extent cx="29914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Douglas J. Pferdehirt</w:t>
      </w:r>
    </w:p>
    <w:p>
      <w:pPr>
        <w:spacing w:after="0" w:line="32" w:lineRule="exact"/>
        <w:rPr>
          <w:sz w:val="20"/>
          <w:szCs w:val="20"/>
          <w:color w:val="auto"/>
        </w:rPr>
      </w:pPr>
    </w:p>
    <w:p>
      <w:pPr>
        <w:jc w:val="center"/>
        <w:ind w:left="6480"/>
        <w:spacing w:after="0"/>
        <w:rPr>
          <w:sz w:val="20"/>
          <w:szCs w:val="20"/>
          <w:color w:val="auto"/>
        </w:rPr>
      </w:pPr>
      <w:r>
        <w:rPr>
          <w:rFonts w:ascii="Arial" w:cs="Arial" w:eastAsia="Arial" w:hAnsi="Arial"/>
          <w:sz w:val="16"/>
          <w:szCs w:val="16"/>
          <w:color w:val="auto"/>
        </w:rPr>
        <w:t>Executive Chairman and Chief Executive Officer</w:t>
      </w:r>
    </w:p>
    <w:p>
      <w:pPr>
        <w:spacing w:after="0" w:line="32" w:lineRule="exact"/>
        <w:rPr>
          <w:sz w:val="20"/>
          <w:szCs w:val="20"/>
          <w:color w:val="auto"/>
        </w:rPr>
      </w:pPr>
    </w:p>
    <w:p>
      <w:pPr>
        <w:jc w:val="center"/>
        <w:ind w:left="648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4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 Alf Melin, Executive Vice President and Chief Financial Officer of TechnipFMC plc (the “Company”), do hereby certify, pursuant to 18 U.S.C. Section 1350, as adopted pursuant to Section 906 of the Sarbanes-Oxley Act of 2002, that, to my knowledge:</w:t>
      </w:r>
    </w:p>
    <w:p>
      <w:pPr>
        <w:spacing w:after="0" w:line="222" w:lineRule="exact"/>
        <w:rPr>
          <w:sz w:val="20"/>
          <w:szCs w:val="20"/>
          <w:color w:val="auto"/>
        </w:rPr>
      </w:pPr>
    </w:p>
    <w:p>
      <w:pPr>
        <w:ind w:right="140" w:firstLine="8"/>
        <w:spacing w:after="0" w:line="260" w:lineRule="auto"/>
        <w:tabs>
          <w:tab w:leader="none" w:pos="24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2020, as filed with the Securities and Exchange Commission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260" w:hanging="252"/>
        <w:spacing w:after="0"/>
        <w:tabs>
          <w:tab w:leader="none" w:pos="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March 5, 2021</w:t>
      </w:r>
    </w:p>
    <w:p>
      <w:pPr>
        <w:spacing w:after="0" w:line="262"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10795</wp:posOffset>
            </wp:positionV>
            <wp:extent cx="32575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Alf Melin</w:t>
      </w:r>
    </w:p>
    <w:p>
      <w:pPr>
        <w:spacing w:after="0" w:line="32"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lowerLetter"/>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endash "/>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lowerLetter"/>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Letter"/>
      <w:start w:val="1"/>
    </w:lvl>
  </w:abstractNum>
  <w:abstractNum w:abstractNumId="38">
    <w:nsid w:val="39386575"/>
    <w:multiLevelType w:val="hybridMultilevel"/>
    <w:lvl w:ilvl="0">
      <w:lvlJc w:val="left"/>
      <w:lvlText w:val="(%1)"/>
      <w:numFmt w:val="lowerLetter"/>
      <w:start w:val="2"/>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lowerLetter"/>
      <w:start w:val="2"/>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lowerLetter"/>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lowerLetter"/>
      <w:start w:val="1"/>
    </w:lvl>
    <w:lvl w:ilvl="1">
      <w:lvlJc w:val="left"/>
      <w:lvlText w:val="%2."/>
      <w:numFmt w:val="decimal"/>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
      <w:numFmt w:val="bullet"/>
      <w:start w:val="1"/>
    </w:lvl>
    <w:lvl w:ilvl="1">
      <w:lvlJc w:val="left"/>
      <w:lvlText w:val="%2"/>
      <w:numFmt w:val="decimal"/>
      <w:start w:val="104"/>
    </w:lvl>
  </w:abstractNum>
  <w:abstractNum w:abstractNumId="67">
    <w:nsid w:val="799D0247"/>
    <w:multiLevelType w:val="hybridMultilevel"/>
    <w:lvl w:ilvl="0">
      <w:lvlJc w:val="left"/>
      <w:lvlText w:val="**"/>
      <w:numFmt w:val="bullet"/>
      <w:start w:val="1"/>
    </w:lvl>
    <w:lvl w:ilvl="1">
      <w:lvlJc w:val="left"/>
      <w:lvlText w:val="%2"/>
      <w:numFmt w:val="decimal"/>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
    </w:lvl>
    <w:lvl w:ilvl="1">
      <w:lvlJc w:val="left"/>
      <w:lvlText w:val="-"/>
      <w:numFmt w:val="bullet"/>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lowerLetter"/>
      <w:start w:val="1"/>
    </w:lvl>
  </w:abstractNum>
  <w:abstractNum w:abstractNumId="73">
    <w:nsid w:val="5DC79E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230" Type="http://schemas.openxmlformats.org/officeDocument/2006/relationships/image" Target="media/image167.png"/><Relationship Id="rId231" Type="http://schemas.openxmlformats.org/officeDocument/2006/relationships/image" Target="media/image168.png"/><Relationship Id="rId232"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172" Type="http://schemas.openxmlformats.org/officeDocument/2006/relationships/hyperlink" Target="http://www.sec.gov/Archives/edgar/data/1681459/000119312516743942/d213233ds4a.htm#rom213233_155" TargetMode="External"/><Relationship Id="rId173" Type="http://schemas.openxmlformats.org/officeDocument/2006/relationships/hyperlink" Target="http://www.sec.gov/Archives/edgar/data/1681459/000119312516793136/d263181dex21.htm" TargetMode="External"/><Relationship Id="rId174" Type="http://schemas.openxmlformats.org/officeDocument/2006/relationships/hyperlink" Target="http://www.sec.gov/Archives/edgar/data/1681459/000119312516793136/d263181dex22.htm" TargetMode="External"/><Relationship Id="rId175" Type="http://schemas.openxmlformats.org/officeDocument/2006/relationships/hyperlink" Target="http://www.sec.gov/Archives/edgar/data/1681459/000119312517010409/d320389dex31.htm" TargetMode="External"/><Relationship Id="rId176" Type="http://schemas.openxmlformats.org/officeDocument/2006/relationships/hyperlink" Target="http://www.sec.gov/Archives/edgar/data/1681459/000119312517102258/d369644dex41.htm" TargetMode="External"/><Relationship Id="rId177" Type="http://schemas.openxmlformats.org/officeDocument/2006/relationships/hyperlink" Target="http://www.sec.gov/Archives/edgar/data/1681459/000119312517102258/d369644dex43.htm" TargetMode="External"/><Relationship Id="rId178" Type="http://schemas.openxmlformats.org/officeDocument/2006/relationships/hyperlink" Target="http://www.sec.gov/Archives/edgar/data/1681459/000114036121002673/nt10016372x8_ex4-1.htm" TargetMode="External"/><Relationship Id="rId179" Type="http://schemas.openxmlformats.org/officeDocument/2006/relationships/hyperlink" Target="http://www.sec.gov/Archives/edgar/data/1681459/000114036121004982/nt10016372x18_ex4-1.htm" TargetMode="External"/><Relationship Id="rId180" Type="http://schemas.openxmlformats.org/officeDocument/2006/relationships/hyperlink" Target="http://www.sec.gov/Archives/edgar/data/1681459/000168145920000004/technipfmc20191231ex42.htm" TargetMode="External"/><Relationship Id="rId181" Type="http://schemas.openxmlformats.org/officeDocument/2006/relationships/hyperlink" Target="http://www.sec.gov/Archives/edgar/data/1135152/000119312510044365/dex109.htm" TargetMode="External"/><Relationship Id="rId182" Type="http://schemas.openxmlformats.org/officeDocument/2006/relationships/hyperlink" Target="http://www.sec.gov/Archives/edgar/data/1135152/000119312509221455/dex109.htm" TargetMode="External"/><Relationship Id="rId183" Type="http://schemas.openxmlformats.org/officeDocument/2006/relationships/hyperlink" Target="http://www.sec.gov/Archives/edgar/data/1135152/000113515216000039/exhibit1014b.htm" TargetMode="External"/><Relationship Id="rId184" Type="http://schemas.openxmlformats.org/officeDocument/2006/relationships/hyperlink" Target="http://www.sec.gov/Archives/edgar/data/1681459/000168145919000011/technipfmc20181231ex102.htm" TargetMode="External"/><Relationship Id="rId185" Type="http://schemas.openxmlformats.org/officeDocument/2006/relationships/hyperlink" Target="http://www.sec.gov/Archives/edgar/data/1681459/000168145917000244/technipfmc20170630ex101.htm" TargetMode="External"/><Relationship Id="rId186" Type="http://schemas.openxmlformats.org/officeDocument/2006/relationships/hyperlink" Target="http://www.sec.gov/Archives/edgar/data/1681459/000168145919000064/technipfmc2019331ex101.htm" TargetMode="External"/><Relationship Id="rId187" Type="http://schemas.openxmlformats.org/officeDocument/2006/relationships/hyperlink" Target="http://www.sec.gov/Archives/edgar/data/1681459/000168145920000083/technipfmc2020331ex101.htm" TargetMode="External"/><Relationship Id="rId188" Type="http://schemas.openxmlformats.org/officeDocument/2006/relationships/hyperlink" Target="http://www.sec.gov/Archives/edgar/data/1681459/000168145917000244/technipfmc20170630ex102.htm" TargetMode="External"/><Relationship Id="rId189" Type="http://schemas.openxmlformats.org/officeDocument/2006/relationships/hyperlink" Target="http://www.sec.gov/Archives/edgar/data/1681459/000168145917000244/technipfmc20170630ex103.htm" TargetMode="External"/><Relationship Id="rId190" Type="http://schemas.openxmlformats.org/officeDocument/2006/relationships/hyperlink" Target="http://www.sec.gov/Archives/edgar/data/1681459/000168145919000064/technipfmc2019331ex102.htm" TargetMode="External"/><Relationship Id="rId191" Type="http://schemas.openxmlformats.org/officeDocument/2006/relationships/hyperlink" Target="http://www.sec.gov/Archives/edgar/data/1681459/000168145920000083/technipfmc2020331ex102.htm" TargetMode="External"/><Relationship Id="rId192" Type="http://schemas.openxmlformats.org/officeDocument/2006/relationships/hyperlink" Target="http://www.sec.gov/Archives/edgar/data/1681459/000168145917000244/technipfmc20170630ex104.htm" TargetMode="External"/><Relationship Id="rId193" Type="http://schemas.openxmlformats.org/officeDocument/2006/relationships/hyperlink" Target="http://www.sec.gov/Archives/edgar/data/1681459/000168145919000064/technipfmc2019331ex103.htm" TargetMode="External"/><Relationship Id="rId194" Type="http://schemas.openxmlformats.org/officeDocument/2006/relationships/hyperlink" Target="http://www.sec.gov/Archives/edgar/data/1681459/000119312517059320/d348554dex994.htm" TargetMode="External"/><Relationship Id="rId195" Type="http://schemas.openxmlformats.org/officeDocument/2006/relationships/hyperlink" Target="http://www.sec.gov/Archives/edgar/data/1681459/000119312517059320/d348554dex995.htm" TargetMode="External"/><Relationship Id="rId196" Type="http://schemas.openxmlformats.org/officeDocument/2006/relationships/hyperlink" Target="http://www.sec.gov/Archives/edgar/data/1681459/000119312517059320/d348554dex996.htm" TargetMode="External"/><Relationship Id="rId197" Type="http://schemas.openxmlformats.org/officeDocument/2006/relationships/hyperlink" Target="http://www.sec.gov/Archives/edgar/data/1681459/000119312517059320/d348554dex997.htm" TargetMode="External"/><Relationship Id="rId198" Type="http://schemas.openxmlformats.org/officeDocument/2006/relationships/hyperlink" Target="http://www.sec.gov/Archives/edgar/data/1681459/000119312517059320/d348554dex998.htm" TargetMode="External"/><Relationship Id="rId199" Type="http://schemas.openxmlformats.org/officeDocument/2006/relationships/hyperlink" Target="http://www.sec.gov/Archives/edgar/data/1681459/000119312517059320/d348554dex999.htm" TargetMode="External"/><Relationship Id="rId200" Type="http://schemas.openxmlformats.org/officeDocument/2006/relationships/hyperlink" Target="http://www.sec.gov/Archives/edgar/data/1681459/000119312517059320/d348554dex9910.htm" TargetMode="External"/><Relationship Id="rId201" Type="http://schemas.openxmlformats.org/officeDocument/2006/relationships/hyperlink" Target="http://www.sec.gov/Archives/edgar/data/1681459/000119312517059320/d348554dex9911.htm" TargetMode="External"/><Relationship Id="rId202" Type="http://schemas.openxmlformats.org/officeDocument/2006/relationships/hyperlink" Target="http://www.sec.gov/Archives/edgar/data/1681459/000119312517059320/d348554dex9912.htm" TargetMode="External"/><Relationship Id="rId203" Type="http://schemas.openxmlformats.org/officeDocument/2006/relationships/hyperlink" Target="http://www.sec.gov/Archives/edgar/data/1681459/000168145920000123/exhibit101-execseveran.htm" TargetMode="External"/><Relationship Id="rId204" Type="http://schemas.openxmlformats.org/officeDocument/2006/relationships/hyperlink" Target="http://www.sec.gov/Archives/edgar/data/1681459/000168145918000049/technipfmc20171231ex1021.htm" TargetMode="External"/><Relationship Id="rId205" Type="http://schemas.openxmlformats.org/officeDocument/2006/relationships/hyperlink" Target="http://www.sec.gov/Archives/edgar/data/1681459/000168145918000049/technipfmc20171231ex1022.htm" TargetMode="External"/><Relationship Id="rId206" Type="http://schemas.openxmlformats.org/officeDocument/2006/relationships/hyperlink" Target="http://www.sec.gov/Archives/edgar/data/1681459/000119312517010409/d320389dex102.htm" TargetMode="External"/><Relationship Id="rId207" Type="http://schemas.openxmlformats.org/officeDocument/2006/relationships/hyperlink" Target="http://www.sec.gov/Archives/edgar/data/1681459/000119312517010409/d320389dex103.htm" TargetMode="External"/><Relationship Id="rId208" Type="http://schemas.openxmlformats.org/officeDocument/2006/relationships/hyperlink" Target="http://www.sec.gov/Archives/edgar/data/1681459/000119312517010419/d320443dex102.htm" TargetMode="External"/><Relationship Id="rId209" Type="http://schemas.openxmlformats.org/officeDocument/2006/relationships/hyperlink" Target="http://www.sec.gov/Archives/edgar/data/1681459/000119312517010419/d320443dex103.htm" TargetMode="External"/><Relationship Id="rId210" Type="http://schemas.openxmlformats.org/officeDocument/2006/relationships/hyperlink" Target="http://www.sec.gov/Archives/edgar/data/1681459/000119312517010419/d320443dex104.htm" TargetMode="External"/><Relationship Id="rId211" Type="http://schemas.openxmlformats.org/officeDocument/2006/relationships/hyperlink" Target="http://www.sec.gov/Archives/edgar/data/1681459/000119312517010419/d320443dex101.htm" TargetMode="External"/><Relationship Id="rId212" Type="http://schemas.openxmlformats.org/officeDocument/2006/relationships/hyperlink" Target="http://www.sec.gov/Archives/edgar/data/1681459/000119312517289503/d602718dex101.htm" TargetMode="External"/><Relationship Id="rId213" Type="http://schemas.openxmlformats.org/officeDocument/2006/relationships/hyperlink" Target="http://www.sec.gov/Archives/edgar/data/1681459/000114036121000939/nt10016372x4_ex10-1.htm" TargetMode="External"/><Relationship Id="rId214" Type="http://schemas.openxmlformats.org/officeDocument/2006/relationships/hyperlink" Target="http://www.sec.gov/Archives/edgar/data/1681459/000114036121000939/nt10016372x4_ex10-2.htm" TargetMode="External"/><Relationship Id="rId215" Type="http://schemas.openxmlformats.org/officeDocument/2006/relationships/hyperlink" Target="http://www.sec.gov/Archives/edgar/data/1681459/000114036121000939/nt10016372x4_ex10-3.htm" TargetMode="External"/><Relationship Id="rId216" Type="http://schemas.openxmlformats.org/officeDocument/2006/relationships/hyperlink" Target="http://www.sec.gov/Archives/edgar/data/1681459/000114036121000939/nt10016372x4_ex10-4.htm" TargetMode="External"/><Relationship Id="rId217" Type="http://schemas.openxmlformats.org/officeDocument/2006/relationships/hyperlink" Target="http://www.sec.gov/Archives/edgar/data/1681459/000168145920000085/exhibit101-ccffxdealer.htm" TargetMode="External"/><Relationship Id="rId218" Type="http://schemas.openxmlformats.org/officeDocument/2006/relationships/hyperlink" Target="http://www.sec.gov/Archives/edgar/data/1681459/000168145920000085/exhibit102-ccffxipaagr.htm" TargetMode="External"/><Relationship Id="rId219" Type="http://schemas.openxmlformats.org/officeDocument/2006/relationships/hyperlink" Target="http://www.sec.gov/Archives/edgar/data/1681459/000168145920000085/exhibit103-facilityagr.htm" TargetMode="External"/><Relationship Id="rId220" Type="http://schemas.openxmlformats.org/officeDocument/2006/relationships/hyperlink" Target="http://www.sec.gov/Archives/edgar/data/1681459/000114036120013799/ex10_2.htm" TargetMode="External"/><Relationship Id="rId221" Type="http://schemas.openxmlformats.org/officeDocument/2006/relationships/hyperlink" Target="http://www.sec.gov/Archives/edgar/data/1681459/000114036120013799/ex10_1.htm" TargetMode="External"/><Relationship Id="rId222" Type="http://schemas.openxmlformats.org/officeDocument/2006/relationships/hyperlink" Target="http://www.sec.gov/Archives/edgar/data/1681459/000114036121004982/nt10016372x18_ex10-1.htm" TargetMode="External"/><Relationship Id="rId223" Type="http://schemas.openxmlformats.org/officeDocument/2006/relationships/hyperlink" Target="http://www.sec.gov/Archives/edgar/data/1681459/000114036121004982/nt10016372x18_ex10-2.htm" TargetMode="External"/><Relationship Id="rId224" Type="http://schemas.openxmlformats.org/officeDocument/2006/relationships/hyperlink" Target="http://www.sec.gov/Archives/edgar/data/1681459/000114036121004982/nt10016372x18_ex10-3.htm" TargetMode="External"/><Relationship Id="rId225" Type="http://schemas.openxmlformats.org/officeDocument/2006/relationships/hyperlink" Target="http://www.sec.gov/Archives/edgar/data/1681459/000114036121004982/nt10016372x18_ex10-4.htm" TargetMode="External"/><Relationship Id="rId226" Type="http://schemas.openxmlformats.org/officeDocument/2006/relationships/hyperlink" Target="http://www.sec.gov/Archives/edgar/data/1681459/000114036121004982/nt10016372x18_ex10-5.htm" TargetMode="External"/><Relationship Id="rId227" Type="http://schemas.openxmlformats.org/officeDocument/2006/relationships/hyperlink" Target="http://www.sec.gov/Archives/edgar/data/1681459/000114036121004982/nt10016372x18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2021-03-05T15:53:47Z</dcterms:created>
  <dcterms:modified xsi:type="dcterms:W3CDTF">2021-03-05T15:53:47Z</dcterms:modified>
</cp:coreProperties>
</file>