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677" w:hAnchor="page" w:vAnchor="page" w:x="280" w:y="110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(however, see the Notes).</w:t>
      </w:r>
    </w:p>
    <w:p>
      <w:pPr>
        <w:pStyle w:val="Normal"/>
        <w:framePr w:w="14249" w:hAnchor="page" w:vAnchor="page" w:x="280" w:y="107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Exchange Act of 1934 (“Act”) or otherwise subject to the liabilities of that section of the Act but shall be subject to all other provisions of the Act</w:t>
      </w:r>
    </w:p>
    <w:p>
      <w:pPr>
        <w:pStyle w:val="Normal"/>
        <w:framePr w:w="13768" w:hAnchor="page" w:vAnchor="page" w:x="280" w:y="105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information required in the remainder of this cover page shall not be deemed to be “filed” for the purpose of Section 18 of the Securities</w:t>
      </w:r>
    </w:p>
    <w:p>
      <w:pPr>
        <w:pStyle w:val="Normal"/>
        <w:framePr w:w="13229" w:hAnchor="page" w:vAnchor="page" w:x="280" w:y="100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securities, and for any subsequent amendment containing information which would alter the disclosures provided in a prior cover page.</w:t>
      </w:r>
    </w:p>
    <w:p>
      <w:pPr>
        <w:pStyle w:val="Normal"/>
        <w:framePr w:w="13429" w:hAnchor="page" w:vAnchor="page" w:x="280" w:y="98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* The remainder of this cover page shall be filled out for a reporting person’s initial filing on this form with respect to the subject class of</w:t>
      </w:r>
    </w:p>
    <w:p>
      <w:pPr>
        <w:pStyle w:val="Normal"/>
        <w:framePr w:w="573" w:hAnchor="page" w:vAnchor="page" w:x="280" w:y="93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[X]</w:t>
      </w:r>
    </w:p>
    <w:p>
      <w:pPr>
        <w:pStyle w:val="Normal"/>
        <w:framePr w:w="1594" w:hAnchor="page" w:vAnchor="page" w:x="1001" w:y="93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Rule 13d-1(d)</w:t>
      </w:r>
    </w:p>
    <w:p>
      <w:pPr>
        <w:pStyle w:val="Normal"/>
        <w:framePr w:w="580" w:hAnchor="page" w:vAnchor="page" w:x="280" w:y="88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[   ]</w:t>
      </w:r>
    </w:p>
    <w:p>
      <w:pPr>
        <w:pStyle w:val="Normal"/>
        <w:framePr w:w="1580" w:hAnchor="page" w:vAnchor="page" w:x="1001" w:y="88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Rule 13d-1(c)</w:t>
      </w:r>
    </w:p>
    <w:p>
      <w:pPr>
        <w:pStyle w:val="Normal"/>
        <w:framePr w:w="2534" w:hAnchor="page" w:vAnchor="page" w:x="280" w:y="83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[   ]          Rule 13d-1(b)</w:t>
      </w:r>
    </w:p>
    <w:p>
      <w:pPr>
        <w:pStyle w:val="Normal"/>
        <w:framePr w:w="8695" w:hAnchor="page" w:vAnchor="page" w:x="280" w:y="79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to designate the rule pursuant to which this Schedule is filed:</w:t>
      </w:r>
    </w:p>
    <w:p>
      <w:pPr>
        <w:pStyle w:val="Normal"/>
        <w:framePr w:w="5668" w:hAnchor="page" w:vAnchor="page" w:x="3858" w:y="74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(Date of Event Which Requires Filing of this Statement)</w:t>
      </w:r>
    </w:p>
    <w:p>
      <w:pPr>
        <w:pStyle w:val="Normal"/>
        <w:framePr w:w="2180" w:hAnchor="page" w:vAnchor="page" w:x="5312" w:y="71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2021</w:t>
      </w:r>
    </w:p>
    <w:p>
      <w:pPr>
        <w:pStyle w:val="Normal"/>
        <w:framePr w:w="1927" w:hAnchor="page" w:vAnchor="page" w:x="5417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(CUSIP Number)</w:t>
      </w:r>
    </w:p>
    <w:p>
      <w:pPr>
        <w:pStyle w:val="Normal"/>
        <w:framePr w:w="1374" w:hAnchor="page" w:vAnchor="page" w:x="5648" w:y="64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87854Y109</w:t>
      </w:r>
    </w:p>
    <w:p>
      <w:pPr>
        <w:pStyle w:val="Normal"/>
        <w:framePr w:w="2952" w:hAnchor="page" w:vAnchor="page" w:x="4990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(Title of Class of Securities)</w:t>
      </w:r>
    </w:p>
    <w:p>
      <w:pPr>
        <w:pStyle w:val="Normal"/>
        <w:framePr w:w="5154" w:hAnchor="page" w:vAnchor="page" w:x="4073" w:y="57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Ordinary Shares, €0.01 nominal value per share</w:t>
      </w:r>
    </w:p>
    <w:p>
      <w:pPr>
        <w:pStyle w:val="Normal"/>
        <w:framePr w:w="1927" w:hAnchor="page" w:vAnchor="page" w:x="5417" w:y="52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(Name of Issuer)</w:t>
      </w:r>
    </w:p>
    <w:p>
      <w:pPr>
        <w:pStyle w:val="Normal"/>
        <w:framePr w:w="5520" w:hAnchor="page" w:vAnchor="page" w:x="3851" w:y="4716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Technip Energies N.V.</w:t>
      </w:r>
    </w:p>
    <w:p>
      <w:pPr>
        <w:pStyle w:val="Normal"/>
        <w:framePr w:w="2180" w:hAnchor="page" w:vAnchor="page" w:x="5311" w:y="42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(Amendment No. )*</w:t>
      </w:r>
    </w:p>
    <w:p>
      <w:pPr>
        <w:pStyle w:val="Normal"/>
        <w:framePr w:w="6124" w:hAnchor="page" w:vAnchor="page" w:x="3668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UNDER THE SECURITIES EXCHANGE ACT OF 1934</w:t>
      </w:r>
    </w:p>
    <w:p>
      <w:pPr>
        <w:pStyle w:val="Normal"/>
        <w:framePr w:w="2681" w:hAnchor="page" w:vAnchor="page" w:x="5103" w:y="32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Pursuant to § 240.13d-2</w:t>
      </w:r>
    </w:p>
    <w:p>
      <w:pPr>
        <w:pStyle w:val="Normal"/>
        <w:framePr w:w="6472" w:hAnchor="page" w:vAnchor="page" w:x="3524" w:y="30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to § 240.13d-1(b), (c) and (d) and Amendments Thereto Filed</w:t>
      </w:r>
    </w:p>
    <w:p>
      <w:pPr>
        <w:pStyle w:val="Normal"/>
        <w:framePr w:w="6063" w:hAnchor="page" w:vAnchor="page" w:x="3694" w:y="27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Information to be Included in Statements Filed Pursuant</w:t>
      </w:r>
    </w:p>
    <w:p>
      <w:pPr>
        <w:pStyle w:val="Normal"/>
        <w:framePr w:w="1754" w:hAnchor="page" w:vAnchor="page" w:x="5489" w:y="23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(Rule 13d-102)</w:t>
      </w:r>
    </w:p>
    <w:p>
      <w:pPr>
        <w:pStyle w:val="Normal"/>
        <w:framePr w:w="2719" w:hAnchor="page" w:vAnchor="page" w:x="5064" w:y="1656"/>
        <w:widowControl w:val="off"/>
        <w:autoSpaceDE w:val="off"/>
        <w:autoSpaceDN w:val="off"/>
        <w:spacing w:before="0" w:after="0" w:line="39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  <w:t>Schedule 13G</w:t>
      </w:r>
    </w:p>
    <w:p>
      <w:pPr>
        <w:pStyle w:val="Normal"/>
        <w:framePr w:w="2987" w:hAnchor="page" w:vAnchor="page" w:x="4882" w:y="1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5229" w:hAnchor="page" w:vAnchor="page" w:x="3883" w:y="826"/>
        <w:widowControl w:val="off"/>
        <w:autoSpaceDE w:val="off"/>
        <w:autoSpaceDN w:val="off"/>
        <w:spacing w:before="0" w:after="0" w:line="3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  <w:t>Securities and Exchange Commission</w:t>
      </w:r>
    </w:p>
    <w:p>
      <w:pPr>
        <w:pStyle w:val="Normal"/>
        <w:framePr w:w="2062" w:hAnchor="page" w:vAnchor="page" w:x="5322" w:y="496"/>
        <w:widowControl w:val="off"/>
        <w:autoSpaceDE w:val="off"/>
        <w:autoSpaceDN w:val="off"/>
        <w:spacing w:before="0" w:after="0" w:line="3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pt;z-index:-16777208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pt;z-index:-1677720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17.5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40.05pt;z-index:-16777196;width:586pt;height:18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56.55pt;z-index:-16777192;width:58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82.05pt;z-index:-16777188;width:586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234.45pt;z-index:-16777184;width:586pt;height:2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pt;margin-top:566.95pt;z-index:-16777180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566.95pt;z-index:-1677717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575.25pt;z-index:-16777172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pt;margin-top:588.75pt;z-index:-1677716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265.2pt;margin-top:23.5pt;z-index:-16777164;width:81.5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</w:p>
    <w:p>
      <w:pPr>
        <w:pStyle w:val="Normal"/>
        <w:framePr w:w="600" w:hAnchor="page" w:vAnchor="page" w:x="1646" w:y="117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</w:t>
      </w:r>
    </w:p>
    <w:p>
      <w:pPr>
        <w:pStyle w:val="Normal"/>
        <w:framePr w:w="480" w:hAnchor="page" w:vAnchor="page" w:x="1001" w:y="112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</w:t>
      </w:r>
    </w:p>
    <w:p>
      <w:pPr>
        <w:pStyle w:val="Normal"/>
        <w:framePr w:w="2711" w:hAnchor="page" w:vAnchor="page" w:x="1646" w:y="112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Type of Reporting Person</w:t>
      </w:r>
    </w:p>
    <w:p>
      <w:pPr>
        <w:pStyle w:val="Normal"/>
        <w:framePr w:w="900" w:hAnchor="page" w:vAnchor="page" w:x="1646" w:y="107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12.2%</w:t>
      </w:r>
    </w:p>
    <w:p>
      <w:pPr>
        <w:pStyle w:val="Normal"/>
        <w:framePr w:w="471" w:hAnchor="page" w:vAnchor="page" w:x="1001" w:y="102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11</w:t>
      </w:r>
    </w:p>
    <w:p>
      <w:pPr>
        <w:pStyle w:val="Normal"/>
        <w:framePr w:w="5135" w:hAnchor="page" w:vAnchor="page" w:x="1646" w:y="102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Percent of Class Represented by Amount in Row 9</w:t>
      </w:r>
    </w:p>
    <w:p>
      <w:pPr>
        <w:pStyle w:val="Normal"/>
        <w:framePr w:w="1781" w:hAnchor="page" w:vAnchor="page" w:x="1646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80" w:hAnchor="page" w:vAnchor="page" w:x="1001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</w:t>
      </w:r>
    </w:p>
    <w:p>
      <w:pPr>
        <w:pStyle w:val="Normal"/>
        <w:framePr w:w="6828" w:hAnchor="page" w:vAnchor="page" w:x="1646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if the Aggregate Amount in Row (9) Excludes Certain Shares</w:t>
      </w:r>
    </w:p>
    <w:p>
      <w:pPr>
        <w:pStyle w:val="Normal"/>
        <w:framePr w:w="1321" w:hAnchor="page" w:vAnchor="page" w:x="1646" w:y="877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21,850,495</w:t>
      </w:r>
    </w:p>
    <w:p>
      <w:pPr>
        <w:pStyle w:val="Normal"/>
        <w:framePr w:w="360" w:hAnchor="page" w:vAnchor="page" w:x="1001" w:y="82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</w:t>
      </w:r>
    </w:p>
    <w:p>
      <w:pPr>
        <w:pStyle w:val="Normal"/>
        <w:framePr w:w="6648" w:hAnchor="page" w:vAnchor="page" w:x="1646" w:y="82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Aggregate Amount Beneficially Owned by Each Reporting Person</w:t>
      </w:r>
    </w:p>
    <w:p>
      <w:pPr>
        <w:pStyle w:val="Normal"/>
        <w:framePr w:w="360" w:hAnchor="page" w:vAnchor="page" w:x="4607" w:y="77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</w:t>
      </w:r>
    </w:p>
    <w:p>
      <w:pPr>
        <w:pStyle w:val="Normal"/>
        <w:framePr w:w="360" w:hAnchor="page" w:vAnchor="page" w:x="3838" w:y="73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</w:t>
      </w:r>
    </w:p>
    <w:p>
      <w:pPr>
        <w:pStyle w:val="Normal"/>
        <w:framePr w:w="2734" w:hAnchor="page" w:vAnchor="page" w:x="4589" w:y="73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Shared Dispositive Power</w:t>
      </w:r>
    </w:p>
    <w:p>
      <w:pPr>
        <w:pStyle w:val="Normal"/>
        <w:framePr w:w="1321" w:hAnchor="page" w:vAnchor="page" w:x="4589" w:y="67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21,850,495</w:t>
      </w:r>
    </w:p>
    <w:p>
      <w:pPr>
        <w:pStyle w:val="Normal"/>
        <w:framePr w:w="1424" w:hAnchor="page" w:vAnchor="page" w:x="280" w:y="65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 With</w:t>
      </w:r>
    </w:p>
    <w:p>
      <w:pPr>
        <w:pStyle w:val="Normal"/>
        <w:framePr w:w="2040" w:hAnchor="page" w:vAnchor="page" w:x="280" w:y="630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Each Reporting</w:t>
      </w:r>
    </w:p>
    <w:p>
      <w:pPr>
        <w:pStyle w:val="Normal"/>
        <w:framePr w:w="360" w:hAnchor="page" w:vAnchor="page" w:x="3838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</w:t>
      </w:r>
    </w:p>
    <w:p>
      <w:pPr>
        <w:pStyle w:val="Normal"/>
        <w:framePr w:w="2494" w:hAnchor="page" w:vAnchor="page" w:x="4589" w:y="63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Sole Dispositive Power</w:t>
      </w:r>
    </w:p>
    <w:p>
      <w:pPr>
        <w:pStyle w:val="Normal"/>
        <w:framePr w:w="2167" w:hAnchor="page" w:vAnchor="page" w:x="280" w:y="60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Beneficially Owned</w:t>
      </w:r>
    </w:p>
    <w:p>
      <w:pPr>
        <w:pStyle w:val="Normal"/>
        <w:framePr w:w="1987" w:hAnchor="page" w:vAnchor="page" w:x="280" w:y="58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Number of Shares</w:t>
      </w:r>
    </w:p>
    <w:p>
      <w:pPr>
        <w:pStyle w:val="Normal"/>
        <w:framePr w:w="360" w:hAnchor="page" w:vAnchor="page" w:x="4589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</w:t>
      </w:r>
    </w:p>
    <w:p>
      <w:pPr>
        <w:pStyle w:val="Normal"/>
        <w:framePr w:w="360" w:hAnchor="page" w:vAnchor="page" w:x="3838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</w:t>
      </w:r>
    </w:p>
    <w:p>
      <w:pPr>
        <w:pStyle w:val="Normal"/>
        <w:framePr w:w="2276" w:hAnchor="page" w:vAnchor="page" w:x="4589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Shared Voting Power</w:t>
      </w:r>
    </w:p>
    <w:p>
      <w:pPr>
        <w:pStyle w:val="Normal"/>
        <w:framePr w:w="1321" w:hAnchor="page" w:vAnchor="page" w:x="4607" w:y="48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21,850,495</w:t>
      </w:r>
    </w:p>
    <w:p>
      <w:pPr>
        <w:pStyle w:val="Normal"/>
        <w:framePr w:w="360" w:hAnchor="page" w:vAnchor="page" w:x="3838" w:y="43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</w:t>
      </w:r>
    </w:p>
    <w:p>
      <w:pPr>
        <w:pStyle w:val="Normal"/>
        <w:framePr w:w="2036" w:hAnchor="page" w:vAnchor="page" w:x="4589" w:y="43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Sole Voting Power</w:t>
      </w:r>
    </w:p>
    <w:p>
      <w:pPr>
        <w:pStyle w:val="Normal"/>
        <w:framePr w:w="1954" w:hAnchor="page" w:vAnchor="page" w:x="1646" w:y="38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360" w:hAnchor="page" w:vAnchor="page" w:x="1001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4</w:t>
      </w:r>
    </w:p>
    <w:p>
      <w:pPr>
        <w:pStyle w:val="Normal"/>
        <w:framePr w:w="3743" w:hAnchor="page" w:vAnchor="page" w:x="1646" w:y="33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Citizenship or Place of Organization</w:t>
      </w:r>
    </w:p>
    <w:p>
      <w:pPr>
        <w:pStyle w:val="Normal"/>
        <w:framePr w:w="360" w:hAnchor="page" w:vAnchor="page" w:x="1001" w:y="25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</w:t>
      </w:r>
    </w:p>
    <w:p>
      <w:pPr>
        <w:pStyle w:val="Normal"/>
        <w:framePr w:w="1654" w:hAnchor="page" w:vAnchor="page" w:x="1646" w:y="25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 Use Only</w:t>
      </w:r>
    </w:p>
    <w:p>
      <w:pPr>
        <w:pStyle w:val="Normal"/>
        <w:framePr w:w="860" w:hAnchor="page" w:vAnchor="page" w:x="11443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[  ]</w:t>
      </w:r>
    </w:p>
    <w:p>
      <w:pPr>
        <w:pStyle w:val="Normal"/>
        <w:framePr w:w="846" w:hAnchor="page" w:vAnchor="page" w:x="11455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[  ]</w:t>
      </w:r>
    </w:p>
    <w:p>
      <w:pPr>
        <w:pStyle w:val="Normal"/>
        <w:framePr w:w="360" w:hAnchor="page" w:vAnchor="page" w:x="100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</w:t>
      </w:r>
    </w:p>
    <w:p>
      <w:pPr>
        <w:pStyle w:val="Normal"/>
        <w:framePr w:w="5234" w:hAnchor="page" w:vAnchor="page" w:x="1646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if a Member of a Group</w:t>
      </w:r>
    </w:p>
    <w:p>
      <w:pPr>
        <w:pStyle w:val="Normal"/>
        <w:framePr w:w="1972" w:hAnchor="page" w:vAnchor="page" w:x="1646" w:y="13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360" w:hAnchor="page" w:vAnchor="page" w:x="1001" w:y="8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</w:t>
      </w:r>
    </w:p>
    <w:p>
      <w:pPr>
        <w:pStyle w:val="Normal"/>
        <w:framePr w:w="2994" w:hAnchor="page" w:vAnchor="page" w:x="1646" w:y="8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Names of Reporting Persons</w:t>
      </w:r>
    </w:p>
    <w:p>
      <w:pPr>
        <w:pStyle w:val="Normal"/>
        <w:framePr w:w="2528" w:hAnchor="page" w:vAnchor="page" w:x="490" w:y="3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49" w:y="3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10844" w:y="3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1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pt;margin-top:1pt;z-index:-167771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401.1pt;margin-top:13pt;z-index:-16777156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401.1pt;margin-top:26.5pt;z-index:-16777152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595.5pt;margin-top:13pt;z-index:-16777148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06.65pt;margin-top:13pt;z-index:-16777144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206.65pt;margin-top:26.5pt;z-index:-16777140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401.1pt;margin-top:13pt;z-index:-16777136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3pt;margin-top:13pt;z-index:-16777132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26.5pt;z-index:-16777128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13pt;z-index:-16777124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06.65pt;margin-top:13pt;z-index:-16777120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81.3pt;margin-top:610.5pt;z-index:-16777116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pt;margin-top:610.5pt;z-index:-16777112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81.3pt;margin-top:560.95pt;z-index:-16777108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pt;margin-top:560.95pt;z-index:-16777104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81.3pt;margin-top:511.45pt;z-index:-16777100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3pt;margin-top:511.45pt;z-index:-16777096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81.3pt;margin-top:412.35pt;z-index:-16777092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81.3pt;margin-top:461.9pt;z-index:-16777088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pt;margin-top:461.9pt;z-index:-16777084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pt;margin-top:412.35pt;z-index:-16777080;width: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28.45pt;margin-top:412.35pt;z-index:-16777076;width:367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54.85pt;margin-top:412.35pt;z-index:-16777072;width:75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28.45pt;margin-top:362.8pt;z-index:-16777068;width:367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54.85pt;margin-top:362.8pt;z-index:-16777064;width:75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28.45pt;margin-top:313.25pt;z-index:-16777060;width:367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54.85pt;margin-top:313.25pt;z-index:-16777056;width:75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594pt;margin-top:214.2pt;z-index:-16777052;width: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28.45pt;margin-top:214.2pt;z-index:-16777048;width:367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28.45pt;margin-top:263.7pt;z-index:-16777044;width:367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54.85pt;margin-top:214.2pt;z-index:-16777040;width:75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54.85pt;margin-top:263.7pt;z-index:-16777036;width:75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214.2pt;z-index:-16777032;width:143.8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3pt;margin-top:412.35pt;z-index:-16777028;width:143.8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81.3pt;margin-top:214.2pt;z-index:-16777024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214.2pt;z-index:-16777020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81.3pt;margin-top:164.65pt;z-index:-16777016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3pt;margin-top:164.65pt;z-index:-16777012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1.3pt;margin-top:127.1pt;z-index:-16777008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127.1pt;z-index:-16777004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1.3pt;margin-top:40.05pt;z-index:-16777000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81.3pt;margin-top:77.55pt;z-index:-16776996;width:517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40.05pt;z-index:-16776992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3pt;margin-top:77.55pt;z-index:-16776988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3pt;margin-top:645.8pt;z-index:-1677698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</w:p>
    <w:p>
      <w:pPr>
        <w:pStyle w:val="Normal"/>
        <w:framePr w:w="6222" w:hAnchor="page" w:vAnchor="page" w:x="1721" w:y="135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(iv)   Shared power to dispose or to direct the disposition of: 0</w:t>
      </w:r>
    </w:p>
    <w:p>
      <w:pPr>
        <w:pStyle w:val="Normal"/>
        <w:framePr w:w="6943" w:hAnchor="page" w:vAnchor="page" w:x="1721" w:y="130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(iii)   Sole power to dispose or to direct the disposition of: 21,850,495</w:t>
      </w:r>
    </w:p>
    <w:p>
      <w:pPr>
        <w:pStyle w:val="Normal"/>
        <w:framePr w:w="4768" w:hAnchor="page" w:vAnchor="page" w:x="1721" w:y="125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(ii)    Shared power to vote or direct the vote: 0</w:t>
      </w:r>
    </w:p>
    <w:p>
      <w:pPr>
        <w:pStyle w:val="Normal"/>
        <w:framePr w:w="467" w:hAnchor="page" w:vAnchor="page" w:x="1721" w:y="121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(i)</w:t>
      </w:r>
    </w:p>
    <w:p>
      <w:pPr>
        <w:pStyle w:val="Normal"/>
        <w:framePr w:w="5195" w:hAnchor="page" w:vAnchor="page" w:x="2172" w:y="121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Sole power to vote or to direct the vote: 21,850,495</w:t>
      </w:r>
    </w:p>
    <w:p>
      <w:pPr>
        <w:pStyle w:val="Normal"/>
        <w:framePr w:w="5458" w:hAnchor="page" w:vAnchor="page" w:x="1361" w:y="116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(c)     Number of shares as to which the person has:</w:t>
      </w:r>
    </w:p>
    <w:p>
      <w:pPr>
        <w:pStyle w:val="Normal"/>
        <w:framePr w:w="3176" w:hAnchor="page" w:vAnchor="page" w:x="1361" w:y="111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(b)     Percent of class: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12.2%</w:t>
      </w:r>
    </w:p>
    <w:p>
      <w:pPr>
        <w:pStyle w:val="Normal"/>
        <w:framePr w:w="6469" w:hAnchor="page" w:vAnchor="page" w:x="1361" w:y="106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(a)     Amount beneficially owned: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21,850,495 Ordinary Shares</w:t>
      </w:r>
    </w:p>
    <w:p>
      <w:pPr>
        <w:pStyle w:val="Normal"/>
        <w:framePr w:w="5373" w:hAnchor="page" w:vAnchor="page" w:x="280" w:y="101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PAR_20210318_07140_EUR, dated March 18, 2021.</w:t>
      </w:r>
    </w:p>
    <w:p>
      <w:pPr>
        <w:pStyle w:val="Normal"/>
        <w:framePr w:w="11335" w:hAnchor="page" w:vAnchor="page" w:x="280" w:y="99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179,827,459 Ordinary Shares issued as of March 22, 2021, as reported in Euronext Corporate Event Notice number</w:t>
      </w:r>
    </w:p>
    <w:p>
      <w:pPr>
        <w:pStyle w:val="Normal"/>
        <w:framePr w:w="12529" w:hAnchor="page" w:vAnchor="page" w:x="1001" w:y="97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ownership information below represents beneficial ownership of the Ordinary Shares as of December 31, 2021, based upon</w:t>
      </w:r>
    </w:p>
    <w:p>
      <w:pPr>
        <w:pStyle w:val="Normal"/>
        <w:framePr w:w="1120" w:hAnchor="page" w:vAnchor="page" w:x="280" w:y="92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4.</w:t>
      </w:r>
    </w:p>
    <w:p>
      <w:pPr>
        <w:pStyle w:val="Normal"/>
        <w:framePr w:w="1434" w:hAnchor="page" w:vAnchor="page" w:x="1286" w:y="92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Ownership.</w:t>
      </w:r>
    </w:p>
    <w:p>
      <w:pPr>
        <w:pStyle w:val="Normal"/>
        <w:framePr w:w="1707" w:hAnchor="page" w:vAnchor="page" w:x="1001" w:y="87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82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3.</w:t>
      </w:r>
    </w:p>
    <w:p>
      <w:pPr>
        <w:pStyle w:val="Normal"/>
        <w:framePr w:w="1374" w:hAnchor="page" w:vAnchor="page" w:x="2442" w:y="77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87854Y109</w:t>
      </w:r>
    </w:p>
    <w:p>
      <w:pPr>
        <w:pStyle w:val="Normal"/>
        <w:framePr w:w="506" w:hAnchor="page" w:vAnchor="page" w:x="1286" w:y="73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(e)</w:t>
      </w:r>
    </w:p>
    <w:p>
      <w:pPr>
        <w:pStyle w:val="Normal"/>
        <w:framePr w:w="1954" w:hAnchor="page" w:vAnchor="page" w:x="2007" w:y="73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CUSIP Number:</w:t>
      </w:r>
    </w:p>
    <w:p>
      <w:pPr>
        <w:pStyle w:val="Normal"/>
        <w:framePr w:w="6847" w:hAnchor="page" w:vAnchor="page" w:x="2442" w:y="68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Ordinary shares, €0.01 nominal value per share (“Ordinary Shares”).</w:t>
      </w:r>
    </w:p>
    <w:p>
      <w:pPr>
        <w:pStyle w:val="Normal"/>
        <w:framePr w:w="533" w:hAnchor="page" w:vAnchor="page" w:x="1286" w:y="63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(d)</w:t>
      </w:r>
    </w:p>
    <w:p>
      <w:pPr>
        <w:pStyle w:val="Normal"/>
        <w:framePr w:w="2983" w:hAnchor="page" w:vAnchor="page" w:x="2007" w:y="63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Title of Class of Securities:</w:t>
      </w:r>
    </w:p>
    <w:p>
      <w:pPr>
        <w:pStyle w:val="Normal"/>
        <w:framePr w:w="7324" w:hAnchor="page" w:vAnchor="page" w:x="2442" w:y="58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Reporting Person is organized under the laws of the United Kingdom</w:t>
      </w:r>
    </w:p>
    <w:p>
      <w:pPr>
        <w:pStyle w:val="Normal"/>
        <w:framePr w:w="506" w:hAnchor="page" w:vAnchor="page" w:x="1286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(c)</w:t>
      </w:r>
    </w:p>
    <w:p>
      <w:pPr>
        <w:pStyle w:val="Normal"/>
        <w:framePr w:w="1481" w:hAnchor="page" w:vAnchor="page" w:x="2007" w:y="53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Citizenship:</w:t>
      </w:r>
    </w:p>
    <w:p>
      <w:pPr>
        <w:pStyle w:val="Normal"/>
        <w:framePr w:w="2168" w:hAnchor="page" w:vAnchor="page" w:x="2442" w:y="49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Kingdom NE6 3PL.</w:t>
      </w:r>
    </w:p>
    <w:p>
      <w:pPr>
        <w:pStyle w:val="Normal"/>
        <w:framePr w:w="11269" w:hAnchor="page" w:vAnchor="page" w:x="2442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business address of the Reporting Person is Hadrian House, Wincomblee Road, Newcastle Upon Tyne, United</w:t>
      </w:r>
    </w:p>
    <w:p>
      <w:pPr>
        <w:pStyle w:val="Normal"/>
        <w:framePr w:w="533" w:hAnchor="page" w:vAnchor="page" w:x="1286" w:y="41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(b)</w:t>
      </w:r>
    </w:p>
    <w:p>
      <w:pPr>
        <w:pStyle w:val="Normal"/>
        <w:framePr w:w="4077" w:hAnchor="page" w:vAnchor="page" w:x="2007" w:y="41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Address or Principal Business Office:</w:t>
      </w:r>
    </w:p>
    <w:p>
      <w:pPr>
        <w:pStyle w:val="Normal"/>
        <w:framePr w:w="7798" w:hAnchor="page" w:vAnchor="page" w:x="2442" w:y="37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statement is filed on behalf of TechnipFMC plc (the “Reporting Person”).</w:t>
      </w:r>
    </w:p>
    <w:p>
      <w:pPr>
        <w:pStyle w:val="Normal"/>
        <w:framePr w:w="4697" w:hAnchor="page" w:vAnchor="page" w:x="280" w:y="3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2.     (a)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Name of Person Filing:</w:t>
      </w:r>
    </w:p>
    <w:p>
      <w:pPr>
        <w:pStyle w:val="Normal"/>
        <w:framePr w:w="3187" w:hAnchor="page" w:vAnchor="page" w:x="2442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92741 Nanterre Cedex, France</w:t>
      </w:r>
    </w:p>
    <w:p>
      <w:pPr>
        <w:pStyle w:val="Normal"/>
        <w:framePr w:w="1254" w:hAnchor="page" w:vAnchor="page" w:x="2442" w:y="25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CS 10266,</w:t>
      </w:r>
    </w:p>
    <w:p>
      <w:pPr>
        <w:pStyle w:val="Normal"/>
        <w:framePr w:w="3167" w:hAnchor="page" w:vAnchor="page" w:x="2442" w:y="22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2126, boulevard de la Défense</w:t>
      </w:r>
    </w:p>
    <w:p>
      <w:pPr>
        <w:pStyle w:val="Normal"/>
        <w:framePr w:w="533" w:hAnchor="page" w:vAnchor="page" w:x="1286" w:y="17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(b)</w:t>
      </w:r>
    </w:p>
    <w:p>
      <w:pPr>
        <w:pStyle w:val="Normal"/>
        <w:framePr w:w="5119" w:hAnchor="page" w:vAnchor="page" w:x="2007" w:y="17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Address of Issuer’s Principal Executive Offices:</w:t>
      </w:r>
    </w:p>
    <w:p>
      <w:pPr>
        <w:pStyle w:val="Normal"/>
        <w:framePr w:w="3821" w:hAnchor="page" w:vAnchor="page" w:x="2442" w:y="13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 Energies N.V. (the “Issuer”).</w:t>
      </w:r>
    </w:p>
    <w:p>
      <w:pPr>
        <w:pStyle w:val="Normal"/>
        <w:framePr w:w="3957" w:hAnchor="page" w:vAnchor="page" w:x="280" w:y="8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1.     (a)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Name of Issuer:</w:t>
      </w:r>
    </w:p>
    <w:p>
      <w:pPr>
        <w:pStyle w:val="Normal"/>
        <w:framePr w:w="2528" w:hAnchor="page" w:vAnchor="page" w:x="490" w:y="3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49" w:y="3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10844" w:y="3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2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7pt;margin-top:1pt;z-index:-167769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01.1pt;margin-top:13pt;z-index:-16776976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401.1pt;margin-top:26.5pt;z-index:-16776972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595.5pt;margin-top:13pt;z-index:-16776968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06.65pt;margin-top:13pt;z-index:-16776964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206.65pt;margin-top:26.5pt;z-index:-16776960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01.1pt;margin-top:13pt;z-index:-16776956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pt;margin-top:13pt;z-index:-16776952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pt;margin-top:26.5pt;z-index:-16776948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3pt;margin-top:13pt;z-index:-16776944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06.65pt;margin-top:13pt;z-index:-16776940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710.35pt;z-index:-1677693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707" w:hAnchor="page" w:vAnchor="page" w:x="1001" w:y="61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241" w:hAnchor="page" w:vAnchor="page" w:x="280" w:y="56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10.</w:t>
      </w:r>
    </w:p>
    <w:p>
      <w:pPr>
        <w:pStyle w:val="Normal"/>
        <w:framePr w:w="1607" w:hAnchor="page" w:vAnchor="page" w:x="1721" w:y="56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Certification.</w:t>
      </w:r>
    </w:p>
    <w:p>
      <w:pPr>
        <w:pStyle w:val="Normal"/>
        <w:framePr w:w="1707" w:hAnchor="page" w:vAnchor="page" w:x="1001" w:y="51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9.</w:t>
      </w:r>
    </w:p>
    <w:p>
      <w:pPr>
        <w:pStyle w:val="Normal"/>
        <w:framePr w:w="3417" w:hAnchor="page" w:vAnchor="page" w:x="1286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Notice of Dissolution of Group.</w:t>
      </w:r>
    </w:p>
    <w:p>
      <w:pPr>
        <w:pStyle w:val="Normal"/>
        <w:framePr w:w="1707" w:hAnchor="page" w:vAnchor="page" w:x="1001" w:y="41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37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8.</w:t>
      </w:r>
    </w:p>
    <w:p>
      <w:pPr>
        <w:pStyle w:val="Normal"/>
        <w:framePr w:w="6251" w:hAnchor="page" w:vAnchor="page" w:x="1286" w:y="37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Identification and Classification of Members of the Group.</w:t>
      </w:r>
    </w:p>
    <w:p>
      <w:pPr>
        <w:pStyle w:val="Normal"/>
        <w:framePr w:w="1707" w:hAnchor="page" w:vAnchor="page" w:x="1001" w:y="3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287" w:hAnchor="page" w:vAnchor="page" w:x="1286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Company.</w:t>
      </w:r>
    </w:p>
    <w:p>
      <w:pPr>
        <w:pStyle w:val="Normal"/>
        <w:framePr w:w="1120" w:hAnchor="page" w:vAnchor="page" w:x="280" w:y="25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7.</w:t>
      </w:r>
    </w:p>
    <w:p>
      <w:pPr>
        <w:pStyle w:val="Normal"/>
        <w:framePr w:w="12718" w:hAnchor="page" w:vAnchor="page" w:x="1286" w:y="25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Identification and Classification of the Subsidiary Which Acquired the Security Being Reported on By the Parent Holding</w:t>
      </w:r>
    </w:p>
    <w:p>
      <w:pPr>
        <w:pStyle w:val="Normal"/>
        <w:framePr w:w="1707" w:hAnchor="page" w:vAnchor="page" w:x="1001" w:y="20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6.</w:t>
      </w:r>
    </w:p>
    <w:p>
      <w:pPr>
        <w:pStyle w:val="Normal"/>
        <w:framePr w:w="7160" w:hAnchor="page" w:vAnchor="page" w:x="1286" w:y="15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Ownership of More than Five Percent on Behalf of Another Person.</w:t>
      </w:r>
    </w:p>
    <w:p>
      <w:pPr>
        <w:pStyle w:val="Normal"/>
        <w:framePr w:w="1707" w:hAnchor="page" w:vAnchor="page" w:x="1001" w:y="10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5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5.</w:t>
      </w:r>
    </w:p>
    <w:p>
      <w:pPr>
        <w:pStyle w:val="Normal"/>
        <w:framePr w:w="4884" w:hAnchor="page" w:vAnchor="page" w:x="1286" w:y="5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Ownership of Five Percent or Less of a Class.</w:t>
      </w:r>
    </w:p>
    <w:p>
      <w:pPr>
        <w:pStyle w:val="Normal"/>
        <w:framePr w:w="2528" w:hAnchor="page" w:vAnchor="page" w:x="490" w:y="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49" w:y="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10844" w:y="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3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01.1pt;margin-top:1pt;z-index:-16776928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401.1pt;margin-top:14.5pt;z-index:-16776924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595.5pt;margin-top:1pt;z-index:-16776920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06.65pt;margin-top:1pt;z-index:-16776916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06.65pt;margin-top:14.5pt;z-index:-16776912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01.1pt;margin-top:1pt;z-index:-16776908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1pt;z-index:-16776904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14.5pt;z-index:-16776900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3pt;margin-top:1pt;z-index:-16776896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06.65pt;margin-top:1pt;z-index:-16776892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3pt;margin-top:338.05pt;z-index:-1677688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</w:p>
    <w:p>
      <w:pPr>
        <w:pStyle w:val="Normal"/>
        <w:framePr w:w="752" w:hAnchor="page" w:vAnchor="page" w:x="6120" w:y="32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</w:t>
      </w:r>
    </w:p>
    <w:p>
      <w:pPr>
        <w:pStyle w:val="Normal"/>
        <w:framePr w:w="4049" w:hAnchor="page" w:vAnchor="page" w:x="6811" w:y="32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EVP, Chief Legal Officer and Secretary</w:t>
      </w:r>
    </w:p>
    <w:p>
      <w:pPr>
        <w:pStyle w:val="Normal"/>
        <w:framePr w:w="2447" w:hAnchor="page" w:vAnchor="page" w:x="6120" w:y="30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  Victoria Lazar</w:t>
      </w:r>
    </w:p>
    <w:p>
      <w:pPr>
        <w:pStyle w:val="Normal"/>
        <w:framePr w:w="587" w:hAnchor="page" w:vAnchor="page" w:x="6120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</w:t>
      </w:r>
    </w:p>
    <w:p>
      <w:pPr>
        <w:pStyle w:val="Normal"/>
        <w:framePr w:w="1906" w:hAnchor="page" w:vAnchor="page" w:x="6811" w:y="27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Victoria Lazar</w:t>
      </w:r>
    </w:p>
    <w:p>
      <w:pPr>
        <w:pStyle w:val="Normal"/>
        <w:framePr w:w="1972" w:hAnchor="page" w:vAnchor="page" w:x="6120" w:y="22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2614" w:hAnchor="page" w:vAnchor="page" w:x="280" w:y="17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Date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: February 14, 2021</w:t>
      </w:r>
    </w:p>
    <w:p>
      <w:pPr>
        <w:pStyle w:val="Normal"/>
        <w:framePr w:w="2313" w:hAnchor="page" w:vAnchor="page" w:x="280" w:y="13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complete and correct.</w:t>
      </w:r>
    </w:p>
    <w:p>
      <w:pPr>
        <w:pStyle w:val="Normal"/>
        <w:framePr w:w="12849" w:hAnchor="page" w:vAnchor="page" w:x="1001" w:y="10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After reasonable inquiry and to the best of my knowledge and belief, I certify that the information set forth in this statement is true,</w:t>
      </w:r>
    </w:p>
    <w:p>
      <w:pPr>
        <w:pStyle w:val="Normal"/>
        <w:framePr w:w="1650" w:hAnchor="page" w:vAnchor="page" w:x="5533" w:y="5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SIGNATURE</w:t>
      </w:r>
    </w:p>
    <w:p>
      <w:pPr>
        <w:pStyle w:val="Normal"/>
        <w:framePr w:w="2528" w:hAnchor="page" w:vAnchor="page" w:x="490" w:y="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49" w:y="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10844" w:y="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4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7pt;margin-top:1pt;z-index:-16776884;width:598pt;height:20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01.1pt;margin-top:1pt;z-index:-16776880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401.1pt;margin-top:14.5pt;z-index:-16776876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95.5pt;margin-top:1pt;z-index:-16776872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06.65pt;margin-top:1pt;z-index:-16776868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06.65pt;margin-top:14.5pt;z-index:-16776864;width:197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401.1pt;margin-top:1pt;z-index:-16776860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pt;margin-top:1pt;z-index:-16776856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14.5pt;z-index:-16776852;width:197.1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3pt;margin-top:1pt;z-index:-16776848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06.65pt;margin-top:1pt;z-index:-16776844;width: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9.55pt;margin-top:148.85pt;z-index:-16776840;width:259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3pt;margin-top:191.65pt;z-index:-1677683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styles.xml" Type="http://schemas.openxmlformats.org/officeDocument/2006/relationships/styles"/><Relationship Id="rId97" Target="fontTable.xml" Type="http://schemas.openxmlformats.org/officeDocument/2006/relationships/fontTable"/><Relationship Id="rId98" Target="settings.xml" Type="http://schemas.openxmlformats.org/officeDocument/2006/relationships/settings"/><Relationship Id="rId99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696</Words>
  <Characters>3530</Characters>
  <Application>e-iceblue</Application>
  <DocSecurity>0</DocSecurity>
  <Lines>147</Lines>
  <Paragraphs>147</Paragraphs>
  <ScaleCrop>false</ScaleCrop>
  <Company>e-iceblue</Company>
  <LinksUpToDate>false</LinksUpToDate>
  <CharactersWithSpaces>4141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2022-02-15T12:37:32Z</dcterms:created>
  <dc:creator>root</dc:creator>
  <cp:lastModifiedBy>root</cp:lastModifiedBy>
  <dcterms:modified xsi:type="dcterms:W3CDTF">2022-02-15T12:37:32Z</dcterms:modified>
  <cp:revision>1</cp:revision>
</cp:coreProperties>
</file>