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29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2945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Beitler Bradley D.</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TECHNIPFMC PLC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10/27/2017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99"/>
        <w:spacing w:after="0"/>
        <w:rPr>
          <w:sz w:val="20"/>
          <w:szCs w:val="20"/>
          <w:color w:val="auto"/>
        </w:rPr>
      </w:pPr>
      <w:r>
        <w:rPr>
          <w:rFonts w:ascii="Arial" w:cs="Arial" w:eastAsia="Arial" w:hAnsi="Arial"/>
          <w:sz w:val="17"/>
          <w:szCs w:val="17"/>
          <w:color w:val="0000FF"/>
        </w:rPr>
        <w:t>EVP, Technology and R&amp;D</w:t>
      </w:r>
    </w:p>
    <w:p>
      <w:pPr>
        <w:spacing w:after="0" w:line="398"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LONDON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X0</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EC4M 8AP</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141.433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10/27/2017</w:t>
            </w: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20"/>
              <w:spacing w:after="0"/>
              <w:rPr>
                <w:sz w:val="20"/>
                <w:szCs w:val="20"/>
                <w:color w:val="auto"/>
              </w:rPr>
            </w:pPr>
            <w:r>
              <w:rPr>
                <w:rFonts w:ascii="Arial" w:cs="Arial" w:eastAsia="Arial" w:hAnsi="Arial"/>
                <w:sz w:val="13"/>
                <w:szCs w:val="13"/>
                <w:color w:val="0000FF"/>
              </w:rPr>
              <w:t>141.433</w:t>
            </w: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13.92</w:t>
            </w:r>
          </w:p>
        </w:tc>
        <w:tc>
          <w:tcPr>
            <w:tcW w:w="900" w:type="dxa"/>
            <w:vAlign w:val="bottom"/>
            <w:gridSpan w:val="2"/>
            <w:vMerge w:val="restart"/>
          </w:tcPr>
          <w:p>
            <w:pPr>
              <w:ind w:left="120"/>
              <w:spacing w:after="0"/>
              <w:rPr>
                <w:sz w:val="20"/>
                <w:szCs w:val="20"/>
                <w:color w:val="auto"/>
              </w:rPr>
            </w:pPr>
            <w:r>
              <w:rPr>
                <w:rFonts w:ascii="Arial" w:cs="Arial" w:eastAsia="Arial" w:hAnsi="Arial"/>
                <w:sz w:val="13"/>
                <w:szCs w:val="13"/>
                <w:color w:val="0000FF"/>
              </w:rPr>
              <w:t>25,106.401</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60"/>
              <w:spacing w:after="0" w:line="159" w:lineRule="exact"/>
              <w:rPr>
                <w:sz w:val="20"/>
                <w:szCs w:val="20"/>
                <w:color w:val="auto"/>
              </w:rPr>
            </w:pPr>
            <w:r>
              <w:rPr>
                <w:rFonts w:ascii="Arial" w:cs="Arial" w:eastAsia="Arial" w:hAnsi="Arial"/>
                <w:sz w:val="11"/>
                <w:szCs w:val="11"/>
                <w:color w:val="0000FF"/>
              </w:rPr>
              <w:t>Shares</w:t>
            </w:r>
            <w:r>
              <w:rPr>
                <w:rFonts w:ascii="Arial" w:cs="Arial" w:eastAsia="Arial" w:hAnsi="Arial"/>
                <w:sz w:val="18"/>
                <w:szCs w:val="18"/>
                <w:color w:val="008000"/>
                <w:vertAlign w:val="superscript"/>
              </w:rPr>
              <w:t>(3)</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Units are payable in cash following termination or retirement of the reporting person's employment with TechnipFMC, or death.</w:t>
      </w:r>
    </w:p>
    <w:p>
      <w:pPr>
        <w:spacing w:after="0" w:line="49" w:lineRule="exact"/>
        <w:rPr>
          <w:rFonts w:ascii="Arial" w:cs="Arial" w:eastAsia="Arial" w:hAnsi="Arial"/>
          <w:sz w:val="13"/>
          <w:szCs w:val="13"/>
          <w:color w:val="008000"/>
        </w:rPr>
      </w:pPr>
    </w:p>
    <w:p>
      <w:pPr>
        <w:ind w:left="40" w:right="1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 participant's interest in the NQ Plan is represented in units (referred to as Phantom Stock Units) which consist of phantom shares of TechnipFMC Ordinary Shares and uninvested cash balances held by the NQ Plan for administrative convenience.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7"/>
              </w:rPr>
              <w:t>/s/ Lisa P. Wang,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10/31/2017</w:t>
            </w:r>
          </w:p>
        </w:tc>
        <w:tc>
          <w:tcPr>
            <w:tcW w:w="0" w:type="dxa"/>
            <w:vAlign w:val="bottom"/>
          </w:tcPr>
          <w:p>
            <w:pPr>
              <w:spacing w:after="0"/>
              <w:rPr>
                <w:sz w:val="1"/>
                <w:szCs w:val="1"/>
                <w:color w:val="auto"/>
              </w:rPr>
            </w:pPr>
          </w:p>
        </w:tc>
      </w:tr>
      <w:tr>
        <w:trPr>
          <w:trHeight w:val="86"/>
        </w:trPr>
        <w:tc>
          <w:tcPr>
            <w:tcW w:w="3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7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400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2019-12-24T09:13:42Z</dcterms:created>
  <dcterms:modified xsi:type="dcterms:W3CDTF">2019-12-24T09:13:42Z</dcterms:modified>
</cp:coreProperties>
</file>