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 INFORMATION</w:t>
      </w:r>
    </w:p>
    <w:p>
      <w:pPr>
        <w:sectPr>
          <w:pgSz w:w="11900" w:h="16838" w:orient="portrait"/>
          <w:cols w:equalWidth="0" w:num="1">
            <w:col w:w="11220"/>
          </w:cols>
          <w:pgMar w:left="320" w:top="744" w:right="359" w:bottom="1440" w:gutter="0" w:footer="0" w:header="0"/>
        </w:sectPr>
      </w:pPr>
    </w:p>
    <w:p>
      <w:pPr>
        <w:spacing w:after="0" w:line="226" w:lineRule="exact"/>
        <w:rPr>
          <w:sz w:val="24"/>
          <w:szCs w:val="24"/>
          <w:color w:val="auto"/>
        </w:rPr>
      </w:pPr>
    </w:p>
    <w:p>
      <w:pPr>
        <w:ind w:left="3280" w:firstLine="245"/>
        <w:spacing w:after="0" w:line="271" w:lineRule="auto"/>
        <w:rPr>
          <w:sz w:val="20"/>
          <w:szCs w:val="20"/>
          <w:color w:val="auto"/>
        </w:rPr>
      </w:pPr>
      <w:r>
        <w:rPr>
          <w:rFonts w:ascii="Arial" w:cs="Arial" w:eastAsia="Arial" w:hAnsi="Arial"/>
          <w:sz w:val="18"/>
          <w:szCs w:val="18"/>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6" w:lineRule="exact"/>
        <w:rPr>
          <w:sz w:val="24"/>
          <w:szCs w:val="24"/>
          <w:color w:val="auto"/>
        </w:rPr>
      </w:pPr>
    </w:p>
    <w:p>
      <w:pPr>
        <w:sectPr>
          <w:pgSz w:w="11900" w:h="16838" w:orient="portrait"/>
          <w:cols w:equalWidth="0" w:num="2">
            <w:col w:w="7720" w:space="180"/>
            <w:col w:w="3320"/>
          </w:cols>
          <w:pgMar w:left="320" w:top="744" w:right="359" w:bottom="1440" w:gutter="0" w:footer="0" w:header="0"/>
          <w:type w:val="continuous"/>
        </w:sectPr>
      </w:pPr>
    </w:p>
    <w:p>
      <w:pPr>
        <w:spacing w:after="0"/>
        <w:rPr>
          <w:sz w:val="20"/>
          <w:szCs w:val="20"/>
          <w:color w:val="auto"/>
        </w:rPr>
      </w:pPr>
      <w:r>
        <w:rPr>
          <w:rFonts w:ascii="Arial" w:cs="Arial" w:eastAsia="Arial" w:hAnsi="Arial"/>
          <w:sz w:val="18"/>
          <w:szCs w:val="18"/>
          <w:color w:val="auto"/>
        </w:rPr>
        <w:t>Filed by the Registrant x</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89"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4" w:lineRule="exact"/>
        <w:rPr>
          <w:sz w:val="24"/>
          <w:szCs w:val="24"/>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12" w:lineRule="exact"/>
        <w:rPr>
          <w:sz w:val="24"/>
          <w:szCs w:val="24"/>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11"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 240.14a-12</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TECHNIPFMC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92"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8"/>
          <w:szCs w:val="18"/>
          <w:color w:val="auto"/>
        </w:rPr>
        <w:t>Fee computed on table below per Exchange Act Rules 14a-6(i)(1) and 0-11.</w:t>
      </w:r>
    </w:p>
    <w:p>
      <w:pPr>
        <w:spacing w:after="0" w:line="184" w:lineRule="exact"/>
        <w:rPr>
          <w:rFonts w:ascii="Arial" w:cs="Arial" w:eastAsia="Arial" w:hAnsi="Arial"/>
          <w:sz w:val="16"/>
          <w:szCs w:val="16"/>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1140" w:right="120" w:hanging="565"/>
        <w:spacing w:after="0" w:line="246" w:lineRule="auto"/>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2"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8"/>
          <w:szCs w:val="18"/>
          <w:color w:val="auto"/>
        </w:rPr>
        <w:t>Fee paid previously with preliminary materials.</w:t>
      </w:r>
    </w:p>
    <w:p>
      <w:pPr>
        <w:spacing w:after="0" w:line="184" w:lineRule="exact"/>
        <w:rPr>
          <w:rFonts w:ascii="Arial" w:cs="Arial" w:eastAsia="Arial" w:hAnsi="Arial"/>
          <w:sz w:val="16"/>
          <w:szCs w:val="16"/>
          <w:color w:val="auto"/>
        </w:rPr>
      </w:pPr>
    </w:p>
    <w:p>
      <w:pPr>
        <w:ind w:left="580" w:hanging="572"/>
        <w:spacing w:after="0" w:line="274"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7" w:lineRule="exact"/>
        <w:rPr>
          <w:rFonts w:ascii="Arial" w:cs="Arial" w:eastAsia="Arial" w:hAnsi="Arial"/>
          <w:sz w:val="15"/>
          <w:szCs w:val="15"/>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1140" w:hanging="565"/>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-2025015</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-2402205</wp:posOffset>
            </wp:positionV>
            <wp:extent cx="6772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-2779395</wp:posOffset>
            </wp:positionV>
            <wp:extent cx="6772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-3284855</wp:posOffset>
            </wp:positionV>
            <wp:extent cx="6772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-3662045</wp:posOffset>
            </wp:positionV>
            <wp:extent cx="67722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117475</wp:posOffset>
            </wp:positionV>
            <wp:extent cx="6772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-259080</wp:posOffset>
            </wp:positionV>
            <wp:extent cx="6772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-636270</wp:posOffset>
            </wp:positionV>
            <wp:extent cx="6772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-1013460</wp:posOffset>
            </wp:positionV>
            <wp:extent cx="6772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44"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217805</wp:posOffset>
            </wp:positionV>
            <wp:extent cx="7029450" cy="9138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29450" cy="913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91"/>
          <w:szCs w:val="191"/>
          <w:color w:val="4B1F68"/>
        </w:rPr>
        <w:t>2021</w:t>
      </w:r>
    </w:p>
    <w:p>
      <w:pPr>
        <w:ind w:left="40"/>
        <w:spacing w:after="0"/>
        <w:rPr>
          <w:sz w:val="20"/>
          <w:szCs w:val="20"/>
          <w:color w:val="auto"/>
        </w:rPr>
      </w:pPr>
      <w:r>
        <w:rPr>
          <w:rFonts w:ascii="Arial" w:cs="Arial" w:eastAsia="Arial" w:hAnsi="Arial"/>
          <w:sz w:val="39"/>
          <w:szCs w:val="39"/>
          <w:color w:val="4B1F68"/>
        </w:rPr>
        <w:t>Notice of Annual General</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40"/>
          <w:szCs w:val="40"/>
          <w:color w:val="4B1F68"/>
        </w:rPr>
        <w:t>Meeting of Shareholders</w:t>
      </w:r>
    </w:p>
    <w:p>
      <w:pPr>
        <w:ind w:left="40"/>
        <w:spacing w:after="0"/>
        <w:rPr>
          <w:sz w:val="20"/>
          <w:szCs w:val="20"/>
          <w:color w:val="auto"/>
        </w:rPr>
      </w:pPr>
      <w:r>
        <w:rPr>
          <w:rFonts w:ascii="Arial" w:cs="Arial" w:eastAsia="Arial" w:hAnsi="Arial"/>
          <w:sz w:val="40"/>
          <w:szCs w:val="40"/>
          <w:color w:val="4B1F68"/>
        </w:rPr>
        <w:t>and Proxy Statement</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4B1F68"/>
        </w:rPr>
        <w:t>Driving change in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5727700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2571750"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36"/>
          <w:szCs w:val="36"/>
          <w:color w:val="4B1F68"/>
        </w:rPr>
        <w:t>Notice of 2021 Annual General Meeting of Shareholders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TechnipFMC plc</w:t>
      </w:r>
    </w:p>
    <w:p>
      <w:pPr>
        <w:spacing w:after="0" w:line="86" w:lineRule="exact"/>
        <w:rPr>
          <w:sz w:val="20"/>
          <w:szCs w:val="20"/>
          <w:color w:val="auto"/>
        </w:rPr>
      </w:pPr>
    </w:p>
    <w:p>
      <w:pPr>
        <w:ind w:right="300"/>
        <w:spacing w:after="0" w:line="246" w:lineRule="auto"/>
        <w:rPr>
          <w:sz w:val="20"/>
          <w:szCs w:val="20"/>
          <w:color w:val="auto"/>
        </w:rPr>
      </w:pPr>
      <w:r>
        <w:rPr>
          <w:rFonts w:ascii="Arial" w:cs="Arial" w:eastAsia="Arial" w:hAnsi="Arial"/>
          <w:sz w:val="13"/>
          <w:szCs w:val="13"/>
          <w:b w:val="1"/>
          <w:bCs w:val="1"/>
          <w:color w:val="3B3C43"/>
        </w:rPr>
        <w:t>(a public limited company having its registered office at One St. Paul’s Churchyard, London EC4M 8AP, United Kingdom and incorporated in England and Wales with company number 09909709)</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May 20, 2021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10:00 a.m., London time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3B3C43"/>
        </w:rPr>
        <w:t>Pitreavie Business Park, Queensferry Road, Dunfermline KY11 8UD, United Kingdom</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02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Proposal</w:t>
            </w:r>
          </w:p>
        </w:tc>
        <w:tc>
          <w:tcPr>
            <w:tcW w:w="220" w:type="dxa"/>
            <w:vAlign w:val="bottom"/>
            <w:shd w:val="clear" w:color="auto" w:fill="4A1F67"/>
          </w:tcPr>
          <w:p>
            <w:pPr>
              <w:spacing w:after="0"/>
              <w:rPr>
                <w:sz w:val="24"/>
                <w:szCs w:val="24"/>
                <w:color w:val="auto"/>
              </w:rPr>
            </w:pPr>
          </w:p>
        </w:tc>
        <w:tc>
          <w:tcPr>
            <w:tcW w:w="1580" w:type="dxa"/>
            <w:vAlign w:val="bottom"/>
            <w:shd w:val="clear" w:color="auto" w:fill="4A1F67"/>
          </w:tcPr>
          <w:p>
            <w:pPr>
              <w:spacing w:after="0"/>
              <w:rPr>
                <w:sz w:val="24"/>
                <w:szCs w:val="24"/>
                <w:color w:val="auto"/>
              </w:rPr>
            </w:pPr>
          </w:p>
        </w:tc>
        <w:tc>
          <w:tcPr>
            <w:tcW w:w="1060" w:type="dxa"/>
            <w:vAlign w:val="bottom"/>
            <w:shd w:val="clear" w:color="auto" w:fill="4A1F67"/>
          </w:tcPr>
          <w:p>
            <w:pPr>
              <w:spacing w:after="0"/>
              <w:rPr>
                <w:sz w:val="24"/>
                <w:szCs w:val="24"/>
                <w:color w:val="auto"/>
              </w:rPr>
            </w:pPr>
          </w:p>
        </w:tc>
        <w:tc>
          <w:tcPr>
            <w:tcW w:w="7360" w:type="dxa"/>
            <w:vAlign w:val="bottom"/>
            <w:shd w:val="clear" w:color="auto" w:fill="4A1F67"/>
          </w:tcPr>
          <w:p>
            <w:pPr>
              <w:ind w:left="1880"/>
              <w:spacing w:after="0"/>
              <w:rPr>
                <w:sz w:val="20"/>
                <w:szCs w:val="20"/>
                <w:color w:val="auto"/>
              </w:rPr>
            </w:pPr>
            <w:r>
              <w:rPr>
                <w:rFonts w:ascii="Arial" w:cs="Arial" w:eastAsia="Arial" w:hAnsi="Arial"/>
                <w:sz w:val="16"/>
                <w:szCs w:val="16"/>
                <w:b w:val="1"/>
                <w:bCs w:val="1"/>
                <w:color w:val="FFFFFF"/>
              </w:rPr>
              <w:t>Description</w:t>
            </w:r>
          </w:p>
        </w:tc>
        <w:tc>
          <w:tcPr>
            <w:tcW w:w="0" w:type="dxa"/>
            <w:vAlign w:val="bottom"/>
          </w:tcPr>
          <w:p>
            <w:pPr>
              <w:spacing w:after="0"/>
              <w:rPr>
                <w:sz w:val="1"/>
                <w:szCs w:val="1"/>
                <w:color w:val="auto"/>
              </w:rPr>
            </w:pPr>
          </w:p>
        </w:tc>
      </w:tr>
      <w:tr>
        <w:trPr>
          <w:trHeight w:val="73"/>
        </w:trPr>
        <w:tc>
          <w:tcPr>
            <w:tcW w:w="1240" w:type="dxa"/>
            <w:vAlign w:val="bottom"/>
            <w:gridSpan w:val="2"/>
            <w:shd w:val="clear" w:color="auto" w:fill="4A1F67"/>
          </w:tcPr>
          <w:p>
            <w:pPr>
              <w:spacing w:after="0"/>
              <w:rPr>
                <w:sz w:val="6"/>
                <w:szCs w:val="6"/>
                <w:color w:val="auto"/>
              </w:rPr>
            </w:pPr>
          </w:p>
        </w:tc>
        <w:tc>
          <w:tcPr>
            <w:tcW w:w="1580" w:type="dxa"/>
            <w:vAlign w:val="bottom"/>
            <w:shd w:val="clear" w:color="auto" w:fill="4A1F67"/>
          </w:tcPr>
          <w:p>
            <w:pPr>
              <w:spacing w:after="0"/>
              <w:rPr>
                <w:sz w:val="6"/>
                <w:szCs w:val="6"/>
                <w:color w:val="auto"/>
              </w:rPr>
            </w:pPr>
          </w:p>
        </w:tc>
        <w:tc>
          <w:tcPr>
            <w:tcW w:w="1060" w:type="dxa"/>
            <w:vAlign w:val="bottom"/>
            <w:shd w:val="clear" w:color="auto" w:fill="4A1F67"/>
          </w:tcPr>
          <w:p>
            <w:pPr>
              <w:spacing w:after="0"/>
              <w:rPr>
                <w:sz w:val="6"/>
                <w:szCs w:val="6"/>
                <w:color w:val="auto"/>
              </w:rPr>
            </w:pPr>
          </w:p>
        </w:tc>
        <w:tc>
          <w:tcPr>
            <w:tcW w:w="7360" w:type="dxa"/>
            <w:vAlign w:val="bottom"/>
            <w:shd w:val="clear" w:color="auto" w:fill="4A1F67"/>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880" w:type="dxa"/>
            <w:vAlign w:val="bottom"/>
            <w:gridSpan w:val="4"/>
            <w:shd w:val="clear" w:color="auto" w:fill="6A6D72"/>
          </w:tcPr>
          <w:p>
            <w:pPr>
              <w:ind w:left="100"/>
              <w:spacing w:after="0"/>
              <w:rPr>
                <w:sz w:val="20"/>
                <w:szCs w:val="20"/>
                <w:color w:val="auto"/>
              </w:rPr>
            </w:pPr>
            <w:r>
              <w:rPr>
                <w:rFonts w:ascii="Arial" w:cs="Arial" w:eastAsia="Arial" w:hAnsi="Arial"/>
                <w:sz w:val="16"/>
                <w:szCs w:val="16"/>
                <w:b w:val="1"/>
                <w:bCs w:val="1"/>
                <w:color w:val="FFFFFF"/>
              </w:rPr>
              <w:t>Ordinary Resolutions</w:t>
            </w:r>
          </w:p>
        </w:tc>
        <w:tc>
          <w:tcPr>
            <w:tcW w:w="7360" w:type="dxa"/>
            <w:vAlign w:val="bottom"/>
            <w:shd w:val="clear" w:color="auto" w:fill="6A6D72"/>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20" w:type="dxa"/>
            <w:vAlign w:val="bottom"/>
            <w:shd w:val="clear" w:color="auto" w:fill="6A6D72"/>
          </w:tcPr>
          <w:p>
            <w:pPr>
              <w:spacing w:after="0"/>
              <w:rPr>
                <w:sz w:val="6"/>
                <w:szCs w:val="6"/>
                <w:color w:val="auto"/>
              </w:rPr>
            </w:pPr>
          </w:p>
        </w:tc>
        <w:tc>
          <w:tcPr>
            <w:tcW w:w="220" w:type="dxa"/>
            <w:vAlign w:val="bottom"/>
            <w:shd w:val="clear" w:color="auto" w:fill="6A6D72"/>
          </w:tcPr>
          <w:p>
            <w:pPr>
              <w:spacing w:after="0"/>
              <w:rPr>
                <w:sz w:val="6"/>
                <w:szCs w:val="6"/>
                <w:color w:val="auto"/>
              </w:rPr>
            </w:pPr>
          </w:p>
        </w:tc>
        <w:tc>
          <w:tcPr>
            <w:tcW w:w="1580" w:type="dxa"/>
            <w:vAlign w:val="bottom"/>
            <w:shd w:val="clear" w:color="auto" w:fill="6A6D72"/>
          </w:tcPr>
          <w:p>
            <w:pPr>
              <w:spacing w:after="0"/>
              <w:rPr>
                <w:sz w:val="6"/>
                <w:szCs w:val="6"/>
                <w:color w:val="auto"/>
              </w:rPr>
            </w:pPr>
          </w:p>
        </w:tc>
        <w:tc>
          <w:tcPr>
            <w:tcW w:w="8420" w:type="dxa"/>
            <w:vAlign w:val="bottom"/>
            <w:gridSpan w:val="2"/>
            <w:shd w:val="clear" w:color="auto" w:fill="6A6D72"/>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20" w:type="dxa"/>
            <w:vAlign w:val="bottom"/>
            <w:vMerge w:val="restart"/>
          </w:tcPr>
          <w:p>
            <w:pPr>
              <w:ind w:left="100"/>
              <w:spacing w:after="0"/>
              <w:rPr>
                <w:sz w:val="20"/>
                <w:szCs w:val="20"/>
                <w:color w:val="auto"/>
              </w:rPr>
            </w:pPr>
            <w:r>
              <w:rPr>
                <w:rFonts w:ascii="Arial" w:cs="Arial" w:eastAsia="Arial" w:hAnsi="Arial"/>
                <w:sz w:val="20"/>
                <w:szCs w:val="20"/>
                <w:color w:val="FFFFFF"/>
              </w:rPr>
              <w:t>1(a)-1(i)</w:t>
            </w:r>
          </w:p>
        </w:tc>
        <w:tc>
          <w:tcPr>
            <w:tcW w:w="10220" w:type="dxa"/>
            <w:vAlign w:val="bottom"/>
            <w:gridSpan w:val="4"/>
          </w:tcPr>
          <w:p>
            <w:pPr>
              <w:ind w:left="220"/>
              <w:spacing w:after="0"/>
              <w:rPr>
                <w:sz w:val="20"/>
                <w:szCs w:val="20"/>
                <w:color w:val="auto"/>
              </w:rPr>
            </w:pPr>
            <w:r>
              <w:rPr>
                <w:rFonts w:ascii="Arial" w:cs="Arial" w:eastAsia="Arial" w:hAnsi="Arial"/>
                <w:sz w:val="16"/>
                <w:szCs w:val="16"/>
                <w:b w:val="1"/>
                <w:bCs w:val="1"/>
                <w:color w:val="3B3C43"/>
              </w:rPr>
              <w:t>Election of Directors</w:t>
            </w:r>
            <w:r>
              <w:rPr>
                <w:rFonts w:ascii="Arial" w:cs="Arial" w:eastAsia="Arial" w:hAnsi="Arial"/>
                <w:sz w:val="16"/>
                <w:szCs w:val="16"/>
                <w:color w:val="3B3C43"/>
              </w:rPr>
              <w:t>: To elect each of our nine director nominees for a term expiring at the Company’s 2022 Annual General Meeting of</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3B3C4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20" w:type="dxa"/>
            <w:vAlign w:val="bottom"/>
            <w:vMerge w:val="continue"/>
          </w:tcPr>
          <w:p>
            <w:pPr>
              <w:spacing w:after="0"/>
              <w:rPr>
                <w:sz w:val="11"/>
                <w:szCs w:val="11"/>
                <w:color w:val="auto"/>
              </w:rPr>
            </w:pPr>
          </w:p>
        </w:tc>
        <w:tc>
          <w:tcPr>
            <w:tcW w:w="2860" w:type="dxa"/>
            <w:vAlign w:val="bottom"/>
            <w:gridSpan w:val="3"/>
            <w:vMerge w:val="restart"/>
          </w:tcPr>
          <w:p>
            <w:pPr>
              <w:ind w:left="220"/>
              <w:spacing w:after="0"/>
              <w:rPr>
                <w:sz w:val="20"/>
                <w:szCs w:val="20"/>
                <w:color w:val="auto"/>
              </w:rPr>
            </w:pPr>
            <w:r>
              <w:rPr>
                <w:rFonts w:ascii="Arial" w:cs="Arial" w:eastAsia="Arial" w:hAnsi="Arial"/>
                <w:sz w:val="16"/>
                <w:szCs w:val="16"/>
                <w:color w:val="3B3C43"/>
              </w:rPr>
              <w:t>Shareholders:</w:t>
            </w:r>
          </w:p>
        </w:tc>
        <w:tc>
          <w:tcPr>
            <w:tcW w:w="7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020" w:type="dxa"/>
            <w:vAlign w:val="bottom"/>
          </w:tcPr>
          <w:p>
            <w:pPr>
              <w:spacing w:after="0"/>
              <w:rPr>
                <w:sz w:val="6"/>
                <w:szCs w:val="6"/>
                <w:color w:val="auto"/>
              </w:rPr>
            </w:pPr>
          </w:p>
        </w:tc>
        <w:tc>
          <w:tcPr>
            <w:tcW w:w="2860" w:type="dxa"/>
            <w:vAlign w:val="bottom"/>
            <w:gridSpan w:val="3"/>
            <w:vMerge w:val="continue"/>
          </w:tcPr>
          <w:p>
            <w:pPr>
              <w:spacing w:after="0"/>
              <w:rPr>
                <w:sz w:val="6"/>
                <w:szCs w:val="6"/>
                <w:color w:val="auto"/>
              </w:rPr>
            </w:pPr>
          </w:p>
        </w:tc>
        <w:tc>
          <w:tcPr>
            <w:tcW w:w="7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9"/>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2"/>
          </w:tcPr>
          <w:p>
            <w:pPr>
              <w:ind w:left="80"/>
              <w:spacing w:after="0"/>
              <w:rPr>
                <w:sz w:val="20"/>
                <w:szCs w:val="20"/>
                <w:color w:val="auto"/>
              </w:rPr>
            </w:pPr>
            <w:r>
              <w:rPr>
                <w:rFonts w:ascii="Arial" w:cs="Arial" w:eastAsia="Arial" w:hAnsi="Arial"/>
                <w:sz w:val="16"/>
                <w:szCs w:val="16"/>
                <w:color w:val="3B3C43"/>
              </w:rPr>
              <w:t>a. Douglas J. Pferdehirt</w:t>
            </w:r>
          </w:p>
        </w:tc>
        <w:tc>
          <w:tcPr>
            <w:tcW w:w="7360" w:type="dxa"/>
            <w:vAlign w:val="bottom"/>
          </w:tcPr>
          <w:p>
            <w:pPr>
              <w:ind w:left="520"/>
              <w:spacing w:after="0"/>
              <w:rPr>
                <w:sz w:val="20"/>
                <w:szCs w:val="20"/>
                <w:color w:val="auto"/>
              </w:rPr>
            </w:pPr>
            <w:r>
              <w:rPr>
                <w:rFonts w:ascii="Arial" w:cs="Arial" w:eastAsia="Arial" w:hAnsi="Arial"/>
                <w:sz w:val="16"/>
                <w:szCs w:val="16"/>
                <w:color w:val="3B3C43"/>
              </w:rPr>
              <w:t>f. Margareth Øvrum</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2"/>
          </w:tcPr>
          <w:p>
            <w:pPr>
              <w:ind w:left="80"/>
              <w:spacing w:after="0"/>
              <w:rPr>
                <w:sz w:val="20"/>
                <w:szCs w:val="20"/>
                <w:color w:val="auto"/>
              </w:rPr>
            </w:pPr>
            <w:r>
              <w:rPr>
                <w:rFonts w:ascii="Arial" w:cs="Arial" w:eastAsia="Arial" w:hAnsi="Arial"/>
                <w:sz w:val="16"/>
                <w:szCs w:val="16"/>
                <w:color w:val="3B3C43"/>
              </w:rPr>
              <w:t>b. Eleazar de Carvalho Filho</w:t>
            </w:r>
          </w:p>
        </w:tc>
        <w:tc>
          <w:tcPr>
            <w:tcW w:w="7360" w:type="dxa"/>
            <w:vAlign w:val="bottom"/>
          </w:tcPr>
          <w:p>
            <w:pPr>
              <w:ind w:left="520"/>
              <w:spacing w:after="0"/>
              <w:rPr>
                <w:sz w:val="20"/>
                <w:szCs w:val="20"/>
                <w:color w:val="auto"/>
              </w:rPr>
            </w:pPr>
            <w:r>
              <w:rPr>
                <w:rFonts w:ascii="Arial" w:cs="Arial" w:eastAsia="Arial" w:hAnsi="Arial"/>
                <w:sz w:val="16"/>
                <w:szCs w:val="16"/>
                <w:color w:val="3B3C43"/>
              </w:rPr>
              <w:t>g. Kay G. Priestly</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2"/>
          </w:tcPr>
          <w:p>
            <w:pPr>
              <w:ind w:left="80"/>
              <w:spacing w:after="0"/>
              <w:rPr>
                <w:sz w:val="20"/>
                <w:szCs w:val="20"/>
                <w:color w:val="auto"/>
              </w:rPr>
            </w:pPr>
            <w:r>
              <w:rPr>
                <w:rFonts w:ascii="Arial" w:cs="Arial" w:eastAsia="Arial" w:hAnsi="Arial"/>
                <w:sz w:val="16"/>
                <w:szCs w:val="16"/>
                <w:color w:val="3B3C43"/>
              </w:rPr>
              <w:t>c. Claire S. Farley</w:t>
            </w:r>
          </w:p>
        </w:tc>
        <w:tc>
          <w:tcPr>
            <w:tcW w:w="7360" w:type="dxa"/>
            <w:vAlign w:val="bottom"/>
          </w:tcPr>
          <w:p>
            <w:pPr>
              <w:ind w:left="520"/>
              <w:spacing w:after="0"/>
              <w:rPr>
                <w:sz w:val="20"/>
                <w:szCs w:val="20"/>
                <w:color w:val="auto"/>
              </w:rPr>
            </w:pPr>
            <w:r>
              <w:rPr>
                <w:rFonts w:ascii="Arial" w:cs="Arial" w:eastAsia="Arial" w:hAnsi="Arial"/>
                <w:sz w:val="16"/>
                <w:szCs w:val="16"/>
                <w:color w:val="3B3C43"/>
              </w:rPr>
              <w:t>h. John Yearwood</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2"/>
          </w:tcPr>
          <w:p>
            <w:pPr>
              <w:ind w:left="80"/>
              <w:spacing w:after="0"/>
              <w:rPr>
                <w:sz w:val="20"/>
                <w:szCs w:val="20"/>
                <w:color w:val="auto"/>
              </w:rPr>
            </w:pPr>
            <w:r>
              <w:rPr>
                <w:rFonts w:ascii="Arial" w:cs="Arial" w:eastAsia="Arial" w:hAnsi="Arial"/>
                <w:sz w:val="16"/>
                <w:szCs w:val="16"/>
                <w:color w:val="3B3C43"/>
              </w:rPr>
              <w:t>d. Peter Mellbye</w:t>
            </w:r>
          </w:p>
        </w:tc>
        <w:tc>
          <w:tcPr>
            <w:tcW w:w="7360" w:type="dxa"/>
            <w:vAlign w:val="bottom"/>
          </w:tcPr>
          <w:p>
            <w:pPr>
              <w:ind w:left="520"/>
              <w:spacing w:after="0"/>
              <w:rPr>
                <w:sz w:val="20"/>
                <w:szCs w:val="20"/>
                <w:color w:val="auto"/>
              </w:rPr>
            </w:pPr>
            <w:r>
              <w:rPr>
                <w:rFonts w:ascii="Arial" w:cs="Arial" w:eastAsia="Arial" w:hAnsi="Arial"/>
                <w:sz w:val="16"/>
                <w:szCs w:val="16"/>
                <w:color w:val="3B3C43"/>
              </w:rPr>
              <w:t>i. Sophie Zurquiyah</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2"/>
          </w:tcPr>
          <w:p>
            <w:pPr>
              <w:ind w:left="80"/>
              <w:spacing w:after="0"/>
              <w:rPr>
                <w:sz w:val="20"/>
                <w:szCs w:val="20"/>
                <w:color w:val="auto"/>
              </w:rPr>
            </w:pPr>
            <w:r>
              <w:rPr>
                <w:rFonts w:ascii="Arial" w:cs="Arial" w:eastAsia="Arial" w:hAnsi="Arial"/>
                <w:sz w:val="16"/>
                <w:szCs w:val="16"/>
                <w:color w:val="3B3C43"/>
              </w:rPr>
              <w:t>e. John O’Leary</w:t>
            </w:r>
          </w:p>
        </w:tc>
        <w:tc>
          <w:tcPr>
            <w:tcW w:w="7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-1015365</wp:posOffset>
            </wp:positionV>
            <wp:extent cx="7132320" cy="2708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08910"/>
                    </a:xfrm>
                    <a:prstGeom prst="rect">
                      <a:avLst/>
                    </a:prstGeom>
                    <a:noFill/>
                  </pic:spPr>
                </pic:pic>
              </a:graphicData>
            </a:graphic>
          </wp:anchor>
        </w:drawing>
      </w:r>
    </w:p>
    <w:p>
      <w:pPr>
        <w:spacing w:after="0" w:line="130" w:lineRule="exact"/>
        <w:rPr>
          <w:sz w:val="20"/>
          <w:szCs w:val="20"/>
          <w:color w:val="auto"/>
        </w:rPr>
      </w:pPr>
    </w:p>
    <w:p>
      <w:pPr>
        <w:ind w:left="1240" w:right="780" w:hanging="1142"/>
        <w:spacing w:after="0" w:line="233" w:lineRule="auto"/>
        <w:tabs>
          <w:tab w:leader="none" w:pos="1240" w:val="left"/>
        </w:tabs>
        <w:numPr>
          <w:ilvl w:val="0"/>
          <w:numId w:val="6"/>
        </w:numPr>
        <w:rPr>
          <w:rFonts w:ascii="Arial" w:cs="Arial" w:eastAsia="Arial" w:hAnsi="Arial"/>
          <w:sz w:val="20"/>
          <w:szCs w:val="20"/>
          <w:color w:val="FFFFFF"/>
        </w:rPr>
      </w:pPr>
      <w:r>
        <w:rPr>
          <w:rFonts w:ascii="Arial" w:cs="Arial" w:eastAsia="Arial" w:hAnsi="Arial"/>
          <w:sz w:val="16"/>
          <w:szCs w:val="16"/>
          <w:b w:val="1"/>
          <w:bCs w:val="1"/>
          <w:u w:val="single" w:color="auto"/>
          <w:color w:val="3B3C43"/>
        </w:rPr>
        <w:t>2020 U.S. Say-on-Pay for Named Executive Officers</w:t>
      </w:r>
      <w:r>
        <w:rPr>
          <w:rFonts w:ascii="Arial" w:cs="Arial" w:eastAsia="Arial" w:hAnsi="Arial"/>
          <w:sz w:val="16"/>
          <w:szCs w:val="16"/>
          <w:color w:val="3B3C43"/>
        </w:rPr>
        <w:t>: To approve, as a non-binding advisory resolution, the Company’s named</w:t>
      </w:r>
      <w:r>
        <w:rPr>
          <w:rFonts w:ascii="Arial" w:cs="Arial" w:eastAsia="Arial" w:hAnsi="Arial"/>
          <w:sz w:val="16"/>
          <w:szCs w:val="16"/>
          <w:b w:val="1"/>
          <w:bCs w:val="1"/>
          <w:color w:val="3B3C43"/>
        </w:rPr>
        <w:t xml:space="preserve"> </w:t>
      </w:r>
      <w:r>
        <w:rPr>
          <w:rFonts w:ascii="Arial" w:cs="Arial" w:eastAsia="Arial" w:hAnsi="Arial"/>
          <w:sz w:val="16"/>
          <w:szCs w:val="16"/>
          <w:color w:val="3B3C43"/>
        </w:rPr>
        <w:t>executive officer compensation for the year ended December 31, 2020, as reported in the Company’s Proxy Statement</w:t>
      </w:r>
    </w:p>
    <w:p>
      <w:pPr>
        <w:spacing w:after="0" w:line="152" w:lineRule="exact"/>
        <w:rPr>
          <w:sz w:val="20"/>
          <w:szCs w:val="20"/>
          <w:color w:val="auto"/>
        </w:rPr>
      </w:pPr>
    </w:p>
    <w:p>
      <w:pPr>
        <w:ind w:left="1240" w:right="340" w:hanging="1142"/>
        <w:spacing w:after="0" w:line="233" w:lineRule="auto"/>
        <w:tabs>
          <w:tab w:leader="none" w:pos="1240" w:val="left"/>
        </w:tabs>
        <w:numPr>
          <w:ilvl w:val="0"/>
          <w:numId w:val="7"/>
        </w:numPr>
        <w:rPr>
          <w:rFonts w:ascii="Arial" w:cs="Arial" w:eastAsia="Arial" w:hAnsi="Arial"/>
          <w:sz w:val="20"/>
          <w:szCs w:val="20"/>
          <w:color w:val="FFFFFF"/>
        </w:rPr>
      </w:pPr>
      <w:r>
        <w:rPr>
          <w:rFonts w:ascii="Arial" w:cs="Arial" w:eastAsia="Arial" w:hAnsi="Arial"/>
          <w:sz w:val="16"/>
          <w:szCs w:val="16"/>
          <w:b w:val="1"/>
          <w:bCs w:val="1"/>
          <w:u w:val="single" w:color="auto"/>
          <w:color w:val="3B3C43"/>
        </w:rPr>
        <w:t>2020 U.K. Directors’ Remuneration Report</w:t>
      </w:r>
      <w:r>
        <w:rPr>
          <w:rFonts w:ascii="Arial" w:cs="Arial" w:eastAsia="Arial" w:hAnsi="Arial"/>
          <w:sz w:val="16"/>
          <w:szCs w:val="16"/>
          <w:color w:val="3B3C43"/>
        </w:rPr>
        <w:t>: To approve, as a non-binding advisory resolution, the Company’s directors’ remuneration</w:t>
      </w:r>
      <w:r>
        <w:rPr>
          <w:rFonts w:ascii="Arial" w:cs="Arial" w:eastAsia="Arial" w:hAnsi="Arial"/>
          <w:sz w:val="16"/>
          <w:szCs w:val="16"/>
          <w:b w:val="1"/>
          <w:bCs w:val="1"/>
          <w:color w:val="3B3C43"/>
        </w:rPr>
        <w:t xml:space="preserve"> </w:t>
      </w:r>
      <w:r>
        <w:rPr>
          <w:rFonts w:ascii="Arial" w:cs="Arial" w:eastAsia="Arial" w:hAnsi="Arial"/>
          <w:sz w:val="16"/>
          <w:szCs w:val="16"/>
          <w:color w:val="3B3C43"/>
        </w:rPr>
        <w:t>report for the year ended December 31, 2020, as reported in the Company’s U.K. Annual Report and Accounts</w:t>
      </w:r>
    </w:p>
    <w:p>
      <w:pPr>
        <w:spacing w:after="0" w:line="152" w:lineRule="exact"/>
        <w:rPr>
          <w:sz w:val="20"/>
          <w:szCs w:val="20"/>
          <w:color w:val="auto"/>
        </w:rPr>
      </w:pPr>
    </w:p>
    <w:p>
      <w:pPr>
        <w:jc w:val="both"/>
        <w:ind w:left="1240" w:right="220" w:hanging="1142"/>
        <w:spacing w:after="0" w:line="239" w:lineRule="auto"/>
        <w:tabs>
          <w:tab w:leader="none" w:pos="1240" w:val="left"/>
        </w:tabs>
        <w:numPr>
          <w:ilvl w:val="0"/>
          <w:numId w:val="8"/>
        </w:numPr>
        <w:rPr>
          <w:rFonts w:ascii="Arial" w:cs="Arial" w:eastAsia="Arial" w:hAnsi="Arial"/>
          <w:sz w:val="20"/>
          <w:szCs w:val="20"/>
          <w:color w:val="FFFFFF"/>
        </w:rPr>
      </w:pPr>
      <w:r>
        <w:rPr>
          <w:rFonts w:ascii="Arial" w:cs="Arial" w:eastAsia="Arial" w:hAnsi="Arial"/>
          <w:sz w:val="16"/>
          <w:szCs w:val="16"/>
          <w:b w:val="1"/>
          <w:bCs w:val="1"/>
          <w:u w:val="single" w:color="auto"/>
          <w:color w:val="3B3C43"/>
        </w:rPr>
        <w:t>Prospective Directors’ Remuneration Policy</w:t>
      </w:r>
      <w:r>
        <w:rPr>
          <w:rFonts w:ascii="Arial" w:cs="Arial" w:eastAsia="Arial" w:hAnsi="Arial"/>
          <w:sz w:val="16"/>
          <w:szCs w:val="16"/>
          <w:color w:val="3B3C43"/>
        </w:rPr>
        <w:t>: To approve the Company’s prospective directors’ remuneration policy for the three years</w:t>
      </w:r>
      <w:r>
        <w:rPr>
          <w:rFonts w:ascii="Arial" w:cs="Arial" w:eastAsia="Arial" w:hAnsi="Arial"/>
          <w:sz w:val="16"/>
          <w:szCs w:val="16"/>
          <w:b w:val="1"/>
          <w:bCs w:val="1"/>
          <w:color w:val="3B3C43"/>
        </w:rPr>
        <w:t xml:space="preserve"> </w:t>
      </w:r>
      <w:r>
        <w:rPr>
          <w:rFonts w:ascii="Arial" w:cs="Arial" w:eastAsia="Arial" w:hAnsi="Arial"/>
          <w:sz w:val="16"/>
          <w:szCs w:val="16"/>
          <w:color w:val="3B3C43"/>
        </w:rPr>
        <w:t>ending December 2024, in the form presented in the Company’s directors’ remuneration report for the year ended December 31, 2020 of the Company’s U.K. Annual Report and Accounts, such policy to take effect immediately after the conclusion of the 2021 Annual General Meeting of Shareholders</w:t>
      </w:r>
    </w:p>
    <w:p>
      <w:pPr>
        <w:spacing w:after="0" w:line="153" w:lineRule="exact"/>
        <w:rPr>
          <w:sz w:val="20"/>
          <w:szCs w:val="20"/>
          <w:color w:val="auto"/>
        </w:rPr>
      </w:pPr>
    </w:p>
    <w:p>
      <w:pPr>
        <w:ind w:left="1240" w:right="120" w:hanging="1142"/>
        <w:spacing w:after="0" w:line="183" w:lineRule="auto"/>
        <w:tabs>
          <w:tab w:leader="none" w:pos="1240" w:val="left"/>
        </w:tabs>
        <w:numPr>
          <w:ilvl w:val="1"/>
          <w:numId w:val="9"/>
        </w:numPr>
        <w:rPr>
          <w:rFonts w:ascii="Arial" w:cs="Arial" w:eastAsia="Arial" w:hAnsi="Arial"/>
          <w:sz w:val="32"/>
          <w:szCs w:val="32"/>
          <w:color w:val="FFFFFF"/>
          <w:vertAlign w:val="subscript"/>
        </w:rPr>
      </w:pPr>
      <w:r>
        <w:rPr>
          <w:rFonts w:ascii="Arial" w:cs="Arial" w:eastAsia="Arial" w:hAnsi="Arial"/>
          <w:sz w:val="14"/>
          <w:szCs w:val="14"/>
          <w:b w:val="1"/>
          <w:bCs w:val="1"/>
          <w:u w:val="single" w:color="auto"/>
          <w:color w:val="3B3C43"/>
        </w:rPr>
        <w:t>Receipt of U.K. Annual Report and Accounts</w:t>
      </w:r>
      <w:r>
        <w:rPr>
          <w:rFonts w:ascii="Arial" w:cs="Arial" w:eastAsia="Arial" w:hAnsi="Arial"/>
          <w:sz w:val="14"/>
          <w:szCs w:val="14"/>
          <w:color w:val="3B3C43"/>
        </w:rPr>
        <w:t>: To receive the Company’s audited U.K. accounts for the year ended December 31, 2020,</w:t>
      </w:r>
      <w:r>
        <w:rPr>
          <w:rFonts w:ascii="Arial" w:cs="Arial" w:eastAsia="Arial" w:hAnsi="Arial"/>
          <w:sz w:val="14"/>
          <w:szCs w:val="14"/>
          <w:b w:val="1"/>
          <w:bCs w:val="1"/>
          <w:color w:val="3B3C43"/>
        </w:rPr>
        <w:t xml:space="preserve"> </w:t>
      </w:r>
      <w:r>
        <w:rPr>
          <w:rFonts w:ascii="Arial" w:cs="Arial" w:eastAsia="Arial" w:hAnsi="Arial"/>
          <w:sz w:val="14"/>
          <w:szCs w:val="14"/>
          <w:color w:val="3B3C43"/>
        </w:rPr>
        <w:t>including the reports of the directors and the auditor thereon</w:t>
      </w:r>
    </w:p>
    <w:p>
      <w:pPr>
        <w:spacing w:after="0" w:line="281" w:lineRule="exact"/>
        <w:rPr>
          <w:rFonts w:ascii="Arial" w:cs="Arial" w:eastAsia="Arial" w:hAnsi="Arial"/>
          <w:sz w:val="32"/>
          <w:szCs w:val="32"/>
          <w:color w:val="FFFFFF"/>
          <w:vertAlign w:val="subscript"/>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65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6593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right="640" w:hanging="1142"/>
        <w:spacing w:after="0" w:line="233" w:lineRule="auto"/>
        <w:tabs>
          <w:tab w:leader="none" w:pos="1240" w:val="left"/>
        </w:tabs>
        <w:numPr>
          <w:ilvl w:val="0"/>
          <w:numId w:val="10"/>
        </w:numPr>
        <w:rPr>
          <w:rFonts w:ascii="Arial" w:cs="Arial" w:eastAsia="Arial" w:hAnsi="Arial"/>
          <w:sz w:val="20"/>
          <w:szCs w:val="20"/>
          <w:color w:val="FFFFFF"/>
        </w:rPr>
      </w:pPr>
      <w:r>
        <w:rPr>
          <w:rFonts w:ascii="Arial" w:cs="Arial" w:eastAsia="Arial" w:hAnsi="Arial"/>
          <w:sz w:val="16"/>
          <w:szCs w:val="16"/>
          <w:b w:val="1"/>
          <w:bCs w:val="1"/>
          <w:u w:val="single" w:color="auto"/>
          <w:color w:val="3B3C43"/>
        </w:rPr>
        <w:t>Ratification of PwC as U.S. Auditor</w:t>
      </w:r>
      <w:r>
        <w:rPr>
          <w:rFonts w:ascii="Arial" w:cs="Arial" w:eastAsia="Arial" w:hAnsi="Arial"/>
          <w:sz w:val="16"/>
          <w:szCs w:val="16"/>
          <w:color w:val="3B3C43"/>
        </w:rPr>
        <w:t>: To ratify the appointment of PricewaterhouseCoopers LLP (“</w:t>
      </w:r>
      <w:r>
        <w:rPr>
          <w:rFonts w:ascii="Arial" w:cs="Arial" w:eastAsia="Arial" w:hAnsi="Arial"/>
          <w:sz w:val="16"/>
          <w:szCs w:val="16"/>
          <w:b w:val="1"/>
          <w:bCs w:val="1"/>
          <w:color w:val="3B3C43"/>
        </w:rPr>
        <w:t>PwC</w:t>
      </w:r>
      <w:r>
        <w:rPr>
          <w:rFonts w:ascii="Arial" w:cs="Arial" w:eastAsia="Arial" w:hAnsi="Arial"/>
          <w:sz w:val="16"/>
          <w:szCs w:val="16"/>
          <w:color w:val="3B3C43"/>
        </w:rPr>
        <w:t>”) as the Company’s U.S.</w:t>
      </w:r>
      <w:r>
        <w:rPr>
          <w:rFonts w:ascii="Arial" w:cs="Arial" w:eastAsia="Arial" w:hAnsi="Arial"/>
          <w:sz w:val="16"/>
          <w:szCs w:val="16"/>
          <w:b w:val="1"/>
          <w:bCs w:val="1"/>
          <w:color w:val="3B3C43"/>
        </w:rPr>
        <w:t xml:space="preserve"> </w:t>
      </w:r>
      <w:r>
        <w:rPr>
          <w:rFonts w:ascii="Arial" w:cs="Arial" w:eastAsia="Arial" w:hAnsi="Arial"/>
          <w:sz w:val="16"/>
          <w:szCs w:val="16"/>
          <w:color w:val="3B3C43"/>
        </w:rPr>
        <w:t>independent registered public accounting firm for the year ending December 31, 2021</w:t>
      </w:r>
    </w:p>
    <w:p>
      <w:pPr>
        <w:spacing w:after="0" w:line="152" w:lineRule="exact"/>
        <w:rPr>
          <w:sz w:val="20"/>
          <w:szCs w:val="20"/>
          <w:color w:val="auto"/>
        </w:rPr>
      </w:pPr>
    </w:p>
    <w:p>
      <w:pPr>
        <w:ind w:left="1240" w:hanging="1142"/>
        <w:spacing w:after="0" w:line="237" w:lineRule="auto"/>
        <w:tabs>
          <w:tab w:leader="none" w:pos="1240" w:val="left"/>
        </w:tabs>
        <w:numPr>
          <w:ilvl w:val="0"/>
          <w:numId w:val="11"/>
        </w:numPr>
        <w:rPr>
          <w:rFonts w:ascii="Arial" w:cs="Arial" w:eastAsia="Arial" w:hAnsi="Arial"/>
          <w:sz w:val="20"/>
          <w:szCs w:val="20"/>
          <w:color w:val="FFFFFF"/>
        </w:rPr>
      </w:pPr>
      <w:r>
        <w:rPr>
          <w:rFonts w:ascii="Arial" w:cs="Arial" w:eastAsia="Arial" w:hAnsi="Arial"/>
          <w:sz w:val="16"/>
          <w:szCs w:val="16"/>
          <w:b w:val="1"/>
          <w:bCs w:val="1"/>
          <w:u w:val="single" w:color="auto"/>
          <w:color w:val="3B3C43"/>
        </w:rPr>
        <w:t>Reappointment of PwC as U.K. Statutory Auditor</w:t>
      </w:r>
      <w:r>
        <w:rPr>
          <w:rFonts w:ascii="Arial" w:cs="Arial" w:eastAsia="Arial" w:hAnsi="Arial"/>
          <w:sz w:val="16"/>
          <w:szCs w:val="16"/>
          <w:color w:val="3B3C43"/>
        </w:rPr>
        <w:t>: To reappoint PwC as the Company’s U.K. statutory auditor under the U.K.</w:t>
      </w:r>
      <w:r>
        <w:rPr>
          <w:rFonts w:ascii="Arial" w:cs="Arial" w:eastAsia="Arial" w:hAnsi="Arial"/>
          <w:sz w:val="16"/>
          <w:szCs w:val="16"/>
          <w:b w:val="1"/>
          <w:bCs w:val="1"/>
          <w:color w:val="3B3C43"/>
        </w:rPr>
        <w:t xml:space="preserve"> </w:t>
      </w:r>
      <w:r>
        <w:rPr>
          <w:rFonts w:ascii="Arial" w:cs="Arial" w:eastAsia="Arial" w:hAnsi="Arial"/>
          <w:sz w:val="16"/>
          <w:szCs w:val="16"/>
          <w:color w:val="3B3C43"/>
        </w:rPr>
        <w:t>Companies Act 2006, to hold office from the conclusion of the 2021 Annual General Meeting of Shareholders until the next annual general meeting of shareholders at which accounts are laid</w:t>
      </w:r>
    </w:p>
    <w:p>
      <w:pPr>
        <w:spacing w:after="0" w:line="152" w:lineRule="exact"/>
        <w:rPr>
          <w:sz w:val="20"/>
          <w:szCs w:val="20"/>
          <w:color w:val="auto"/>
        </w:rPr>
      </w:pPr>
    </w:p>
    <w:p>
      <w:pPr>
        <w:ind w:left="1240" w:right="80" w:hanging="1142"/>
        <w:spacing w:after="0" w:line="233" w:lineRule="auto"/>
        <w:tabs>
          <w:tab w:leader="none" w:pos="1240" w:val="left"/>
        </w:tabs>
        <w:numPr>
          <w:ilvl w:val="0"/>
          <w:numId w:val="12"/>
        </w:numPr>
        <w:rPr>
          <w:rFonts w:ascii="Arial" w:cs="Arial" w:eastAsia="Arial" w:hAnsi="Arial"/>
          <w:sz w:val="20"/>
          <w:szCs w:val="20"/>
          <w:color w:val="FFFFFF"/>
        </w:rPr>
      </w:pPr>
      <w:r>
        <w:rPr>
          <w:rFonts w:ascii="Arial" w:cs="Arial" w:eastAsia="Arial" w:hAnsi="Arial"/>
          <w:sz w:val="16"/>
          <w:szCs w:val="16"/>
          <w:b w:val="1"/>
          <w:bCs w:val="1"/>
          <w:u w:val="single" w:color="auto"/>
          <w:color w:val="3B3C43"/>
        </w:rPr>
        <w:t>Approval of U.K. Statutory Auditor Fees</w:t>
      </w:r>
      <w:r>
        <w:rPr>
          <w:rFonts w:ascii="Arial" w:cs="Arial" w:eastAsia="Arial" w:hAnsi="Arial"/>
          <w:sz w:val="16"/>
          <w:szCs w:val="16"/>
          <w:color w:val="3B3C43"/>
        </w:rPr>
        <w:t>: To authorize the Board and/or the Audit Committee to determine the remuneration of PwC, in</w:t>
      </w:r>
      <w:r>
        <w:rPr>
          <w:rFonts w:ascii="Arial" w:cs="Arial" w:eastAsia="Arial" w:hAnsi="Arial"/>
          <w:sz w:val="16"/>
          <w:szCs w:val="16"/>
          <w:b w:val="1"/>
          <w:bCs w:val="1"/>
          <w:color w:val="3B3C43"/>
        </w:rPr>
        <w:t xml:space="preserve"> </w:t>
      </w:r>
      <w:r>
        <w:rPr>
          <w:rFonts w:ascii="Arial" w:cs="Arial" w:eastAsia="Arial" w:hAnsi="Arial"/>
          <w:sz w:val="16"/>
          <w:szCs w:val="16"/>
          <w:color w:val="3B3C43"/>
        </w:rPr>
        <w:t>its capacity as the Company’s U.K. statutory auditor for the year ending December 31, 2021</w:t>
      </w:r>
    </w:p>
    <w:p>
      <w:pPr>
        <w:spacing w:after="0" w:line="152" w:lineRule="exact"/>
        <w:rPr>
          <w:sz w:val="20"/>
          <w:szCs w:val="20"/>
          <w:color w:val="auto"/>
        </w:rPr>
      </w:pPr>
    </w:p>
    <w:p>
      <w:pPr>
        <w:ind w:left="1240" w:right="60" w:hanging="1142"/>
        <w:spacing w:after="0" w:line="233" w:lineRule="auto"/>
        <w:tabs>
          <w:tab w:leader="none" w:pos="1240" w:val="left"/>
        </w:tabs>
        <w:numPr>
          <w:ilvl w:val="0"/>
          <w:numId w:val="13"/>
        </w:numPr>
        <w:rPr>
          <w:rFonts w:ascii="Arial" w:cs="Arial" w:eastAsia="Arial" w:hAnsi="Arial"/>
          <w:sz w:val="20"/>
          <w:szCs w:val="20"/>
          <w:color w:val="FFFFFF"/>
        </w:rPr>
      </w:pPr>
      <w:r>
        <w:rPr>
          <w:rFonts w:ascii="Arial" w:cs="Arial" w:eastAsia="Arial" w:hAnsi="Arial"/>
          <w:sz w:val="16"/>
          <w:szCs w:val="16"/>
          <w:b w:val="1"/>
          <w:bCs w:val="1"/>
          <w:u w:val="single" w:color="auto"/>
          <w:color w:val="3B3C43"/>
        </w:rPr>
        <w:t>Approval of Share Repurchase Contracts and Counterparties</w:t>
      </w:r>
      <w:r>
        <w:rPr>
          <w:rFonts w:ascii="Arial" w:cs="Arial" w:eastAsia="Arial" w:hAnsi="Arial"/>
          <w:sz w:val="16"/>
          <w:szCs w:val="16"/>
          <w:color w:val="3B3C43"/>
        </w:rPr>
        <w:t>: To approve the forms of share repurchase contracts and repurchase</w:t>
      </w:r>
      <w:r>
        <w:rPr>
          <w:rFonts w:ascii="Arial" w:cs="Arial" w:eastAsia="Arial" w:hAnsi="Arial"/>
          <w:sz w:val="16"/>
          <w:szCs w:val="16"/>
          <w:b w:val="1"/>
          <w:bCs w:val="1"/>
          <w:color w:val="3B3C43"/>
        </w:rPr>
        <w:t xml:space="preserve"> </w:t>
      </w:r>
      <w:r>
        <w:rPr>
          <w:rFonts w:ascii="Arial" w:cs="Arial" w:eastAsia="Arial" w:hAnsi="Arial"/>
          <w:sz w:val="16"/>
          <w:szCs w:val="16"/>
          <w:color w:val="3B3C43"/>
        </w:rPr>
        <w:t>counterparties in accordance with specific procedures for “off-market purchases” of Ordinary Shares through the NYSE or Euronext Paris</w:t>
      </w:r>
    </w:p>
    <w:p>
      <w:pPr>
        <w:spacing w:after="0" w:line="150" w:lineRule="exact"/>
        <w:rPr>
          <w:sz w:val="20"/>
          <w:szCs w:val="20"/>
          <w:color w:val="auto"/>
        </w:rPr>
      </w:pPr>
    </w:p>
    <w:p>
      <w:pPr>
        <w:ind w:left="1240" w:hanging="1142"/>
        <w:spacing w:after="0"/>
        <w:tabs>
          <w:tab w:leader="none" w:pos="1240" w:val="left"/>
        </w:tabs>
        <w:numPr>
          <w:ilvl w:val="0"/>
          <w:numId w:val="14"/>
        </w:numPr>
        <w:rPr>
          <w:rFonts w:ascii="Arial" w:cs="Arial" w:eastAsia="Arial" w:hAnsi="Arial"/>
          <w:sz w:val="20"/>
          <w:szCs w:val="20"/>
          <w:color w:val="FFFFFF"/>
        </w:rPr>
      </w:pPr>
      <w:r>
        <w:rPr>
          <w:rFonts w:ascii="Arial" w:cs="Arial" w:eastAsia="Arial" w:hAnsi="Arial"/>
          <w:sz w:val="16"/>
          <w:szCs w:val="16"/>
          <w:b w:val="1"/>
          <w:bCs w:val="1"/>
          <w:u w:val="single" w:color="auto"/>
          <w:color w:val="3B3C43"/>
        </w:rPr>
        <w:t>Authority to Allot Equity Securities</w:t>
      </w:r>
      <w:r>
        <w:rPr>
          <w:rFonts w:ascii="Arial" w:cs="Arial" w:eastAsia="Arial" w:hAnsi="Arial"/>
          <w:sz w:val="16"/>
          <w:szCs w:val="16"/>
          <w:color w:val="3B3C43"/>
        </w:rPr>
        <w:t>: To authorize the Board to allot equity securities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311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Special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51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61" w:lineRule="exact"/>
        <w:rPr>
          <w:sz w:val="20"/>
          <w:szCs w:val="20"/>
          <w:color w:val="auto"/>
        </w:rPr>
      </w:pPr>
    </w:p>
    <w:p>
      <w:pPr>
        <w:ind w:left="1240" w:right="80" w:hanging="1142"/>
        <w:spacing w:after="0" w:line="233" w:lineRule="auto"/>
        <w:tabs>
          <w:tab w:leader="none" w:pos="1240" w:val="left"/>
        </w:tabs>
        <w:numPr>
          <w:ilvl w:val="0"/>
          <w:numId w:val="15"/>
        </w:numPr>
        <w:rPr>
          <w:rFonts w:ascii="Arial" w:cs="Arial" w:eastAsia="Arial" w:hAnsi="Arial"/>
          <w:sz w:val="20"/>
          <w:szCs w:val="20"/>
          <w:color w:val="FFFFFF"/>
        </w:rPr>
      </w:pPr>
      <w:r>
        <w:rPr>
          <w:rFonts w:ascii="Arial" w:cs="Arial" w:eastAsia="Arial" w:hAnsi="Arial"/>
          <w:sz w:val="16"/>
          <w:szCs w:val="16"/>
          <w:b w:val="1"/>
          <w:bCs w:val="1"/>
          <w:u w:val="single" w:color="auto"/>
          <w:color w:val="3B3C43"/>
        </w:rPr>
        <w:t>Authority to Allot Equity Securities without Pre-emptive Rights</w:t>
      </w:r>
      <w:r>
        <w:rPr>
          <w:rFonts w:ascii="Arial" w:cs="Arial" w:eastAsia="Arial" w:hAnsi="Arial"/>
          <w:sz w:val="16"/>
          <w:szCs w:val="16"/>
          <w:color w:val="3B3C43"/>
        </w:rPr>
        <w:t>: Pursuant to the authority contemplated by the resolution in Proposal</w:t>
      </w:r>
      <w:r>
        <w:rPr>
          <w:rFonts w:ascii="Arial" w:cs="Arial" w:eastAsia="Arial" w:hAnsi="Arial"/>
          <w:sz w:val="16"/>
          <w:szCs w:val="16"/>
          <w:b w:val="1"/>
          <w:bCs w:val="1"/>
          <w:color w:val="3B3C43"/>
        </w:rPr>
        <w:t xml:space="preserve"> </w:t>
      </w:r>
      <w:r>
        <w:rPr>
          <w:rFonts w:ascii="Arial" w:cs="Arial" w:eastAsia="Arial" w:hAnsi="Arial"/>
          <w:sz w:val="16"/>
          <w:szCs w:val="16"/>
          <w:color w:val="3B3C43"/>
        </w:rPr>
        <w:t>10, to authorize the Board to allot equity securities without pre-emptive rights</w:t>
      </w:r>
    </w:p>
    <w:p>
      <w:pPr>
        <w:spacing w:after="0" w:line="334"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3B3C43"/>
        </w:rPr>
        <w:t>These items are more fully described in the Proxy Statement attached, which forms a part of this Notice of Annual Meeting. As of the date of the Proxy Statement, TechnipFMC does not know of any other matters to be raised at the 2021 Annual General Meeting of Shareholders.</w:t>
      </w:r>
    </w:p>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color w:val="3B3C43"/>
        </w:rPr>
        <w:t>Your vote is very important. Whether or not you plan to attend the 2021 Annual General Meeting of Shareholders in person, please (i) promptly return the enclosed proxy card in the enclosed envelope, or (ii) grant a proxy and give voting instructions by telephone or internet, so that you may be represented at the meeting. Voting instructions are provided on your proxy card or on the voting instruction form provided by your broker.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3B3C43"/>
        </w:rPr>
        <w:t>April 9,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885950" cy="702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Victoria Lazar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Executive Vice President, Chief Legal Officer, and Secretary</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iii</w:t>
      </w:r>
      <w:r>
        <w:rPr>
          <w:sz w:val="20"/>
          <w:szCs w:val="20"/>
          <w:color w:val="auto"/>
        </w:rPr>
        <w:tab/>
      </w: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315" w:right="47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ind w:right="1720"/>
        <w:spacing w:after="0" w:line="247" w:lineRule="auto"/>
        <w:rPr>
          <w:sz w:val="20"/>
          <w:szCs w:val="20"/>
          <w:color w:val="auto"/>
        </w:rPr>
      </w:pPr>
      <w:r>
        <w:rPr>
          <w:rFonts w:ascii="Arial" w:cs="Arial" w:eastAsia="Arial" w:hAnsi="Arial"/>
          <w:sz w:val="38"/>
          <w:szCs w:val="38"/>
          <w:color w:val="4B1F68"/>
        </w:rPr>
        <w:t>Proxy Statement for the 2021 Annual General Meeting of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3B3C43"/>
        </w:rPr>
        <w:t>This Proxy Statement relates to the solicitation of votes or proxies by the Board of Directors (the “</w:t>
      </w:r>
      <w:r>
        <w:rPr>
          <w:rFonts w:ascii="Arial" w:cs="Arial" w:eastAsia="Arial" w:hAnsi="Arial"/>
          <w:sz w:val="16"/>
          <w:szCs w:val="16"/>
          <w:b w:val="1"/>
          <w:bCs w:val="1"/>
          <w:color w:val="3B3C43"/>
        </w:rPr>
        <w:t>Board</w:t>
      </w:r>
      <w:r>
        <w:rPr>
          <w:rFonts w:ascii="Arial" w:cs="Arial" w:eastAsia="Arial" w:hAnsi="Arial"/>
          <w:sz w:val="16"/>
          <w:szCs w:val="16"/>
          <w:color w:val="3B3C43"/>
        </w:rPr>
        <w:t>”) of TechnipFMC plc (the “</w:t>
      </w:r>
      <w:r>
        <w:rPr>
          <w:rFonts w:ascii="Arial" w:cs="Arial" w:eastAsia="Arial" w:hAnsi="Arial"/>
          <w:sz w:val="16"/>
          <w:szCs w:val="16"/>
          <w:b w:val="1"/>
          <w:bCs w:val="1"/>
          <w:color w:val="3B3C43"/>
        </w:rPr>
        <w:t>Company</w:t>
      </w:r>
      <w:r>
        <w:rPr>
          <w:rFonts w:ascii="Arial" w:cs="Arial" w:eastAsia="Arial" w:hAnsi="Arial"/>
          <w:sz w:val="16"/>
          <w:szCs w:val="16"/>
          <w:color w:val="3B3C43"/>
        </w:rPr>
        <w:t>,”</w:t>
      </w:r>
    </w:p>
    <w:p>
      <w:pPr>
        <w:spacing w:after="0" w:line="2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3B3C43"/>
        </w:rPr>
        <w:t>“</w:t>
      </w:r>
      <w:r>
        <w:rPr>
          <w:rFonts w:ascii="Arial" w:cs="Arial" w:eastAsia="Arial" w:hAnsi="Arial"/>
          <w:sz w:val="16"/>
          <w:szCs w:val="16"/>
          <w:b w:val="1"/>
          <w:bCs w:val="1"/>
          <w:color w:val="3B3C43"/>
        </w:rPr>
        <w:t>TechnipFMC</w:t>
      </w:r>
      <w:r>
        <w:rPr>
          <w:rFonts w:ascii="Arial" w:cs="Arial" w:eastAsia="Arial" w:hAnsi="Arial"/>
          <w:sz w:val="16"/>
          <w:szCs w:val="16"/>
          <w:color w:val="3B3C43"/>
        </w:rPr>
        <w:t>,” “</w:t>
      </w:r>
      <w:r>
        <w:rPr>
          <w:rFonts w:ascii="Arial" w:cs="Arial" w:eastAsia="Arial" w:hAnsi="Arial"/>
          <w:sz w:val="16"/>
          <w:szCs w:val="16"/>
          <w:b w:val="1"/>
          <w:bCs w:val="1"/>
          <w:color w:val="3B3C43"/>
        </w:rPr>
        <w:t>us</w:t>
      </w:r>
      <w:r>
        <w:rPr>
          <w:rFonts w:ascii="Arial" w:cs="Arial" w:eastAsia="Arial" w:hAnsi="Arial"/>
          <w:sz w:val="16"/>
          <w:szCs w:val="16"/>
          <w:color w:val="3B3C43"/>
        </w:rPr>
        <w:t>,” or “</w:t>
      </w:r>
      <w:r>
        <w:rPr>
          <w:rFonts w:ascii="Arial" w:cs="Arial" w:eastAsia="Arial" w:hAnsi="Arial"/>
          <w:sz w:val="16"/>
          <w:szCs w:val="16"/>
          <w:b w:val="1"/>
          <w:bCs w:val="1"/>
          <w:color w:val="3B3C43"/>
        </w:rPr>
        <w:t>we</w:t>
      </w:r>
      <w:r>
        <w:rPr>
          <w:rFonts w:ascii="Arial" w:cs="Arial" w:eastAsia="Arial" w:hAnsi="Arial"/>
          <w:sz w:val="16"/>
          <w:szCs w:val="16"/>
          <w:color w:val="3B3C43"/>
        </w:rPr>
        <w:t>”) for use at our 2021 Annual General Meeting of Shareholders and at any adjournment or postponement of such meeting (the “</w:t>
      </w:r>
      <w:r>
        <w:rPr>
          <w:rFonts w:ascii="Arial" w:cs="Arial" w:eastAsia="Arial" w:hAnsi="Arial"/>
          <w:sz w:val="16"/>
          <w:szCs w:val="16"/>
          <w:b w:val="1"/>
          <w:bCs w:val="1"/>
          <w:color w:val="3B3C43"/>
        </w:rPr>
        <w:t>Annual Meeting</w:t>
      </w:r>
      <w:r>
        <w:rPr>
          <w:rFonts w:ascii="Arial" w:cs="Arial" w:eastAsia="Arial" w:hAnsi="Arial"/>
          <w:sz w:val="16"/>
          <w:szCs w:val="16"/>
          <w:color w:val="3B3C43"/>
        </w:rPr>
        <w:t>”).</w:t>
      </w:r>
    </w:p>
    <w:p>
      <w:pPr>
        <w:spacing w:after="0" w:line="148"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3B3C43"/>
        </w:rPr>
        <w:t>The Notice of Internet Availability of Proxy Materials (the “</w:t>
      </w:r>
      <w:r>
        <w:rPr>
          <w:rFonts w:ascii="Arial" w:cs="Arial" w:eastAsia="Arial" w:hAnsi="Arial"/>
          <w:sz w:val="16"/>
          <w:szCs w:val="16"/>
          <w:b w:val="1"/>
          <w:bCs w:val="1"/>
          <w:color w:val="3B3C43"/>
        </w:rPr>
        <w:t>Notice of Materials</w:t>
      </w:r>
      <w:r>
        <w:rPr>
          <w:rFonts w:ascii="Arial" w:cs="Arial" w:eastAsia="Arial" w:hAnsi="Arial"/>
          <w:sz w:val="16"/>
          <w:szCs w:val="16"/>
          <w:color w:val="3B3C43"/>
        </w:rPr>
        <w:t xml:space="preserve">”) and related Proxy Materials (as defined below) were first made available to shareholders on or about April 9, 2021 at </w:t>
      </w:r>
      <w:r>
        <w:rPr>
          <w:rFonts w:ascii="Arial" w:cs="Arial" w:eastAsia="Arial" w:hAnsi="Arial"/>
          <w:sz w:val="14"/>
          <w:szCs w:val="14"/>
          <w:b w:val="1"/>
          <w:bCs w:val="1"/>
          <w:i w:val="1"/>
          <w:iCs w:val="1"/>
          <w:color w:val="4B1F68"/>
        </w:rPr>
        <w:t>www.proxyvote.com</w:t>
      </w:r>
      <w:r>
        <w:rPr>
          <w:rFonts w:ascii="Arial" w:cs="Arial" w:eastAsia="Arial" w:hAnsi="Arial"/>
          <w:sz w:val="16"/>
          <w:szCs w:val="16"/>
          <w:i w:val="1"/>
          <w:iCs w:val="1"/>
          <w:color w:val="3B3C43"/>
        </w:rPr>
        <w:t>.</w:t>
      </w:r>
      <w:r>
        <w:rPr>
          <w:rFonts w:ascii="Arial" w:cs="Arial" w:eastAsia="Arial" w:hAnsi="Arial"/>
          <w:sz w:val="16"/>
          <w:szCs w:val="16"/>
          <w:color w:val="3B3C43"/>
        </w:rPr>
        <w:t xml:space="preserve"> You may also request a printed copy of this Proxy Statement and the form of proxy by any of the following methods: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07"/>
        </w:trPr>
        <w:tc>
          <w:tcPr>
            <w:tcW w:w="920" w:type="dxa"/>
            <w:vAlign w:val="bottom"/>
            <w:tcBorders>
              <w:top w:val="single" w:sz="8" w:color="E1E2E0"/>
            </w:tcBorders>
            <w:shd w:val="clear" w:color="auto" w:fill="4B1F68"/>
          </w:tcPr>
          <w:p>
            <w:pPr>
              <w:ind w:left="340"/>
              <w:spacing w:after="0"/>
              <w:rPr>
                <w:sz w:val="20"/>
                <w:szCs w:val="20"/>
                <w:color w:val="auto"/>
              </w:rPr>
            </w:pPr>
            <w:r>
              <w:rPr>
                <w:rFonts w:ascii="Arial" w:cs="Arial" w:eastAsia="Arial" w:hAnsi="Arial"/>
                <w:sz w:val="36"/>
                <w:szCs w:val="36"/>
                <w:color w:val="FFFFFF"/>
              </w:rPr>
              <w:t>A</w:t>
            </w:r>
          </w:p>
        </w:tc>
        <w:tc>
          <w:tcPr>
            <w:tcW w:w="2580" w:type="dxa"/>
            <w:vAlign w:val="bottom"/>
            <w:tcBorders>
              <w:top w:val="single" w:sz="8" w:color="E1E2E0"/>
            </w:tcBorders>
            <w:vMerge w:val="restart"/>
            <w:shd w:val="clear" w:color="auto" w:fill="E8E3EF"/>
          </w:tcPr>
          <w:p>
            <w:pPr>
              <w:jc w:val="center"/>
              <w:spacing w:after="0"/>
              <w:rPr>
                <w:sz w:val="20"/>
                <w:szCs w:val="20"/>
                <w:color w:val="auto"/>
              </w:rPr>
            </w:pPr>
            <w:r>
              <w:rPr>
                <w:rFonts w:ascii="Arial" w:cs="Arial" w:eastAsia="Arial" w:hAnsi="Arial"/>
                <w:sz w:val="16"/>
                <w:szCs w:val="16"/>
                <w:color w:val="3B3C43"/>
              </w:rPr>
              <w:t>Internet at</w:t>
            </w:r>
          </w:p>
        </w:tc>
        <w:tc>
          <w:tcPr>
            <w:tcW w:w="340" w:type="dxa"/>
            <w:vAlign w:val="bottom"/>
            <w:tcBorders>
              <w:top w:val="single" w:sz="8" w:color="E1E2E0"/>
            </w:tcBorders>
          </w:tcPr>
          <w:p>
            <w:pPr>
              <w:spacing w:after="0"/>
              <w:rPr>
                <w:sz w:val="24"/>
                <w:szCs w:val="24"/>
                <w:color w:val="auto"/>
              </w:rPr>
            </w:pPr>
          </w:p>
        </w:tc>
        <w:tc>
          <w:tcPr>
            <w:tcW w:w="900" w:type="dxa"/>
            <w:vAlign w:val="bottom"/>
            <w:tcBorders>
              <w:top w:val="single" w:sz="8" w:color="E1E2E0"/>
            </w:tcBorders>
            <w:shd w:val="clear" w:color="auto" w:fill="00ACE8"/>
          </w:tcPr>
          <w:p>
            <w:pPr>
              <w:ind w:left="340"/>
              <w:spacing w:after="0"/>
              <w:rPr>
                <w:sz w:val="20"/>
                <w:szCs w:val="20"/>
                <w:color w:val="auto"/>
              </w:rPr>
            </w:pPr>
            <w:r>
              <w:rPr>
                <w:rFonts w:ascii="Arial" w:cs="Arial" w:eastAsia="Arial" w:hAnsi="Arial"/>
                <w:sz w:val="36"/>
                <w:szCs w:val="36"/>
                <w:color w:val="FFFFFF"/>
              </w:rPr>
              <w:t>B</w:t>
            </w:r>
          </w:p>
        </w:tc>
        <w:tc>
          <w:tcPr>
            <w:tcW w:w="2600" w:type="dxa"/>
            <w:vAlign w:val="bottom"/>
            <w:tcBorders>
              <w:top w:val="single" w:sz="8" w:color="E1E2E0"/>
            </w:tcBorders>
            <w:shd w:val="clear" w:color="auto" w:fill="EEF8FE"/>
          </w:tcPr>
          <w:p>
            <w:pPr>
              <w:spacing w:after="0"/>
              <w:rPr>
                <w:sz w:val="24"/>
                <w:szCs w:val="24"/>
                <w:color w:val="auto"/>
              </w:rPr>
            </w:pPr>
          </w:p>
        </w:tc>
        <w:tc>
          <w:tcPr>
            <w:tcW w:w="320" w:type="dxa"/>
            <w:vAlign w:val="bottom"/>
            <w:tcBorders>
              <w:top w:val="single" w:sz="8" w:color="E1E2E0"/>
            </w:tcBorders>
          </w:tcPr>
          <w:p>
            <w:pPr>
              <w:spacing w:after="0"/>
              <w:rPr>
                <w:sz w:val="24"/>
                <w:szCs w:val="24"/>
                <w:color w:val="auto"/>
              </w:rPr>
            </w:pPr>
          </w:p>
        </w:tc>
        <w:tc>
          <w:tcPr>
            <w:tcW w:w="900" w:type="dxa"/>
            <w:vAlign w:val="bottom"/>
            <w:tcBorders>
              <w:top w:val="single" w:sz="8" w:color="E1E2E0"/>
            </w:tcBorders>
            <w:shd w:val="clear" w:color="auto" w:fill="D21D23"/>
          </w:tcPr>
          <w:p>
            <w:pPr>
              <w:ind w:left="200"/>
              <w:spacing w:after="0"/>
              <w:rPr>
                <w:sz w:val="20"/>
                <w:szCs w:val="20"/>
                <w:color w:val="auto"/>
              </w:rPr>
            </w:pPr>
            <w:r>
              <w:rPr>
                <w:rFonts w:ascii="Arial" w:cs="Arial" w:eastAsia="Arial" w:hAnsi="Arial"/>
                <w:sz w:val="22"/>
                <w:szCs w:val="22"/>
                <w:color w:val="FFFFFF"/>
              </w:rPr>
              <w:t xml:space="preserve">or </w:t>
            </w:r>
            <w:r>
              <w:rPr>
                <w:rFonts w:ascii="Arial" w:cs="Arial" w:eastAsia="Arial" w:hAnsi="Arial"/>
                <w:sz w:val="35"/>
                <w:szCs w:val="35"/>
                <w:color w:val="FFFFFF"/>
              </w:rPr>
              <w:t>C</w:t>
            </w:r>
          </w:p>
        </w:tc>
        <w:tc>
          <w:tcPr>
            <w:tcW w:w="2680" w:type="dxa"/>
            <w:vAlign w:val="bottom"/>
            <w:tcBorders>
              <w:top w:val="single" w:sz="8" w:color="E1E2E0"/>
            </w:tcBorders>
            <w:vMerge w:val="restart"/>
            <w:shd w:val="clear" w:color="auto" w:fill="FBECE6"/>
          </w:tcPr>
          <w:p>
            <w:pPr>
              <w:jc w:val="center"/>
              <w:spacing w:after="0"/>
              <w:rPr>
                <w:sz w:val="20"/>
                <w:szCs w:val="20"/>
                <w:color w:val="auto"/>
              </w:rPr>
            </w:pPr>
            <w:r>
              <w:rPr>
                <w:rFonts w:ascii="Arial" w:cs="Arial" w:eastAsia="Arial" w:hAnsi="Arial"/>
                <w:sz w:val="16"/>
                <w:szCs w:val="16"/>
                <w:color w:val="3B3C43"/>
              </w:rPr>
              <w:t>Email at</w:t>
            </w:r>
          </w:p>
        </w:tc>
        <w:tc>
          <w:tcPr>
            <w:tcW w:w="0" w:type="dxa"/>
            <w:vAlign w:val="bottom"/>
          </w:tcPr>
          <w:p>
            <w:pPr>
              <w:spacing w:after="0"/>
              <w:rPr>
                <w:sz w:val="1"/>
                <w:szCs w:val="1"/>
                <w:color w:val="auto"/>
              </w:rPr>
            </w:pPr>
          </w:p>
        </w:tc>
      </w:tr>
      <w:tr>
        <w:trPr>
          <w:trHeight w:val="108"/>
        </w:trPr>
        <w:tc>
          <w:tcPr>
            <w:tcW w:w="920" w:type="dxa"/>
            <w:vAlign w:val="bottom"/>
            <w:shd w:val="clear" w:color="auto" w:fill="4B1F68"/>
          </w:tcPr>
          <w:p>
            <w:pPr>
              <w:spacing w:after="0"/>
              <w:rPr>
                <w:sz w:val="9"/>
                <w:szCs w:val="9"/>
                <w:color w:val="auto"/>
              </w:rPr>
            </w:pPr>
          </w:p>
        </w:tc>
        <w:tc>
          <w:tcPr>
            <w:tcW w:w="2580" w:type="dxa"/>
            <w:vAlign w:val="bottom"/>
            <w:vMerge w:val="continue"/>
            <w:shd w:val="clear" w:color="auto" w:fill="E8E3EF"/>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shd w:val="clear" w:color="auto" w:fill="00ACE8"/>
          </w:tcPr>
          <w:p>
            <w:pPr>
              <w:spacing w:after="0"/>
              <w:rPr>
                <w:sz w:val="9"/>
                <w:szCs w:val="9"/>
                <w:color w:val="auto"/>
              </w:rPr>
            </w:pPr>
          </w:p>
        </w:tc>
        <w:tc>
          <w:tcPr>
            <w:tcW w:w="2600" w:type="dxa"/>
            <w:vAlign w:val="bottom"/>
            <w:vMerge w:val="restart"/>
            <w:shd w:val="clear" w:color="auto" w:fill="EEF8FE"/>
          </w:tcPr>
          <w:p>
            <w:pPr>
              <w:jc w:val="center"/>
              <w:spacing w:after="0"/>
              <w:rPr>
                <w:sz w:val="20"/>
                <w:szCs w:val="20"/>
                <w:color w:val="auto"/>
              </w:rPr>
            </w:pPr>
            <w:r>
              <w:rPr>
                <w:rFonts w:ascii="Arial" w:cs="Arial" w:eastAsia="Arial" w:hAnsi="Arial"/>
                <w:sz w:val="16"/>
                <w:szCs w:val="16"/>
                <w:color w:val="3B3C43"/>
                <w:w w:val="98"/>
              </w:rPr>
              <w:t>Telephone at</w:t>
            </w:r>
          </w:p>
        </w:tc>
        <w:tc>
          <w:tcPr>
            <w:tcW w:w="320" w:type="dxa"/>
            <w:vAlign w:val="bottom"/>
          </w:tcPr>
          <w:p>
            <w:pPr>
              <w:spacing w:after="0"/>
              <w:rPr>
                <w:sz w:val="9"/>
                <w:szCs w:val="9"/>
                <w:color w:val="auto"/>
              </w:rPr>
            </w:pPr>
          </w:p>
        </w:tc>
        <w:tc>
          <w:tcPr>
            <w:tcW w:w="900" w:type="dxa"/>
            <w:vAlign w:val="bottom"/>
            <w:shd w:val="clear" w:color="auto" w:fill="D21D23"/>
          </w:tcPr>
          <w:p>
            <w:pPr>
              <w:spacing w:after="0"/>
              <w:rPr>
                <w:sz w:val="9"/>
                <w:szCs w:val="9"/>
                <w:color w:val="auto"/>
              </w:rPr>
            </w:pPr>
          </w:p>
        </w:tc>
        <w:tc>
          <w:tcPr>
            <w:tcW w:w="2680" w:type="dxa"/>
            <w:vAlign w:val="bottom"/>
            <w:vMerge w:val="continue"/>
            <w:shd w:val="clear" w:color="auto" w:fill="FBECE6"/>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920" w:type="dxa"/>
            <w:vAlign w:val="bottom"/>
            <w:shd w:val="clear" w:color="auto" w:fill="4B1F68"/>
          </w:tcPr>
          <w:p>
            <w:pPr>
              <w:spacing w:after="0"/>
              <w:rPr>
                <w:sz w:val="8"/>
                <w:szCs w:val="8"/>
                <w:color w:val="auto"/>
              </w:rPr>
            </w:pPr>
          </w:p>
        </w:tc>
        <w:tc>
          <w:tcPr>
            <w:tcW w:w="2580" w:type="dxa"/>
            <w:vAlign w:val="bottom"/>
            <w:vMerge w:val="restart"/>
            <w:shd w:val="clear" w:color="auto" w:fill="E8E3EF"/>
          </w:tcPr>
          <w:p>
            <w:pPr>
              <w:jc w:val="center"/>
              <w:spacing w:after="0"/>
              <w:rPr>
                <w:sz w:val="20"/>
                <w:szCs w:val="20"/>
                <w:color w:val="auto"/>
              </w:rPr>
            </w:pPr>
            <w:r>
              <w:rPr>
                <w:rFonts w:ascii="Arial" w:cs="Arial" w:eastAsia="Arial" w:hAnsi="Arial"/>
                <w:sz w:val="16"/>
                <w:szCs w:val="16"/>
                <w:b w:val="1"/>
                <w:bCs w:val="1"/>
                <w:i w:val="1"/>
                <w:iCs w:val="1"/>
                <w:color w:val="4B1F68"/>
              </w:rPr>
              <w:t>www.proxyvote.com</w:t>
            </w:r>
          </w:p>
        </w:tc>
        <w:tc>
          <w:tcPr>
            <w:tcW w:w="340" w:type="dxa"/>
            <w:vAlign w:val="bottom"/>
          </w:tcPr>
          <w:p>
            <w:pPr>
              <w:spacing w:after="0"/>
              <w:rPr>
                <w:sz w:val="8"/>
                <w:szCs w:val="8"/>
                <w:color w:val="auto"/>
              </w:rPr>
            </w:pPr>
          </w:p>
        </w:tc>
        <w:tc>
          <w:tcPr>
            <w:tcW w:w="900" w:type="dxa"/>
            <w:vAlign w:val="bottom"/>
            <w:shd w:val="clear" w:color="auto" w:fill="00ACE8"/>
          </w:tcPr>
          <w:p>
            <w:pPr>
              <w:spacing w:after="0"/>
              <w:rPr>
                <w:sz w:val="8"/>
                <w:szCs w:val="8"/>
                <w:color w:val="auto"/>
              </w:rPr>
            </w:pPr>
          </w:p>
        </w:tc>
        <w:tc>
          <w:tcPr>
            <w:tcW w:w="2600" w:type="dxa"/>
            <w:vAlign w:val="bottom"/>
            <w:vMerge w:val="continue"/>
            <w:shd w:val="clear" w:color="auto" w:fill="EEF8FE"/>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shd w:val="clear" w:color="auto" w:fill="D21D23"/>
          </w:tcPr>
          <w:p>
            <w:pPr>
              <w:spacing w:after="0"/>
              <w:rPr>
                <w:sz w:val="8"/>
                <w:szCs w:val="8"/>
                <w:color w:val="auto"/>
              </w:rPr>
            </w:pPr>
          </w:p>
        </w:tc>
        <w:tc>
          <w:tcPr>
            <w:tcW w:w="2680" w:type="dxa"/>
            <w:vAlign w:val="bottom"/>
            <w:vMerge w:val="restart"/>
            <w:shd w:val="clear" w:color="auto" w:fill="FBECE6"/>
          </w:tcPr>
          <w:p>
            <w:pPr>
              <w:jc w:val="center"/>
              <w:spacing w:after="0"/>
              <w:rPr>
                <w:sz w:val="20"/>
                <w:szCs w:val="20"/>
                <w:color w:val="auto"/>
              </w:rPr>
            </w:pPr>
            <w:r>
              <w:rPr>
                <w:rFonts w:ascii="Arial" w:cs="Arial" w:eastAsia="Arial" w:hAnsi="Arial"/>
                <w:sz w:val="16"/>
                <w:szCs w:val="16"/>
                <w:b w:val="1"/>
                <w:bCs w:val="1"/>
                <w:i w:val="1"/>
                <w:iCs w:val="1"/>
                <w:color w:val="D21D23"/>
              </w:rPr>
              <w:t>sendmaterial@proxyvote.com</w:t>
            </w:r>
          </w:p>
        </w:tc>
        <w:tc>
          <w:tcPr>
            <w:tcW w:w="0" w:type="dxa"/>
            <w:vAlign w:val="bottom"/>
          </w:tcPr>
          <w:p>
            <w:pPr>
              <w:spacing w:after="0"/>
              <w:rPr>
                <w:sz w:val="1"/>
                <w:szCs w:val="1"/>
                <w:color w:val="auto"/>
              </w:rPr>
            </w:pPr>
          </w:p>
        </w:tc>
      </w:tr>
      <w:tr>
        <w:trPr>
          <w:trHeight w:val="141"/>
        </w:trPr>
        <w:tc>
          <w:tcPr>
            <w:tcW w:w="920" w:type="dxa"/>
            <w:vAlign w:val="bottom"/>
            <w:shd w:val="clear" w:color="auto" w:fill="4B1F68"/>
          </w:tcPr>
          <w:p>
            <w:pPr>
              <w:spacing w:after="0"/>
              <w:rPr>
                <w:sz w:val="12"/>
                <w:szCs w:val="12"/>
                <w:color w:val="auto"/>
              </w:rPr>
            </w:pPr>
          </w:p>
        </w:tc>
        <w:tc>
          <w:tcPr>
            <w:tcW w:w="2580" w:type="dxa"/>
            <w:vAlign w:val="bottom"/>
            <w:vMerge w:val="continue"/>
            <w:shd w:val="clear" w:color="auto" w:fill="E8E3EF"/>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shd w:val="clear" w:color="auto" w:fill="00ACE8"/>
          </w:tcPr>
          <w:p>
            <w:pPr>
              <w:spacing w:after="0"/>
              <w:rPr>
                <w:sz w:val="12"/>
                <w:szCs w:val="12"/>
                <w:color w:val="auto"/>
              </w:rPr>
            </w:pPr>
          </w:p>
        </w:tc>
        <w:tc>
          <w:tcPr>
            <w:tcW w:w="2600" w:type="dxa"/>
            <w:vAlign w:val="bottom"/>
            <w:vMerge w:val="restart"/>
            <w:shd w:val="clear" w:color="auto" w:fill="EEF8FE"/>
          </w:tcPr>
          <w:p>
            <w:pPr>
              <w:jc w:val="right"/>
              <w:ind w:right="639"/>
              <w:spacing w:after="0"/>
              <w:rPr>
                <w:sz w:val="20"/>
                <w:szCs w:val="20"/>
                <w:color w:val="auto"/>
              </w:rPr>
            </w:pPr>
            <w:r>
              <w:rPr>
                <w:rFonts w:ascii="Arial" w:cs="Arial" w:eastAsia="Arial" w:hAnsi="Arial"/>
                <w:sz w:val="16"/>
                <w:szCs w:val="16"/>
                <w:color w:val="3B3C43"/>
              </w:rPr>
              <w:t>1-800-579-1639</w:t>
            </w:r>
          </w:p>
        </w:tc>
        <w:tc>
          <w:tcPr>
            <w:tcW w:w="320" w:type="dxa"/>
            <w:vAlign w:val="bottom"/>
          </w:tcPr>
          <w:p>
            <w:pPr>
              <w:spacing w:after="0"/>
              <w:rPr>
                <w:sz w:val="12"/>
                <w:szCs w:val="12"/>
                <w:color w:val="auto"/>
              </w:rPr>
            </w:pPr>
          </w:p>
        </w:tc>
        <w:tc>
          <w:tcPr>
            <w:tcW w:w="900" w:type="dxa"/>
            <w:vAlign w:val="bottom"/>
            <w:shd w:val="clear" w:color="auto" w:fill="D21D23"/>
          </w:tcPr>
          <w:p>
            <w:pPr>
              <w:spacing w:after="0"/>
              <w:rPr>
                <w:sz w:val="12"/>
                <w:szCs w:val="12"/>
                <w:color w:val="auto"/>
              </w:rPr>
            </w:pPr>
          </w:p>
        </w:tc>
        <w:tc>
          <w:tcPr>
            <w:tcW w:w="2680" w:type="dxa"/>
            <w:vAlign w:val="bottom"/>
            <w:vMerge w:val="continue"/>
            <w:shd w:val="clear" w:color="auto" w:fill="FBECE6"/>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920" w:type="dxa"/>
            <w:vAlign w:val="bottom"/>
            <w:shd w:val="clear" w:color="auto" w:fill="4B1F68"/>
          </w:tcPr>
          <w:p>
            <w:pPr>
              <w:spacing w:after="0"/>
              <w:rPr>
                <w:sz w:val="4"/>
                <w:szCs w:val="4"/>
                <w:color w:val="auto"/>
              </w:rPr>
            </w:pPr>
          </w:p>
        </w:tc>
        <w:tc>
          <w:tcPr>
            <w:tcW w:w="2580" w:type="dxa"/>
            <w:vAlign w:val="bottom"/>
            <w:shd w:val="clear" w:color="auto" w:fill="E8E3EF"/>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shd w:val="clear" w:color="auto" w:fill="00ACE8"/>
          </w:tcPr>
          <w:p>
            <w:pPr>
              <w:spacing w:after="0"/>
              <w:rPr>
                <w:sz w:val="4"/>
                <w:szCs w:val="4"/>
                <w:color w:val="auto"/>
              </w:rPr>
            </w:pPr>
          </w:p>
        </w:tc>
        <w:tc>
          <w:tcPr>
            <w:tcW w:w="2600" w:type="dxa"/>
            <w:vAlign w:val="bottom"/>
            <w:vMerge w:val="continue"/>
            <w:shd w:val="clear" w:color="auto" w:fill="EEF8FE"/>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shd w:val="clear" w:color="auto" w:fill="D21D23"/>
          </w:tcPr>
          <w:p>
            <w:pPr>
              <w:spacing w:after="0"/>
              <w:rPr>
                <w:sz w:val="4"/>
                <w:szCs w:val="4"/>
                <w:color w:val="auto"/>
              </w:rPr>
            </w:pPr>
          </w:p>
        </w:tc>
        <w:tc>
          <w:tcPr>
            <w:tcW w:w="2680" w:type="dxa"/>
            <w:vAlign w:val="bottom"/>
            <w:shd w:val="clear" w:color="auto" w:fill="FBECE6"/>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920" w:type="dxa"/>
            <w:vAlign w:val="bottom"/>
            <w:tcBorders>
              <w:bottom w:val="single" w:sz="8" w:color="E1E2E0"/>
            </w:tcBorders>
            <w:shd w:val="clear" w:color="auto" w:fill="4B1F68"/>
          </w:tcPr>
          <w:p>
            <w:pPr>
              <w:spacing w:after="0"/>
              <w:rPr>
                <w:sz w:val="22"/>
                <w:szCs w:val="22"/>
                <w:color w:val="auto"/>
              </w:rPr>
            </w:pPr>
          </w:p>
        </w:tc>
        <w:tc>
          <w:tcPr>
            <w:tcW w:w="2580" w:type="dxa"/>
            <w:vAlign w:val="bottom"/>
            <w:tcBorders>
              <w:bottom w:val="single" w:sz="8" w:color="E1E2E0"/>
            </w:tcBorders>
            <w:shd w:val="clear" w:color="auto" w:fill="E8E3EF"/>
          </w:tcPr>
          <w:p>
            <w:pPr>
              <w:spacing w:after="0"/>
              <w:rPr>
                <w:sz w:val="22"/>
                <w:szCs w:val="22"/>
                <w:color w:val="auto"/>
              </w:rPr>
            </w:pPr>
          </w:p>
        </w:tc>
        <w:tc>
          <w:tcPr>
            <w:tcW w:w="340" w:type="dxa"/>
            <w:vAlign w:val="bottom"/>
            <w:tcBorders>
              <w:bottom w:val="single" w:sz="8" w:color="E1E2E0"/>
            </w:tcBorders>
          </w:tcPr>
          <w:p>
            <w:pPr>
              <w:spacing w:after="0"/>
              <w:rPr>
                <w:sz w:val="22"/>
                <w:szCs w:val="22"/>
                <w:color w:val="auto"/>
              </w:rPr>
            </w:pPr>
          </w:p>
        </w:tc>
        <w:tc>
          <w:tcPr>
            <w:tcW w:w="900" w:type="dxa"/>
            <w:vAlign w:val="bottom"/>
            <w:tcBorders>
              <w:bottom w:val="single" w:sz="8" w:color="E1E2E0"/>
            </w:tcBorders>
            <w:shd w:val="clear" w:color="auto" w:fill="00ACE8"/>
          </w:tcPr>
          <w:p>
            <w:pPr>
              <w:spacing w:after="0"/>
              <w:rPr>
                <w:sz w:val="22"/>
                <w:szCs w:val="22"/>
                <w:color w:val="auto"/>
              </w:rPr>
            </w:pPr>
          </w:p>
        </w:tc>
        <w:tc>
          <w:tcPr>
            <w:tcW w:w="2600" w:type="dxa"/>
            <w:vAlign w:val="bottom"/>
            <w:tcBorders>
              <w:bottom w:val="single" w:sz="8" w:color="E1E2E0"/>
            </w:tcBorders>
            <w:shd w:val="clear" w:color="auto" w:fill="EEF8FE"/>
          </w:tcPr>
          <w:p>
            <w:pPr>
              <w:spacing w:after="0"/>
              <w:rPr>
                <w:sz w:val="22"/>
                <w:szCs w:val="22"/>
                <w:color w:val="auto"/>
              </w:rPr>
            </w:pPr>
          </w:p>
        </w:tc>
        <w:tc>
          <w:tcPr>
            <w:tcW w:w="320" w:type="dxa"/>
            <w:vAlign w:val="bottom"/>
            <w:tcBorders>
              <w:bottom w:val="single" w:sz="8" w:color="E1E2E0"/>
            </w:tcBorders>
          </w:tcPr>
          <w:p>
            <w:pPr>
              <w:spacing w:after="0"/>
              <w:rPr>
                <w:sz w:val="22"/>
                <w:szCs w:val="22"/>
                <w:color w:val="auto"/>
              </w:rPr>
            </w:pPr>
          </w:p>
        </w:tc>
        <w:tc>
          <w:tcPr>
            <w:tcW w:w="900" w:type="dxa"/>
            <w:vAlign w:val="bottom"/>
            <w:tcBorders>
              <w:bottom w:val="single" w:sz="8" w:color="E1E2E0"/>
            </w:tcBorders>
            <w:shd w:val="clear" w:color="auto" w:fill="D21D23"/>
          </w:tcPr>
          <w:p>
            <w:pPr>
              <w:spacing w:after="0"/>
              <w:rPr>
                <w:sz w:val="22"/>
                <w:szCs w:val="22"/>
                <w:color w:val="auto"/>
              </w:rPr>
            </w:pPr>
          </w:p>
        </w:tc>
        <w:tc>
          <w:tcPr>
            <w:tcW w:w="2680" w:type="dxa"/>
            <w:vAlign w:val="bottom"/>
            <w:tcBorders>
              <w:bottom w:val="single" w:sz="8" w:color="E1E2E0"/>
            </w:tcBorders>
            <w:shd w:val="clear" w:color="auto" w:fill="FBECE6"/>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-1045210</wp:posOffset>
            </wp:positionV>
            <wp:extent cx="685800" cy="471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0" cy="47180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-1071245</wp:posOffset>
            </wp:positionV>
            <wp:extent cx="514350" cy="53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 cy="5314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-1019810</wp:posOffset>
            </wp:positionV>
            <wp:extent cx="557530" cy="428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530" cy="42862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3B3C43"/>
        </w:rPr>
        <w:t>Our Annual Report on Form 10-K, including consolidated financial statements, for the year ended December 31, 2020 (our “</w:t>
      </w:r>
      <w:r>
        <w:rPr>
          <w:rFonts w:ascii="Arial" w:cs="Arial" w:eastAsia="Arial" w:hAnsi="Arial"/>
          <w:sz w:val="16"/>
          <w:szCs w:val="16"/>
          <w:b w:val="1"/>
          <w:bCs w:val="1"/>
          <w:color w:val="3B3C43"/>
        </w:rPr>
        <w:t>Form 10-K</w:t>
      </w:r>
      <w:r>
        <w:rPr>
          <w:rFonts w:ascii="Arial" w:cs="Arial" w:eastAsia="Arial" w:hAnsi="Arial"/>
          <w:sz w:val="16"/>
          <w:szCs w:val="16"/>
          <w:color w:val="3B3C43"/>
        </w:rPr>
        <w:t>”) and our U.K.</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Annual Report and Accounts are being made available at the same time and by the same methods.</w:t>
      </w:r>
    </w:p>
    <w:p>
      <w:pPr>
        <w:spacing w:after="0" w:line="19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3B3C43"/>
        </w:rPr>
        <w:t>Our registered office is located at One St. Paul’s Churchyard, London EC4M 8AP, United Kingdom. Our telephone number in our London office is +44 20 3429 3950. Information regarding the Annual Meeting, including the information required by Section 311A of the U.K. Companies Act 2006 (the “</w:t>
      </w:r>
      <w:r>
        <w:rPr>
          <w:rFonts w:ascii="Arial" w:cs="Arial" w:eastAsia="Arial" w:hAnsi="Arial"/>
          <w:sz w:val="16"/>
          <w:szCs w:val="16"/>
          <w:b w:val="1"/>
          <w:bCs w:val="1"/>
          <w:color w:val="3B3C43"/>
        </w:rPr>
        <w:t>Companies</w:t>
      </w:r>
      <w:r>
        <w:rPr>
          <w:rFonts w:ascii="Arial" w:cs="Arial" w:eastAsia="Arial" w:hAnsi="Arial"/>
          <w:sz w:val="16"/>
          <w:szCs w:val="16"/>
          <w:color w:val="3B3C43"/>
        </w:rPr>
        <w:t xml:space="preserve"> </w:t>
      </w:r>
      <w:r>
        <w:rPr>
          <w:rFonts w:ascii="Arial" w:cs="Arial" w:eastAsia="Arial" w:hAnsi="Arial"/>
          <w:sz w:val="16"/>
          <w:szCs w:val="16"/>
          <w:b w:val="1"/>
          <w:bCs w:val="1"/>
          <w:color w:val="3B3C43"/>
        </w:rPr>
        <w:t>Act</w:t>
      </w:r>
      <w:r>
        <w:rPr>
          <w:rFonts w:ascii="Arial" w:cs="Arial" w:eastAsia="Arial" w:hAnsi="Arial"/>
          <w:sz w:val="16"/>
          <w:szCs w:val="16"/>
          <w:color w:val="3B3C43"/>
        </w:rPr>
        <w:t>”), can be found at</w:t>
      </w:r>
      <w:r>
        <w:rPr>
          <w:rFonts w:ascii="Arial" w:cs="Arial" w:eastAsia="Arial" w:hAnsi="Arial"/>
          <w:sz w:val="16"/>
          <w:szCs w:val="16"/>
          <w:b w:val="1"/>
          <w:bCs w:val="1"/>
          <w:color w:val="3B3C43"/>
        </w:rPr>
        <w:t xml:space="preserve"> </w:t>
      </w:r>
      <w:r>
        <w:rPr>
          <w:rFonts w:ascii="Arial" w:cs="Arial" w:eastAsia="Arial" w:hAnsi="Arial"/>
          <w:sz w:val="14"/>
          <w:szCs w:val="14"/>
          <w:b w:val="1"/>
          <w:bCs w:val="1"/>
          <w:i w:val="1"/>
          <w:iCs w:val="1"/>
          <w:color w:val="4B1F68"/>
        </w:rPr>
        <w:t>www.technipfmc.com</w:t>
      </w:r>
      <w:r>
        <w:rPr>
          <w:rFonts w:ascii="Arial" w:cs="Arial" w:eastAsia="Arial" w:hAnsi="Arial"/>
          <w:sz w:val="16"/>
          <w:szCs w:val="16"/>
          <w:i w:val="1"/>
          <w:iCs w:val="1"/>
          <w:color w:val="3B3C43"/>
        </w:rPr>
        <w:t>.</w:t>
      </w:r>
      <w:r>
        <w:rPr>
          <w:rFonts w:ascii="Arial" w:cs="Arial" w:eastAsia="Arial" w:hAnsi="Arial"/>
          <w:sz w:val="16"/>
          <w:szCs w:val="16"/>
          <w:b w:val="1"/>
          <w:bCs w:val="1"/>
          <w:color w:val="3B3C43"/>
        </w:rPr>
        <w:t xml:space="preserve"> </w:t>
      </w:r>
      <w:r>
        <w:rPr>
          <w:rFonts w:ascii="Arial" w:cs="Arial" w:eastAsia="Arial" w:hAnsi="Arial"/>
          <w:sz w:val="16"/>
          <w:szCs w:val="16"/>
          <w:color w:val="3B3C43"/>
        </w:rPr>
        <w:t>Information contained on our website is not to be considered as part of the proxy solicitation material and is not</w:t>
      </w:r>
      <w:r>
        <w:rPr>
          <w:rFonts w:ascii="Arial" w:cs="Arial" w:eastAsia="Arial" w:hAnsi="Arial"/>
          <w:sz w:val="16"/>
          <w:szCs w:val="16"/>
          <w:b w:val="1"/>
          <w:bCs w:val="1"/>
          <w:color w:val="3B3C43"/>
        </w:rPr>
        <w:t xml:space="preserve"> </w:t>
      </w:r>
      <w:r>
        <w:rPr>
          <w:rFonts w:ascii="Arial" w:cs="Arial" w:eastAsia="Arial" w:hAnsi="Arial"/>
          <w:sz w:val="16"/>
          <w:szCs w:val="16"/>
          <w:color w:val="3B3C43"/>
        </w:rPr>
        <w:t>incorporated into this Proxy Statement.</w:t>
      </w:r>
    </w:p>
    <w:p>
      <w:pPr>
        <w:spacing w:after="0" w:line="155"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3B3C43"/>
        </w:rPr>
        <w:t>TechnipFMC is a public limited company incorporated under the laws of England and Wales, and our ordinary shares (the “</w:t>
      </w:r>
      <w:r>
        <w:rPr>
          <w:rFonts w:ascii="Arial" w:cs="Arial" w:eastAsia="Arial" w:hAnsi="Arial"/>
          <w:sz w:val="16"/>
          <w:szCs w:val="16"/>
          <w:b w:val="1"/>
          <w:bCs w:val="1"/>
          <w:color w:val="3B3C43"/>
        </w:rPr>
        <w:t>Ordinary Shares</w:t>
      </w:r>
      <w:r>
        <w:rPr>
          <w:rFonts w:ascii="Arial" w:cs="Arial" w:eastAsia="Arial" w:hAnsi="Arial"/>
          <w:sz w:val="16"/>
          <w:szCs w:val="16"/>
          <w:color w:val="3B3C43"/>
        </w:rPr>
        <w:t>”) trade on the New York Stock Exchange in the United States (the “</w:t>
      </w:r>
      <w:r>
        <w:rPr>
          <w:rFonts w:ascii="Arial" w:cs="Arial" w:eastAsia="Arial" w:hAnsi="Arial"/>
          <w:sz w:val="16"/>
          <w:szCs w:val="16"/>
          <w:b w:val="1"/>
          <w:bCs w:val="1"/>
          <w:color w:val="3B3C43"/>
        </w:rPr>
        <w:t>NYSE</w:t>
      </w:r>
      <w:r>
        <w:rPr>
          <w:rFonts w:ascii="Arial" w:cs="Arial" w:eastAsia="Arial" w:hAnsi="Arial"/>
          <w:sz w:val="16"/>
          <w:szCs w:val="16"/>
          <w:color w:val="3B3C43"/>
        </w:rPr>
        <w:t>”) and the Euronext Paris exchange (“</w:t>
      </w:r>
      <w:r>
        <w:rPr>
          <w:rFonts w:ascii="Arial" w:cs="Arial" w:eastAsia="Arial" w:hAnsi="Arial"/>
          <w:sz w:val="16"/>
          <w:szCs w:val="16"/>
          <w:b w:val="1"/>
          <w:bCs w:val="1"/>
          <w:color w:val="3B3C43"/>
        </w:rPr>
        <w:t>Euronext</w:t>
      </w:r>
      <w:r>
        <w:rPr>
          <w:rFonts w:ascii="Arial" w:cs="Arial" w:eastAsia="Arial" w:hAnsi="Arial"/>
          <w:sz w:val="16"/>
          <w:szCs w:val="16"/>
          <w:color w:val="3B3C43"/>
        </w:rPr>
        <w:t>”) under the symbol “FTI.” As a result, the Company is governed by the Companies Act, U.S. securities laws and regulations, E.U. securities regulations, and the listing standards of the NYSE and Euronext.</w:t>
      </w:r>
    </w:p>
    <w:p>
      <w:pPr>
        <w:spacing w:after="0" w:line="160"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i w:val="1"/>
          <w:iCs w:val="1"/>
          <w:color w:val="3B3C43"/>
        </w:rPr>
        <w:t xml:space="preserve">The Proxy Materials contain “forward-looking statements” as defined in Section 27A of the United States Securities Act of 1933, as amended, and Section 21E of the United States Securities Act of 1934, as amended (the </w:t>
      </w:r>
      <w:r>
        <w:rPr>
          <w:rFonts w:ascii="Arial" w:cs="Arial" w:eastAsia="Arial" w:hAnsi="Arial"/>
          <w:sz w:val="14"/>
          <w:szCs w:val="14"/>
          <w:b w:val="1"/>
          <w:bCs w:val="1"/>
          <w:i w:val="1"/>
          <w:iCs w:val="1"/>
          <w:color w:val="3B3C43"/>
        </w:rPr>
        <w:t>“Exchange Act</w:t>
      </w:r>
      <w:r>
        <w:rPr>
          <w:rFonts w:ascii="Arial" w:cs="Arial" w:eastAsia="Arial" w:hAnsi="Arial"/>
          <w:sz w:val="14"/>
          <w:szCs w:val="14"/>
          <w:i w:val="1"/>
          <w:iCs w:val="1"/>
          <w:color w:val="3B3C43"/>
        </w:rPr>
        <w:t>”). All statements other than statements of historical or current facts, including statements regarding our environmental and other ESG plans and goals, made in this document are forward-looking. We use words such as “believe,” “expect,” “anticipate,” “plan,” “intend,” “foresee,” “should,” “would,” “could,” “may,” “estimate,” “outlook” and similar expressions, including the negative thereof. The absence of these words, however, does not mean that the statements are not forward-looking. 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our 2020 Annual Report on Form 10-K. Website references throughout the Proxy Materials are provided for convenience only, and the content on the referenced websites is not incorporated by reference into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401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298" w:lineRule="exact"/>
        <w:rPr>
          <w:sz w:val="20"/>
          <w:szCs w:val="20"/>
          <w:color w:val="auto"/>
        </w:rPr>
      </w:pPr>
    </w:p>
    <w:p>
      <w:pPr>
        <w:ind w:left="2240" w:right="2240" w:hanging="1"/>
        <w:spacing w:after="0" w:line="286" w:lineRule="auto"/>
        <w:rPr>
          <w:sz w:val="20"/>
          <w:szCs w:val="20"/>
          <w:color w:val="auto"/>
        </w:rPr>
      </w:pPr>
      <w:r>
        <w:rPr>
          <w:rFonts w:ascii="Arial" w:cs="Arial" w:eastAsia="Arial" w:hAnsi="Arial"/>
          <w:sz w:val="16"/>
          <w:szCs w:val="16"/>
          <w:b w:val="1"/>
          <w:bCs w:val="1"/>
          <w:color w:val="3B3C43"/>
        </w:rPr>
        <w:t>IMPORTANT NOTICE REGARDING THE AVAILABILITY OF PROXY MATERIALS FOR THE 2021 ANNUAL GENERAL MEETING OF SHAREHOLDERS TO BE HELD ON MAY 20, 2021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3B3C43"/>
        </w:rPr>
        <w:t>The Notice of Annual Meeting and Proxy Statement, Annual Report on Form 10-K,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3B3C43"/>
        </w:rPr>
        <w:t xml:space="preserve">and U.K. Annual Report and Accounts are available at </w:t>
      </w:r>
      <w:r>
        <w:rPr>
          <w:rFonts w:ascii="Arial" w:cs="Arial" w:eastAsia="Arial" w:hAnsi="Arial"/>
          <w:sz w:val="16"/>
          <w:szCs w:val="16"/>
          <w:b w:val="1"/>
          <w:bCs w:val="1"/>
          <w:i w:val="1"/>
          <w:iCs w:val="1"/>
          <w:u w:val="single" w:color="auto"/>
          <w:color w:val="4B1F68"/>
        </w:rPr>
        <w:t>www.proxyvote.com</w:t>
      </w:r>
    </w:p>
    <w:p>
      <w:pPr>
        <w:spacing w:after="0" w:line="38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iv</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left="360"/>
        <w:spacing w:after="0"/>
        <w:rPr>
          <w:sz w:val="20"/>
          <w:szCs w:val="20"/>
          <w:color w:val="auto"/>
        </w:rPr>
      </w:pPr>
      <w:r>
        <w:rPr>
          <w:rFonts w:ascii="Arial" w:cs="Arial" w:eastAsia="Arial" w:hAnsi="Arial"/>
          <w:sz w:val="67"/>
          <w:szCs w:val="67"/>
          <w:color w:val="4B1F68"/>
        </w:rPr>
        <w:t>Contents</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8540" w:type="dxa"/>
            <w:vAlign w:val="bottom"/>
          </w:tcPr>
          <w:p>
            <w:pPr>
              <w:spacing w:after="0"/>
              <w:rPr>
                <w:rFonts w:ascii="Arial" w:cs="Arial" w:eastAsia="Arial" w:hAnsi="Arial"/>
                <w:sz w:val="16"/>
                <w:szCs w:val="16"/>
                <w:b w:val="1"/>
                <w:bCs w:val="1"/>
                <w:color w:val="3B3C43"/>
              </w:rPr>
            </w:pPr>
            <w:hyperlink w:anchor="page8">
              <w:r>
                <w:rPr>
                  <w:rFonts w:ascii="Arial" w:cs="Arial" w:eastAsia="Arial" w:hAnsi="Arial"/>
                  <w:sz w:val="16"/>
                  <w:szCs w:val="16"/>
                  <w:b w:val="1"/>
                  <w:bCs w:val="1"/>
                  <w:color w:val="3B3C43"/>
                </w:rPr>
                <w:t>2021 Proxy Summary</w:t>
              </w:r>
            </w:hyperlink>
          </w:p>
        </w:tc>
        <w:tc>
          <w:tcPr>
            <w:tcW w:w="2140" w:type="dxa"/>
            <w:vAlign w:val="bottom"/>
          </w:tcPr>
          <w:p>
            <w:pPr>
              <w:jc w:val="right"/>
              <w:spacing w:after="0"/>
              <w:rPr>
                <w:sz w:val="20"/>
                <w:szCs w:val="20"/>
                <w:color w:val="auto"/>
              </w:rPr>
            </w:pPr>
            <w:r>
              <w:rPr>
                <w:rFonts w:ascii="Arial" w:cs="Arial" w:eastAsia="Arial" w:hAnsi="Arial"/>
                <w:sz w:val="16"/>
                <w:szCs w:val="16"/>
                <w:b w:val="1"/>
                <w:bCs w:val="1"/>
                <w:color w:val="3B3C43"/>
              </w:rPr>
              <w:t>1</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8">
              <w:r>
                <w:rPr>
                  <w:rFonts w:ascii="Arial" w:cs="Arial" w:eastAsia="Arial" w:hAnsi="Arial"/>
                  <w:sz w:val="16"/>
                  <w:szCs w:val="16"/>
                  <w:color w:val="3B3C43"/>
                </w:rPr>
                <w:t>Annual Meeting Information</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1</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9">
              <w:r>
                <w:rPr>
                  <w:rFonts w:ascii="Arial" w:cs="Arial" w:eastAsia="Arial" w:hAnsi="Arial"/>
                  <w:sz w:val="16"/>
                  <w:szCs w:val="16"/>
                  <w:color w:val="3B3C43"/>
                </w:rPr>
                <w:t>Voting Matters and Board Recommendations</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2</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10">
              <w:r>
                <w:rPr>
                  <w:rFonts w:ascii="Arial" w:cs="Arial" w:eastAsia="Arial" w:hAnsi="Arial"/>
                  <w:sz w:val="16"/>
                  <w:szCs w:val="16"/>
                  <w:color w:val="3B3C43"/>
                </w:rPr>
                <w:t>Core Values and Foundational Beliefs</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3</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11">
              <w:r>
                <w:rPr>
                  <w:rFonts w:ascii="Arial" w:cs="Arial" w:eastAsia="Arial" w:hAnsi="Arial"/>
                  <w:sz w:val="16"/>
                  <w:szCs w:val="16"/>
                  <w:color w:val="3B3C43"/>
                </w:rPr>
                <w:t>Governance Highlights</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4</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12">
              <w:r>
                <w:rPr>
                  <w:rFonts w:ascii="Arial" w:cs="Arial" w:eastAsia="Arial" w:hAnsi="Arial"/>
                  <w:sz w:val="16"/>
                  <w:szCs w:val="16"/>
                  <w:color w:val="3B3C43"/>
                </w:rPr>
                <w:t>2020-2021 Shareholder Engagement Program</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5</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13">
              <w:r>
                <w:rPr>
                  <w:rFonts w:ascii="Arial" w:cs="Arial" w:eastAsia="Arial" w:hAnsi="Arial"/>
                  <w:sz w:val="16"/>
                  <w:szCs w:val="16"/>
                  <w:color w:val="3B3C43"/>
                </w:rPr>
                <w:t>Director Nominees</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6</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14">
              <w:r>
                <w:rPr>
                  <w:rFonts w:ascii="Arial" w:cs="Arial" w:eastAsia="Arial" w:hAnsi="Arial"/>
                  <w:sz w:val="16"/>
                  <w:szCs w:val="16"/>
                  <w:color w:val="3B3C43"/>
                </w:rPr>
                <w:t>2020 At-a-Glance</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7</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17">
              <w:r>
                <w:rPr>
                  <w:rFonts w:ascii="Arial" w:cs="Arial" w:eastAsia="Arial" w:hAnsi="Arial"/>
                  <w:sz w:val="16"/>
                  <w:szCs w:val="16"/>
                  <w:color w:val="3B3C43"/>
                </w:rPr>
                <w:t>Executive Compensation</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10</w:t>
            </w:r>
          </w:p>
        </w:tc>
      </w:tr>
      <w:tr>
        <w:trPr>
          <w:trHeight w:val="270"/>
        </w:trPr>
        <w:tc>
          <w:tcPr>
            <w:tcW w:w="8540" w:type="dxa"/>
            <w:vAlign w:val="bottom"/>
          </w:tcPr>
          <w:p>
            <w:pPr>
              <w:spacing w:after="0"/>
              <w:rPr>
                <w:rFonts w:ascii="Arial" w:cs="Arial" w:eastAsia="Arial" w:hAnsi="Arial"/>
                <w:sz w:val="16"/>
                <w:szCs w:val="16"/>
                <w:b w:val="1"/>
                <w:bCs w:val="1"/>
                <w:color w:val="3B3C43"/>
              </w:rPr>
            </w:pPr>
            <w:hyperlink w:anchor="page21">
              <w:r>
                <w:rPr>
                  <w:rFonts w:ascii="Arial" w:cs="Arial" w:eastAsia="Arial" w:hAnsi="Arial"/>
                  <w:sz w:val="16"/>
                  <w:szCs w:val="16"/>
                  <w:b w:val="1"/>
                  <w:bCs w:val="1"/>
                  <w:color w:val="3B3C43"/>
                </w:rPr>
                <w:t>Corporate Responsibility and Sustainability</w:t>
              </w:r>
            </w:hyperlink>
          </w:p>
        </w:tc>
        <w:tc>
          <w:tcPr>
            <w:tcW w:w="2140" w:type="dxa"/>
            <w:vAlign w:val="bottom"/>
          </w:tcPr>
          <w:p>
            <w:pPr>
              <w:jc w:val="right"/>
              <w:spacing w:after="0"/>
              <w:rPr>
                <w:sz w:val="20"/>
                <w:szCs w:val="20"/>
                <w:color w:val="auto"/>
              </w:rPr>
            </w:pPr>
            <w:r>
              <w:rPr>
                <w:rFonts w:ascii="Arial" w:cs="Arial" w:eastAsia="Arial" w:hAnsi="Arial"/>
                <w:sz w:val="16"/>
                <w:szCs w:val="16"/>
                <w:b w:val="1"/>
                <w:bCs w:val="1"/>
                <w:color w:val="3B3C43"/>
              </w:rPr>
              <w:t>14</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21">
              <w:r>
                <w:rPr>
                  <w:rFonts w:ascii="Arial" w:cs="Arial" w:eastAsia="Arial" w:hAnsi="Arial"/>
                  <w:sz w:val="16"/>
                  <w:szCs w:val="16"/>
                  <w:color w:val="3B3C43"/>
                </w:rPr>
                <w:t>Core Values and Foundational Beliefs</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14</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22">
              <w:r>
                <w:rPr>
                  <w:rFonts w:ascii="Arial" w:cs="Arial" w:eastAsia="Arial" w:hAnsi="Arial"/>
                  <w:sz w:val="16"/>
                  <w:szCs w:val="16"/>
                  <w:color w:val="3B3C43"/>
                </w:rPr>
                <w:t>Code of Business Conduct</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15</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23">
              <w:r>
                <w:rPr>
                  <w:rFonts w:ascii="Arial" w:cs="Arial" w:eastAsia="Arial" w:hAnsi="Arial"/>
                  <w:sz w:val="16"/>
                  <w:szCs w:val="16"/>
                  <w:color w:val="3B3C43"/>
                </w:rPr>
                <w:t>Corporate Responsibility and Sustainability 2018-2020</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16</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25">
              <w:r>
                <w:rPr>
                  <w:rFonts w:ascii="Arial" w:cs="Arial" w:eastAsia="Arial" w:hAnsi="Arial"/>
                  <w:sz w:val="16"/>
                  <w:szCs w:val="16"/>
                  <w:color w:val="3B3C43"/>
                </w:rPr>
                <w:t>Supporting Communities</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18</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31">
              <w:r>
                <w:rPr>
                  <w:rFonts w:ascii="Arial" w:cs="Arial" w:eastAsia="Arial" w:hAnsi="Arial"/>
                  <w:sz w:val="16"/>
                  <w:szCs w:val="16"/>
                  <w:color w:val="3B3C43"/>
                </w:rPr>
                <w:t>Advancing Gender Diversity</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24</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35">
              <w:r>
                <w:rPr>
                  <w:rFonts w:ascii="Arial" w:cs="Arial" w:eastAsia="Arial" w:hAnsi="Arial"/>
                  <w:sz w:val="16"/>
                  <w:szCs w:val="16"/>
                  <w:color w:val="3B3C43"/>
                </w:rPr>
                <w:t>Respecting the Environment</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28</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43">
              <w:r>
                <w:rPr>
                  <w:rFonts w:ascii="Arial" w:cs="Arial" w:eastAsia="Arial" w:hAnsi="Arial"/>
                  <w:sz w:val="16"/>
                  <w:szCs w:val="16"/>
                  <w:color w:val="3B3C43"/>
                </w:rPr>
                <w:t>Corporate Responsibility and Sustainability 2021-2023</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36</w:t>
            </w:r>
          </w:p>
        </w:tc>
      </w:tr>
      <w:tr>
        <w:trPr>
          <w:trHeight w:val="270"/>
        </w:trPr>
        <w:tc>
          <w:tcPr>
            <w:tcW w:w="8540" w:type="dxa"/>
            <w:vAlign w:val="bottom"/>
          </w:tcPr>
          <w:p>
            <w:pPr>
              <w:spacing w:after="0"/>
              <w:rPr>
                <w:rFonts w:ascii="Arial" w:cs="Arial" w:eastAsia="Arial" w:hAnsi="Arial"/>
                <w:sz w:val="16"/>
                <w:szCs w:val="16"/>
                <w:b w:val="1"/>
                <w:bCs w:val="1"/>
                <w:color w:val="3B3C43"/>
              </w:rPr>
            </w:pPr>
            <w:hyperlink w:anchor="page45">
              <w:r>
                <w:rPr>
                  <w:rFonts w:ascii="Arial" w:cs="Arial" w:eastAsia="Arial" w:hAnsi="Arial"/>
                  <w:sz w:val="16"/>
                  <w:szCs w:val="16"/>
                  <w:b w:val="1"/>
                  <w:bCs w:val="1"/>
                  <w:color w:val="3B3C43"/>
                </w:rPr>
                <w:t>Corporate Governance</w:t>
              </w:r>
            </w:hyperlink>
          </w:p>
        </w:tc>
        <w:tc>
          <w:tcPr>
            <w:tcW w:w="2140" w:type="dxa"/>
            <w:vAlign w:val="bottom"/>
          </w:tcPr>
          <w:p>
            <w:pPr>
              <w:jc w:val="right"/>
              <w:spacing w:after="0"/>
              <w:rPr>
                <w:sz w:val="20"/>
                <w:szCs w:val="20"/>
                <w:color w:val="auto"/>
              </w:rPr>
            </w:pPr>
            <w:r>
              <w:rPr>
                <w:rFonts w:ascii="Arial" w:cs="Arial" w:eastAsia="Arial" w:hAnsi="Arial"/>
                <w:sz w:val="16"/>
                <w:szCs w:val="16"/>
                <w:b w:val="1"/>
                <w:bCs w:val="1"/>
                <w:color w:val="3B3C43"/>
              </w:rPr>
              <w:t>38</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45">
              <w:r>
                <w:rPr>
                  <w:rFonts w:ascii="Arial" w:cs="Arial" w:eastAsia="Arial" w:hAnsi="Arial"/>
                  <w:sz w:val="16"/>
                  <w:szCs w:val="16"/>
                  <w:color w:val="3B3C43"/>
                </w:rPr>
                <w:t>Governance Guidelines and Key Board Practices</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38</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46">
              <w:r>
                <w:rPr>
                  <w:rFonts w:ascii="Arial" w:cs="Arial" w:eastAsia="Arial" w:hAnsi="Arial"/>
                  <w:sz w:val="16"/>
                  <w:szCs w:val="16"/>
                  <w:color w:val="3B3C43"/>
                </w:rPr>
                <w:t>Shareholder Engagement</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39</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50">
              <w:r>
                <w:rPr>
                  <w:rFonts w:ascii="Arial" w:cs="Arial" w:eastAsia="Arial" w:hAnsi="Arial"/>
                  <w:sz w:val="16"/>
                  <w:szCs w:val="16"/>
                  <w:color w:val="3B3C43"/>
                </w:rPr>
                <w:t>Leadership Structure of the Board</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43</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52">
              <w:r>
                <w:rPr>
                  <w:rFonts w:ascii="Arial" w:cs="Arial" w:eastAsia="Arial" w:hAnsi="Arial"/>
                  <w:sz w:val="16"/>
                  <w:szCs w:val="16"/>
                  <w:color w:val="3B3C43"/>
                </w:rPr>
                <w:t>Board Composition and Criteria for Board Membership</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45</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56">
              <w:r>
                <w:rPr>
                  <w:rFonts w:ascii="Arial" w:cs="Arial" w:eastAsia="Arial" w:hAnsi="Arial"/>
                  <w:sz w:val="16"/>
                  <w:szCs w:val="16"/>
                  <w:color w:val="3B3C43"/>
                </w:rPr>
                <w:t>Enterprise Risk Management</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49</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57">
              <w:r>
                <w:rPr>
                  <w:rFonts w:ascii="Arial" w:cs="Arial" w:eastAsia="Arial" w:hAnsi="Arial"/>
                  <w:sz w:val="16"/>
                  <w:szCs w:val="16"/>
                  <w:color w:val="3B3C43"/>
                </w:rPr>
                <w:t>Committees of the Board of Directors</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50</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60">
              <w:r>
                <w:rPr>
                  <w:rFonts w:ascii="Arial" w:cs="Arial" w:eastAsia="Arial" w:hAnsi="Arial"/>
                  <w:sz w:val="16"/>
                  <w:szCs w:val="16"/>
                  <w:color w:val="3B3C43"/>
                </w:rPr>
                <w:t>Board Meetings and Attendance</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53</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60">
              <w:r>
                <w:rPr>
                  <w:rFonts w:ascii="Arial" w:cs="Arial" w:eastAsia="Arial" w:hAnsi="Arial"/>
                  <w:sz w:val="16"/>
                  <w:szCs w:val="16"/>
                  <w:color w:val="3B3C43"/>
                </w:rPr>
                <w:t>Director Independence</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53</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62">
              <w:r>
                <w:rPr>
                  <w:rFonts w:ascii="Arial" w:cs="Arial" w:eastAsia="Arial" w:hAnsi="Arial"/>
                  <w:sz w:val="16"/>
                  <w:szCs w:val="16"/>
                  <w:color w:val="3B3C43"/>
                </w:rPr>
                <w:t>Compensation Committee Interlocks and Insider Participation in Compensation Decisions</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55</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62">
              <w:r>
                <w:rPr>
                  <w:rFonts w:ascii="Arial" w:cs="Arial" w:eastAsia="Arial" w:hAnsi="Arial"/>
                  <w:sz w:val="16"/>
                  <w:szCs w:val="16"/>
                  <w:color w:val="3B3C43"/>
                </w:rPr>
                <w:t>Communications with Directors</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55</w:t>
            </w:r>
          </w:p>
        </w:tc>
      </w:tr>
      <w:tr>
        <w:trPr>
          <w:trHeight w:val="270"/>
        </w:trPr>
        <w:tc>
          <w:tcPr>
            <w:tcW w:w="8540" w:type="dxa"/>
            <w:vAlign w:val="bottom"/>
          </w:tcPr>
          <w:p>
            <w:pPr>
              <w:spacing w:after="0"/>
              <w:rPr>
                <w:rFonts w:ascii="Arial" w:cs="Arial" w:eastAsia="Arial" w:hAnsi="Arial"/>
                <w:sz w:val="16"/>
                <w:szCs w:val="16"/>
                <w:b w:val="1"/>
                <w:bCs w:val="1"/>
                <w:color w:val="3B3C43"/>
              </w:rPr>
            </w:pPr>
            <w:hyperlink w:anchor="page63">
              <w:r>
                <w:rPr>
                  <w:rFonts w:ascii="Arial" w:cs="Arial" w:eastAsia="Arial" w:hAnsi="Arial"/>
                  <w:sz w:val="16"/>
                  <w:szCs w:val="16"/>
                  <w:b w:val="1"/>
                  <w:bCs w:val="1"/>
                  <w:color w:val="3B3C43"/>
                </w:rPr>
                <w:t>Director Compensation</w:t>
              </w:r>
            </w:hyperlink>
          </w:p>
        </w:tc>
        <w:tc>
          <w:tcPr>
            <w:tcW w:w="2140" w:type="dxa"/>
            <w:vAlign w:val="bottom"/>
          </w:tcPr>
          <w:p>
            <w:pPr>
              <w:jc w:val="right"/>
              <w:spacing w:after="0"/>
              <w:rPr>
                <w:sz w:val="20"/>
                <w:szCs w:val="20"/>
                <w:color w:val="auto"/>
              </w:rPr>
            </w:pPr>
            <w:r>
              <w:rPr>
                <w:rFonts w:ascii="Arial" w:cs="Arial" w:eastAsia="Arial" w:hAnsi="Arial"/>
                <w:sz w:val="16"/>
                <w:szCs w:val="16"/>
                <w:b w:val="1"/>
                <w:bCs w:val="1"/>
                <w:color w:val="3B3C43"/>
              </w:rPr>
              <w:t>56</w:t>
            </w:r>
          </w:p>
        </w:tc>
      </w:tr>
      <w:tr>
        <w:trPr>
          <w:trHeight w:val="270"/>
        </w:trPr>
        <w:tc>
          <w:tcPr>
            <w:tcW w:w="8540" w:type="dxa"/>
            <w:vAlign w:val="bottom"/>
          </w:tcPr>
          <w:p>
            <w:pPr>
              <w:ind w:left="180"/>
              <w:spacing w:after="0"/>
              <w:rPr>
                <w:rFonts w:ascii="Arial" w:cs="Arial" w:eastAsia="Arial" w:hAnsi="Arial"/>
                <w:sz w:val="16"/>
                <w:szCs w:val="16"/>
                <w:color w:val="3B3C43"/>
              </w:rPr>
            </w:pPr>
            <w:hyperlink w:anchor="page63">
              <w:r>
                <w:rPr>
                  <w:rFonts w:ascii="Arial" w:cs="Arial" w:eastAsia="Arial" w:hAnsi="Arial"/>
                  <w:sz w:val="16"/>
                  <w:szCs w:val="16"/>
                  <w:color w:val="3B3C43"/>
                </w:rPr>
                <w:t>Non-executive Director Compensation</w:t>
              </w:r>
            </w:hyperlink>
          </w:p>
        </w:tc>
        <w:tc>
          <w:tcPr>
            <w:tcW w:w="2140" w:type="dxa"/>
            <w:vAlign w:val="bottom"/>
          </w:tcPr>
          <w:p>
            <w:pPr>
              <w:jc w:val="right"/>
              <w:spacing w:after="0"/>
              <w:rPr>
                <w:sz w:val="20"/>
                <w:szCs w:val="20"/>
                <w:color w:val="auto"/>
              </w:rPr>
            </w:pPr>
            <w:r>
              <w:rPr>
                <w:rFonts w:ascii="Arial" w:cs="Arial" w:eastAsia="Arial" w:hAnsi="Arial"/>
                <w:sz w:val="16"/>
                <w:szCs w:val="16"/>
                <w:color w:val="3B3C43"/>
              </w:rPr>
              <w:t>56</w:t>
            </w:r>
          </w:p>
        </w:tc>
      </w:tr>
    </w:tbl>
    <w:p>
      <w:pPr>
        <w:spacing w:after="0" w:line="18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288" w:right="5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9680" w:type="dxa"/>
            <w:vAlign w:val="bottom"/>
          </w:tcPr>
          <w:p>
            <w:pPr>
              <w:spacing w:after="0"/>
              <w:rPr>
                <w:rFonts w:ascii="Arial" w:cs="Arial" w:eastAsia="Arial" w:hAnsi="Arial"/>
                <w:sz w:val="16"/>
                <w:szCs w:val="16"/>
                <w:b w:val="1"/>
                <w:bCs w:val="1"/>
                <w:color w:val="3B3C43"/>
              </w:rPr>
            </w:pPr>
            <w:hyperlink w:anchor="page67">
              <w:r>
                <w:rPr>
                  <w:rFonts w:ascii="Arial" w:cs="Arial" w:eastAsia="Arial" w:hAnsi="Arial"/>
                  <w:sz w:val="16"/>
                  <w:szCs w:val="16"/>
                  <w:b w:val="1"/>
                  <w:bCs w:val="1"/>
                  <w:color w:val="3B3C43"/>
                </w:rPr>
                <w:t>Executive Compensation Discussion and Analysis</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60</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70">
              <w:r>
                <w:rPr>
                  <w:rFonts w:ascii="Arial" w:cs="Arial" w:eastAsia="Arial" w:hAnsi="Arial"/>
                  <w:sz w:val="16"/>
                  <w:szCs w:val="16"/>
                  <w:color w:val="3B3C43"/>
                </w:rPr>
                <w:t>Named Executive Officers</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63</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71">
              <w:r>
                <w:rPr>
                  <w:rFonts w:ascii="Arial" w:cs="Arial" w:eastAsia="Arial" w:hAnsi="Arial"/>
                  <w:sz w:val="16"/>
                  <w:szCs w:val="16"/>
                  <w:color w:val="3B3C43"/>
                </w:rPr>
                <w:t>2020 Performance and Impact on Executive Compensation</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64</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83">
              <w:r>
                <w:rPr>
                  <w:rFonts w:ascii="Arial" w:cs="Arial" w:eastAsia="Arial" w:hAnsi="Arial"/>
                  <w:sz w:val="16"/>
                  <w:szCs w:val="16"/>
                  <w:color w:val="3B3C43"/>
                </w:rPr>
                <w:t>Compensation Governance</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76</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87">
              <w:r>
                <w:rPr>
                  <w:rFonts w:ascii="Arial" w:cs="Arial" w:eastAsia="Arial" w:hAnsi="Arial"/>
                  <w:sz w:val="16"/>
                  <w:szCs w:val="16"/>
                  <w:color w:val="3B3C43"/>
                </w:rPr>
                <w:t>Elements of 2020 Executive Compensation</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80</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109">
              <w:r>
                <w:rPr>
                  <w:rFonts w:ascii="Arial" w:cs="Arial" w:eastAsia="Arial" w:hAnsi="Arial"/>
                  <w:sz w:val="16"/>
                  <w:szCs w:val="16"/>
                  <w:color w:val="3B3C43"/>
                </w:rPr>
                <w:t>Other Compensation, Benefits, and Considerations</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102</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113">
              <w:r>
                <w:rPr>
                  <w:rFonts w:ascii="Arial" w:cs="Arial" w:eastAsia="Arial" w:hAnsi="Arial"/>
                  <w:sz w:val="16"/>
                  <w:szCs w:val="16"/>
                  <w:color w:val="3B3C43"/>
                </w:rPr>
                <w:t>Summary Compensation Table for the Year Ended December 31, 2020</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106</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115">
              <w:r>
                <w:rPr>
                  <w:rFonts w:ascii="Arial" w:cs="Arial" w:eastAsia="Arial" w:hAnsi="Arial"/>
                  <w:sz w:val="16"/>
                  <w:szCs w:val="16"/>
                  <w:color w:val="3B3C43"/>
                </w:rPr>
                <w:t>Grants of Plan-Based Awards Table</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108</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116">
              <w:r>
                <w:rPr>
                  <w:rFonts w:ascii="Arial" w:cs="Arial" w:eastAsia="Arial" w:hAnsi="Arial"/>
                  <w:sz w:val="16"/>
                  <w:szCs w:val="16"/>
                  <w:color w:val="3B3C43"/>
                </w:rPr>
                <w:t>Outstanding Equity Awards at Fiscal Year-End Table</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109</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117">
              <w:r>
                <w:rPr>
                  <w:rFonts w:ascii="Arial" w:cs="Arial" w:eastAsia="Arial" w:hAnsi="Arial"/>
                  <w:sz w:val="16"/>
                  <w:szCs w:val="16"/>
                  <w:color w:val="3B3C43"/>
                </w:rPr>
                <w:t>Option Exercises and Stock Vested Table</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110</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118">
              <w:r>
                <w:rPr>
                  <w:rFonts w:ascii="Arial" w:cs="Arial" w:eastAsia="Arial" w:hAnsi="Arial"/>
                  <w:sz w:val="16"/>
                  <w:szCs w:val="16"/>
                  <w:color w:val="3B3C43"/>
                </w:rPr>
                <w:t>Pension Benefits Table</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111</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120">
              <w:r>
                <w:rPr>
                  <w:rFonts w:ascii="Arial" w:cs="Arial" w:eastAsia="Arial" w:hAnsi="Arial"/>
                  <w:sz w:val="16"/>
                  <w:szCs w:val="16"/>
                  <w:color w:val="3B3C43"/>
                </w:rPr>
                <w:t>Non-Qualified Deferred Compensation Table</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113</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121">
              <w:r>
                <w:rPr>
                  <w:rFonts w:ascii="Arial" w:cs="Arial" w:eastAsia="Arial" w:hAnsi="Arial"/>
                  <w:sz w:val="16"/>
                  <w:szCs w:val="16"/>
                  <w:color w:val="3B3C43"/>
                </w:rPr>
                <w:t>Potential Payments upon Termination</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114</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124">
              <w:r>
                <w:rPr>
                  <w:rFonts w:ascii="Arial" w:cs="Arial" w:eastAsia="Arial" w:hAnsi="Arial"/>
                  <w:sz w:val="16"/>
                  <w:szCs w:val="16"/>
                  <w:color w:val="3B3C43"/>
                </w:rPr>
                <w:t>CEO Pay Ratio</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117</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25">
              <w:r>
                <w:rPr>
                  <w:rFonts w:ascii="Arial" w:cs="Arial" w:eastAsia="Arial" w:hAnsi="Arial"/>
                  <w:sz w:val="16"/>
                  <w:szCs w:val="16"/>
                  <w:b w:val="1"/>
                  <w:bCs w:val="1"/>
                  <w:color w:val="3B3C43"/>
                </w:rPr>
                <w:t>Compensation Committee Report</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118</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26">
              <w:r>
                <w:rPr>
                  <w:rFonts w:ascii="Arial" w:cs="Arial" w:eastAsia="Arial" w:hAnsi="Arial"/>
                  <w:sz w:val="16"/>
                  <w:szCs w:val="16"/>
                  <w:b w:val="1"/>
                  <w:bCs w:val="1"/>
                  <w:color w:val="3B3C43"/>
                </w:rPr>
                <w:t>Audit Committee Report</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119</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27">
              <w:r>
                <w:rPr>
                  <w:rFonts w:ascii="Arial" w:cs="Arial" w:eastAsia="Arial" w:hAnsi="Arial"/>
                  <w:sz w:val="16"/>
                  <w:szCs w:val="16"/>
                  <w:b w:val="1"/>
                  <w:bCs w:val="1"/>
                  <w:color w:val="3B3C43"/>
                </w:rPr>
                <w:t>Proposals 1(a)-1(i) - Election of Directors</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120</w:t>
            </w:r>
          </w:p>
        </w:tc>
      </w:tr>
      <w:tr>
        <w:trPr>
          <w:trHeight w:val="270"/>
        </w:trPr>
        <w:tc>
          <w:tcPr>
            <w:tcW w:w="9680" w:type="dxa"/>
            <w:vAlign w:val="bottom"/>
          </w:tcPr>
          <w:p>
            <w:pPr>
              <w:ind w:left="180"/>
              <w:spacing w:after="0"/>
              <w:rPr>
                <w:rFonts w:ascii="Arial" w:cs="Arial" w:eastAsia="Arial" w:hAnsi="Arial"/>
                <w:sz w:val="16"/>
                <w:szCs w:val="16"/>
                <w:color w:val="3B3C43"/>
              </w:rPr>
            </w:pPr>
            <w:hyperlink w:anchor="page129">
              <w:r>
                <w:rPr>
                  <w:rFonts w:ascii="Arial" w:cs="Arial" w:eastAsia="Arial" w:hAnsi="Arial"/>
                  <w:sz w:val="16"/>
                  <w:szCs w:val="16"/>
                  <w:color w:val="3B3C43"/>
                </w:rPr>
                <w:t>Director Nominees</w:t>
              </w:r>
            </w:hyperlink>
          </w:p>
        </w:tc>
        <w:tc>
          <w:tcPr>
            <w:tcW w:w="1000" w:type="dxa"/>
            <w:vAlign w:val="bottom"/>
          </w:tcPr>
          <w:p>
            <w:pPr>
              <w:jc w:val="right"/>
              <w:spacing w:after="0"/>
              <w:rPr>
                <w:sz w:val="20"/>
                <w:szCs w:val="20"/>
                <w:color w:val="auto"/>
              </w:rPr>
            </w:pPr>
            <w:r>
              <w:rPr>
                <w:rFonts w:ascii="Arial" w:cs="Arial" w:eastAsia="Arial" w:hAnsi="Arial"/>
                <w:sz w:val="16"/>
                <w:szCs w:val="16"/>
                <w:color w:val="3B3C43"/>
              </w:rPr>
              <w:t>122</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38">
              <w:r>
                <w:rPr>
                  <w:rFonts w:ascii="Arial" w:cs="Arial" w:eastAsia="Arial" w:hAnsi="Arial"/>
                  <w:sz w:val="16"/>
                  <w:szCs w:val="16"/>
                  <w:b w:val="1"/>
                  <w:bCs w:val="1"/>
                  <w:color w:val="3B3C43"/>
                </w:rPr>
                <w:t>Proposal 2 - 2020 Say-on-Pay for NEOs</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131</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39">
              <w:r>
                <w:rPr>
                  <w:rFonts w:ascii="Arial" w:cs="Arial" w:eastAsia="Arial" w:hAnsi="Arial"/>
                  <w:sz w:val="16"/>
                  <w:szCs w:val="16"/>
                  <w:b w:val="1"/>
                  <w:bCs w:val="1"/>
                  <w:color w:val="3B3C43"/>
                </w:rPr>
                <w:t>Proposal 3 - 2020 Directors’ Remuneration Report</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132</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40">
              <w:r>
                <w:rPr>
                  <w:rFonts w:ascii="Arial" w:cs="Arial" w:eastAsia="Arial" w:hAnsi="Arial"/>
                  <w:sz w:val="16"/>
                  <w:szCs w:val="16"/>
                  <w:b w:val="1"/>
                  <w:bCs w:val="1"/>
                  <w:color w:val="3B3C43"/>
                </w:rPr>
                <w:t>Proposal 4 - Prospective Directors’ Remuneration Policy</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133</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41">
              <w:r>
                <w:rPr>
                  <w:rFonts w:ascii="Arial" w:cs="Arial" w:eastAsia="Arial" w:hAnsi="Arial"/>
                  <w:sz w:val="16"/>
                  <w:szCs w:val="16"/>
                  <w:b w:val="1"/>
                  <w:bCs w:val="1"/>
                  <w:color w:val="3B3C43"/>
                </w:rPr>
                <w:t>Proposal 5 - Receipt of U.K. Annual Report and Accounts</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134</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42">
              <w:r>
                <w:rPr>
                  <w:rFonts w:ascii="Arial" w:cs="Arial" w:eastAsia="Arial" w:hAnsi="Arial"/>
                  <w:sz w:val="16"/>
                  <w:szCs w:val="16"/>
                  <w:b w:val="1"/>
                  <w:bCs w:val="1"/>
                  <w:color w:val="3B3C43"/>
                </w:rPr>
                <w:t>Proposal 6 - Ratification of U.S. Auditor</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135</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44">
              <w:r>
                <w:rPr>
                  <w:rFonts w:ascii="Arial" w:cs="Arial" w:eastAsia="Arial" w:hAnsi="Arial"/>
                  <w:sz w:val="16"/>
                  <w:szCs w:val="16"/>
                  <w:b w:val="1"/>
                  <w:bCs w:val="1"/>
                  <w:color w:val="3B3C43"/>
                </w:rPr>
                <w:t>Proposal 7 - Reappointment of U.K. Statutory Auditor</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137</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45">
              <w:r>
                <w:rPr>
                  <w:rFonts w:ascii="Arial" w:cs="Arial" w:eastAsia="Arial" w:hAnsi="Arial"/>
                  <w:sz w:val="16"/>
                  <w:szCs w:val="16"/>
                  <w:b w:val="1"/>
                  <w:bCs w:val="1"/>
                  <w:color w:val="3B3C43"/>
                </w:rPr>
                <w:t>Proposal 8 - Approval of U.K. Statutory Auditor Fees</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138</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48">
              <w:r>
                <w:rPr>
                  <w:rFonts w:ascii="Arial" w:cs="Arial" w:eastAsia="Arial" w:hAnsi="Arial"/>
                  <w:sz w:val="16"/>
                  <w:szCs w:val="16"/>
                  <w:b w:val="1"/>
                  <w:bCs w:val="1"/>
                  <w:color w:val="3B3C43"/>
                </w:rPr>
                <w:t>Proposal 10 - Authority to Allot Equity Securities</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141</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50">
              <w:r>
                <w:rPr>
                  <w:rFonts w:ascii="Arial" w:cs="Arial" w:eastAsia="Arial" w:hAnsi="Arial"/>
                  <w:sz w:val="16"/>
                  <w:szCs w:val="16"/>
                  <w:b w:val="1"/>
                  <w:bCs w:val="1"/>
                  <w:color w:val="3B3C43"/>
                </w:rPr>
                <w:t>Proposal 11 - Authority to Allot Equity Securities without Pre-emptive Rights 143 Transactions with Related Persons</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143</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53">
              <w:r>
                <w:rPr>
                  <w:rFonts w:ascii="Arial" w:cs="Arial" w:eastAsia="Arial" w:hAnsi="Arial"/>
                  <w:sz w:val="16"/>
                  <w:szCs w:val="16"/>
                  <w:b w:val="1"/>
                  <w:bCs w:val="1"/>
                  <w:color w:val="3B3C43"/>
                </w:rPr>
                <w:t>Security Ownership of Certain Beneficial Owners and Management</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146</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55">
              <w:r>
                <w:rPr>
                  <w:rFonts w:ascii="Arial" w:cs="Arial" w:eastAsia="Arial" w:hAnsi="Arial"/>
                  <w:sz w:val="16"/>
                  <w:szCs w:val="16"/>
                  <w:b w:val="1"/>
                  <w:bCs w:val="1"/>
                  <w:color w:val="3B3C43"/>
                </w:rPr>
                <w:t>Section 16(a) Beneficial Ownership Reporting Compliance</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148</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56">
              <w:r>
                <w:rPr>
                  <w:rFonts w:ascii="Arial" w:cs="Arial" w:eastAsia="Arial" w:hAnsi="Arial"/>
                  <w:sz w:val="16"/>
                  <w:szCs w:val="16"/>
                  <w:b w:val="1"/>
                  <w:bCs w:val="1"/>
                  <w:color w:val="3B3C43"/>
                </w:rPr>
                <w:t>Proposals for the 2022 Annual General Meeting of Shareholders</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149</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57">
              <w:r>
                <w:rPr>
                  <w:rFonts w:ascii="Arial" w:cs="Arial" w:eastAsia="Arial" w:hAnsi="Arial"/>
                  <w:sz w:val="16"/>
                  <w:szCs w:val="16"/>
                  <w:b w:val="1"/>
                  <w:bCs w:val="1"/>
                  <w:color w:val="3B3C43"/>
                </w:rPr>
                <w:t>Shareholders Sharing an Address</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150</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58">
              <w:r>
                <w:rPr>
                  <w:rFonts w:ascii="Arial" w:cs="Arial" w:eastAsia="Arial" w:hAnsi="Arial"/>
                  <w:sz w:val="16"/>
                  <w:szCs w:val="16"/>
                  <w:b w:val="1"/>
                  <w:bCs w:val="1"/>
                  <w:color w:val="3B3C43"/>
                </w:rPr>
                <w:t>General Information about the Annual Meeting</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151</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66">
              <w:r>
                <w:rPr>
                  <w:rFonts w:ascii="Arial" w:cs="Arial" w:eastAsia="Arial" w:hAnsi="Arial"/>
                  <w:sz w:val="16"/>
                  <w:szCs w:val="16"/>
                  <w:b w:val="1"/>
                  <w:bCs w:val="1"/>
                  <w:color w:val="3B3C43"/>
                </w:rPr>
                <w:t>Appendix A - Form of Share Purchase Contract</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159</w:t>
            </w:r>
          </w:p>
        </w:tc>
      </w:tr>
      <w:tr>
        <w:trPr>
          <w:trHeight w:val="270"/>
        </w:trPr>
        <w:tc>
          <w:tcPr>
            <w:tcW w:w="9680" w:type="dxa"/>
            <w:vAlign w:val="bottom"/>
          </w:tcPr>
          <w:p>
            <w:pPr>
              <w:spacing w:after="0"/>
              <w:rPr>
                <w:rFonts w:ascii="Arial" w:cs="Arial" w:eastAsia="Arial" w:hAnsi="Arial"/>
                <w:sz w:val="16"/>
                <w:szCs w:val="16"/>
                <w:b w:val="1"/>
                <w:bCs w:val="1"/>
                <w:color w:val="3B3C43"/>
              </w:rPr>
            </w:pPr>
            <w:hyperlink w:anchor="page169">
              <w:r>
                <w:rPr>
                  <w:rFonts w:ascii="Arial" w:cs="Arial" w:eastAsia="Arial" w:hAnsi="Arial"/>
                  <w:sz w:val="16"/>
                  <w:szCs w:val="16"/>
                  <w:b w:val="1"/>
                  <w:bCs w:val="1"/>
                  <w:color w:val="3B3C43"/>
                </w:rPr>
                <w:t>Appendix B - Form of Rule 10b-5 Share Repurchase Contract</w:t>
              </w:r>
            </w:hyperlink>
          </w:p>
        </w:tc>
        <w:tc>
          <w:tcPr>
            <w:tcW w:w="1000" w:type="dxa"/>
            <w:vAlign w:val="bottom"/>
          </w:tcPr>
          <w:p>
            <w:pPr>
              <w:jc w:val="right"/>
              <w:spacing w:after="0"/>
              <w:rPr>
                <w:sz w:val="20"/>
                <w:szCs w:val="20"/>
                <w:color w:val="auto"/>
              </w:rPr>
            </w:pPr>
            <w:r>
              <w:rPr>
                <w:rFonts w:ascii="Arial" w:cs="Arial" w:eastAsia="Arial" w:hAnsi="Arial"/>
                <w:sz w:val="16"/>
                <w:szCs w:val="16"/>
                <w:b w:val="1"/>
                <w:bCs w:val="1"/>
                <w:color w:val="3B3C43"/>
              </w:rPr>
              <w:t>162</w:t>
            </w:r>
          </w:p>
        </w:tc>
      </w:tr>
    </w:tbl>
    <w:p>
      <w:pPr>
        <w:spacing w:after="0" w:line="18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vi</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315" w:right="5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6802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8021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Arial" w:cs="Arial" w:eastAsia="Arial" w:hAnsi="Arial"/>
          <w:sz w:val="67"/>
          <w:szCs w:val="67"/>
          <w:color w:val="4B1F68"/>
        </w:rPr>
        <w:t>2021 Proxy Summary</w:t>
      </w:r>
    </w:p>
    <w:p>
      <w:pPr>
        <w:spacing w:after="0" w:line="174" w:lineRule="exact"/>
        <w:rPr>
          <w:sz w:val="20"/>
          <w:szCs w:val="20"/>
          <w:color w:val="auto"/>
        </w:rPr>
      </w:pPr>
    </w:p>
    <w:p>
      <w:pPr>
        <w:ind w:left="160" w:right="660"/>
        <w:spacing w:after="0" w:line="260" w:lineRule="auto"/>
        <w:rPr>
          <w:sz w:val="20"/>
          <w:szCs w:val="20"/>
          <w:color w:val="auto"/>
        </w:rPr>
      </w:pPr>
      <w:r>
        <w:rPr>
          <w:rFonts w:ascii="Arial" w:cs="Arial" w:eastAsia="Arial" w:hAnsi="Arial"/>
          <w:sz w:val="16"/>
          <w:szCs w:val="16"/>
          <w:color w:val="3B3C43"/>
        </w:rPr>
        <w:t>Along with the Notice of Annual Meeting, we are providing this Proxy Statement, the U.K. Annual Report and Accounts, and our Form 10-K in connection with the Annual Meeting (collectively, the “</w:t>
      </w:r>
      <w:r>
        <w:rPr>
          <w:rFonts w:ascii="Arial" w:cs="Arial" w:eastAsia="Arial" w:hAnsi="Arial"/>
          <w:sz w:val="16"/>
          <w:szCs w:val="16"/>
          <w:b w:val="1"/>
          <w:bCs w:val="1"/>
          <w:color w:val="3B3C43"/>
        </w:rPr>
        <w:t>Proxy Materials</w:t>
      </w:r>
      <w:r>
        <w:rPr>
          <w:rFonts w:ascii="Arial" w:cs="Arial" w:eastAsia="Arial" w:hAnsi="Arial"/>
          <w:sz w:val="16"/>
          <w:szCs w:val="16"/>
          <w:color w:val="3B3C43"/>
        </w:rPr>
        <w:t>”).</w:t>
      </w:r>
    </w:p>
    <w:p>
      <w:pPr>
        <w:spacing w:after="0" w:line="168"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3B3C43"/>
        </w:rPr>
        <w:t>This summary highlights information contained elsewhere in this Proxy Statement. This summary does not contain all the information that you should consider regarding each of the proposals to be voted on at the Annual Meeting. Please read the entire Proxy Statement carefully before voting. For further information regarding our 2020 financial performance, please review our Form 10-K and our U.K. Annual Report and Accounts.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38"/>
          <w:szCs w:val="38"/>
          <w:color w:val="4B1F68"/>
        </w:rPr>
        <w:t>Annual Meeting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3300" w:type="dxa"/>
            <w:vAlign w:val="bottom"/>
          </w:tcPr>
          <w:p>
            <w:pPr>
              <w:spacing w:after="0"/>
              <w:rPr>
                <w:sz w:val="20"/>
                <w:szCs w:val="20"/>
                <w:color w:val="auto"/>
              </w:rPr>
            </w:pPr>
            <w:r>
              <w:rPr>
                <w:rFonts w:ascii="Arial" w:cs="Arial" w:eastAsia="Arial" w:hAnsi="Arial"/>
                <w:sz w:val="16"/>
                <w:szCs w:val="16"/>
                <w:b w:val="1"/>
                <w:bCs w:val="1"/>
                <w:color w:val="00ADE8"/>
              </w:rPr>
              <w:t>Time and Date</w:t>
            </w:r>
          </w:p>
        </w:tc>
        <w:tc>
          <w:tcPr>
            <w:tcW w:w="3500" w:type="dxa"/>
            <w:vAlign w:val="bottom"/>
          </w:tcPr>
          <w:p>
            <w:pPr>
              <w:ind w:left="200"/>
              <w:spacing w:after="0"/>
              <w:rPr>
                <w:sz w:val="20"/>
                <w:szCs w:val="20"/>
                <w:color w:val="auto"/>
              </w:rPr>
            </w:pPr>
            <w:r>
              <w:rPr>
                <w:rFonts w:ascii="Arial" w:cs="Arial" w:eastAsia="Arial" w:hAnsi="Arial"/>
                <w:sz w:val="16"/>
                <w:szCs w:val="16"/>
                <w:b w:val="1"/>
                <w:bCs w:val="1"/>
                <w:color w:val="00ADE8"/>
              </w:rPr>
              <w:t>Place</w:t>
            </w:r>
          </w:p>
        </w:tc>
        <w:tc>
          <w:tcPr>
            <w:tcW w:w="3800" w:type="dxa"/>
            <w:vAlign w:val="bottom"/>
          </w:tcPr>
          <w:p>
            <w:pPr>
              <w:ind w:left="200"/>
              <w:spacing w:after="0"/>
              <w:rPr>
                <w:sz w:val="20"/>
                <w:szCs w:val="20"/>
                <w:color w:val="auto"/>
              </w:rPr>
            </w:pPr>
            <w:r>
              <w:rPr>
                <w:rFonts w:ascii="Arial" w:cs="Arial" w:eastAsia="Arial" w:hAnsi="Arial"/>
                <w:sz w:val="16"/>
                <w:szCs w:val="16"/>
                <w:b w:val="1"/>
                <w:bCs w:val="1"/>
                <w:color w:val="00ADE8"/>
              </w:rPr>
              <w:t>Record Date</w:t>
            </w:r>
          </w:p>
        </w:tc>
        <w:tc>
          <w:tcPr>
            <w:tcW w:w="0" w:type="dxa"/>
            <w:vAlign w:val="bottom"/>
          </w:tcPr>
          <w:p>
            <w:pPr>
              <w:spacing w:after="0"/>
              <w:rPr>
                <w:sz w:val="1"/>
                <w:szCs w:val="1"/>
                <w:color w:val="auto"/>
              </w:rPr>
            </w:pPr>
          </w:p>
        </w:tc>
      </w:tr>
      <w:tr>
        <w:trPr>
          <w:trHeight w:val="352"/>
        </w:trPr>
        <w:tc>
          <w:tcPr>
            <w:tcW w:w="3300" w:type="dxa"/>
            <w:vAlign w:val="bottom"/>
          </w:tcPr>
          <w:p>
            <w:pPr>
              <w:spacing w:after="0"/>
              <w:rPr>
                <w:sz w:val="20"/>
                <w:szCs w:val="20"/>
                <w:color w:val="auto"/>
              </w:rPr>
            </w:pPr>
            <w:r>
              <w:rPr>
                <w:rFonts w:ascii="Arial" w:cs="Arial" w:eastAsia="Arial" w:hAnsi="Arial"/>
                <w:sz w:val="16"/>
                <w:szCs w:val="16"/>
                <w:b w:val="1"/>
                <w:bCs w:val="1"/>
                <w:color w:val="3B3C43"/>
              </w:rPr>
              <w:t>May 20, 2021 at 10:00 a.m., London time</w:t>
            </w:r>
          </w:p>
        </w:tc>
        <w:tc>
          <w:tcPr>
            <w:tcW w:w="3500" w:type="dxa"/>
            <w:vAlign w:val="bottom"/>
          </w:tcPr>
          <w:p>
            <w:pPr>
              <w:ind w:left="200"/>
              <w:spacing w:after="0"/>
              <w:rPr>
                <w:sz w:val="20"/>
                <w:szCs w:val="20"/>
                <w:color w:val="auto"/>
              </w:rPr>
            </w:pPr>
            <w:r>
              <w:rPr>
                <w:rFonts w:ascii="Arial" w:cs="Arial" w:eastAsia="Arial" w:hAnsi="Arial"/>
                <w:sz w:val="16"/>
                <w:szCs w:val="16"/>
                <w:b w:val="1"/>
                <w:bCs w:val="1"/>
                <w:color w:val="3B3C43"/>
              </w:rPr>
              <w:t>Pitreavie Business Park, Queensferry</w:t>
            </w:r>
          </w:p>
        </w:tc>
        <w:tc>
          <w:tcPr>
            <w:tcW w:w="3800" w:type="dxa"/>
            <w:vAlign w:val="bottom"/>
          </w:tcPr>
          <w:p>
            <w:pPr>
              <w:ind w:left="200"/>
              <w:spacing w:after="0"/>
              <w:rPr>
                <w:sz w:val="20"/>
                <w:szCs w:val="20"/>
                <w:color w:val="auto"/>
              </w:rPr>
            </w:pPr>
            <w:r>
              <w:rPr>
                <w:rFonts w:ascii="Arial" w:cs="Arial" w:eastAsia="Arial" w:hAnsi="Arial"/>
                <w:sz w:val="16"/>
                <w:szCs w:val="16"/>
                <w:b w:val="1"/>
                <w:bCs w:val="1"/>
                <w:color w:val="3B3C43"/>
              </w:rPr>
              <w:t>March 24, 2021, 5:00 p.m., New York time</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Arial" w:cs="Arial" w:eastAsia="Arial" w:hAnsi="Arial"/>
                <w:sz w:val="16"/>
                <w:szCs w:val="16"/>
                <w:b w:val="1"/>
                <w:bCs w:val="1"/>
                <w:color w:val="3B3C43"/>
              </w:rPr>
              <w:t>Road, Dunfermline KY11 8UD, United</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00" w:type="dxa"/>
            <w:vAlign w:val="bottom"/>
          </w:tcPr>
          <w:p>
            <w:pPr>
              <w:spacing w:after="0"/>
              <w:rPr>
                <w:sz w:val="18"/>
                <w:szCs w:val="18"/>
                <w:color w:val="auto"/>
              </w:rPr>
            </w:pPr>
          </w:p>
        </w:tc>
        <w:tc>
          <w:tcPr>
            <w:tcW w:w="3500" w:type="dxa"/>
            <w:vAlign w:val="bottom"/>
          </w:tcPr>
          <w:p>
            <w:pPr>
              <w:ind w:left="200"/>
              <w:spacing w:after="0"/>
              <w:rPr>
                <w:sz w:val="20"/>
                <w:szCs w:val="20"/>
                <w:color w:val="auto"/>
              </w:rPr>
            </w:pPr>
            <w:r>
              <w:rPr>
                <w:rFonts w:ascii="Arial" w:cs="Arial" w:eastAsia="Arial" w:hAnsi="Arial"/>
                <w:sz w:val="16"/>
                <w:szCs w:val="16"/>
                <w:b w:val="1"/>
                <w:bCs w:val="1"/>
                <w:color w:val="3B3C43"/>
              </w:rPr>
              <w:t>Kingdom</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3"/>
        </w:trPr>
        <w:tc>
          <w:tcPr>
            <w:tcW w:w="3300" w:type="dxa"/>
            <w:vAlign w:val="bottom"/>
          </w:tcPr>
          <w:p>
            <w:pPr>
              <w:spacing w:after="0"/>
              <w:rPr>
                <w:sz w:val="20"/>
                <w:szCs w:val="20"/>
                <w:color w:val="auto"/>
              </w:rPr>
            </w:pPr>
            <w:r>
              <w:rPr>
                <w:rFonts w:ascii="Arial" w:cs="Arial" w:eastAsia="Arial" w:hAnsi="Arial"/>
                <w:sz w:val="16"/>
                <w:szCs w:val="16"/>
                <w:b w:val="1"/>
                <w:bCs w:val="1"/>
                <w:color w:val="00ADE8"/>
              </w:rPr>
              <w:t>Admission</w:t>
            </w:r>
          </w:p>
        </w:tc>
        <w:tc>
          <w:tcPr>
            <w:tcW w:w="3500" w:type="dxa"/>
            <w:vAlign w:val="bottom"/>
          </w:tcPr>
          <w:p>
            <w:pPr>
              <w:ind w:left="200"/>
              <w:spacing w:after="0"/>
              <w:rPr>
                <w:sz w:val="20"/>
                <w:szCs w:val="20"/>
                <w:color w:val="auto"/>
              </w:rPr>
            </w:pPr>
            <w:r>
              <w:rPr>
                <w:rFonts w:ascii="Arial" w:cs="Arial" w:eastAsia="Arial" w:hAnsi="Arial"/>
                <w:sz w:val="16"/>
                <w:szCs w:val="16"/>
                <w:b w:val="1"/>
                <w:bCs w:val="1"/>
                <w:color w:val="00ADE8"/>
              </w:rPr>
              <w:t>Voting</w:t>
            </w:r>
          </w:p>
        </w:tc>
        <w:tc>
          <w:tcPr>
            <w:tcW w:w="3800" w:type="dxa"/>
            <w:vAlign w:val="bottom"/>
          </w:tcPr>
          <w:p>
            <w:pPr>
              <w:ind w:left="200"/>
              <w:spacing w:after="0"/>
              <w:rPr>
                <w:sz w:val="20"/>
                <w:szCs w:val="20"/>
                <w:color w:val="auto"/>
              </w:rPr>
            </w:pPr>
            <w:r>
              <w:rPr>
                <w:rFonts w:ascii="Arial" w:cs="Arial" w:eastAsia="Arial" w:hAnsi="Arial"/>
                <w:sz w:val="16"/>
                <w:szCs w:val="16"/>
                <w:b w:val="1"/>
                <w:bCs w:val="1"/>
                <w:color w:val="00ADE8"/>
              </w:rPr>
              <w:t>Voting Deadlines</w:t>
            </w:r>
          </w:p>
        </w:tc>
        <w:tc>
          <w:tcPr>
            <w:tcW w:w="0" w:type="dxa"/>
            <w:vAlign w:val="bottom"/>
          </w:tcPr>
          <w:p>
            <w:pPr>
              <w:spacing w:after="0"/>
              <w:rPr>
                <w:sz w:val="1"/>
                <w:szCs w:val="1"/>
                <w:color w:val="auto"/>
              </w:rPr>
            </w:pPr>
          </w:p>
        </w:tc>
      </w:tr>
      <w:tr>
        <w:trPr>
          <w:trHeight w:val="356"/>
        </w:trPr>
        <w:tc>
          <w:tcPr>
            <w:tcW w:w="3300" w:type="dxa"/>
            <w:vAlign w:val="bottom"/>
          </w:tcPr>
          <w:p>
            <w:pPr>
              <w:spacing w:after="0"/>
              <w:rPr>
                <w:sz w:val="20"/>
                <w:szCs w:val="20"/>
                <w:color w:val="auto"/>
              </w:rPr>
            </w:pPr>
            <w:r>
              <w:rPr>
                <w:rFonts w:ascii="Arial" w:cs="Arial" w:eastAsia="Arial" w:hAnsi="Arial"/>
                <w:sz w:val="16"/>
                <w:szCs w:val="16"/>
                <w:color w:val="3B3C43"/>
              </w:rPr>
              <w:t>Admission ticket and valid photo</w:t>
            </w:r>
          </w:p>
        </w:tc>
        <w:tc>
          <w:tcPr>
            <w:tcW w:w="3500" w:type="dxa"/>
            <w:vAlign w:val="bottom"/>
          </w:tcPr>
          <w:p>
            <w:pPr>
              <w:ind w:left="200"/>
              <w:spacing w:after="0"/>
              <w:rPr>
                <w:sz w:val="20"/>
                <w:szCs w:val="20"/>
                <w:color w:val="auto"/>
              </w:rPr>
            </w:pPr>
            <w:r>
              <w:rPr>
                <w:rFonts w:ascii="Arial" w:cs="Arial" w:eastAsia="Arial" w:hAnsi="Arial"/>
                <w:sz w:val="16"/>
                <w:szCs w:val="16"/>
                <w:color w:val="3B3C43"/>
              </w:rPr>
              <w:t>Each Ordinary Share is entitled to one vote</w:t>
            </w:r>
          </w:p>
        </w:tc>
        <w:tc>
          <w:tcPr>
            <w:tcW w:w="3800" w:type="dxa"/>
            <w:vAlign w:val="bottom"/>
          </w:tcPr>
          <w:p>
            <w:pPr>
              <w:ind w:left="200"/>
              <w:spacing w:after="0"/>
              <w:rPr>
                <w:sz w:val="20"/>
                <w:szCs w:val="20"/>
                <w:color w:val="auto"/>
              </w:rPr>
            </w:pPr>
            <w:r>
              <w:rPr>
                <w:rFonts w:ascii="Arial" w:cs="Arial" w:eastAsia="Arial" w:hAnsi="Arial"/>
                <w:sz w:val="16"/>
                <w:szCs w:val="16"/>
                <w:b w:val="1"/>
                <w:bCs w:val="1"/>
                <w:color w:val="3B3C43"/>
              </w:rPr>
              <w:t xml:space="preserve">New York Stock Exchange shares: </w:t>
            </w:r>
            <w:r>
              <w:rPr>
                <w:rFonts w:ascii="Arial" w:cs="Arial" w:eastAsia="Arial" w:hAnsi="Arial"/>
                <w:sz w:val="16"/>
                <w:szCs w:val="16"/>
                <w:color w:val="3B3C43"/>
              </w:rPr>
              <w:t>11:59 PM,</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6"/>
                <w:szCs w:val="16"/>
                <w:color w:val="3B3C43"/>
              </w:rPr>
              <w:t xml:space="preserve">identification required. Please see </w:t>
            </w:r>
            <w:r>
              <w:rPr>
                <w:rFonts w:ascii="Arial" w:cs="Arial" w:eastAsia="Arial" w:hAnsi="Arial"/>
                <w:sz w:val="16"/>
                <w:szCs w:val="16"/>
                <w:i w:val="1"/>
                <w:iCs w:val="1"/>
                <w:color w:val="3B3C43"/>
              </w:rPr>
              <w:t>“General</w:t>
            </w:r>
          </w:p>
        </w:tc>
        <w:tc>
          <w:tcPr>
            <w:tcW w:w="3500" w:type="dxa"/>
            <w:vAlign w:val="bottom"/>
          </w:tcPr>
          <w:p>
            <w:pPr>
              <w:ind w:left="200"/>
              <w:spacing w:after="0"/>
              <w:rPr>
                <w:sz w:val="20"/>
                <w:szCs w:val="20"/>
                <w:color w:val="auto"/>
              </w:rPr>
            </w:pPr>
            <w:r>
              <w:rPr>
                <w:rFonts w:ascii="Arial" w:cs="Arial" w:eastAsia="Arial" w:hAnsi="Arial"/>
                <w:sz w:val="16"/>
                <w:szCs w:val="16"/>
                <w:color w:val="3B3C43"/>
              </w:rPr>
              <w:t>for each of the proposals to be voted on.</w:t>
            </w:r>
          </w:p>
        </w:tc>
        <w:tc>
          <w:tcPr>
            <w:tcW w:w="3800" w:type="dxa"/>
            <w:vAlign w:val="bottom"/>
          </w:tcPr>
          <w:p>
            <w:pPr>
              <w:ind w:left="200"/>
              <w:spacing w:after="0"/>
              <w:rPr>
                <w:sz w:val="20"/>
                <w:szCs w:val="20"/>
                <w:color w:val="auto"/>
              </w:rPr>
            </w:pPr>
            <w:r>
              <w:rPr>
                <w:rFonts w:ascii="Arial" w:cs="Arial" w:eastAsia="Arial" w:hAnsi="Arial"/>
                <w:sz w:val="16"/>
                <w:szCs w:val="16"/>
                <w:color w:val="3B3C43"/>
              </w:rPr>
              <w:t>New York time, on May 19, 2021</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6"/>
                <w:szCs w:val="16"/>
                <w:i w:val="1"/>
                <w:iCs w:val="1"/>
                <w:color w:val="3B3C43"/>
              </w:rPr>
              <w:t>Information about the Annual Meeting-Who</w:t>
            </w:r>
          </w:p>
        </w:tc>
        <w:tc>
          <w:tcPr>
            <w:tcW w:w="3500" w:type="dxa"/>
            <w:vAlign w:val="bottom"/>
          </w:tcPr>
          <w:p>
            <w:pPr>
              <w:spacing w:after="0"/>
              <w:rPr>
                <w:sz w:val="16"/>
                <w:szCs w:val="16"/>
                <w:color w:val="auto"/>
              </w:rPr>
            </w:pPr>
          </w:p>
        </w:tc>
        <w:tc>
          <w:tcPr>
            <w:tcW w:w="3800" w:type="dxa"/>
            <w:vAlign w:val="bottom"/>
            <w:vMerge w:val="restart"/>
          </w:tcPr>
          <w:p>
            <w:pPr>
              <w:ind w:left="200"/>
              <w:spacing w:after="0"/>
              <w:rPr>
                <w:sz w:val="20"/>
                <w:szCs w:val="20"/>
                <w:color w:val="auto"/>
              </w:rPr>
            </w:pPr>
            <w:r>
              <w:rPr>
                <w:rFonts w:ascii="Arial" w:cs="Arial" w:eastAsia="Arial" w:hAnsi="Arial"/>
                <w:sz w:val="16"/>
                <w:szCs w:val="16"/>
                <w:b w:val="1"/>
                <w:bCs w:val="1"/>
                <w:color w:val="3B3C43"/>
              </w:rPr>
              <w:t xml:space="preserve">Euronext Paris Exchange shares: </w:t>
            </w:r>
            <w:r>
              <w:rPr>
                <w:rFonts w:ascii="Arial" w:cs="Arial" w:eastAsia="Arial" w:hAnsi="Arial"/>
                <w:sz w:val="16"/>
                <w:szCs w:val="16"/>
                <w:color w:val="3B3C43"/>
              </w:rPr>
              <w:t>Direct or</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6"/>
                <w:szCs w:val="16"/>
                <w:i w:val="1"/>
                <w:iCs w:val="1"/>
                <w:color w:val="3B3C43"/>
              </w:rPr>
              <w:t xml:space="preserve">can attend the Annual Meeting?” </w:t>
            </w:r>
            <w:r>
              <w:rPr>
                <w:rFonts w:ascii="Arial" w:cs="Arial" w:eastAsia="Arial" w:hAnsi="Arial"/>
                <w:sz w:val="16"/>
                <w:szCs w:val="16"/>
                <w:color w:val="3B3C43"/>
              </w:rPr>
              <w:t>for more</w:t>
            </w:r>
          </w:p>
        </w:tc>
        <w:tc>
          <w:tcPr>
            <w:tcW w:w="3500" w:type="dxa"/>
            <w:vAlign w:val="bottom"/>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Pr>
          <w:p>
            <w:pPr>
              <w:spacing w:after="0"/>
              <w:rPr>
                <w:sz w:val="20"/>
                <w:szCs w:val="20"/>
                <w:color w:val="auto"/>
              </w:rPr>
            </w:pPr>
            <w:r>
              <w:rPr>
                <w:rFonts w:ascii="Arial" w:cs="Arial" w:eastAsia="Arial" w:hAnsi="Arial"/>
                <w:sz w:val="16"/>
                <w:szCs w:val="16"/>
                <w:color w:val="3B3C43"/>
              </w:rPr>
              <w:t>information.</w:t>
            </w:r>
          </w:p>
        </w:tc>
        <w:tc>
          <w:tcPr>
            <w:tcW w:w="350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Arial" w:cs="Arial" w:eastAsia="Arial" w:hAnsi="Arial"/>
                <w:sz w:val="16"/>
                <w:szCs w:val="16"/>
                <w:color w:val="3B3C43"/>
              </w:rPr>
              <w:t xml:space="preserve">indirect nominative form </w:t>
            </w:r>
            <w:r>
              <w:rPr>
                <w:rFonts w:ascii="Arial" w:cs="Arial" w:eastAsia="Arial" w:hAnsi="Arial"/>
                <w:sz w:val="16"/>
                <w:szCs w:val="16"/>
                <w:i w:val="1"/>
                <w:iCs w:val="1"/>
                <w:color w:val="3B3C43"/>
              </w:rPr>
              <w:t>(au nominatif pur ou</w:t>
            </w:r>
          </w:p>
        </w:tc>
        <w:tc>
          <w:tcPr>
            <w:tcW w:w="0" w:type="dxa"/>
            <w:vAlign w:val="bottom"/>
          </w:tcPr>
          <w:p>
            <w:pPr>
              <w:spacing w:after="0"/>
              <w:rPr>
                <w:sz w:val="1"/>
                <w:szCs w:val="1"/>
                <w:color w:val="auto"/>
              </w:rPr>
            </w:pPr>
          </w:p>
        </w:tc>
      </w:tr>
      <w:tr>
        <w:trPr>
          <w:trHeight w:val="205"/>
        </w:trPr>
        <w:tc>
          <w:tcPr>
            <w:tcW w:w="3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800" w:type="dxa"/>
            <w:vAlign w:val="bottom"/>
          </w:tcPr>
          <w:p>
            <w:pPr>
              <w:ind w:left="200"/>
              <w:spacing w:after="0"/>
              <w:rPr>
                <w:sz w:val="20"/>
                <w:szCs w:val="20"/>
                <w:color w:val="auto"/>
              </w:rPr>
            </w:pPr>
            <w:r>
              <w:rPr>
                <w:rFonts w:ascii="Arial" w:cs="Arial" w:eastAsia="Arial" w:hAnsi="Arial"/>
                <w:sz w:val="16"/>
                <w:szCs w:val="16"/>
                <w:i w:val="1"/>
                <w:iCs w:val="1"/>
                <w:color w:val="3B3C43"/>
              </w:rPr>
              <w:t xml:space="preserve">administré): </w:t>
            </w:r>
            <w:r>
              <w:rPr>
                <w:rFonts w:ascii="Arial" w:cs="Arial" w:eastAsia="Arial" w:hAnsi="Arial"/>
                <w:sz w:val="16"/>
                <w:szCs w:val="16"/>
                <w:color w:val="3B3C43"/>
              </w:rPr>
              <w:t>11:59 PM, New York time, on May 19,</w:t>
            </w: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Arial" w:cs="Arial" w:eastAsia="Arial" w:hAnsi="Arial"/>
                <w:sz w:val="16"/>
                <w:szCs w:val="16"/>
                <w:color w:val="3B3C43"/>
              </w:rPr>
              <w:t>2021</w:t>
            </w:r>
          </w:p>
        </w:tc>
        <w:tc>
          <w:tcPr>
            <w:tcW w:w="0" w:type="dxa"/>
            <w:vAlign w:val="bottom"/>
          </w:tcPr>
          <w:p>
            <w:pPr>
              <w:spacing w:after="0"/>
              <w:rPr>
                <w:sz w:val="1"/>
                <w:szCs w:val="1"/>
                <w:color w:val="auto"/>
              </w:rPr>
            </w:pPr>
          </w:p>
        </w:tc>
      </w:tr>
      <w:tr>
        <w:trPr>
          <w:trHeight w:val="372"/>
        </w:trPr>
        <w:tc>
          <w:tcPr>
            <w:tcW w:w="3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0" w:type="dxa"/>
            <w:vAlign w:val="bottom"/>
          </w:tcPr>
          <w:p>
            <w:pPr>
              <w:ind w:left="200"/>
              <w:spacing w:after="0"/>
              <w:rPr>
                <w:sz w:val="20"/>
                <w:szCs w:val="20"/>
                <w:color w:val="auto"/>
              </w:rPr>
            </w:pPr>
            <w:r>
              <w:rPr>
                <w:rFonts w:ascii="Arial" w:cs="Arial" w:eastAsia="Arial" w:hAnsi="Arial"/>
                <w:sz w:val="16"/>
                <w:szCs w:val="16"/>
                <w:color w:val="3B3C43"/>
              </w:rPr>
              <w:t>Anonymous/bearer form (</w:t>
            </w:r>
            <w:r>
              <w:rPr>
                <w:rFonts w:ascii="Arial" w:cs="Arial" w:eastAsia="Arial" w:hAnsi="Arial"/>
                <w:sz w:val="16"/>
                <w:szCs w:val="16"/>
                <w:i w:val="1"/>
                <w:iCs w:val="1"/>
                <w:color w:val="3B3C43"/>
              </w:rPr>
              <w:t>au porteur):</w:t>
            </w:r>
            <w:r>
              <w:rPr>
                <w:rFonts w:ascii="Arial" w:cs="Arial" w:eastAsia="Arial" w:hAnsi="Arial"/>
                <w:sz w:val="16"/>
                <w:szCs w:val="16"/>
                <w:color w:val="3B3C43"/>
              </w:rPr>
              <w:t xml:space="preserve"> Return</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Arial" w:cs="Arial" w:eastAsia="Arial" w:hAnsi="Arial"/>
                <w:sz w:val="16"/>
                <w:szCs w:val="16"/>
                <w:color w:val="3B3C43"/>
              </w:rPr>
              <w:t>voting card to your bank, broker, or financial</w:t>
            </w: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800" w:type="dxa"/>
            <w:vAlign w:val="bottom"/>
          </w:tcPr>
          <w:p>
            <w:pPr>
              <w:ind w:left="200"/>
              <w:spacing w:after="0"/>
              <w:rPr>
                <w:sz w:val="20"/>
                <w:szCs w:val="20"/>
                <w:color w:val="auto"/>
              </w:rPr>
            </w:pPr>
            <w:r>
              <w:rPr>
                <w:rFonts w:ascii="Arial" w:cs="Arial" w:eastAsia="Arial" w:hAnsi="Arial"/>
                <w:sz w:val="16"/>
                <w:szCs w:val="16"/>
                <w:color w:val="3B3C43"/>
              </w:rPr>
              <w:t>intermediary before May 17, 2021</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20" w:right="220"/>
        <w:spacing w:after="0" w:line="260" w:lineRule="auto"/>
        <w:rPr>
          <w:sz w:val="20"/>
          <w:szCs w:val="20"/>
          <w:color w:val="auto"/>
        </w:rPr>
      </w:pPr>
      <w:r>
        <w:rPr>
          <w:rFonts w:ascii="Arial" w:cs="Arial" w:eastAsia="Arial" w:hAnsi="Arial"/>
          <w:sz w:val="16"/>
          <w:szCs w:val="16"/>
          <w:color w:val="3B3C43"/>
        </w:rPr>
        <w:t xml:space="preserve">Please follow the voting instructions on your proxy card and/or your voting instruction form as different voting deadlines may be applicable across markets. Please also review </w:t>
      </w:r>
      <w:r>
        <w:rPr>
          <w:rFonts w:ascii="Arial" w:cs="Arial" w:eastAsia="Arial" w:hAnsi="Arial"/>
          <w:sz w:val="16"/>
          <w:szCs w:val="16"/>
          <w:i w:val="1"/>
          <w:iCs w:val="1"/>
          <w:color w:val="3B3C43"/>
        </w:rPr>
        <w:t>“How do I vote?”</w:t>
      </w:r>
      <w:r>
        <w:rPr>
          <w:rFonts w:ascii="Arial" w:cs="Arial" w:eastAsia="Arial" w:hAnsi="Arial"/>
          <w:sz w:val="16"/>
          <w:szCs w:val="16"/>
          <w:color w:val="3B3C43"/>
        </w:rPr>
        <w:t xml:space="preserve"> in the section entitled </w:t>
      </w:r>
      <w:r>
        <w:rPr>
          <w:rFonts w:ascii="Arial" w:cs="Arial" w:eastAsia="Arial" w:hAnsi="Arial"/>
          <w:sz w:val="16"/>
          <w:szCs w:val="16"/>
          <w:i w:val="1"/>
          <w:iCs w:val="1"/>
          <w:color w:val="3B3C43"/>
        </w:rPr>
        <w:t>“General Information about the Annual Meeting</w:t>
      </w:r>
      <w:r>
        <w:rPr>
          <w:rFonts w:ascii="Arial" w:cs="Arial" w:eastAsia="Arial" w:hAnsi="Arial"/>
          <w:sz w:val="16"/>
          <w:szCs w:val="16"/>
          <w:color w:val="3B3C43"/>
        </w:rPr>
        <w:t>.”</w:t>
      </w:r>
    </w:p>
    <w:p>
      <w:pPr>
        <w:spacing w:after="0" w:line="200" w:lineRule="exact"/>
        <w:rPr>
          <w:sz w:val="20"/>
          <w:szCs w:val="20"/>
          <w:color w:val="auto"/>
        </w:rPr>
      </w:pPr>
    </w:p>
    <w:p>
      <w:pPr>
        <w:spacing w:after="0" w:line="32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315" w:right="65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422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422148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38"/>
          <w:szCs w:val="38"/>
          <w:color w:val="4B1F68"/>
        </w:rPr>
        <w:t>Voting Matters and Board Recommendations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color w:val="3B3C43"/>
        </w:rPr>
        <w:t>The full text of each resolution to be voted on at the Annual Meeting is set out in the Notice of Annual Meeting.</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252"/>
        </w:trPr>
        <w:tc>
          <w:tcPr>
            <w:tcW w:w="6100" w:type="dxa"/>
            <w:vAlign w:val="bottom"/>
            <w:vMerge w:val="restart"/>
            <w:shd w:val="clear" w:color="auto" w:fill="4A1F67"/>
          </w:tcPr>
          <w:p>
            <w:pPr>
              <w:ind w:left="100"/>
              <w:spacing w:after="0"/>
              <w:rPr>
                <w:sz w:val="20"/>
                <w:szCs w:val="20"/>
                <w:color w:val="auto"/>
              </w:rPr>
            </w:pPr>
            <w:r>
              <w:rPr>
                <w:rFonts w:ascii="Arial" w:cs="Arial" w:eastAsia="Arial" w:hAnsi="Arial"/>
                <w:sz w:val="16"/>
                <w:szCs w:val="16"/>
                <w:b w:val="1"/>
                <w:bCs w:val="1"/>
                <w:color w:val="FFFFFF"/>
              </w:rPr>
              <w:t>Proposal to be Voted Upon</w:t>
            </w:r>
          </w:p>
        </w:tc>
        <w:tc>
          <w:tcPr>
            <w:tcW w:w="2920" w:type="dxa"/>
            <w:vAlign w:val="bottom"/>
            <w:vMerge w:val="restart"/>
            <w:shd w:val="clear" w:color="auto" w:fill="4A1F67"/>
          </w:tcPr>
          <w:p>
            <w:pPr>
              <w:jc w:val="right"/>
              <w:ind w:right="59"/>
              <w:spacing w:after="0"/>
              <w:rPr>
                <w:sz w:val="20"/>
                <w:szCs w:val="20"/>
                <w:color w:val="auto"/>
              </w:rPr>
            </w:pPr>
            <w:r>
              <w:rPr>
                <w:rFonts w:ascii="Arial" w:cs="Arial" w:eastAsia="Arial" w:hAnsi="Arial"/>
                <w:sz w:val="16"/>
                <w:szCs w:val="16"/>
                <w:b w:val="1"/>
                <w:bCs w:val="1"/>
                <w:color w:val="FFFFFF"/>
              </w:rPr>
              <w:t>Board Recommendation</w:t>
            </w:r>
          </w:p>
        </w:tc>
        <w:tc>
          <w:tcPr>
            <w:tcW w:w="1900" w:type="dxa"/>
            <w:vAlign w:val="bottom"/>
            <w:shd w:val="clear" w:color="auto" w:fill="4A1F67"/>
          </w:tcPr>
          <w:p>
            <w:pPr>
              <w:jc w:val="center"/>
              <w:spacing w:after="0"/>
              <w:rPr>
                <w:sz w:val="20"/>
                <w:szCs w:val="20"/>
                <w:color w:val="auto"/>
              </w:rPr>
            </w:pPr>
            <w:r>
              <w:rPr>
                <w:rFonts w:ascii="Arial" w:cs="Arial" w:eastAsia="Arial" w:hAnsi="Arial"/>
                <w:sz w:val="16"/>
                <w:szCs w:val="16"/>
                <w:b w:val="1"/>
                <w:bCs w:val="1"/>
                <w:color w:val="FFFFFF"/>
              </w:rPr>
              <w:t>Where You Can Find</w:t>
            </w:r>
          </w:p>
        </w:tc>
        <w:tc>
          <w:tcPr>
            <w:tcW w:w="0" w:type="dxa"/>
            <w:vAlign w:val="bottom"/>
          </w:tcPr>
          <w:p>
            <w:pPr>
              <w:spacing w:after="0"/>
              <w:rPr>
                <w:sz w:val="1"/>
                <w:szCs w:val="1"/>
                <w:color w:val="auto"/>
              </w:rPr>
            </w:pPr>
          </w:p>
        </w:tc>
      </w:tr>
      <w:tr>
        <w:trPr>
          <w:trHeight w:val="120"/>
        </w:trPr>
        <w:tc>
          <w:tcPr>
            <w:tcW w:w="6100" w:type="dxa"/>
            <w:vAlign w:val="bottom"/>
            <w:vMerge w:val="continue"/>
            <w:shd w:val="clear" w:color="auto" w:fill="4A1F67"/>
          </w:tcPr>
          <w:p>
            <w:pPr>
              <w:spacing w:after="0"/>
              <w:rPr>
                <w:sz w:val="10"/>
                <w:szCs w:val="10"/>
                <w:color w:val="auto"/>
              </w:rPr>
            </w:pPr>
          </w:p>
        </w:tc>
        <w:tc>
          <w:tcPr>
            <w:tcW w:w="2920" w:type="dxa"/>
            <w:vAlign w:val="bottom"/>
            <w:vMerge w:val="continue"/>
            <w:shd w:val="clear" w:color="auto" w:fill="4A1F67"/>
          </w:tcPr>
          <w:p>
            <w:pPr>
              <w:spacing w:after="0"/>
              <w:rPr>
                <w:sz w:val="10"/>
                <w:szCs w:val="10"/>
                <w:color w:val="auto"/>
              </w:rPr>
            </w:pPr>
          </w:p>
        </w:tc>
        <w:tc>
          <w:tcPr>
            <w:tcW w:w="1900" w:type="dxa"/>
            <w:vAlign w:val="bottom"/>
            <w:vMerge w:val="restart"/>
            <w:shd w:val="clear" w:color="auto" w:fill="4A1F67"/>
          </w:tcPr>
          <w:p>
            <w:pPr>
              <w:jc w:val="center"/>
              <w:spacing w:after="0"/>
              <w:rPr>
                <w:sz w:val="20"/>
                <w:szCs w:val="20"/>
                <w:color w:val="auto"/>
              </w:rPr>
            </w:pPr>
            <w:r>
              <w:rPr>
                <w:rFonts w:ascii="Arial" w:cs="Arial" w:eastAsia="Arial" w:hAnsi="Arial"/>
                <w:sz w:val="16"/>
                <w:szCs w:val="16"/>
                <w:b w:val="1"/>
                <w:bCs w:val="1"/>
                <w:color w:val="FFFFFF"/>
              </w:rPr>
              <w:t>More Information</w:t>
            </w:r>
          </w:p>
        </w:tc>
        <w:tc>
          <w:tcPr>
            <w:tcW w:w="0" w:type="dxa"/>
            <w:vAlign w:val="bottom"/>
          </w:tcPr>
          <w:p>
            <w:pPr>
              <w:spacing w:after="0"/>
              <w:rPr>
                <w:sz w:val="1"/>
                <w:szCs w:val="1"/>
                <w:color w:val="auto"/>
              </w:rPr>
            </w:pPr>
          </w:p>
        </w:tc>
      </w:tr>
      <w:tr>
        <w:trPr>
          <w:trHeight w:val="94"/>
        </w:trPr>
        <w:tc>
          <w:tcPr>
            <w:tcW w:w="6100" w:type="dxa"/>
            <w:vAlign w:val="bottom"/>
            <w:shd w:val="clear" w:color="auto" w:fill="4A1F67"/>
          </w:tcPr>
          <w:p>
            <w:pPr>
              <w:spacing w:after="0"/>
              <w:rPr>
                <w:sz w:val="8"/>
                <w:szCs w:val="8"/>
                <w:color w:val="auto"/>
              </w:rPr>
            </w:pPr>
          </w:p>
        </w:tc>
        <w:tc>
          <w:tcPr>
            <w:tcW w:w="2920" w:type="dxa"/>
            <w:vAlign w:val="bottom"/>
            <w:shd w:val="clear" w:color="auto" w:fill="4A1F67"/>
          </w:tcPr>
          <w:p>
            <w:pPr>
              <w:spacing w:after="0"/>
              <w:rPr>
                <w:sz w:val="8"/>
                <w:szCs w:val="8"/>
                <w:color w:val="auto"/>
              </w:rPr>
            </w:pPr>
          </w:p>
        </w:tc>
        <w:tc>
          <w:tcPr>
            <w:tcW w:w="1900" w:type="dxa"/>
            <w:vAlign w:val="bottom"/>
            <w:vMerge w:val="continue"/>
            <w:shd w:val="clear" w:color="auto" w:fill="4A1F67"/>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6100" w:type="dxa"/>
            <w:vAlign w:val="bottom"/>
            <w:shd w:val="clear" w:color="auto" w:fill="4A1F67"/>
          </w:tcPr>
          <w:p>
            <w:pPr>
              <w:spacing w:after="0"/>
              <w:rPr>
                <w:sz w:val="6"/>
                <w:szCs w:val="6"/>
                <w:color w:val="auto"/>
              </w:rPr>
            </w:pPr>
          </w:p>
        </w:tc>
        <w:tc>
          <w:tcPr>
            <w:tcW w:w="2920" w:type="dxa"/>
            <w:vAlign w:val="bottom"/>
            <w:shd w:val="clear" w:color="auto" w:fill="4A1F67"/>
          </w:tcPr>
          <w:p>
            <w:pPr>
              <w:spacing w:after="0"/>
              <w:rPr>
                <w:sz w:val="6"/>
                <w:szCs w:val="6"/>
                <w:color w:val="auto"/>
              </w:rPr>
            </w:pPr>
          </w:p>
        </w:tc>
        <w:tc>
          <w:tcPr>
            <w:tcW w:w="1900" w:type="dxa"/>
            <w:vAlign w:val="bottom"/>
            <w:shd w:val="clear" w:color="auto" w:fill="4A1F67"/>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100" w:type="dxa"/>
            <w:vAlign w:val="bottom"/>
          </w:tcPr>
          <w:p>
            <w:pPr>
              <w:ind w:left="100"/>
              <w:spacing w:after="0"/>
              <w:rPr>
                <w:sz w:val="20"/>
                <w:szCs w:val="20"/>
                <w:color w:val="auto"/>
              </w:rPr>
            </w:pPr>
            <w:r>
              <w:rPr>
                <w:rFonts w:ascii="Arial" w:cs="Arial" w:eastAsia="Arial" w:hAnsi="Arial"/>
                <w:sz w:val="16"/>
                <w:szCs w:val="16"/>
                <w:b w:val="1"/>
                <w:bCs w:val="1"/>
                <w:color w:val="3B3C43"/>
              </w:rPr>
              <w:t>Ordinary Resolutions</w:t>
            </w:r>
          </w:p>
        </w:tc>
        <w:tc>
          <w:tcPr>
            <w:tcW w:w="2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6100" w:type="dxa"/>
            <w:vAlign w:val="bottom"/>
            <w:tcBorders>
              <w:bottom w:val="single" w:sz="8" w:color="6A6D71"/>
            </w:tcBorders>
          </w:tcPr>
          <w:p>
            <w:pPr>
              <w:spacing w:after="0"/>
              <w:rPr>
                <w:sz w:val="6"/>
                <w:szCs w:val="6"/>
                <w:color w:val="auto"/>
              </w:rPr>
            </w:pPr>
          </w:p>
        </w:tc>
        <w:tc>
          <w:tcPr>
            <w:tcW w:w="2920" w:type="dxa"/>
            <w:vAlign w:val="bottom"/>
            <w:tcBorders>
              <w:bottom w:val="single" w:sz="8" w:color="6A6D71"/>
            </w:tcBorders>
          </w:tcPr>
          <w:p>
            <w:pPr>
              <w:spacing w:after="0"/>
              <w:rPr>
                <w:sz w:val="6"/>
                <w:szCs w:val="6"/>
                <w:color w:val="auto"/>
              </w:rPr>
            </w:pPr>
          </w:p>
        </w:tc>
        <w:tc>
          <w:tcPr>
            <w:tcW w:w="1900" w:type="dxa"/>
            <w:vAlign w:val="bottom"/>
            <w:tcBorders>
              <w:bottom w:val="single" w:sz="8" w:color="6A6D71"/>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6100" w:type="dxa"/>
            <w:vAlign w:val="bottom"/>
          </w:tcPr>
          <w:p>
            <w:pPr>
              <w:ind w:left="100"/>
              <w:spacing w:after="0"/>
              <w:rPr>
                <w:sz w:val="20"/>
                <w:szCs w:val="20"/>
                <w:color w:val="auto"/>
              </w:rPr>
            </w:pPr>
            <w:r>
              <w:rPr>
                <w:rFonts w:ascii="Arial" w:cs="Arial" w:eastAsia="Arial" w:hAnsi="Arial"/>
                <w:sz w:val="16"/>
                <w:szCs w:val="16"/>
                <w:b w:val="1"/>
                <w:bCs w:val="1"/>
                <w:color w:val="3B3C43"/>
              </w:rPr>
              <w:t>1(a) - 1(i): Election of Directors</w:t>
            </w:r>
          </w:p>
        </w:tc>
        <w:tc>
          <w:tcPr>
            <w:tcW w:w="2920" w:type="dxa"/>
            <w:vAlign w:val="bottom"/>
          </w:tcPr>
          <w:p>
            <w:pPr>
              <w:jc w:val="right"/>
              <w:ind w:right="59"/>
              <w:spacing w:after="0"/>
              <w:rPr>
                <w:sz w:val="20"/>
                <w:szCs w:val="20"/>
                <w:color w:val="auto"/>
              </w:rPr>
            </w:pPr>
            <w:r>
              <w:rPr>
                <w:rFonts w:ascii="Arial" w:cs="Arial" w:eastAsia="Arial" w:hAnsi="Arial"/>
                <w:sz w:val="16"/>
                <w:szCs w:val="16"/>
                <w:b w:val="1"/>
                <w:bCs w:val="1"/>
                <w:color w:val="3B3C43"/>
              </w:rPr>
              <w:t>FOR</w:t>
            </w:r>
          </w:p>
        </w:tc>
        <w:tc>
          <w:tcPr>
            <w:tcW w:w="1900" w:type="dxa"/>
            <w:vAlign w:val="bottom"/>
          </w:tcPr>
          <w:p>
            <w:pPr>
              <w:jc w:val="center"/>
              <w:spacing w:after="0"/>
              <w:rPr>
                <w:sz w:val="20"/>
                <w:szCs w:val="20"/>
                <w:color w:val="auto"/>
              </w:rPr>
            </w:pPr>
            <w:r>
              <w:rPr>
                <w:rFonts w:ascii="Arial" w:cs="Arial" w:eastAsia="Arial" w:hAnsi="Arial"/>
                <w:sz w:val="16"/>
                <w:szCs w:val="16"/>
                <w:color w:val="3B3C43"/>
              </w:rPr>
              <w:t>Page 120</w:t>
            </w:r>
          </w:p>
        </w:tc>
        <w:tc>
          <w:tcPr>
            <w:tcW w:w="0" w:type="dxa"/>
            <w:vAlign w:val="bottom"/>
          </w:tcPr>
          <w:p>
            <w:pPr>
              <w:spacing w:after="0"/>
              <w:rPr>
                <w:sz w:val="1"/>
                <w:szCs w:val="1"/>
                <w:color w:val="auto"/>
              </w:rPr>
            </w:pPr>
          </w:p>
        </w:tc>
      </w:tr>
      <w:tr>
        <w:trPr>
          <w:trHeight w:val="215"/>
        </w:trPr>
        <w:tc>
          <w:tcPr>
            <w:tcW w:w="6100" w:type="dxa"/>
            <w:vAlign w:val="bottom"/>
          </w:tcPr>
          <w:p>
            <w:pPr>
              <w:spacing w:after="0"/>
              <w:rPr>
                <w:sz w:val="18"/>
                <w:szCs w:val="18"/>
                <w:color w:val="auto"/>
              </w:rPr>
            </w:pPr>
          </w:p>
        </w:tc>
        <w:tc>
          <w:tcPr>
            <w:tcW w:w="2920" w:type="dxa"/>
            <w:vAlign w:val="bottom"/>
          </w:tcPr>
          <w:p>
            <w:pPr>
              <w:jc w:val="right"/>
              <w:ind w:right="59"/>
              <w:spacing w:after="0"/>
              <w:rPr>
                <w:sz w:val="20"/>
                <w:szCs w:val="20"/>
                <w:color w:val="auto"/>
              </w:rPr>
            </w:pPr>
            <w:r>
              <w:rPr>
                <w:rFonts w:ascii="Arial" w:cs="Arial" w:eastAsia="Arial" w:hAnsi="Arial"/>
                <w:sz w:val="16"/>
                <w:szCs w:val="16"/>
                <w:b w:val="1"/>
                <w:bCs w:val="1"/>
                <w:color w:val="3B3C43"/>
              </w:rPr>
              <w:t>Each Director Nominee</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61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1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2: 2020 U.S. Say-on-Pay Proposal for Named Executive Officers</w:t>
            </w:r>
          </w:p>
        </w:tc>
        <w:tc>
          <w:tcPr>
            <w:tcW w:w="2920" w:type="dxa"/>
            <w:vAlign w:val="bottom"/>
            <w:shd w:val="clear" w:color="auto" w:fill="E1E1DF"/>
          </w:tcPr>
          <w:p>
            <w:pPr>
              <w:jc w:val="right"/>
              <w:ind w:right="59"/>
              <w:spacing w:after="0"/>
              <w:rPr>
                <w:sz w:val="20"/>
                <w:szCs w:val="20"/>
                <w:color w:val="auto"/>
              </w:rPr>
            </w:pPr>
            <w:r>
              <w:rPr>
                <w:rFonts w:ascii="Arial" w:cs="Arial" w:eastAsia="Arial" w:hAnsi="Arial"/>
                <w:sz w:val="16"/>
                <w:szCs w:val="16"/>
                <w:b w:val="1"/>
                <w:bCs w:val="1"/>
                <w:color w:val="3B3C43"/>
              </w:rPr>
              <w:t>FOR</w:t>
            </w:r>
          </w:p>
        </w:tc>
        <w:tc>
          <w:tcPr>
            <w:tcW w:w="1900" w:type="dxa"/>
            <w:vAlign w:val="bottom"/>
            <w:shd w:val="clear" w:color="auto" w:fill="E1E1DF"/>
          </w:tcPr>
          <w:p>
            <w:pPr>
              <w:jc w:val="center"/>
              <w:spacing w:after="0"/>
              <w:rPr>
                <w:sz w:val="20"/>
                <w:szCs w:val="20"/>
                <w:color w:val="auto"/>
              </w:rPr>
            </w:pPr>
            <w:r>
              <w:rPr>
                <w:rFonts w:ascii="Arial" w:cs="Arial" w:eastAsia="Arial" w:hAnsi="Arial"/>
                <w:sz w:val="16"/>
                <w:szCs w:val="16"/>
                <w:color w:val="3B3C43"/>
              </w:rPr>
              <w:t>Page 131</w:t>
            </w:r>
          </w:p>
        </w:tc>
        <w:tc>
          <w:tcPr>
            <w:tcW w:w="0" w:type="dxa"/>
            <w:vAlign w:val="bottom"/>
          </w:tcPr>
          <w:p>
            <w:pPr>
              <w:spacing w:after="0"/>
              <w:rPr>
                <w:sz w:val="1"/>
                <w:szCs w:val="1"/>
                <w:color w:val="auto"/>
              </w:rPr>
            </w:pPr>
          </w:p>
        </w:tc>
      </w:tr>
      <w:tr>
        <w:trPr>
          <w:trHeight w:val="73"/>
        </w:trPr>
        <w:tc>
          <w:tcPr>
            <w:tcW w:w="6100" w:type="dxa"/>
            <w:vAlign w:val="bottom"/>
            <w:shd w:val="clear" w:color="auto" w:fill="E1E1DF"/>
          </w:tcPr>
          <w:p>
            <w:pPr>
              <w:spacing w:after="0"/>
              <w:rPr>
                <w:sz w:val="6"/>
                <w:szCs w:val="6"/>
                <w:color w:val="auto"/>
              </w:rPr>
            </w:pPr>
          </w:p>
        </w:tc>
        <w:tc>
          <w:tcPr>
            <w:tcW w:w="2920" w:type="dxa"/>
            <w:vAlign w:val="bottom"/>
            <w:shd w:val="clear" w:color="auto" w:fill="E1E1DF"/>
          </w:tcPr>
          <w:p>
            <w:pPr>
              <w:spacing w:after="0"/>
              <w:rPr>
                <w:sz w:val="6"/>
                <w:szCs w:val="6"/>
                <w:color w:val="auto"/>
              </w:rPr>
            </w:pPr>
          </w:p>
        </w:tc>
        <w:tc>
          <w:tcPr>
            <w:tcW w:w="190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100" w:type="dxa"/>
            <w:vAlign w:val="bottom"/>
          </w:tcPr>
          <w:p>
            <w:pPr>
              <w:ind w:left="100"/>
              <w:spacing w:after="0"/>
              <w:rPr>
                <w:sz w:val="20"/>
                <w:szCs w:val="20"/>
                <w:color w:val="auto"/>
              </w:rPr>
            </w:pPr>
            <w:r>
              <w:rPr>
                <w:rFonts w:ascii="Arial" w:cs="Arial" w:eastAsia="Arial" w:hAnsi="Arial"/>
                <w:sz w:val="16"/>
                <w:szCs w:val="16"/>
                <w:b w:val="1"/>
                <w:bCs w:val="1"/>
                <w:color w:val="3B3C43"/>
              </w:rPr>
              <w:t>3: 2020 U.K. Directors’ Remuneration Report</w:t>
            </w:r>
          </w:p>
        </w:tc>
        <w:tc>
          <w:tcPr>
            <w:tcW w:w="2920" w:type="dxa"/>
            <w:vAlign w:val="bottom"/>
          </w:tcPr>
          <w:p>
            <w:pPr>
              <w:jc w:val="right"/>
              <w:ind w:right="59"/>
              <w:spacing w:after="0"/>
              <w:rPr>
                <w:sz w:val="20"/>
                <w:szCs w:val="20"/>
                <w:color w:val="auto"/>
              </w:rPr>
            </w:pPr>
            <w:r>
              <w:rPr>
                <w:rFonts w:ascii="Arial" w:cs="Arial" w:eastAsia="Arial" w:hAnsi="Arial"/>
                <w:sz w:val="16"/>
                <w:szCs w:val="16"/>
                <w:b w:val="1"/>
                <w:bCs w:val="1"/>
                <w:color w:val="3B3C43"/>
              </w:rPr>
              <w:t>FOR</w:t>
            </w:r>
          </w:p>
        </w:tc>
        <w:tc>
          <w:tcPr>
            <w:tcW w:w="1900" w:type="dxa"/>
            <w:vAlign w:val="bottom"/>
          </w:tcPr>
          <w:p>
            <w:pPr>
              <w:jc w:val="center"/>
              <w:spacing w:after="0"/>
              <w:rPr>
                <w:sz w:val="20"/>
                <w:szCs w:val="20"/>
                <w:color w:val="auto"/>
              </w:rPr>
            </w:pPr>
            <w:r>
              <w:rPr>
                <w:rFonts w:ascii="Arial" w:cs="Arial" w:eastAsia="Arial" w:hAnsi="Arial"/>
                <w:sz w:val="16"/>
                <w:szCs w:val="16"/>
                <w:color w:val="3B3C43"/>
              </w:rPr>
              <w:t>Page 132</w:t>
            </w:r>
          </w:p>
        </w:tc>
        <w:tc>
          <w:tcPr>
            <w:tcW w:w="0" w:type="dxa"/>
            <w:vAlign w:val="bottom"/>
          </w:tcPr>
          <w:p>
            <w:pPr>
              <w:spacing w:after="0"/>
              <w:rPr>
                <w:sz w:val="1"/>
                <w:szCs w:val="1"/>
                <w:color w:val="auto"/>
              </w:rPr>
            </w:pPr>
          </w:p>
        </w:tc>
      </w:tr>
      <w:tr>
        <w:trPr>
          <w:trHeight w:val="73"/>
        </w:trPr>
        <w:tc>
          <w:tcPr>
            <w:tcW w:w="61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1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4: Prospective Directors’ Remuneration Policy</w:t>
            </w:r>
          </w:p>
        </w:tc>
        <w:tc>
          <w:tcPr>
            <w:tcW w:w="2920" w:type="dxa"/>
            <w:vAlign w:val="bottom"/>
            <w:shd w:val="clear" w:color="auto" w:fill="E1E1DF"/>
          </w:tcPr>
          <w:p>
            <w:pPr>
              <w:jc w:val="right"/>
              <w:ind w:right="59"/>
              <w:spacing w:after="0"/>
              <w:rPr>
                <w:sz w:val="20"/>
                <w:szCs w:val="20"/>
                <w:color w:val="auto"/>
              </w:rPr>
            </w:pPr>
            <w:r>
              <w:rPr>
                <w:rFonts w:ascii="Arial" w:cs="Arial" w:eastAsia="Arial" w:hAnsi="Arial"/>
                <w:sz w:val="16"/>
                <w:szCs w:val="16"/>
                <w:b w:val="1"/>
                <w:bCs w:val="1"/>
                <w:color w:val="3B3C43"/>
              </w:rPr>
              <w:t>FOR</w:t>
            </w:r>
          </w:p>
        </w:tc>
        <w:tc>
          <w:tcPr>
            <w:tcW w:w="1900" w:type="dxa"/>
            <w:vAlign w:val="bottom"/>
            <w:shd w:val="clear" w:color="auto" w:fill="E1E1DF"/>
          </w:tcPr>
          <w:p>
            <w:pPr>
              <w:jc w:val="center"/>
              <w:spacing w:after="0"/>
              <w:rPr>
                <w:sz w:val="20"/>
                <w:szCs w:val="20"/>
                <w:color w:val="auto"/>
              </w:rPr>
            </w:pPr>
            <w:r>
              <w:rPr>
                <w:rFonts w:ascii="Arial" w:cs="Arial" w:eastAsia="Arial" w:hAnsi="Arial"/>
                <w:sz w:val="16"/>
                <w:szCs w:val="16"/>
                <w:color w:val="3B3C43"/>
              </w:rPr>
              <w:t>Page 133</w:t>
            </w:r>
          </w:p>
        </w:tc>
        <w:tc>
          <w:tcPr>
            <w:tcW w:w="0" w:type="dxa"/>
            <w:vAlign w:val="bottom"/>
          </w:tcPr>
          <w:p>
            <w:pPr>
              <w:spacing w:after="0"/>
              <w:rPr>
                <w:sz w:val="1"/>
                <w:szCs w:val="1"/>
                <w:color w:val="auto"/>
              </w:rPr>
            </w:pPr>
          </w:p>
        </w:tc>
      </w:tr>
      <w:tr>
        <w:trPr>
          <w:trHeight w:val="73"/>
        </w:trPr>
        <w:tc>
          <w:tcPr>
            <w:tcW w:w="6100" w:type="dxa"/>
            <w:vAlign w:val="bottom"/>
            <w:shd w:val="clear" w:color="auto" w:fill="E1E1DF"/>
          </w:tcPr>
          <w:p>
            <w:pPr>
              <w:spacing w:after="0"/>
              <w:rPr>
                <w:sz w:val="6"/>
                <w:szCs w:val="6"/>
                <w:color w:val="auto"/>
              </w:rPr>
            </w:pPr>
          </w:p>
        </w:tc>
        <w:tc>
          <w:tcPr>
            <w:tcW w:w="2920" w:type="dxa"/>
            <w:vAlign w:val="bottom"/>
            <w:shd w:val="clear" w:color="auto" w:fill="E1E1DF"/>
          </w:tcPr>
          <w:p>
            <w:pPr>
              <w:spacing w:after="0"/>
              <w:rPr>
                <w:sz w:val="6"/>
                <w:szCs w:val="6"/>
                <w:color w:val="auto"/>
              </w:rPr>
            </w:pPr>
          </w:p>
        </w:tc>
        <w:tc>
          <w:tcPr>
            <w:tcW w:w="190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100" w:type="dxa"/>
            <w:vAlign w:val="bottom"/>
          </w:tcPr>
          <w:p>
            <w:pPr>
              <w:ind w:left="100"/>
              <w:spacing w:after="0"/>
              <w:rPr>
                <w:sz w:val="20"/>
                <w:szCs w:val="20"/>
                <w:color w:val="auto"/>
              </w:rPr>
            </w:pPr>
            <w:r>
              <w:rPr>
                <w:rFonts w:ascii="Arial" w:cs="Arial" w:eastAsia="Arial" w:hAnsi="Arial"/>
                <w:sz w:val="16"/>
                <w:szCs w:val="16"/>
                <w:b w:val="1"/>
                <w:bCs w:val="1"/>
                <w:color w:val="3B3C43"/>
              </w:rPr>
              <w:t>5: Receipt of U.K. Annual Report and Accounts</w:t>
            </w:r>
          </w:p>
        </w:tc>
        <w:tc>
          <w:tcPr>
            <w:tcW w:w="2920" w:type="dxa"/>
            <w:vAlign w:val="bottom"/>
          </w:tcPr>
          <w:p>
            <w:pPr>
              <w:jc w:val="right"/>
              <w:ind w:right="59"/>
              <w:spacing w:after="0"/>
              <w:rPr>
                <w:sz w:val="20"/>
                <w:szCs w:val="20"/>
                <w:color w:val="auto"/>
              </w:rPr>
            </w:pPr>
            <w:r>
              <w:rPr>
                <w:rFonts w:ascii="Arial" w:cs="Arial" w:eastAsia="Arial" w:hAnsi="Arial"/>
                <w:sz w:val="16"/>
                <w:szCs w:val="16"/>
                <w:b w:val="1"/>
                <w:bCs w:val="1"/>
                <w:color w:val="3B3C43"/>
              </w:rPr>
              <w:t>FOR</w:t>
            </w:r>
          </w:p>
        </w:tc>
        <w:tc>
          <w:tcPr>
            <w:tcW w:w="1900" w:type="dxa"/>
            <w:vAlign w:val="bottom"/>
          </w:tcPr>
          <w:p>
            <w:pPr>
              <w:jc w:val="center"/>
              <w:spacing w:after="0"/>
              <w:rPr>
                <w:sz w:val="20"/>
                <w:szCs w:val="20"/>
                <w:color w:val="auto"/>
              </w:rPr>
            </w:pPr>
            <w:r>
              <w:rPr>
                <w:rFonts w:ascii="Arial" w:cs="Arial" w:eastAsia="Arial" w:hAnsi="Arial"/>
                <w:sz w:val="16"/>
                <w:szCs w:val="16"/>
                <w:color w:val="3B3C43"/>
              </w:rPr>
              <w:t>Page 134</w:t>
            </w:r>
          </w:p>
        </w:tc>
        <w:tc>
          <w:tcPr>
            <w:tcW w:w="0" w:type="dxa"/>
            <w:vAlign w:val="bottom"/>
          </w:tcPr>
          <w:p>
            <w:pPr>
              <w:spacing w:after="0"/>
              <w:rPr>
                <w:sz w:val="1"/>
                <w:szCs w:val="1"/>
                <w:color w:val="auto"/>
              </w:rPr>
            </w:pPr>
          </w:p>
        </w:tc>
      </w:tr>
      <w:tr>
        <w:trPr>
          <w:trHeight w:val="73"/>
        </w:trPr>
        <w:tc>
          <w:tcPr>
            <w:tcW w:w="61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1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6: Ratification of PwC as U.S. Auditor</w:t>
            </w:r>
          </w:p>
        </w:tc>
        <w:tc>
          <w:tcPr>
            <w:tcW w:w="2920" w:type="dxa"/>
            <w:vAlign w:val="bottom"/>
            <w:shd w:val="clear" w:color="auto" w:fill="E1E1DF"/>
          </w:tcPr>
          <w:p>
            <w:pPr>
              <w:jc w:val="right"/>
              <w:ind w:right="59"/>
              <w:spacing w:after="0"/>
              <w:rPr>
                <w:sz w:val="20"/>
                <w:szCs w:val="20"/>
                <w:color w:val="auto"/>
              </w:rPr>
            </w:pPr>
            <w:r>
              <w:rPr>
                <w:rFonts w:ascii="Arial" w:cs="Arial" w:eastAsia="Arial" w:hAnsi="Arial"/>
                <w:sz w:val="16"/>
                <w:szCs w:val="16"/>
                <w:b w:val="1"/>
                <w:bCs w:val="1"/>
                <w:color w:val="3B3C43"/>
              </w:rPr>
              <w:t>FOR</w:t>
            </w:r>
          </w:p>
        </w:tc>
        <w:tc>
          <w:tcPr>
            <w:tcW w:w="1900" w:type="dxa"/>
            <w:vAlign w:val="bottom"/>
            <w:shd w:val="clear" w:color="auto" w:fill="E1E1DF"/>
          </w:tcPr>
          <w:p>
            <w:pPr>
              <w:jc w:val="center"/>
              <w:spacing w:after="0"/>
              <w:rPr>
                <w:sz w:val="20"/>
                <w:szCs w:val="20"/>
                <w:color w:val="auto"/>
              </w:rPr>
            </w:pPr>
            <w:r>
              <w:rPr>
                <w:rFonts w:ascii="Arial" w:cs="Arial" w:eastAsia="Arial" w:hAnsi="Arial"/>
                <w:sz w:val="16"/>
                <w:szCs w:val="16"/>
                <w:color w:val="3B3C43"/>
              </w:rPr>
              <w:t>Page 135</w:t>
            </w:r>
          </w:p>
        </w:tc>
        <w:tc>
          <w:tcPr>
            <w:tcW w:w="0" w:type="dxa"/>
            <w:vAlign w:val="bottom"/>
          </w:tcPr>
          <w:p>
            <w:pPr>
              <w:spacing w:after="0"/>
              <w:rPr>
                <w:sz w:val="1"/>
                <w:szCs w:val="1"/>
                <w:color w:val="auto"/>
              </w:rPr>
            </w:pPr>
          </w:p>
        </w:tc>
      </w:tr>
      <w:tr>
        <w:trPr>
          <w:trHeight w:val="73"/>
        </w:trPr>
        <w:tc>
          <w:tcPr>
            <w:tcW w:w="6100" w:type="dxa"/>
            <w:vAlign w:val="bottom"/>
            <w:shd w:val="clear" w:color="auto" w:fill="E1E1DF"/>
          </w:tcPr>
          <w:p>
            <w:pPr>
              <w:spacing w:after="0"/>
              <w:rPr>
                <w:sz w:val="6"/>
                <w:szCs w:val="6"/>
                <w:color w:val="auto"/>
              </w:rPr>
            </w:pPr>
          </w:p>
        </w:tc>
        <w:tc>
          <w:tcPr>
            <w:tcW w:w="2920" w:type="dxa"/>
            <w:vAlign w:val="bottom"/>
            <w:shd w:val="clear" w:color="auto" w:fill="E1E1DF"/>
          </w:tcPr>
          <w:p>
            <w:pPr>
              <w:spacing w:after="0"/>
              <w:rPr>
                <w:sz w:val="6"/>
                <w:szCs w:val="6"/>
                <w:color w:val="auto"/>
              </w:rPr>
            </w:pPr>
          </w:p>
        </w:tc>
        <w:tc>
          <w:tcPr>
            <w:tcW w:w="190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100" w:type="dxa"/>
            <w:vAlign w:val="bottom"/>
          </w:tcPr>
          <w:p>
            <w:pPr>
              <w:ind w:left="100"/>
              <w:spacing w:after="0"/>
              <w:rPr>
                <w:sz w:val="20"/>
                <w:szCs w:val="20"/>
                <w:color w:val="auto"/>
              </w:rPr>
            </w:pPr>
            <w:r>
              <w:rPr>
                <w:rFonts w:ascii="Arial" w:cs="Arial" w:eastAsia="Arial" w:hAnsi="Arial"/>
                <w:sz w:val="16"/>
                <w:szCs w:val="16"/>
                <w:b w:val="1"/>
                <w:bCs w:val="1"/>
                <w:color w:val="3B3C43"/>
              </w:rPr>
              <w:t>7: Reappointment of PwC as U.K. Statutory Auditor</w:t>
            </w:r>
          </w:p>
        </w:tc>
        <w:tc>
          <w:tcPr>
            <w:tcW w:w="2920" w:type="dxa"/>
            <w:vAlign w:val="bottom"/>
          </w:tcPr>
          <w:p>
            <w:pPr>
              <w:jc w:val="right"/>
              <w:ind w:right="59"/>
              <w:spacing w:after="0"/>
              <w:rPr>
                <w:sz w:val="20"/>
                <w:szCs w:val="20"/>
                <w:color w:val="auto"/>
              </w:rPr>
            </w:pPr>
            <w:r>
              <w:rPr>
                <w:rFonts w:ascii="Arial" w:cs="Arial" w:eastAsia="Arial" w:hAnsi="Arial"/>
                <w:sz w:val="16"/>
                <w:szCs w:val="16"/>
                <w:b w:val="1"/>
                <w:bCs w:val="1"/>
                <w:color w:val="3B3C43"/>
              </w:rPr>
              <w:t>FOR</w:t>
            </w:r>
          </w:p>
        </w:tc>
        <w:tc>
          <w:tcPr>
            <w:tcW w:w="1900" w:type="dxa"/>
            <w:vAlign w:val="bottom"/>
          </w:tcPr>
          <w:p>
            <w:pPr>
              <w:jc w:val="center"/>
              <w:spacing w:after="0"/>
              <w:rPr>
                <w:sz w:val="20"/>
                <w:szCs w:val="20"/>
                <w:color w:val="auto"/>
              </w:rPr>
            </w:pPr>
            <w:r>
              <w:rPr>
                <w:rFonts w:ascii="Arial" w:cs="Arial" w:eastAsia="Arial" w:hAnsi="Arial"/>
                <w:sz w:val="16"/>
                <w:szCs w:val="16"/>
                <w:color w:val="3B3C43"/>
              </w:rPr>
              <w:t>Page 137</w:t>
            </w:r>
          </w:p>
        </w:tc>
        <w:tc>
          <w:tcPr>
            <w:tcW w:w="0" w:type="dxa"/>
            <w:vAlign w:val="bottom"/>
          </w:tcPr>
          <w:p>
            <w:pPr>
              <w:spacing w:after="0"/>
              <w:rPr>
                <w:sz w:val="1"/>
                <w:szCs w:val="1"/>
                <w:color w:val="auto"/>
              </w:rPr>
            </w:pPr>
          </w:p>
        </w:tc>
      </w:tr>
      <w:tr>
        <w:trPr>
          <w:trHeight w:val="73"/>
        </w:trPr>
        <w:tc>
          <w:tcPr>
            <w:tcW w:w="61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1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8: Approval of U.K. Statutory Auditor Fees</w:t>
            </w:r>
          </w:p>
        </w:tc>
        <w:tc>
          <w:tcPr>
            <w:tcW w:w="2920" w:type="dxa"/>
            <w:vAlign w:val="bottom"/>
            <w:shd w:val="clear" w:color="auto" w:fill="E1E1DF"/>
          </w:tcPr>
          <w:p>
            <w:pPr>
              <w:jc w:val="right"/>
              <w:ind w:right="59"/>
              <w:spacing w:after="0"/>
              <w:rPr>
                <w:sz w:val="20"/>
                <w:szCs w:val="20"/>
                <w:color w:val="auto"/>
              </w:rPr>
            </w:pPr>
            <w:r>
              <w:rPr>
                <w:rFonts w:ascii="Arial" w:cs="Arial" w:eastAsia="Arial" w:hAnsi="Arial"/>
                <w:sz w:val="16"/>
                <w:szCs w:val="16"/>
                <w:b w:val="1"/>
                <w:bCs w:val="1"/>
                <w:color w:val="3B3C43"/>
              </w:rPr>
              <w:t>FOR</w:t>
            </w:r>
          </w:p>
        </w:tc>
        <w:tc>
          <w:tcPr>
            <w:tcW w:w="1900" w:type="dxa"/>
            <w:vAlign w:val="bottom"/>
            <w:shd w:val="clear" w:color="auto" w:fill="E1E1DF"/>
          </w:tcPr>
          <w:p>
            <w:pPr>
              <w:jc w:val="center"/>
              <w:spacing w:after="0"/>
              <w:rPr>
                <w:sz w:val="20"/>
                <w:szCs w:val="20"/>
                <w:color w:val="auto"/>
              </w:rPr>
            </w:pPr>
            <w:r>
              <w:rPr>
                <w:rFonts w:ascii="Arial" w:cs="Arial" w:eastAsia="Arial" w:hAnsi="Arial"/>
                <w:sz w:val="16"/>
                <w:szCs w:val="16"/>
                <w:color w:val="3B3C43"/>
              </w:rPr>
              <w:t>Page 138</w:t>
            </w:r>
          </w:p>
        </w:tc>
        <w:tc>
          <w:tcPr>
            <w:tcW w:w="0" w:type="dxa"/>
            <w:vAlign w:val="bottom"/>
          </w:tcPr>
          <w:p>
            <w:pPr>
              <w:spacing w:after="0"/>
              <w:rPr>
                <w:sz w:val="1"/>
                <w:szCs w:val="1"/>
                <w:color w:val="auto"/>
              </w:rPr>
            </w:pPr>
          </w:p>
        </w:tc>
      </w:tr>
      <w:tr>
        <w:trPr>
          <w:trHeight w:val="73"/>
        </w:trPr>
        <w:tc>
          <w:tcPr>
            <w:tcW w:w="6100" w:type="dxa"/>
            <w:vAlign w:val="bottom"/>
            <w:shd w:val="clear" w:color="auto" w:fill="E1E1DF"/>
          </w:tcPr>
          <w:p>
            <w:pPr>
              <w:spacing w:after="0"/>
              <w:rPr>
                <w:sz w:val="6"/>
                <w:szCs w:val="6"/>
                <w:color w:val="auto"/>
              </w:rPr>
            </w:pPr>
          </w:p>
        </w:tc>
        <w:tc>
          <w:tcPr>
            <w:tcW w:w="2920" w:type="dxa"/>
            <w:vAlign w:val="bottom"/>
            <w:shd w:val="clear" w:color="auto" w:fill="E1E1DF"/>
          </w:tcPr>
          <w:p>
            <w:pPr>
              <w:spacing w:after="0"/>
              <w:rPr>
                <w:sz w:val="6"/>
                <w:szCs w:val="6"/>
                <w:color w:val="auto"/>
              </w:rPr>
            </w:pPr>
          </w:p>
        </w:tc>
        <w:tc>
          <w:tcPr>
            <w:tcW w:w="190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6100" w:type="dxa"/>
            <w:vAlign w:val="bottom"/>
          </w:tcPr>
          <w:p>
            <w:pPr>
              <w:ind w:left="100"/>
              <w:spacing w:after="0"/>
              <w:rPr>
                <w:sz w:val="20"/>
                <w:szCs w:val="20"/>
                <w:color w:val="auto"/>
              </w:rPr>
            </w:pPr>
            <w:r>
              <w:rPr>
                <w:rFonts w:ascii="Arial" w:cs="Arial" w:eastAsia="Arial" w:hAnsi="Arial"/>
                <w:sz w:val="16"/>
                <w:szCs w:val="16"/>
                <w:b w:val="1"/>
                <w:bCs w:val="1"/>
                <w:color w:val="3B3C43"/>
              </w:rPr>
              <w:t>9: Approval of Share Repurchase Contracts and Counterparties</w:t>
            </w:r>
          </w:p>
        </w:tc>
        <w:tc>
          <w:tcPr>
            <w:tcW w:w="2920" w:type="dxa"/>
            <w:vAlign w:val="bottom"/>
          </w:tcPr>
          <w:p>
            <w:pPr>
              <w:jc w:val="right"/>
              <w:ind w:right="59"/>
              <w:spacing w:after="0"/>
              <w:rPr>
                <w:sz w:val="20"/>
                <w:szCs w:val="20"/>
                <w:color w:val="auto"/>
              </w:rPr>
            </w:pPr>
            <w:r>
              <w:rPr>
                <w:rFonts w:ascii="Arial" w:cs="Arial" w:eastAsia="Arial" w:hAnsi="Arial"/>
                <w:sz w:val="16"/>
                <w:szCs w:val="16"/>
                <w:b w:val="1"/>
                <w:bCs w:val="1"/>
                <w:color w:val="3B3C43"/>
              </w:rPr>
              <w:t>FOR</w:t>
            </w:r>
          </w:p>
        </w:tc>
        <w:tc>
          <w:tcPr>
            <w:tcW w:w="1900" w:type="dxa"/>
            <w:vAlign w:val="bottom"/>
          </w:tcPr>
          <w:p>
            <w:pPr>
              <w:jc w:val="center"/>
              <w:spacing w:after="0"/>
              <w:rPr>
                <w:sz w:val="20"/>
                <w:szCs w:val="20"/>
                <w:color w:val="auto"/>
              </w:rPr>
            </w:pPr>
            <w:r>
              <w:rPr>
                <w:rFonts w:ascii="Arial" w:cs="Arial" w:eastAsia="Arial" w:hAnsi="Arial"/>
                <w:sz w:val="16"/>
                <w:szCs w:val="16"/>
                <w:color w:val="3B3C43"/>
              </w:rPr>
              <w:t>Page 139</w:t>
            </w:r>
          </w:p>
        </w:tc>
        <w:tc>
          <w:tcPr>
            <w:tcW w:w="0" w:type="dxa"/>
            <w:vAlign w:val="bottom"/>
          </w:tcPr>
          <w:p>
            <w:pPr>
              <w:spacing w:after="0"/>
              <w:rPr>
                <w:sz w:val="1"/>
                <w:szCs w:val="1"/>
                <w:color w:val="auto"/>
              </w:rPr>
            </w:pPr>
          </w:p>
        </w:tc>
      </w:tr>
      <w:tr>
        <w:trPr>
          <w:trHeight w:val="73"/>
        </w:trPr>
        <w:tc>
          <w:tcPr>
            <w:tcW w:w="61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61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10: Authority to Allot Equity Securities</w:t>
            </w:r>
          </w:p>
        </w:tc>
        <w:tc>
          <w:tcPr>
            <w:tcW w:w="2920" w:type="dxa"/>
            <w:vAlign w:val="bottom"/>
            <w:shd w:val="clear" w:color="auto" w:fill="E1E1DF"/>
          </w:tcPr>
          <w:p>
            <w:pPr>
              <w:jc w:val="right"/>
              <w:ind w:right="59"/>
              <w:spacing w:after="0"/>
              <w:rPr>
                <w:sz w:val="20"/>
                <w:szCs w:val="20"/>
                <w:color w:val="auto"/>
              </w:rPr>
            </w:pPr>
            <w:r>
              <w:rPr>
                <w:rFonts w:ascii="Arial" w:cs="Arial" w:eastAsia="Arial" w:hAnsi="Arial"/>
                <w:sz w:val="16"/>
                <w:szCs w:val="16"/>
                <w:b w:val="1"/>
                <w:bCs w:val="1"/>
                <w:color w:val="3B3C43"/>
              </w:rPr>
              <w:t>FOR</w:t>
            </w:r>
          </w:p>
        </w:tc>
        <w:tc>
          <w:tcPr>
            <w:tcW w:w="1900" w:type="dxa"/>
            <w:vAlign w:val="bottom"/>
            <w:shd w:val="clear" w:color="auto" w:fill="E1E1DF"/>
          </w:tcPr>
          <w:p>
            <w:pPr>
              <w:jc w:val="center"/>
              <w:spacing w:after="0"/>
              <w:rPr>
                <w:sz w:val="20"/>
                <w:szCs w:val="20"/>
                <w:color w:val="auto"/>
              </w:rPr>
            </w:pPr>
            <w:r>
              <w:rPr>
                <w:rFonts w:ascii="Arial" w:cs="Arial" w:eastAsia="Arial" w:hAnsi="Arial"/>
                <w:sz w:val="16"/>
                <w:szCs w:val="16"/>
                <w:color w:val="3B3C43"/>
              </w:rPr>
              <w:t>Page 141</w:t>
            </w:r>
          </w:p>
        </w:tc>
        <w:tc>
          <w:tcPr>
            <w:tcW w:w="0" w:type="dxa"/>
            <w:vAlign w:val="bottom"/>
          </w:tcPr>
          <w:p>
            <w:pPr>
              <w:spacing w:after="0"/>
              <w:rPr>
                <w:sz w:val="1"/>
                <w:szCs w:val="1"/>
                <w:color w:val="auto"/>
              </w:rPr>
            </w:pPr>
          </w:p>
        </w:tc>
      </w:tr>
      <w:tr>
        <w:trPr>
          <w:trHeight w:val="74"/>
        </w:trPr>
        <w:tc>
          <w:tcPr>
            <w:tcW w:w="6100" w:type="dxa"/>
            <w:vAlign w:val="bottom"/>
            <w:shd w:val="clear" w:color="auto" w:fill="E1E1DF"/>
          </w:tcPr>
          <w:p>
            <w:pPr>
              <w:spacing w:after="0"/>
              <w:rPr>
                <w:sz w:val="6"/>
                <w:szCs w:val="6"/>
                <w:color w:val="auto"/>
              </w:rPr>
            </w:pPr>
          </w:p>
        </w:tc>
        <w:tc>
          <w:tcPr>
            <w:tcW w:w="2920" w:type="dxa"/>
            <w:vAlign w:val="bottom"/>
            <w:shd w:val="clear" w:color="auto" w:fill="E1E1DF"/>
          </w:tcPr>
          <w:p>
            <w:pPr>
              <w:spacing w:after="0"/>
              <w:rPr>
                <w:sz w:val="6"/>
                <w:szCs w:val="6"/>
                <w:color w:val="auto"/>
              </w:rPr>
            </w:pPr>
          </w:p>
        </w:tc>
        <w:tc>
          <w:tcPr>
            <w:tcW w:w="190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100"/>
              <w:spacing w:after="0"/>
              <w:rPr>
                <w:sz w:val="20"/>
                <w:szCs w:val="20"/>
                <w:color w:val="auto"/>
              </w:rPr>
            </w:pPr>
            <w:r>
              <w:rPr>
                <w:rFonts w:ascii="Arial" w:cs="Arial" w:eastAsia="Arial" w:hAnsi="Arial"/>
                <w:sz w:val="16"/>
                <w:szCs w:val="16"/>
                <w:b w:val="1"/>
                <w:bCs w:val="1"/>
                <w:color w:val="3B3C43"/>
              </w:rPr>
              <w:t>Special Resolution</w:t>
            </w:r>
          </w:p>
        </w:tc>
        <w:tc>
          <w:tcPr>
            <w:tcW w:w="2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6100" w:type="dxa"/>
            <w:vAlign w:val="bottom"/>
            <w:tcBorders>
              <w:bottom w:val="single" w:sz="8" w:color="6A6D71"/>
            </w:tcBorders>
          </w:tcPr>
          <w:p>
            <w:pPr>
              <w:spacing w:after="0"/>
              <w:rPr>
                <w:sz w:val="6"/>
                <w:szCs w:val="6"/>
                <w:color w:val="auto"/>
              </w:rPr>
            </w:pPr>
          </w:p>
        </w:tc>
        <w:tc>
          <w:tcPr>
            <w:tcW w:w="2920" w:type="dxa"/>
            <w:vAlign w:val="bottom"/>
            <w:tcBorders>
              <w:bottom w:val="single" w:sz="8" w:color="6A6D71"/>
            </w:tcBorders>
          </w:tcPr>
          <w:p>
            <w:pPr>
              <w:spacing w:after="0"/>
              <w:rPr>
                <w:sz w:val="6"/>
                <w:szCs w:val="6"/>
                <w:color w:val="auto"/>
              </w:rPr>
            </w:pPr>
          </w:p>
        </w:tc>
        <w:tc>
          <w:tcPr>
            <w:tcW w:w="1900" w:type="dxa"/>
            <w:vAlign w:val="bottom"/>
            <w:tcBorders>
              <w:bottom w:val="single" w:sz="8" w:color="6A6D71"/>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6100" w:type="dxa"/>
            <w:vAlign w:val="bottom"/>
          </w:tcPr>
          <w:p>
            <w:pPr>
              <w:ind w:left="100"/>
              <w:spacing w:after="0"/>
              <w:rPr>
                <w:sz w:val="20"/>
                <w:szCs w:val="20"/>
                <w:color w:val="auto"/>
              </w:rPr>
            </w:pPr>
            <w:r>
              <w:rPr>
                <w:rFonts w:ascii="Arial" w:cs="Arial" w:eastAsia="Arial" w:hAnsi="Arial"/>
                <w:sz w:val="16"/>
                <w:szCs w:val="16"/>
                <w:b w:val="1"/>
                <w:bCs w:val="1"/>
                <w:color w:val="3B3C43"/>
              </w:rPr>
              <w:t>11: Authority to Allot Equity Securities without Pre-emptive Rights</w:t>
            </w:r>
          </w:p>
        </w:tc>
        <w:tc>
          <w:tcPr>
            <w:tcW w:w="2920" w:type="dxa"/>
            <w:vAlign w:val="bottom"/>
          </w:tcPr>
          <w:p>
            <w:pPr>
              <w:jc w:val="right"/>
              <w:ind w:right="59"/>
              <w:spacing w:after="0"/>
              <w:rPr>
                <w:sz w:val="20"/>
                <w:szCs w:val="20"/>
                <w:color w:val="auto"/>
              </w:rPr>
            </w:pPr>
            <w:r>
              <w:rPr>
                <w:rFonts w:ascii="Arial" w:cs="Arial" w:eastAsia="Arial" w:hAnsi="Arial"/>
                <w:sz w:val="16"/>
                <w:szCs w:val="16"/>
                <w:b w:val="1"/>
                <w:bCs w:val="1"/>
                <w:color w:val="3B3C43"/>
              </w:rPr>
              <w:t>FOR</w:t>
            </w:r>
          </w:p>
        </w:tc>
        <w:tc>
          <w:tcPr>
            <w:tcW w:w="1900" w:type="dxa"/>
            <w:vAlign w:val="bottom"/>
          </w:tcPr>
          <w:p>
            <w:pPr>
              <w:jc w:val="center"/>
              <w:spacing w:after="0"/>
              <w:rPr>
                <w:sz w:val="20"/>
                <w:szCs w:val="20"/>
                <w:color w:val="auto"/>
              </w:rPr>
            </w:pPr>
            <w:r>
              <w:rPr>
                <w:rFonts w:ascii="Arial" w:cs="Arial" w:eastAsia="Arial" w:hAnsi="Arial"/>
                <w:sz w:val="16"/>
                <w:szCs w:val="16"/>
                <w:color w:val="3B3C43"/>
              </w:rPr>
              <w:t>Page 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7436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38"/>
          <w:szCs w:val="38"/>
          <w:color w:val="4B1F68"/>
        </w:rPr>
        <w:t>Core Values and Foundational Beliefs</w:t>
      </w:r>
    </w:p>
    <w:p>
      <w:pPr>
        <w:spacing w:after="0" w:line="191" w:lineRule="exact"/>
        <w:rPr>
          <w:sz w:val="20"/>
          <w:szCs w:val="20"/>
          <w:color w:val="auto"/>
        </w:rPr>
      </w:pPr>
    </w:p>
    <w:p>
      <w:pPr>
        <w:ind w:left="160" w:right="100"/>
        <w:spacing w:after="0" w:line="260" w:lineRule="auto"/>
        <w:rPr>
          <w:sz w:val="20"/>
          <w:szCs w:val="20"/>
          <w:color w:val="auto"/>
        </w:rPr>
      </w:pPr>
      <w:r>
        <w:rPr>
          <w:rFonts w:ascii="Arial" w:cs="Arial" w:eastAsia="Arial" w:hAnsi="Arial"/>
          <w:sz w:val="16"/>
          <w:szCs w:val="16"/>
          <w:color w:val="3B3C43"/>
        </w:rPr>
        <w:t>Our decisions regarding corporate responsibility, governance, and sustainability are founded on the principles that guide our Company. Our core values provide the framework for all of our decision making and are based on our foundational beliefs (“</w:t>
      </w:r>
      <w:r>
        <w:rPr>
          <w:rFonts w:ascii="Arial" w:cs="Arial" w:eastAsia="Arial" w:hAnsi="Arial"/>
          <w:sz w:val="16"/>
          <w:szCs w:val="16"/>
          <w:b w:val="1"/>
          <w:bCs w:val="1"/>
          <w:color w:val="3B3C43"/>
        </w:rPr>
        <w:t>Foundational Beliefs</w:t>
      </w:r>
      <w:r>
        <w:rPr>
          <w:rFonts w:ascii="Arial" w:cs="Arial" w:eastAsia="Arial" w:hAnsi="Arial"/>
          <w:sz w:val="16"/>
          <w:szCs w:val="16"/>
          <w:color w:val="3B3C43"/>
        </w:rPr>
        <w:t>”).</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4B1F68"/>
        </w:rPr>
        <w:t>Our core values</w:t>
      </w:r>
    </w:p>
    <w:p>
      <w:pPr>
        <w:spacing w:after="0" w:line="176" w:lineRule="exact"/>
        <w:rPr>
          <w:sz w:val="20"/>
          <w:szCs w:val="20"/>
          <w:color w:val="auto"/>
        </w:rPr>
      </w:pPr>
    </w:p>
    <w:tbl>
      <w:tblPr>
        <w:tblLayout w:type="fixed"/>
        <w:tblInd w:w="160" w:type="dxa"/>
        <w:tblCellMar>
          <w:top w:w="0" w:type="dxa"/>
          <w:left w:w="0" w:type="dxa"/>
          <w:bottom w:w="0" w:type="dxa"/>
          <w:right w:w="0" w:type="dxa"/>
        </w:tblCellMar>
      </w:tblPr>
      <w:tr>
        <w:trPr>
          <w:trHeight w:val="1439"/>
        </w:trPr>
        <w:tc>
          <w:tcPr>
            <w:tcW w:w="3620" w:type="dxa"/>
            <w:vAlign w:val="bottom"/>
            <w:shd w:val="clear" w:color="auto" w:fill="4A1F67"/>
          </w:tcPr>
          <w:p>
            <w:pPr>
              <w:ind w:left="960"/>
              <w:spacing w:after="0"/>
              <w:rPr>
                <w:sz w:val="20"/>
                <w:szCs w:val="20"/>
                <w:color w:val="auto"/>
              </w:rPr>
            </w:pPr>
            <w:r>
              <w:rPr>
                <w:rFonts w:ascii="Arial" w:cs="Arial" w:eastAsia="Arial" w:hAnsi="Arial"/>
                <w:sz w:val="16"/>
                <w:szCs w:val="16"/>
                <w:b w:val="1"/>
                <w:bCs w:val="1"/>
                <w:color w:val="FFFFFF"/>
              </w:rPr>
              <w:t>Realizing possibilities</w:t>
            </w:r>
          </w:p>
        </w:tc>
        <w:tc>
          <w:tcPr>
            <w:tcW w:w="3600" w:type="dxa"/>
            <w:vAlign w:val="bottom"/>
            <w:shd w:val="clear" w:color="auto" w:fill="00ADE9"/>
          </w:tcPr>
          <w:p>
            <w:pPr>
              <w:ind w:left="1060"/>
              <w:spacing w:after="0"/>
              <w:rPr>
                <w:sz w:val="20"/>
                <w:szCs w:val="20"/>
                <w:color w:val="auto"/>
              </w:rPr>
            </w:pPr>
            <w:r>
              <w:rPr>
                <w:rFonts w:ascii="Arial" w:cs="Arial" w:eastAsia="Arial" w:hAnsi="Arial"/>
                <w:sz w:val="16"/>
                <w:szCs w:val="16"/>
                <w:b w:val="1"/>
                <w:bCs w:val="1"/>
                <w:color w:val="FFFFFF"/>
              </w:rPr>
              <w:t>Achieving together</w:t>
            </w:r>
          </w:p>
        </w:tc>
        <w:tc>
          <w:tcPr>
            <w:tcW w:w="3700" w:type="dxa"/>
            <w:vAlign w:val="bottom"/>
            <w:shd w:val="clear" w:color="auto" w:fill="D21D22"/>
          </w:tcPr>
          <w:p>
            <w:pPr>
              <w:ind w:left="1320"/>
              <w:spacing w:after="0"/>
              <w:rPr>
                <w:sz w:val="20"/>
                <w:szCs w:val="20"/>
                <w:color w:val="auto"/>
              </w:rPr>
            </w:pPr>
            <w:r>
              <w:rPr>
                <w:rFonts w:ascii="Arial" w:cs="Arial" w:eastAsia="Arial" w:hAnsi="Arial"/>
                <w:sz w:val="16"/>
                <w:szCs w:val="16"/>
                <w:b w:val="1"/>
                <w:bCs w:val="1"/>
                <w:color w:val="FFFFFF"/>
              </w:rPr>
              <w:t>Building trust</w:t>
            </w:r>
          </w:p>
        </w:tc>
      </w:tr>
      <w:tr>
        <w:trPr>
          <w:trHeight w:val="73"/>
        </w:trPr>
        <w:tc>
          <w:tcPr>
            <w:tcW w:w="3620" w:type="dxa"/>
            <w:vAlign w:val="bottom"/>
            <w:shd w:val="clear" w:color="auto" w:fill="4A1F67"/>
          </w:tcPr>
          <w:p>
            <w:pPr>
              <w:spacing w:after="0"/>
              <w:rPr>
                <w:sz w:val="6"/>
                <w:szCs w:val="6"/>
                <w:color w:val="auto"/>
              </w:rPr>
            </w:pPr>
          </w:p>
        </w:tc>
        <w:tc>
          <w:tcPr>
            <w:tcW w:w="3600" w:type="dxa"/>
            <w:vAlign w:val="bottom"/>
            <w:shd w:val="clear" w:color="auto" w:fill="00ADE9"/>
          </w:tcPr>
          <w:p>
            <w:pPr>
              <w:spacing w:after="0"/>
              <w:rPr>
                <w:sz w:val="6"/>
                <w:szCs w:val="6"/>
                <w:color w:val="auto"/>
              </w:rPr>
            </w:pPr>
          </w:p>
        </w:tc>
        <w:tc>
          <w:tcPr>
            <w:tcW w:w="3700" w:type="dxa"/>
            <w:vAlign w:val="bottom"/>
            <w:shd w:val="clear" w:color="auto" w:fill="D21D22"/>
          </w:tcPr>
          <w:p>
            <w:pPr>
              <w:spacing w:after="0"/>
              <w:rPr>
                <w:sz w:val="6"/>
                <w:szCs w:val="6"/>
                <w:color w:val="auto"/>
              </w:rPr>
            </w:pPr>
          </w:p>
        </w:tc>
      </w:tr>
      <w:tr>
        <w:trPr>
          <w:trHeight w:val="278"/>
        </w:trPr>
        <w:tc>
          <w:tcPr>
            <w:tcW w:w="3620" w:type="dxa"/>
            <w:vAlign w:val="bottom"/>
          </w:tcPr>
          <w:p>
            <w:pPr>
              <w:spacing w:after="0"/>
              <w:rPr>
                <w:sz w:val="24"/>
                <w:szCs w:val="24"/>
                <w:color w:val="auto"/>
              </w:rPr>
            </w:pPr>
          </w:p>
        </w:tc>
        <w:tc>
          <w:tcPr>
            <w:tcW w:w="3600" w:type="dxa"/>
            <w:vAlign w:val="bottom"/>
          </w:tcPr>
          <w:p>
            <w:pPr>
              <w:ind w:left="700"/>
              <w:spacing w:after="0"/>
              <w:rPr>
                <w:sz w:val="20"/>
                <w:szCs w:val="20"/>
                <w:color w:val="auto"/>
              </w:rPr>
            </w:pPr>
            <w:r>
              <w:rPr>
                <w:rFonts w:ascii="Arial" w:cs="Arial" w:eastAsia="Arial" w:hAnsi="Arial"/>
                <w:sz w:val="16"/>
                <w:szCs w:val="16"/>
                <w:b w:val="1"/>
                <w:bCs w:val="1"/>
                <w:color w:val="4B1F68"/>
              </w:rPr>
              <w:t>The heart of everything we do</w:t>
            </w:r>
          </w:p>
        </w:tc>
        <w:tc>
          <w:tcPr>
            <w:tcW w:w="3700" w:type="dxa"/>
            <w:vAlign w:val="bottom"/>
          </w:tcPr>
          <w:p>
            <w:pPr>
              <w:spacing w:after="0"/>
              <w:rPr>
                <w:sz w:val="24"/>
                <w:szCs w:val="24"/>
                <w:color w:val="auto"/>
              </w:rPr>
            </w:pPr>
          </w:p>
        </w:tc>
      </w:tr>
      <w:tr>
        <w:trPr>
          <w:trHeight w:val="73"/>
        </w:trPr>
        <w:tc>
          <w:tcPr>
            <w:tcW w:w="36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3700" w:type="dxa"/>
            <w:vAlign w:val="bottom"/>
          </w:tcPr>
          <w:p>
            <w:pPr>
              <w:spacing w:after="0"/>
              <w:rPr>
                <w:sz w:val="6"/>
                <w:szCs w:val="6"/>
                <w:color w:val="auto"/>
              </w:rPr>
            </w:pPr>
          </w:p>
        </w:tc>
      </w:tr>
      <w:tr>
        <w:trPr>
          <w:trHeight w:val="278"/>
        </w:trPr>
        <w:tc>
          <w:tcPr>
            <w:tcW w:w="3620" w:type="dxa"/>
            <w:vAlign w:val="bottom"/>
            <w:shd w:val="clear" w:color="auto" w:fill="4A1F67"/>
          </w:tcPr>
          <w:p>
            <w:pPr>
              <w:ind w:left="100"/>
              <w:spacing w:after="0"/>
              <w:rPr>
                <w:sz w:val="20"/>
                <w:szCs w:val="20"/>
                <w:color w:val="auto"/>
              </w:rPr>
            </w:pPr>
            <w:r>
              <w:rPr>
                <w:rFonts w:ascii="Arial" w:cs="Arial" w:eastAsia="Arial" w:hAnsi="Arial"/>
                <w:sz w:val="16"/>
                <w:szCs w:val="16"/>
                <w:color w:val="FFFFFF"/>
              </w:rPr>
              <w:t>► We strive for ever better</w:t>
            </w:r>
          </w:p>
        </w:tc>
        <w:tc>
          <w:tcPr>
            <w:tcW w:w="3600" w:type="dxa"/>
            <w:vAlign w:val="bottom"/>
            <w:shd w:val="clear" w:color="auto" w:fill="00ADE9"/>
          </w:tcPr>
          <w:p>
            <w:pPr>
              <w:ind w:left="100"/>
              <w:spacing w:after="0"/>
              <w:rPr>
                <w:sz w:val="20"/>
                <w:szCs w:val="20"/>
                <w:color w:val="auto"/>
              </w:rPr>
            </w:pPr>
            <w:r>
              <w:rPr>
                <w:rFonts w:ascii="Arial" w:cs="Arial" w:eastAsia="Arial" w:hAnsi="Arial"/>
                <w:sz w:val="16"/>
                <w:szCs w:val="16"/>
                <w:color w:val="FFFFFF"/>
              </w:rPr>
              <w:t>► We work as one team</w:t>
            </w:r>
          </w:p>
        </w:tc>
        <w:tc>
          <w:tcPr>
            <w:tcW w:w="3700" w:type="dxa"/>
            <w:vAlign w:val="bottom"/>
            <w:shd w:val="clear" w:color="auto" w:fill="D21D22"/>
          </w:tcPr>
          <w:p>
            <w:pPr>
              <w:ind w:left="100"/>
              <w:spacing w:after="0"/>
              <w:rPr>
                <w:sz w:val="20"/>
                <w:szCs w:val="20"/>
                <w:color w:val="auto"/>
              </w:rPr>
            </w:pPr>
            <w:r>
              <w:rPr>
                <w:rFonts w:ascii="Arial" w:cs="Arial" w:eastAsia="Arial" w:hAnsi="Arial"/>
                <w:sz w:val="16"/>
                <w:szCs w:val="16"/>
                <w:color w:val="FFFFFF"/>
              </w:rPr>
              <w:t>► We listen to improve</w:t>
            </w:r>
          </w:p>
        </w:tc>
      </w:tr>
      <w:tr>
        <w:trPr>
          <w:trHeight w:val="283"/>
        </w:trPr>
        <w:tc>
          <w:tcPr>
            <w:tcW w:w="3620" w:type="dxa"/>
            <w:vAlign w:val="bottom"/>
            <w:shd w:val="clear" w:color="auto" w:fill="4A1F67"/>
          </w:tcPr>
          <w:p>
            <w:pPr>
              <w:ind w:left="100"/>
              <w:spacing w:after="0"/>
              <w:rPr>
                <w:sz w:val="20"/>
                <w:szCs w:val="20"/>
                <w:color w:val="auto"/>
              </w:rPr>
            </w:pPr>
            <w:r>
              <w:rPr>
                <w:rFonts w:ascii="Arial" w:cs="Arial" w:eastAsia="Arial" w:hAnsi="Arial"/>
                <w:sz w:val="16"/>
                <w:szCs w:val="16"/>
                <w:color w:val="FFFFFF"/>
              </w:rPr>
              <w:t>► We take initiative</w:t>
            </w:r>
          </w:p>
        </w:tc>
        <w:tc>
          <w:tcPr>
            <w:tcW w:w="3600" w:type="dxa"/>
            <w:vAlign w:val="bottom"/>
            <w:shd w:val="clear" w:color="auto" w:fill="00ADE9"/>
          </w:tcPr>
          <w:p>
            <w:pPr>
              <w:ind w:left="100"/>
              <w:spacing w:after="0"/>
              <w:rPr>
                <w:sz w:val="20"/>
                <w:szCs w:val="20"/>
                <w:color w:val="auto"/>
              </w:rPr>
            </w:pPr>
            <w:r>
              <w:rPr>
                <w:rFonts w:ascii="Arial" w:cs="Arial" w:eastAsia="Arial" w:hAnsi="Arial"/>
                <w:sz w:val="16"/>
                <w:szCs w:val="16"/>
                <w:color w:val="FFFFFF"/>
              </w:rPr>
              <w:t>► We share knowledge</w:t>
            </w:r>
          </w:p>
        </w:tc>
        <w:tc>
          <w:tcPr>
            <w:tcW w:w="3700" w:type="dxa"/>
            <w:vAlign w:val="bottom"/>
            <w:shd w:val="clear" w:color="auto" w:fill="D21D22"/>
          </w:tcPr>
          <w:p>
            <w:pPr>
              <w:ind w:left="100"/>
              <w:spacing w:after="0"/>
              <w:rPr>
                <w:sz w:val="20"/>
                <w:szCs w:val="20"/>
                <w:color w:val="auto"/>
              </w:rPr>
            </w:pPr>
            <w:r>
              <w:rPr>
                <w:rFonts w:ascii="Arial" w:cs="Arial" w:eastAsia="Arial" w:hAnsi="Arial"/>
                <w:sz w:val="16"/>
                <w:szCs w:val="16"/>
                <w:color w:val="FFFFFF"/>
              </w:rPr>
              <w:t>► We partner constructively</w:t>
            </w:r>
          </w:p>
        </w:tc>
      </w:tr>
      <w:tr>
        <w:trPr>
          <w:trHeight w:val="276"/>
        </w:trPr>
        <w:tc>
          <w:tcPr>
            <w:tcW w:w="3620" w:type="dxa"/>
            <w:vAlign w:val="bottom"/>
            <w:shd w:val="clear" w:color="auto" w:fill="4A1F67"/>
          </w:tcPr>
          <w:p>
            <w:pPr>
              <w:ind w:left="100"/>
              <w:spacing w:after="0"/>
              <w:rPr>
                <w:sz w:val="20"/>
                <w:szCs w:val="20"/>
                <w:color w:val="auto"/>
              </w:rPr>
            </w:pPr>
            <w:r>
              <w:rPr>
                <w:rFonts w:ascii="Arial" w:cs="Arial" w:eastAsia="Arial" w:hAnsi="Arial"/>
                <w:sz w:val="16"/>
                <w:szCs w:val="16"/>
                <w:color w:val="FFFFFF"/>
              </w:rPr>
              <w:t>► We learn from success and failure</w:t>
            </w:r>
          </w:p>
        </w:tc>
        <w:tc>
          <w:tcPr>
            <w:tcW w:w="3600" w:type="dxa"/>
            <w:vAlign w:val="bottom"/>
            <w:shd w:val="clear" w:color="auto" w:fill="00ADE9"/>
          </w:tcPr>
          <w:p>
            <w:pPr>
              <w:ind w:left="100"/>
              <w:spacing w:after="0"/>
              <w:rPr>
                <w:sz w:val="20"/>
                <w:szCs w:val="20"/>
                <w:color w:val="auto"/>
              </w:rPr>
            </w:pPr>
            <w:r>
              <w:rPr>
                <w:rFonts w:ascii="Arial" w:cs="Arial" w:eastAsia="Arial" w:hAnsi="Arial"/>
                <w:sz w:val="16"/>
                <w:szCs w:val="16"/>
                <w:color w:val="FFFFFF"/>
              </w:rPr>
              <w:t>► We embrace diversity of thought</w:t>
            </w:r>
          </w:p>
        </w:tc>
        <w:tc>
          <w:tcPr>
            <w:tcW w:w="3700" w:type="dxa"/>
            <w:vAlign w:val="bottom"/>
            <w:shd w:val="clear" w:color="auto" w:fill="D21D22"/>
          </w:tcPr>
          <w:p>
            <w:pPr>
              <w:ind w:left="100"/>
              <w:spacing w:after="0"/>
              <w:rPr>
                <w:sz w:val="20"/>
                <w:szCs w:val="20"/>
                <w:color w:val="auto"/>
              </w:rPr>
            </w:pPr>
            <w:r>
              <w:rPr>
                <w:rFonts w:ascii="Arial" w:cs="Arial" w:eastAsia="Arial" w:hAnsi="Arial"/>
                <w:sz w:val="16"/>
                <w:szCs w:val="16"/>
                <w:color w:val="FFFFFF"/>
              </w:rPr>
              <w:t>► We seek to outperform</w:t>
            </w:r>
          </w:p>
        </w:tc>
      </w:tr>
      <w:tr>
        <w:trPr>
          <w:trHeight w:val="162"/>
        </w:trPr>
        <w:tc>
          <w:tcPr>
            <w:tcW w:w="3620" w:type="dxa"/>
            <w:vAlign w:val="bottom"/>
            <w:shd w:val="clear" w:color="auto" w:fill="4A1F67"/>
          </w:tcPr>
          <w:p>
            <w:pPr>
              <w:spacing w:after="0"/>
              <w:rPr>
                <w:sz w:val="14"/>
                <w:szCs w:val="14"/>
                <w:color w:val="auto"/>
              </w:rPr>
            </w:pPr>
          </w:p>
        </w:tc>
        <w:tc>
          <w:tcPr>
            <w:tcW w:w="3600" w:type="dxa"/>
            <w:vAlign w:val="bottom"/>
            <w:shd w:val="clear" w:color="auto" w:fill="00ADE9"/>
          </w:tcPr>
          <w:p>
            <w:pPr>
              <w:spacing w:after="0"/>
              <w:rPr>
                <w:sz w:val="14"/>
                <w:szCs w:val="14"/>
                <w:color w:val="auto"/>
              </w:rPr>
            </w:pPr>
          </w:p>
        </w:tc>
        <w:tc>
          <w:tcPr>
            <w:tcW w:w="3700" w:type="dxa"/>
            <w:vAlign w:val="bottom"/>
            <w:shd w:val="clear" w:color="auto" w:fill="D21D22"/>
          </w:tcPr>
          <w:p>
            <w:pPr>
              <w:spacing w:after="0"/>
              <w:rPr>
                <w:sz w:val="14"/>
                <w:szCs w:val="14"/>
                <w:color w:val="auto"/>
              </w:rPr>
            </w:pPr>
          </w:p>
        </w:tc>
      </w:tr>
    </w:tbl>
    <w:p>
      <w:pPr>
        <w:spacing w:after="0" w:line="191" w:lineRule="exact"/>
        <w:rPr>
          <w:sz w:val="20"/>
          <w:szCs w:val="20"/>
          <w:color w:val="auto"/>
        </w:rPr>
      </w:pPr>
    </w:p>
    <w:p>
      <w:pPr>
        <w:ind w:left="160" w:right="340"/>
        <w:spacing w:after="0" w:line="260" w:lineRule="auto"/>
        <w:rPr>
          <w:sz w:val="20"/>
          <w:szCs w:val="20"/>
          <w:color w:val="auto"/>
        </w:rPr>
      </w:pPr>
      <w:r>
        <w:rPr>
          <w:rFonts w:ascii="Arial" w:cs="Arial" w:eastAsia="Arial" w:hAnsi="Arial"/>
          <w:sz w:val="16"/>
          <w:szCs w:val="16"/>
          <w:color w:val="3B3C43"/>
        </w:rPr>
        <w:t>Our Foundational Beliefs are the cornerstone of our values that describe how we fundamentally do business and what we never compromise on, no matter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60" w:right="360"/>
        <w:spacing w:after="0" w:line="281" w:lineRule="auto"/>
        <w:rPr>
          <w:sz w:val="20"/>
          <w:szCs w:val="20"/>
          <w:color w:val="auto"/>
        </w:rPr>
      </w:pPr>
      <w:r>
        <w:rPr>
          <w:rFonts w:ascii="Arial" w:cs="Arial" w:eastAsia="Arial" w:hAnsi="Arial"/>
          <w:sz w:val="16"/>
          <w:szCs w:val="16"/>
          <w:color w:val="3B3C43"/>
        </w:rPr>
        <w:t xml:space="preserve">For additional details on the Company’s core values, Foundational Beliefs, and our sustainability program, please see the section entitled </w:t>
      </w:r>
      <w:r>
        <w:rPr>
          <w:rFonts w:ascii="Arial" w:cs="Arial" w:eastAsia="Arial" w:hAnsi="Arial"/>
          <w:sz w:val="16"/>
          <w:szCs w:val="16"/>
          <w:i w:val="1"/>
          <w:iCs w:val="1"/>
          <w:color w:val="3B3C43"/>
        </w:rPr>
        <w:t>“</w:t>
      </w:r>
      <w:r>
        <w:rPr>
          <w:rFonts w:ascii="Arial" w:cs="Arial" w:eastAsia="Arial" w:hAnsi="Arial"/>
          <w:sz w:val="14"/>
          <w:szCs w:val="14"/>
          <w:i w:val="1"/>
          <w:iCs w:val="1"/>
          <w:color w:val="3B3C43"/>
        </w:rPr>
        <w:t>Corporate</w:t>
      </w:r>
      <w:r>
        <w:rPr>
          <w:rFonts w:ascii="Arial" w:cs="Arial" w:eastAsia="Arial" w:hAnsi="Arial"/>
          <w:sz w:val="16"/>
          <w:szCs w:val="16"/>
          <w:color w:val="3B3C43"/>
        </w:rPr>
        <w:t xml:space="preserve"> </w:t>
      </w:r>
      <w:r>
        <w:rPr>
          <w:rFonts w:ascii="Arial" w:cs="Arial" w:eastAsia="Arial" w:hAnsi="Arial"/>
          <w:sz w:val="14"/>
          <w:szCs w:val="14"/>
          <w:i w:val="1"/>
          <w:iCs w:val="1"/>
          <w:color w:val="3B3C43"/>
        </w:rPr>
        <w:t>Responsibility and Sustainability.</w:t>
      </w:r>
      <w:r>
        <w:rPr>
          <w:rFonts w:ascii="Arial" w:cs="Arial" w:eastAsia="Arial" w:hAnsi="Arial"/>
          <w:sz w:val="16"/>
          <w:szCs w:val="16"/>
          <w:i w:val="1"/>
          <w:iCs w:val="1"/>
          <w:color w:val="3B3C43"/>
        </w:rPr>
        <w:t>”</w:t>
      </w:r>
    </w:p>
    <w:p>
      <w:pPr>
        <w:spacing w:after="0" w:line="31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6013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01345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38"/>
          <w:szCs w:val="38"/>
          <w:color w:val="4B1F68"/>
        </w:rPr>
        <w:t>Governance Highlights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B1F68"/>
        </w:rPr>
        <w:t>Board and Governance Best Practices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Independent Board Oversight</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Robust Lead Independent Director role to serve as an effective counterbalance to the role of the Chairman and CEO</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All directors are independent except the Chairman and CEO</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Fully independent Board committees</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Regular executive sessions of independent directors</w:t>
      </w: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Governance Best Practices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Annual election of directors under majority vote standard</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Engaged Board with deep expertise, skills, and experience that are closely tied to business strategy</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Annual shareholder engagement program to solicit feedback on Company practices</w:t>
      </w:r>
    </w:p>
    <w:p>
      <w:pPr>
        <w:spacing w:after="0" w:line="275" w:lineRule="exact"/>
        <w:rPr>
          <w:sz w:val="20"/>
          <w:szCs w:val="20"/>
          <w:color w:val="auto"/>
        </w:rPr>
      </w:pPr>
    </w:p>
    <w:p>
      <w:pPr>
        <w:ind w:left="260" w:right="679"/>
        <w:spacing w:after="0" w:line="286" w:lineRule="auto"/>
        <w:rPr>
          <w:sz w:val="20"/>
          <w:szCs w:val="20"/>
          <w:color w:val="auto"/>
        </w:rPr>
      </w:pPr>
      <w:r>
        <w:rPr>
          <w:rFonts w:ascii="Arial" w:cs="Arial" w:eastAsia="Arial" w:hAnsi="Arial"/>
          <w:sz w:val="16"/>
          <w:szCs w:val="16"/>
          <w:b w:val="1"/>
          <w:bCs w:val="1"/>
          <w:color w:val="FFFFFF"/>
        </w:rPr>
        <w:t>Ongoing Board refreshment efforts informed by a comprehensive annual Board and committee self-evaluation process, reflected by two new directors in 2019 and one new director in each of 2020 and 2021</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Board oversight of risk management structures</w:t>
      </w:r>
    </w:p>
    <w:p>
      <w:pPr>
        <w:spacing w:after="0" w:line="275" w:lineRule="exact"/>
        <w:rPr>
          <w:sz w:val="20"/>
          <w:szCs w:val="20"/>
          <w:color w:val="auto"/>
        </w:rPr>
      </w:pPr>
    </w:p>
    <w:p>
      <w:pPr>
        <w:ind w:left="260" w:right="299"/>
        <w:spacing w:after="0" w:line="286" w:lineRule="auto"/>
        <w:rPr>
          <w:sz w:val="20"/>
          <w:szCs w:val="20"/>
          <w:color w:val="auto"/>
        </w:rPr>
      </w:pPr>
      <w:r>
        <w:rPr>
          <w:rFonts w:ascii="Arial" w:cs="Arial" w:eastAsia="Arial" w:hAnsi="Arial"/>
          <w:sz w:val="16"/>
          <w:szCs w:val="16"/>
          <w:b w:val="1"/>
          <w:bCs w:val="1"/>
          <w:color w:val="FFFFFF"/>
        </w:rPr>
        <w:t>Review of the mix of experience, qualifications, and skills in the boardroom to meet evolving needs of the business, coupled with new director orientation and continuing education</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Code of Business Conduct applicable to directors</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Governance Guidelines with director retirement policy</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Director share ownership requirements</w:t>
      </w:r>
    </w:p>
    <w:p>
      <w:pPr>
        <w:spacing w:after="0" w:line="320" w:lineRule="exact"/>
        <w:rPr>
          <w:sz w:val="20"/>
          <w:szCs w:val="20"/>
          <w:color w:val="auto"/>
        </w:rPr>
      </w:pPr>
    </w:p>
    <w:p>
      <w:pPr>
        <w:ind w:left="160"/>
        <w:spacing w:after="0"/>
        <w:rPr>
          <w:sz w:val="20"/>
          <w:szCs w:val="20"/>
          <w:color w:val="auto"/>
        </w:rPr>
      </w:pPr>
      <w:r>
        <w:rPr>
          <w:rFonts w:ascii="Arial" w:cs="Arial" w:eastAsia="Arial" w:hAnsi="Arial"/>
          <w:sz w:val="16"/>
          <w:szCs w:val="16"/>
          <w:color w:val="3B3C43"/>
        </w:rPr>
        <w:t xml:space="preserve">For additional details on the Company’s corporate governance practices, please see the section entitled </w:t>
      </w:r>
      <w:r>
        <w:rPr>
          <w:rFonts w:ascii="Arial" w:cs="Arial" w:eastAsia="Arial" w:hAnsi="Arial"/>
          <w:sz w:val="16"/>
          <w:szCs w:val="16"/>
          <w:i w:val="1"/>
          <w:iCs w:val="1"/>
          <w:color w:val="3B3C43"/>
        </w:rPr>
        <w:t>“</w:t>
      </w:r>
      <w:r>
        <w:rPr>
          <w:rFonts w:ascii="Arial" w:cs="Arial" w:eastAsia="Arial" w:hAnsi="Arial"/>
          <w:sz w:val="14"/>
          <w:szCs w:val="14"/>
          <w:i w:val="1"/>
          <w:iCs w:val="1"/>
          <w:color w:val="3B3C43"/>
        </w:rPr>
        <w:t>Corporate Governance:”</w:t>
      </w:r>
    </w:p>
    <w:p>
      <w:pPr>
        <w:spacing w:after="0" w:line="37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2506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50698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38"/>
          <w:szCs w:val="38"/>
          <w:color w:val="4B1F68"/>
        </w:rPr>
        <w:t>2020-2021 Shareholder Engagement Program</w:t>
      </w:r>
    </w:p>
    <w:p>
      <w:pPr>
        <w:spacing w:after="0" w:line="191"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3B3C43"/>
        </w:rPr>
        <w:t>Our relationship and ongoing dialogue with our shareholders is an important part of our Board’s corporate governance commitment. Members of our Board and senior management routinely engage with shareholders on a variety of topics and report to our Board regarding our shareholders’ feedback and input on topics such as strategic and financial performance, executive compensation, Board composition and governance, as well as important environmental and social issues. The constructive feedback and ideas exchanged during these engagements help our Board and management evaluate and assess key initiatives for the Company’s programs.</w:t>
      </w:r>
    </w:p>
    <w:p>
      <w:pPr>
        <w:spacing w:after="0" w:line="176"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3B3C43"/>
        </w:rPr>
        <w:t>For our 2020-2021 engagement, we contacted proxy advisory firms and our top shareholders representing approximately 42% of our Ordinary Shares outstanding. Management, and in some instances, our Environmental, Social, and Governance (“</w:t>
      </w:r>
      <w:r>
        <w:rPr>
          <w:rFonts w:ascii="Arial" w:cs="Arial" w:eastAsia="Arial" w:hAnsi="Arial"/>
          <w:sz w:val="16"/>
          <w:szCs w:val="16"/>
          <w:b w:val="1"/>
          <w:bCs w:val="1"/>
          <w:color w:val="3B3C43"/>
        </w:rPr>
        <w:t>ESG</w:t>
      </w:r>
      <w:r>
        <w:rPr>
          <w:rFonts w:ascii="Arial" w:cs="Arial" w:eastAsia="Arial" w:hAnsi="Arial"/>
          <w:sz w:val="16"/>
          <w:szCs w:val="16"/>
          <w:color w:val="3B3C43"/>
        </w:rPr>
        <w:t>”) Committee Chair, held meetings with proxy advisory firms and shareholders representing approximately 18% of our Ordinary Shares outstanding. Some shareholders did not require a meeting as they either supported, or indicated they had no questions related to, our compensation and governance practices.</w:t>
      </w:r>
    </w:p>
    <w:p>
      <w:pPr>
        <w:spacing w:after="0" w:line="175" w:lineRule="exact"/>
        <w:rPr>
          <w:sz w:val="20"/>
          <w:szCs w:val="20"/>
          <w:color w:val="auto"/>
        </w:rPr>
      </w:pPr>
    </w:p>
    <w:p>
      <w:pPr>
        <w:ind w:left="160" w:right="160"/>
        <w:spacing w:after="0" w:line="260" w:lineRule="auto"/>
        <w:rPr>
          <w:sz w:val="20"/>
          <w:szCs w:val="20"/>
          <w:color w:val="auto"/>
        </w:rPr>
      </w:pPr>
      <w:r>
        <w:rPr>
          <w:rFonts w:ascii="Arial" w:cs="Arial" w:eastAsia="Arial" w:hAnsi="Arial"/>
          <w:sz w:val="16"/>
          <w:szCs w:val="16"/>
          <w:color w:val="3B3C43"/>
        </w:rPr>
        <w:t>Our 2020-2021 shareholder engagement program allowed us to understand our shareholders’ priorities and perspectives, which prompted us to make several changes to our compensation program and to our disclosure philosophy.</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6"/>
          <w:szCs w:val="16"/>
          <w:color w:val="3B3C43"/>
        </w:rPr>
        <w:t xml:space="preserve">For detailed descriptions of key shareholder feedback received, and our responses to such feedback, please see the section entitled </w:t>
      </w:r>
      <w:r>
        <w:rPr>
          <w:rFonts w:ascii="Arial" w:cs="Arial" w:eastAsia="Arial" w:hAnsi="Arial"/>
          <w:sz w:val="16"/>
          <w:szCs w:val="16"/>
          <w:i w:val="1"/>
          <w:iCs w:val="1"/>
          <w:color w:val="3B3C43"/>
        </w:rPr>
        <w:t>“</w:t>
      </w:r>
      <w:r>
        <w:rPr>
          <w:rFonts w:ascii="Arial" w:cs="Arial" w:eastAsia="Arial" w:hAnsi="Arial"/>
          <w:sz w:val="14"/>
          <w:szCs w:val="14"/>
          <w:i w:val="1"/>
          <w:iCs w:val="1"/>
          <w:color w:val="3B3C43"/>
        </w:rPr>
        <w:t>Corporate</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3B3C43"/>
        </w:rPr>
        <w:t>Governance-Shareholder Engagement.”</w:t>
      </w:r>
    </w:p>
    <w:p>
      <w:pPr>
        <w:spacing w:after="0" w:line="35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315" w:right="5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9150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9150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38"/>
          <w:szCs w:val="38"/>
          <w:color w:val="4B1F68"/>
        </w:rPr>
        <w:t>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60" w:type="dxa"/>
        <w:tblCellMar>
          <w:top w:w="0" w:type="dxa"/>
          <w:left w:w="0" w:type="dxa"/>
          <w:bottom w:w="0" w:type="dxa"/>
          <w:right w:w="0" w:type="dxa"/>
        </w:tblCellMar>
      </w:tblPr>
      <w:tr>
        <w:trPr>
          <w:trHeight w:val="252"/>
        </w:trPr>
        <w:tc>
          <w:tcPr>
            <w:tcW w:w="3360" w:type="dxa"/>
            <w:vAlign w:val="bottom"/>
            <w:shd w:val="clear" w:color="auto" w:fill="E1E2E0"/>
          </w:tcPr>
          <w:p>
            <w:pPr>
              <w:ind w:left="80"/>
              <w:spacing w:after="0"/>
              <w:rPr>
                <w:sz w:val="20"/>
                <w:szCs w:val="20"/>
                <w:color w:val="auto"/>
              </w:rPr>
            </w:pPr>
            <w:r>
              <w:rPr>
                <w:rFonts w:ascii="Arial" w:cs="Arial" w:eastAsia="Arial" w:hAnsi="Arial"/>
                <w:sz w:val="20"/>
                <w:szCs w:val="20"/>
                <w:b w:val="1"/>
                <w:bCs w:val="1"/>
                <w:color w:val="4B1F68"/>
              </w:rPr>
              <w:t>Douglas J. Pferdehirt</w:t>
            </w:r>
          </w:p>
        </w:tc>
        <w:tc>
          <w:tcPr>
            <w:tcW w:w="2040" w:type="dxa"/>
            <w:vAlign w:val="bottom"/>
          </w:tcPr>
          <w:p>
            <w:pPr>
              <w:spacing w:after="0"/>
              <w:rPr>
                <w:sz w:val="21"/>
                <w:szCs w:val="21"/>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20"/>
                <w:szCs w:val="20"/>
                <w:b w:val="1"/>
                <w:bCs w:val="1"/>
                <w:color w:val="4B1F68"/>
              </w:rPr>
              <w:t>Eleazar de Carvalho Filho</w:t>
            </w:r>
          </w:p>
        </w:tc>
      </w:tr>
      <w:tr>
        <w:trPr>
          <w:trHeight w:val="189"/>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4B1F68"/>
              </w:rPr>
              <w:t>Chairman and CEO</w:t>
            </w:r>
          </w:p>
        </w:tc>
        <w:tc>
          <w:tcPr>
            <w:tcW w:w="2040" w:type="dxa"/>
            <w:vAlign w:val="bottom"/>
          </w:tcPr>
          <w:p>
            <w:pPr>
              <w:spacing w:after="0"/>
              <w:rPr>
                <w:sz w:val="16"/>
                <w:szCs w:val="16"/>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4B1F68"/>
              </w:rPr>
              <w:t>Independent</w:t>
            </w:r>
          </w:p>
        </w:tc>
      </w:tr>
      <w:tr>
        <w:trPr>
          <w:trHeight w:val="189"/>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Age</w:t>
            </w:r>
            <w:r>
              <w:rPr>
                <w:rFonts w:ascii="Arial" w:cs="Arial" w:eastAsia="Arial" w:hAnsi="Arial"/>
                <w:sz w:val="16"/>
                <w:szCs w:val="16"/>
                <w:color w:val="3B3C43"/>
              </w:rPr>
              <w:t>: 57</w:t>
            </w:r>
          </w:p>
        </w:tc>
        <w:tc>
          <w:tcPr>
            <w:tcW w:w="2040" w:type="dxa"/>
            <w:vAlign w:val="bottom"/>
          </w:tcPr>
          <w:p>
            <w:pPr>
              <w:spacing w:after="0"/>
              <w:rPr>
                <w:sz w:val="16"/>
                <w:szCs w:val="16"/>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Age</w:t>
            </w:r>
            <w:r>
              <w:rPr>
                <w:rFonts w:ascii="Arial" w:cs="Arial" w:eastAsia="Arial" w:hAnsi="Arial"/>
                <w:sz w:val="16"/>
                <w:szCs w:val="16"/>
                <w:color w:val="3B3C43"/>
              </w:rPr>
              <w:t>: 63</w:t>
            </w:r>
          </w:p>
        </w:tc>
      </w:tr>
      <w:tr>
        <w:trPr>
          <w:trHeight w:val="215"/>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6"/>
                <w:szCs w:val="16"/>
                <w:color w:val="3B3C43"/>
              </w:rPr>
              <w:t>: None</w:t>
            </w:r>
          </w:p>
        </w:tc>
        <w:tc>
          <w:tcPr>
            <w:tcW w:w="2040" w:type="dxa"/>
            <w:vAlign w:val="bottom"/>
          </w:tcPr>
          <w:p>
            <w:pPr>
              <w:spacing w:after="0"/>
              <w:rPr>
                <w:sz w:val="18"/>
                <w:szCs w:val="18"/>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6"/>
                <w:szCs w:val="16"/>
                <w:color w:val="3B3C43"/>
              </w:rPr>
              <w:t>: Audit</w:t>
            </w:r>
          </w:p>
        </w:tc>
      </w:tr>
      <w:tr>
        <w:trPr>
          <w:trHeight w:val="1005"/>
        </w:trPr>
        <w:tc>
          <w:tcPr>
            <w:tcW w:w="3360" w:type="dxa"/>
            <w:vAlign w:val="bottom"/>
            <w:shd w:val="clear" w:color="auto" w:fill="E1E2E0"/>
          </w:tcPr>
          <w:p>
            <w:pPr>
              <w:spacing w:after="0"/>
              <w:rPr>
                <w:sz w:val="24"/>
                <w:szCs w:val="24"/>
                <w:color w:val="auto"/>
              </w:rPr>
            </w:pPr>
          </w:p>
        </w:tc>
        <w:tc>
          <w:tcPr>
            <w:tcW w:w="2040" w:type="dxa"/>
            <w:vAlign w:val="bottom"/>
          </w:tcPr>
          <w:p>
            <w:pPr>
              <w:spacing w:after="0"/>
              <w:rPr>
                <w:sz w:val="24"/>
                <w:szCs w:val="24"/>
                <w:color w:val="auto"/>
              </w:rPr>
            </w:pPr>
          </w:p>
        </w:tc>
        <w:tc>
          <w:tcPr>
            <w:tcW w:w="3620" w:type="dxa"/>
            <w:vAlign w:val="bottom"/>
            <w:shd w:val="clear" w:color="auto" w:fill="E1E2E0"/>
          </w:tcPr>
          <w:p>
            <w:pPr>
              <w:spacing w:after="0"/>
              <w:rPr>
                <w:sz w:val="24"/>
                <w:szCs w:val="24"/>
                <w:color w:val="auto"/>
              </w:rPr>
            </w:pPr>
          </w:p>
        </w:tc>
      </w:tr>
    </w:tbl>
    <w:p>
      <w:pPr>
        <w:spacing w:after="0" w:line="257" w:lineRule="exact"/>
        <w:rPr>
          <w:sz w:val="20"/>
          <w:szCs w:val="20"/>
          <w:color w:val="auto"/>
        </w:rPr>
      </w:pPr>
    </w:p>
    <w:tbl>
      <w:tblPr>
        <w:tblLayout w:type="fixed"/>
        <w:tblInd w:w="2060" w:type="dxa"/>
        <w:tblCellMar>
          <w:top w:w="0" w:type="dxa"/>
          <w:left w:w="0" w:type="dxa"/>
          <w:bottom w:w="0" w:type="dxa"/>
          <w:right w:w="0" w:type="dxa"/>
        </w:tblCellMar>
      </w:tblPr>
      <w:tr>
        <w:trPr>
          <w:trHeight w:val="252"/>
        </w:trPr>
        <w:tc>
          <w:tcPr>
            <w:tcW w:w="3360" w:type="dxa"/>
            <w:vAlign w:val="bottom"/>
            <w:shd w:val="clear" w:color="auto" w:fill="E1E2E0"/>
          </w:tcPr>
          <w:p>
            <w:pPr>
              <w:ind w:left="80"/>
              <w:spacing w:after="0"/>
              <w:rPr>
                <w:sz w:val="20"/>
                <w:szCs w:val="20"/>
                <w:color w:val="auto"/>
              </w:rPr>
            </w:pPr>
            <w:r>
              <w:rPr>
                <w:rFonts w:ascii="Arial" w:cs="Arial" w:eastAsia="Arial" w:hAnsi="Arial"/>
                <w:sz w:val="20"/>
                <w:szCs w:val="20"/>
                <w:b w:val="1"/>
                <w:bCs w:val="1"/>
                <w:color w:val="4B1F68"/>
              </w:rPr>
              <w:t>Claire S. Farley</w:t>
            </w:r>
          </w:p>
        </w:tc>
        <w:tc>
          <w:tcPr>
            <w:tcW w:w="2040" w:type="dxa"/>
            <w:vAlign w:val="bottom"/>
          </w:tcPr>
          <w:p>
            <w:pPr>
              <w:spacing w:after="0"/>
              <w:rPr>
                <w:sz w:val="21"/>
                <w:szCs w:val="21"/>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20"/>
                <w:szCs w:val="20"/>
                <w:b w:val="1"/>
                <w:bCs w:val="1"/>
                <w:color w:val="4B1F68"/>
              </w:rPr>
              <w:t>Peter Mellbye</w:t>
            </w:r>
          </w:p>
        </w:tc>
      </w:tr>
      <w:tr>
        <w:trPr>
          <w:trHeight w:val="189"/>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4B1F68"/>
              </w:rPr>
              <w:t>Lead Independent Director</w:t>
            </w:r>
          </w:p>
        </w:tc>
        <w:tc>
          <w:tcPr>
            <w:tcW w:w="2040" w:type="dxa"/>
            <w:vAlign w:val="bottom"/>
          </w:tcPr>
          <w:p>
            <w:pPr>
              <w:spacing w:after="0"/>
              <w:rPr>
                <w:sz w:val="16"/>
                <w:szCs w:val="16"/>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4B1F68"/>
              </w:rPr>
              <w:t>Independent</w:t>
            </w:r>
          </w:p>
        </w:tc>
      </w:tr>
      <w:tr>
        <w:trPr>
          <w:trHeight w:val="189"/>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Age</w:t>
            </w:r>
            <w:r>
              <w:rPr>
                <w:rFonts w:ascii="Arial" w:cs="Arial" w:eastAsia="Arial" w:hAnsi="Arial"/>
                <w:sz w:val="16"/>
                <w:szCs w:val="16"/>
                <w:color w:val="3B3C43"/>
              </w:rPr>
              <w:t>: 62</w:t>
            </w:r>
          </w:p>
        </w:tc>
        <w:tc>
          <w:tcPr>
            <w:tcW w:w="2040" w:type="dxa"/>
            <w:vAlign w:val="bottom"/>
          </w:tcPr>
          <w:p>
            <w:pPr>
              <w:spacing w:after="0"/>
              <w:rPr>
                <w:sz w:val="16"/>
                <w:szCs w:val="16"/>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Age</w:t>
            </w:r>
            <w:r>
              <w:rPr>
                <w:rFonts w:ascii="Arial" w:cs="Arial" w:eastAsia="Arial" w:hAnsi="Arial"/>
                <w:sz w:val="16"/>
                <w:szCs w:val="16"/>
                <w:color w:val="3B3C43"/>
              </w:rPr>
              <w:t>: 71</w:t>
            </w:r>
          </w:p>
        </w:tc>
      </w:tr>
      <w:tr>
        <w:trPr>
          <w:trHeight w:val="215"/>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Compensation</w:t>
            </w:r>
          </w:p>
        </w:tc>
        <w:tc>
          <w:tcPr>
            <w:tcW w:w="2040" w:type="dxa"/>
            <w:vAlign w:val="bottom"/>
          </w:tcPr>
          <w:p>
            <w:pPr>
              <w:spacing w:after="0"/>
              <w:rPr>
                <w:sz w:val="18"/>
                <w:szCs w:val="18"/>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6"/>
                <w:szCs w:val="16"/>
                <w:color w:val="3B3C43"/>
              </w:rPr>
              <w:t>: ESG (Chair)</w:t>
            </w:r>
          </w:p>
        </w:tc>
      </w:tr>
      <w:tr>
        <w:trPr>
          <w:trHeight w:val="1005"/>
        </w:trPr>
        <w:tc>
          <w:tcPr>
            <w:tcW w:w="3360" w:type="dxa"/>
            <w:vAlign w:val="bottom"/>
            <w:shd w:val="clear" w:color="auto" w:fill="E1E2E0"/>
          </w:tcPr>
          <w:p>
            <w:pPr>
              <w:spacing w:after="0"/>
              <w:rPr>
                <w:sz w:val="24"/>
                <w:szCs w:val="24"/>
                <w:color w:val="auto"/>
              </w:rPr>
            </w:pPr>
          </w:p>
        </w:tc>
        <w:tc>
          <w:tcPr>
            <w:tcW w:w="2040" w:type="dxa"/>
            <w:vAlign w:val="bottom"/>
          </w:tcPr>
          <w:p>
            <w:pPr>
              <w:spacing w:after="0"/>
              <w:rPr>
                <w:sz w:val="24"/>
                <w:szCs w:val="24"/>
                <w:color w:val="auto"/>
              </w:rPr>
            </w:pPr>
          </w:p>
        </w:tc>
        <w:tc>
          <w:tcPr>
            <w:tcW w:w="3620" w:type="dxa"/>
            <w:vAlign w:val="bottom"/>
            <w:shd w:val="clear" w:color="auto" w:fill="E1E2E0"/>
          </w:tcPr>
          <w:p>
            <w:pPr>
              <w:spacing w:after="0"/>
              <w:rPr>
                <w:sz w:val="24"/>
                <w:szCs w:val="24"/>
                <w:color w:val="auto"/>
              </w:rPr>
            </w:pPr>
          </w:p>
        </w:tc>
      </w:tr>
    </w:tbl>
    <w:p>
      <w:pPr>
        <w:spacing w:after="0" w:line="256" w:lineRule="exact"/>
        <w:rPr>
          <w:sz w:val="20"/>
          <w:szCs w:val="20"/>
          <w:color w:val="auto"/>
        </w:rPr>
      </w:pPr>
    </w:p>
    <w:tbl>
      <w:tblPr>
        <w:tblLayout w:type="fixed"/>
        <w:tblInd w:w="2060" w:type="dxa"/>
        <w:tblCellMar>
          <w:top w:w="0" w:type="dxa"/>
          <w:left w:w="0" w:type="dxa"/>
          <w:bottom w:w="0" w:type="dxa"/>
          <w:right w:w="0" w:type="dxa"/>
        </w:tblCellMar>
      </w:tblPr>
      <w:tr>
        <w:trPr>
          <w:trHeight w:val="252"/>
        </w:trPr>
        <w:tc>
          <w:tcPr>
            <w:tcW w:w="3360" w:type="dxa"/>
            <w:vAlign w:val="bottom"/>
            <w:shd w:val="clear" w:color="auto" w:fill="E1E2E0"/>
          </w:tcPr>
          <w:p>
            <w:pPr>
              <w:ind w:left="80"/>
              <w:spacing w:after="0"/>
              <w:rPr>
                <w:sz w:val="20"/>
                <w:szCs w:val="20"/>
                <w:color w:val="auto"/>
              </w:rPr>
            </w:pPr>
            <w:r>
              <w:rPr>
                <w:rFonts w:ascii="Arial" w:cs="Arial" w:eastAsia="Arial" w:hAnsi="Arial"/>
                <w:sz w:val="20"/>
                <w:szCs w:val="20"/>
                <w:b w:val="1"/>
                <w:bCs w:val="1"/>
                <w:color w:val="4B1F68"/>
              </w:rPr>
              <w:t>John O’Leary</w:t>
            </w:r>
          </w:p>
        </w:tc>
        <w:tc>
          <w:tcPr>
            <w:tcW w:w="2040" w:type="dxa"/>
            <w:vAlign w:val="bottom"/>
          </w:tcPr>
          <w:p>
            <w:pPr>
              <w:spacing w:after="0"/>
              <w:rPr>
                <w:sz w:val="21"/>
                <w:szCs w:val="21"/>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20"/>
                <w:szCs w:val="20"/>
                <w:b w:val="1"/>
                <w:bCs w:val="1"/>
                <w:color w:val="4B1F68"/>
              </w:rPr>
              <w:t>Margareth Øvrum</w:t>
            </w:r>
          </w:p>
        </w:tc>
      </w:tr>
      <w:tr>
        <w:trPr>
          <w:trHeight w:val="189"/>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4B1F68"/>
              </w:rPr>
              <w:t>Independent</w:t>
            </w:r>
          </w:p>
        </w:tc>
        <w:tc>
          <w:tcPr>
            <w:tcW w:w="2040" w:type="dxa"/>
            <w:vAlign w:val="bottom"/>
          </w:tcPr>
          <w:p>
            <w:pPr>
              <w:spacing w:after="0"/>
              <w:rPr>
                <w:sz w:val="16"/>
                <w:szCs w:val="16"/>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4B1F68"/>
              </w:rPr>
              <w:t>Independent</w:t>
            </w:r>
          </w:p>
        </w:tc>
      </w:tr>
      <w:tr>
        <w:trPr>
          <w:trHeight w:val="189"/>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Age</w:t>
            </w:r>
            <w:r>
              <w:rPr>
                <w:rFonts w:ascii="Arial" w:cs="Arial" w:eastAsia="Arial" w:hAnsi="Arial"/>
                <w:sz w:val="16"/>
                <w:szCs w:val="16"/>
                <w:color w:val="3B3C43"/>
              </w:rPr>
              <w:t>: 65</w:t>
            </w:r>
          </w:p>
        </w:tc>
        <w:tc>
          <w:tcPr>
            <w:tcW w:w="2040" w:type="dxa"/>
            <w:vAlign w:val="bottom"/>
          </w:tcPr>
          <w:p>
            <w:pPr>
              <w:spacing w:after="0"/>
              <w:rPr>
                <w:sz w:val="16"/>
                <w:szCs w:val="16"/>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Age</w:t>
            </w:r>
            <w:r>
              <w:rPr>
                <w:rFonts w:ascii="Arial" w:cs="Arial" w:eastAsia="Arial" w:hAnsi="Arial"/>
                <w:sz w:val="16"/>
                <w:szCs w:val="16"/>
                <w:color w:val="3B3C43"/>
              </w:rPr>
              <w:t>: 62</w:t>
            </w:r>
          </w:p>
        </w:tc>
      </w:tr>
      <w:tr>
        <w:trPr>
          <w:trHeight w:val="215"/>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6"/>
                <w:szCs w:val="16"/>
                <w:color w:val="3B3C43"/>
              </w:rPr>
              <w:t>: Compensation</w:t>
            </w:r>
          </w:p>
        </w:tc>
        <w:tc>
          <w:tcPr>
            <w:tcW w:w="2040" w:type="dxa"/>
            <w:vAlign w:val="bottom"/>
          </w:tcPr>
          <w:p>
            <w:pPr>
              <w:spacing w:after="0"/>
              <w:rPr>
                <w:sz w:val="18"/>
                <w:szCs w:val="18"/>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6"/>
                <w:szCs w:val="16"/>
                <w:color w:val="3B3C43"/>
              </w:rPr>
              <w:t>: ESG</w:t>
            </w:r>
          </w:p>
        </w:tc>
      </w:tr>
      <w:tr>
        <w:trPr>
          <w:trHeight w:val="1005"/>
        </w:trPr>
        <w:tc>
          <w:tcPr>
            <w:tcW w:w="3360" w:type="dxa"/>
            <w:vAlign w:val="bottom"/>
            <w:shd w:val="clear" w:color="auto" w:fill="E1E2E0"/>
          </w:tcPr>
          <w:p>
            <w:pPr>
              <w:spacing w:after="0"/>
              <w:rPr>
                <w:sz w:val="24"/>
                <w:szCs w:val="24"/>
                <w:color w:val="auto"/>
              </w:rPr>
            </w:pPr>
          </w:p>
        </w:tc>
        <w:tc>
          <w:tcPr>
            <w:tcW w:w="2040" w:type="dxa"/>
            <w:vAlign w:val="bottom"/>
          </w:tcPr>
          <w:p>
            <w:pPr>
              <w:spacing w:after="0"/>
              <w:rPr>
                <w:sz w:val="24"/>
                <w:szCs w:val="24"/>
                <w:color w:val="auto"/>
              </w:rPr>
            </w:pPr>
          </w:p>
        </w:tc>
        <w:tc>
          <w:tcPr>
            <w:tcW w:w="3620" w:type="dxa"/>
            <w:vAlign w:val="bottom"/>
            <w:shd w:val="clear" w:color="auto" w:fill="E1E2E0"/>
          </w:tcPr>
          <w:p>
            <w:pPr>
              <w:spacing w:after="0"/>
              <w:rPr>
                <w:sz w:val="24"/>
                <w:szCs w:val="24"/>
                <w:color w:val="auto"/>
              </w:rPr>
            </w:pPr>
          </w:p>
        </w:tc>
      </w:tr>
    </w:tbl>
    <w:p>
      <w:pPr>
        <w:spacing w:after="0" w:line="256" w:lineRule="exact"/>
        <w:rPr>
          <w:sz w:val="20"/>
          <w:szCs w:val="20"/>
          <w:color w:val="auto"/>
        </w:rPr>
      </w:pPr>
    </w:p>
    <w:tbl>
      <w:tblPr>
        <w:tblLayout w:type="fixed"/>
        <w:tblInd w:w="2060" w:type="dxa"/>
        <w:tblCellMar>
          <w:top w:w="0" w:type="dxa"/>
          <w:left w:w="0" w:type="dxa"/>
          <w:bottom w:w="0" w:type="dxa"/>
          <w:right w:w="0" w:type="dxa"/>
        </w:tblCellMar>
      </w:tblPr>
      <w:tr>
        <w:trPr>
          <w:trHeight w:val="252"/>
        </w:trPr>
        <w:tc>
          <w:tcPr>
            <w:tcW w:w="3360" w:type="dxa"/>
            <w:vAlign w:val="bottom"/>
            <w:shd w:val="clear" w:color="auto" w:fill="E1E2E0"/>
          </w:tcPr>
          <w:p>
            <w:pPr>
              <w:ind w:left="80"/>
              <w:spacing w:after="0"/>
              <w:rPr>
                <w:sz w:val="20"/>
                <w:szCs w:val="20"/>
                <w:color w:val="auto"/>
              </w:rPr>
            </w:pPr>
            <w:r>
              <w:rPr>
                <w:rFonts w:ascii="Arial" w:cs="Arial" w:eastAsia="Arial" w:hAnsi="Arial"/>
                <w:sz w:val="20"/>
                <w:szCs w:val="20"/>
                <w:b w:val="1"/>
                <w:bCs w:val="1"/>
                <w:color w:val="4B1F68"/>
              </w:rPr>
              <w:t>Kay G. Priestly</w:t>
            </w:r>
          </w:p>
        </w:tc>
        <w:tc>
          <w:tcPr>
            <w:tcW w:w="2040" w:type="dxa"/>
            <w:vAlign w:val="bottom"/>
          </w:tcPr>
          <w:p>
            <w:pPr>
              <w:spacing w:after="0"/>
              <w:rPr>
                <w:sz w:val="21"/>
                <w:szCs w:val="21"/>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20"/>
                <w:szCs w:val="20"/>
                <w:b w:val="1"/>
                <w:bCs w:val="1"/>
                <w:color w:val="4B1F68"/>
              </w:rPr>
              <w:t>John Yearwood</w:t>
            </w:r>
          </w:p>
        </w:tc>
      </w:tr>
      <w:tr>
        <w:trPr>
          <w:trHeight w:val="189"/>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4B1F68"/>
              </w:rPr>
              <w:t>Independent</w:t>
            </w:r>
          </w:p>
        </w:tc>
        <w:tc>
          <w:tcPr>
            <w:tcW w:w="2040" w:type="dxa"/>
            <w:vAlign w:val="bottom"/>
          </w:tcPr>
          <w:p>
            <w:pPr>
              <w:spacing w:after="0"/>
              <w:rPr>
                <w:sz w:val="16"/>
                <w:szCs w:val="16"/>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4B1F68"/>
              </w:rPr>
              <w:t>Independent</w:t>
            </w:r>
          </w:p>
        </w:tc>
      </w:tr>
      <w:tr>
        <w:trPr>
          <w:trHeight w:val="189"/>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Age</w:t>
            </w:r>
            <w:r>
              <w:rPr>
                <w:rFonts w:ascii="Arial" w:cs="Arial" w:eastAsia="Arial" w:hAnsi="Arial"/>
                <w:sz w:val="16"/>
                <w:szCs w:val="16"/>
                <w:color w:val="3B3C43"/>
              </w:rPr>
              <w:t>: 65</w:t>
            </w:r>
          </w:p>
        </w:tc>
        <w:tc>
          <w:tcPr>
            <w:tcW w:w="2040" w:type="dxa"/>
            <w:vAlign w:val="bottom"/>
          </w:tcPr>
          <w:p>
            <w:pPr>
              <w:spacing w:after="0"/>
              <w:rPr>
                <w:sz w:val="16"/>
                <w:szCs w:val="16"/>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Age</w:t>
            </w:r>
            <w:r>
              <w:rPr>
                <w:rFonts w:ascii="Arial" w:cs="Arial" w:eastAsia="Arial" w:hAnsi="Arial"/>
                <w:sz w:val="16"/>
                <w:szCs w:val="16"/>
                <w:color w:val="3B3C43"/>
              </w:rPr>
              <w:t>: 61</w:t>
            </w:r>
          </w:p>
        </w:tc>
      </w:tr>
      <w:tr>
        <w:trPr>
          <w:trHeight w:val="215"/>
        </w:trPr>
        <w:tc>
          <w:tcPr>
            <w:tcW w:w="336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6"/>
                <w:szCs w:val="16"/>
                <w:color w:val="3B3C43"/>
              </w:rPr>
              <w:t>: Audit (Chair)</w:t>
            </w:r>
          </w:p>
        </w:tc>
        <w:tc>
          <w:tcPr>
            <w:tcW w:w="2040" w:type="dxa"/>
            <w:vAlign w:val="bottom"/>
          </w:tcPr>
          <w:p>
            <w:pPr>
              <w:spacing w:after="0"/>
              <w:rPr>
                <w:sz w:val="18"/>
                <w:szCs w:val="18"/>
                <w:color w:val="auto"/>
              </w:rPr>
            </w:pPr>
          </w:p>
        </w:tc>
        <w:tc>
          <w:tcPr>
            <w:tcW w:w="3620" w:type="dxa"/>
            <w:vAlign w:val="bottom"/>
            <w:shd w:val="clear" w:color="auto" w:fill="E1E2E0"/>
          </w:tcPr>
          <w:p>
            <w:pPr>
              <w:ind w:left="8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6"/>
                <w:szCs w:val="16"/>
                <w:color w:val="3B3C43"/>
              </w:rPr>
              <w:t>: Compensation, ESG</w:t>
            </w:r>
          </w:p>
        </w:tc>
      </w:tr>
      <w:tr>
        <w:trPr>
          <w:trHeight w:val="978"/>
        </w:trPr>
        <w:tc>
          <w:tcPr>
            <w:tcW w:w="3360" w:type="dxa"/>
            <w:vAlign w:val="bottom"/>
            <w:shd w:val="clear" w:color="auto" w:fill="E1E2E0"/>
          </w:tcPr>
          <w:p>
            <w:pPr>
              <w:spacing w:after="0"/>
              <w:rPr>
                <w:sz w:val="24"/>
                <w:szCs w:val="24"/>
                <w:color w:val="auto"/>
              </w:rPr>
            </w:pPr>
          </w:p>
        </w:tc>
        <w:tc>
          <w:tcPr>
            <w:tcW w:w="2040" w:type="dxa"/>
            <w:vAlign w:val="bottom"/>
          </w:tcPr>
          <w:p>
            <w:pPr>
              <w:spacing w:after="0"/>
              <w:rPr>
                <w:sz w:val="24"/>
                <w:szCs w:val="24"/>
                <w:color w:val="auto"/>
              </w:rPr>
            </w:pPr>
          </w:p>
        </w:tc>
        <w:tc>
          <w:tcPr>
            <w:tcW w:w="3620" w:type="dxa"/>
            <w:vAlign w:val="bottom"/>
            <w:shd w:val="clear" w:color="auto" w:fill="E1E2E0"/>
          </w:tcPr>
          <w:p>
            <w:pPr>
              <w:spacing w:after="0"/>
              <w:rPr>
                <w:sz w:val="24"/>
                <w:szCs w:val="24"/>
                <w:color w:val="auto"/>
              </w:rPr>
            </w:pPr>
          </w:p>
        </w:tc>
      </w:tr>
    </w:tbl>
    <w:p>
      <w:pPr>
        <w:spacing w:after="0" w:line="283"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4B1F68"/>
        </w:rPr>
        <w:t>Sophie Zurquiyah</w:t>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4B1F68"/>
        </w:rPr>
        <w:t>Independent</w:t>
      </w:r>
    </w:p>
    <w:p>
      <w:pPr>
        <w:spacing w:after="0" w:line="5"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3B3C43"/>
        </w:rPr>
        <w:t>Age</w:t>
      </w:r>
      <w:r>
        <w:rPr>
          <w:rFonts w:ascii="Arial" w:cs="Arial" w:eastAsia="Arial" w:hAnsi="Arial"/>
          <w:sz w:val="16"/>
          <w:szCs w:val="16"/>
          <w:color w:val="3B3C43"/>
        </w:rPr>
        <w:t>: 54</w:t>
      </w:r>
    </w:p>
    <w:p>
      <w:pPr>
        <w:spacing w:after="0" w:line="5"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6"/>
          <w:szCs w:val="16"/>
          <w:color w:val="3B3C43"/>
        </w:rPr>
        <w:t>: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Arial" w:cs="Arial" w:eastAsia="Arial" w:hAnsi="Arial"/>
          <w:sz w:val="16"/>
          <w:szCs w:val="16"/>
          <w:color w:val="3B3C43"/>
        </w:rPr>
        <w:t xml:space="preserve">Detailed biographies for each of our director nominees are disclosed in the section </w:t>
      </w:r>
      <w:r>
        <w:rPr>
          <w:rFonts w:ascii="Arial" w:cs="Arial" w:eastAsia="Arial" w:hAnsi="Arial"/>
          <w:sz w:val="16"/>
          <w:szCs w:val="16"/>
          <w:i w:val="1"/>
          <w:iCs w:val="1"/>
          <w:color w:val="3B3C43"/>
        </w:rPr>
        <w:t>“</w:t>
      </w:r>
      <w:r>
        <w:rPr>
          <w:rFonts w:ascii="Arial" w:cs="Arial" w:eastAsia="Arial" w:hAnsi="Arial"/>
          <w:sz w:val="14"/>
          <w:szCs w:val="14"/>
          <w:i w:val="1"/>
          <w:iCs w:val="1"/>
          <w:color w:val="3B3C43"/>
        </w:rPr>
        <w:t>Proposals 1(a) - 1(i) -Election of Directors-Director Nominees.</w:t>
      </w:r>
      <w:r>
        <w:rPr>
          <w:rFonts w:ascii="Arial" w:cs="Arial" w:eastAsia="Arial" w:hAnsi="Arial"/>
          <w:sz w:val="16"/>
          <w:szCs w:val="16"/>
          <w:i w:val="1"/>
          <w:iCs w:val="1"/>
          <w:color w:val="3B3C43"/>
        </w:rPr>
        <w:t>”</w:t>
      </w:r>
    </w:p>
    <w:p>
      <w:pPr>
        <w:spacing w:after="0" w:line="37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288" w:right="499" w:bottom="632"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4770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47701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38"/>
          <w:szCs w:val="38"/>
          <w:color w:val="4B1F68"/>
        </w:rPr>
        <w:t>2020 At-a-Glance</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FFFFFF"/>
        </w:rPr>
        <w:t>Response to a Difficult Operating Environment and COVID-19</w:t>
      </w:r>
    </w:p>
    <w:p>
      <w:pPr>
        <w:spacing w:after="0" w:line="299" w:lineRule="exact"/>
        <w:rPr>
          <w:sz w:val="20"/>
          <w:szCs w:val="20"/>
          <w:color w:val="auto"/>
        </w:rPr>
      </w:pPr>
    </w:p>
    <w:p>
      <w:pPr>
        <w:ind w:left="260"/>
        <w:spacing w:after="0" w:line="248" w:lineRule="auto"/>
        <w:rPr>
          <w:sz w:val="20"/>
          <w:szCs w:val="20"/>
          <w:color w:val="auto"/>
        </w:rPr>
      </w:pPr>
      <w:r>
        <w:rPr>
          <w:rFonts w:ascii="Arial" w:cs="Arial" w:eastAsia="Arial" w:hAnsi="Arial"/>
          <w:sz w:val="16"/>
          <w:szCs w:val="16"/>
          <w:color w:val="3B3C43"/>
        </w:rPr>
        <w:t>Beginning in the first quarter of 2020, we faced global challenges due to the COVID-19 pandemic and the unprecedented drop in demand for oil and gas. Supply chain disruptions, logistics constraints, and productivity declines all impacted our operations across the globe. Throughout our responses to these challenges, our top priority remained the physical and mental well-being of the women and men of TechnipFMC and the communities in which we work. The Company established a global Incident Management Team sponsored by our executive officers and including representatives from HSE, Security, People &amp; Culture, Legal, Communications, Finance, Medical, and major projects teams to assist in regularly updating our Board on COVID-19 impacts. Working together, we found solutions that allowed us to move projects forward safely while also earning recognition from our customers for the way in which we conducted business in such an unpredictable operating environment.</w:t>
      </w:r>
    </w:p>
    <w:p>
      <w:pPr>
        <w:spacing w:after="0" w:line="397" w:lineRule="exact"/>
        <w:rPr>
          <w:sz w:val="20"/>
          <w:szCs w:val="20"/>
          <w:color w:val="auto"/>
        </w:rPr>
      </w:pPr>
    </w:p>
    <w:p>
      <w:pPr>
        <w:ind w:left="260" w:right="280"/>
        <w:spacing w:after="0" w:line="251" w:lineRule="auto"/>
        <w:rPr>
          <w:sz w:val="20"/>
          <w:szCs w:val="20"/>
          <w:color w:val="auto"/>
        </w:rPr>
      </w:pPr>
      <w:r>
        <w:rPr>
          <w:rFonts w:ascii="Arial" w:cs="Arial" w:eastAsia="Arial" w:hAnsi="Arial"/>
          <w:sz w:val="16"/>
          <w:szCs w:val="16"/>
          <w:color w:val="3B3C43"/>
        </w:rPr>
        <w:t>Beyond operations, we took strategic actions focused on cash and liquidity preservation to bolster profitability and cash flow. We reduced capital outlays in the year through revisions to our dividend policy and high-grading of our capital expenditures on value-enhancing opportunities. We achieved more than $350 million in annualized run-rate cost savings. Finally, we revised executive compensation, effective May 1, 2020, to reflect a 30% reduction to the Chairman and CEO’s salary and the Board of Directors’ retainer and a 20% reduction to our other executive officers’ salaries.</w:t>
      </w:r>
    </w:p>
    <w:p>
      <w:pPr>
        <w:spacing w:after="0" w:line="389"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FFFFFF"/>
        </w:rPr>
        <w:t>Strategic Transaction</w:t>
      </w:r>
    </w:p>
    <w:p>
      <w:pPr>
        <w:spacing w:after="0" w:line="158" w:lineRule="exact"/>
        <w:rPr>
          <w:sz w:val="20"/>
          <w:szCs w:val="20"/>
          <w:color w:val="auto"/>
        </w:rPr>
      </w:pPr>
    </w:p>
    <w:p>
      <w:pPr>
        <w:ind w:left="260" w:right="520"/>
        <w:spacing w:after="0" w:line="286" w:lineRule="auto"/>
        <w:rPr>
          <w:sz w:val="20"/>
          <w:szCs w:val="20"/>
          <w:color w:val="auto"/>
        </w:rPr>
      </w:pPr>
      <w:r>
        <w:rPr>
          <w:rFonts w:ascii="Arial" w:cs="Arial" w:eastAsia="Arial" w:hAnsi="Arial"/>
          <w:sz w:val="16"/>
          <w:szCs w:val="16"/>
          <w:b w:val="1"/>
          <w:bCs w:val="1"/>
          <w:color w:val="3B3C43"/>
        </w:rPr>
        <w:t>Completed the separation of TechnipFMC into two industry-leading, pure-play companies through the Spin-off of Technip Energies on February 16, 2021 (the “Spin-off”)</w:t>
      </w:r>
    </w:p>
    <w:p>
      <w:pPr>
        <w:spacing w:after="0" w:line="39" w:lineRule="exact"/>
        <w:rPr>
          <w:sz w:val="20"/>
          <w:szCs w:val="20"/>
          <w:color w:val="auto"/>
        </w:rPr>
      </w:pPr>
    </w:p>
    <w:tbl>
      <w:tblPr>
        <w:tblLayout w:type="fixed"/>
        <w:tblInd w:w="160" w:type="dxa"/>
        <w:tblCellMar>
          <w:top w:w="0" w:type="dxa"/>
          <w:left w:w="0" w:type="dxa"/>
          <w:bottom w:w="0" w:type="dxa"/>
          <w:right w:w="0" w:type="dxa"/>
        </w:tblCellMar>
      </w:tblPr>
      <w:tr>
        <w:trPr>
          <w:trHeight w:val="291"/>
        </w:trPr>
        <w:tc>
          <w:tcPr>
            <w:tcW w:w="5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TechnipFMC</w:t>
            </w:r>
          </w:p>
        </w:tc>
        <w:tc>
          <w:tcPr>
            <w:tcW w:w="5560" w:type="dxa"/>
            <w:vAlign w:val="bottom"/>
          </w:tcPr>
          <w:p>
            <w:pPr>
              <w:ind w:left="100"/>
              <w:spacing w:after="0"/>
              <w:rPr>
                <w:sz w:val="20"/>
                <w:szCs w:val="20"/>
                <w:color w:val="auto"/>
              </w:rPr>
            </w:pPr>
            <w:r>
              <w:rPr>
                <w:rFonts w:ascii="Arial" w:cs="Arial" w:eastAsia="Arial" w:hAnsi="Arial"/>
                <w:sz w:val="16"/>
                <w:szCs w:val="16"/>
                <w:b w:val="1"/>
                <w:bCs w:val="1"/>
                <w:color w:val="3B3C43"/>
              </w:rPr>
              <w:t>Technip Energies</w:t>
            </w:r>
          </w:p>
        </w:tc>
        <w:tc>
          <w:tcPr>
            <w:tcW w:w="0" w:type="dxa"/>
            <w:vAlign w:val="bottom"/>
          </w:tcPr>
          <w:p>
            <w:pPr>
              <w:spacing w:after="0"/>
              <w:rPr>
                <w:sz w:val="1"/>
                <w:szCs w:val="1"/>
                <w:color w:val="auto"/>
              </w:rPr>
            </w:pPr>
          </w:p>
        </w:tc>
      </w:tr>
      <w:tr>
        <w:trPr>
          <w:trHeight w:val="73"/>
        </w:trPr>
        <w:tc>
          <w:tcPr>
            <w:tcW w:w="5360" w:type="dxa"/>
            <w:vAlign w:val="bottom"/>
            <w:shd w:val="clear" w:color="auto" w:fill="E1E1DF"/>
          </w:tcPr>
          <w:p>
            <w:pPr>
              <w:spacing w:after="0"/>
              <w:rPr>
                <w:sz w:val="6"/>
                <w:szCs w:val="6"/>
                <w:color w:val="auto"/>
              </w:rPr>
            </w:pPr>
          </w:p>
        </w:tc>
        <w:tc>
          <w:tcPr>
            <w:tcW w:w="5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536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Primarily comprising Subsea and Surface Technologies segments</w:t>
            </w:r>
          </w:p>
        </w:tc>
        <w:tc>
          <w:tcPr>
            <w:tcW w:w="556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Primarily comprising the Technip Energies segment</w:t>
            </w:r>
          </w:p>
        </w:tc>
        <w:tc>
          <w:tcPr>
            <w:tcW w:w="0" w:type="dxa"/>
            <w:vAlign w:val="bottom"/>
          </w:tcPr>
          <w:p>
            <w:pPr>
              <w:spacing w:after="0"/>
              <w:rPr>
                <w:sz w:val="1"/>
                <w:szCs w:val="1"/>
                <w:color w:val="auto"/>
              </w:rPr>
            </w:pPr>
          </w:p>
        </w:tc>
      </w:tr>
      <w:tr>
        <w:trPr>
          <w:trHeight w:val="270"/>
        </w:trPr>
        <w:tc>
          <w:tcPr>
            <w:tcW w:w="536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Listings: NYSE, Euronext Paris</w:t>
            </w:r>
          </w:p>
        </w:tc>
        <w:tc>
          <w:tcPr>
            <w:tcW w:w="556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Listing: Euronext Paris with Level 1 American depositary receipts</w:t>
            </w:r>
          </w:p>
        </w:tc>
        <w:tc>
          <w:tcPr>
            <w:tcW w:w="0" w:type="dxa"/>
            <w:vAlign w:val="bottom"/>
          </w:tcPr>
          <w:p>
            <w:pPr>
              <w:spacing w:after="0"/>
              <w:rPr>
                <w:sz w:val="1"/>
                <w:szCs w:val="1"/>
                <w:color w:val="auto"/>
              </w:rPr>
            </w:pPr>
          </w:p>
        </w:tc>
      </w:tr>
      <w:tr>
        <w:trPr>
          <w:trHeight w:val="55"/>
        </w:trPr>
        <w:tc>
          <w:tcPr>
            <w:tcW w:w="5360" w:type="dxa"/>
            <w:vAlign w:val="bottom"/>
            <w:shd w:val="clear" w:color="auto" w:fill="E1E1DF"/>
          </w:tcPr>
          <w:p>
            <w:pPr>
              <w:spacing w:after="0"/>
              <w:rPr>
                <w:sz w:val="4"/>
                <w:szCs w:val="4"/>
                <w:color w:val="auto"/>
              </w:rPr>
            </w:pPr>
          </w:p>
        </w:tc>
        <w:tc>
          <w:tcPr>
            <w:tcW w:w="5560" w:type="dxa"/>
            <w:vAlign w:val="bottom"/>
            <w:vMerge w:val="continue"/>
            <w:shd w:val="clear" w:color="auto" w:fill="E1E1DF"/>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36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HQ: Houston, Texas and Paris, France</w:t>
            </w:r>
          </w:p>
        </w:tc>
        <w:tc>
          <w:tcPr>
            <w:tcW w:w="5560" w:type="dxa"/>
            <w:vAlign w:val="bottom"/>
            <w:shd w:val="clear" w:color="auto" w:fill="E1E1DF"/>
          </w:tcPr>
          <w:p>
            <w:pPr>
              <w:ind w:left="280"/>
              <w:spacing w:after="0"/>
              <w:rPr>
                <w:sz w:val="20"/>
                <w:szCs w:val="20"/>
                <w:color w:val="auto"/>
              </w:rPr>
            </w:pPr>
            <w:r>
              <w:rPr>
                <w:rFonts w:ascii="Arial" w:cs="Arial" w:eastAsia="Arial" w:hAnsi="Arial"/>
                <w:sz w:val="16"/>
                <w:szCs w:val="16"/>
                <w:color w:val="3B3C43"/>
              </w:rPr>
              <w:t>(“</w:t>
            </w:r>
            <w:r>
              <w:rPr>
                <w:rFonts w:ascii="Arial" w:cs="Arial" w:eastAsia="Arial" w:hAnsi="Arial"/>
                <w:sz w:val="16"/>
                <w:szCs w:val="16"/>
                <w:b w:val="1"/>
                <w:bCs w:val="1"/>
                <w:color w:val="3B3C43"/>
              </w:rPr>
              <w:t>ADRs</w:t>
            </w:r>
            <w:r>
              <w:rPr>
                <w:rFonts w:ascii="Arial" w:cs="Arial" w:eastAsia="Arial" w:hAnsi="Arial"/>
                <w:sz w:val="16"/>
                <w:szCs w:val="16"/>
                <w:color w:val="3B3C43"/>
              </w:rPr>
              <w:t>”)</w:t>
            </w:r>
          </w:p>
        </w:tc>
        <w:tc>
          <w:tcPr>
            <w:tcW w:w="0" w:type="dxa"/>
            <w:vAlign w:val="bottom"/>
          </w:tcPr>
          <w:p>
            <w:pPr>
              <w:spacing w:after="0"/>
              <w:rPr>
                <w:sz w:val="1"/>
                <w:szCs w:val="1"/>
                <w:color w:val="auto"/>
              </w:rPr>
            </w:pPr>
          </w:p>
        </w:tc>
      </w:tr>
      <w:tr>
        <w:trPr>
          <w:trHeight w:val="284"/>
        </w:trPr>
        <w:tc>
          <w:tcPr>
            <w:tcW w:w="536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Domicile: United Kingdom</w:t>
            </w:r>
          </w:p>
        </w:tc>
        <w:tc>
          <w:tcPr>
            <w:tcW w:w="556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HQ: Paris, France</w:t>
            </w:r>
          </w:p>
        </w:tc>
        <w:tc>
          <w:tcPr>
            <w:tcW w:w="0" w:type="dxa"/>
            <w:vAlign w:val="bottom"/>
          </w:tcPr>
          <w:p>
            <w:pPr>
              <w:spacing w:after="0"/>
              <w:rPr>
                <w:sz w:val="1"/>
                <w:szCs w:val="1"/>
                <w:color w:val="auto"/>
              </w:rPr>
            </w:pPr>
          </w:p>
        </w:tc>
      </w:tr>
      <w:tr>
        <w:trPr>
          <w:trHeight w:val="270"/>
        </w:trPr>
        <w:tc>
          <w:tcPr>
            <w:tcW w:w="536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Employees: ~20,000</w:t>
            </w:r>
          </w:p>
        </w:tc>
        <w:tc>
          <w:tcPr>
            <w:tcW w:w="556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Domicile: Netherlands</w:t>
            </w:r>
          </w:p>
        </w:tc>
        <w:tc>
          <w:tcPr>
            <w:tcW w:w="0" w:type="dxa"/>
            <w:vAlign w:val="bottom"/>
          </w:tcPr>
          <w:p>
            <w:pPr>
              <w:spacing w:after="0"/>
              <w:rPr>
                <w:sz w:val="1"/>
                <w:szCs w:val="1"/>
                <w:color w:val="auto"/>
              </w:rPr>
            </w:pPr>
          </w:p>
        </w:tc>
      </w:tr>
      <w:tr>
        <w:trPr>
          <w:trHeight w:val="270"/>
        </w:trPr>
        <w:tc>
          <w:tcPr>
            <w:tcW w:w="5360" w:type="dxa"/>
            <w:vAlign w:val="bottom"/>
            <w:shd w:val="clear" w:color="auto" w:fill="E1E1DF"/>
          </w:tcPr>
          <w:p>
            <w:pPr>
              <w:spacing w:after="0"/>
              <w:rPr>
                <w:sz w:val="23"/>
                <w:szCs w:val="23"/>
                <w:color w:val="auto"/>
              </w:rPr>
            </w:pPr>
          </w:p>
        </w:tc>
        <w:tc>
          <w:tcPr>
            <w:tcW w:w="556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Employees: ~15,000</w:t>
            </w:r>
          </w:p>
        </w:tc>
        <w:tc>
          <w:tcPr>
            <w:tcW w:w="0" w:type="dxa"/>
            <w:vAlign w:val="bottom"/>
          </w:tcPr>
          <w:p>
            <w:pPr>
              <w:spacing w:after="0"/>
              <w:rPr>
                <w:sz w:val="1"/>
                <w:szCs w:val="1"/>
                <w:color w:val="auto"/>
              </w:rPr>
            </w:pPr>
          </w:p>
        </w:tc>
      </w:tr>
      <w:tr>
        <w:trPr>
          <w:trHeight w:val="168"/>
        </w:trPr>
        <w:tc>
          <w:tcPr>
            <w:tcW w:w="5360" w:type="dxa"/>
            <w:vAlign w:val="bottom"/>
            <w:shd w:val="clear" w:color="auto" w:fill="E1E1DF"/>
          </w:tcPr>
          <w:p>
            <w:pPr>
              <w:spacing w:after="0"/>
              <w:rPr>
                <w:sz w:val="14"/>
                <w:szCs w:val="14"/>
                <w:color w:val="auto"/>
              </w:rPr>
            </w:pPr>
          </w:p>
        </w:tc>
        <w:tc>
          <w:tcPr>
            <w:tcW w:w="5560" w:type="dxa"/>
            <w:vAlign w:val="bottom"/>
            <w:shd w:val="clear" w:color="auto" w:fill="E1E1DF"/>
          </w:tcPr>
          <w:p>
            <w:pPr>
              <w:spacing w:after="0"/>
              <w:rPr>
                <w:sz w:val="14"/>
                <w:szCs w:val="14"/>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37928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379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FFFFFF"/>
        </w:rPr>
        <w:t>ESG</w:t>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272"/>
        </w:trPr>
        <w:tc>
          <w:tcPr>
            <w:tcW w:w="4040" w:type="dxa"/>
            <w:vAlign w:val="bottom"/>
            <w:shd w:val="clear" w:color="auto" w:fill="E1E1DF"/>
          </w:tcPr>
          <w:p>
            <w:pPr>
              <w:ind w:left="100"/>
              <w:spacing w:after="0"/>
              <w:rPr>
                <w:sz w:val="20"/>
                <w:szCs w:val="20"/>
                <w:color w:val="auto"/>
              </w:rPr>
            </w:pPr>
            <w:r>
              <w:rPr>
                <w:rFonts w:ascii="Arial" w:cs="Arial" w:eastAsia="Arial" w:hAnsi="Arial"/>
                <w:sz w:val="18"/>
                <w:szCs w:val="18"/>
                <w:color w:val="auto"/>
              </w:rPr>
              <w:t>Appointed Margareth Øvrum and Sophie</w:t>
            </w:r>
          </w:p>
        </w:tc>
        <w:tc>
          <w:tcPr>
            <w:tcW w:w="6880" w:type="dxa"/>
            <w:vAlign w:val="bottom"/>
            <w:shd w:val="clear" w:color="auto" w:fill="E1E1DF"/>
          </w:tcPr>
          <w:p>
            <w:pPr>
              <w:ind w:left="7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Reduced the size of the Board from 15 to 10 directors upon the completion of the</w:t>
            </w:r>
          </w:p>
        </w:tc>
      </w:tr>
      <w:tr>
        <w:trPr>
          <w:trHeight w:val="228"/>
        </w:trPr>
        <w:tc>
          <w:tcPr>
            <w:tcW w:w="4040" w:type="dxa"/>
            <w:vAlign w:val="bottom"/>
            <w:shd w:val="clear" w:color="auto" w:fill="E1E1DF"/>
          </w:tcPr>
          <w:p>
            <w:pPr>
              <w:ind w:left="100"/>
              <w:spacing w:after="0"/>
              <w:rPr>
                <w:sz w:val="20"/>
                <w:szCs w:val="20"/>
                <w:color w:val="auto"/>
              </w:rPr>
            </w:pPr>
            <w:r>
              <w:rPr>
                <w:rFonts w:ascii="Arial" w:cs="Arial" w:eastAsia="Arial" w:hAnsi="Arial"/>
                <w:sz w:val="18"/>
                <w:szCs w:val="18"/>
                <w:color w:val="auto"/>
              </w:rPr>
              <w:t>Zurquiyah to the Board</w:t>
            </w:r>
          </w:p>
        </w:tc>
        <w:tc>
          <w:tcPr>
            <w:tcW w:w="6880" w:type="dxa"/>
            <w:vAlign w:val="bottom"/>
            <w:shd w:val="clear" w:color="auto" w:fill="E1E1DF"/>
          </w:tcPr>
          <w:p>
            <w:pPr>
              <w:ind w:left="900"/>
              <w:spacing w:after="0"/>
              <w:rPr>
                <w:sz w:val="20"/>
                <w:szCs w:val="20"/>
                <w:color w:val="auto"/>
              </w:rPr>
            </w:pPr>
            <w:r>
              <w:rPr>
                <w:rFonts w:ascii="Arial" w:cs="Arial" w:eastAsia="Arial" w:hAnsi="Arial"/>
                <w:sz w:val="16"/>
                <w:szCs w:val="16"/>
                <w:color w:val="3B3C43"/>
              </w:rPr>
              <w:t>Spin-off, which will be further reduced to nine directors at the Annual Meeting</w:t>
            </w:r>
          </w:p>
        </w:tc>
      </w:tr>
      <w:tr>
        <w:trPr>
          <w:trHeight w:val="339"/>
        </w:trPr>
        <w:tc>
          <w:tcPr>
            <w:tcW w:w="4040" w:type="dxa"/>
            <w:vAlign w:val="bottom"/>
            <w:shd w:val="clear" w:color="auto" w:fill="E1E1DF"/>
          </w:tcPr>
          <w:p>
            <w:pPr>
              <w:spacing w:after="0"/>
              <w:rPr>
                <w:sz w:val="24"/>
                <w:szCs w:val="24"/>
                <w:color w:val="auto"/>
              </w:rPr>
            </w:pPr>
          </w:p>
        </w:tc>
        <w:tc>
          <w:tcPr>
            <w:tcW w:w="6880" w:type="dxa"/>
            <w:vAlign w:val="bottom"/>
            <w:shd w:val="clear" w:color="auto" w:fill="E1E1DF"/>
          </w:tcPr>
          <w:p>
            <w:pPr>
              <w:ind w:left="7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Formed our ESG Committee to reflect expanded oversight duties and</w:t>
            </w:r>
          </w:p>
        </w:tc>
      </w:tr>
      <w:tr>
        <w:trPr>
          <w:trHeight w:val="195"/>
        </w:trPr>
        <w:tc>
          <w:tcPr>
            <w:tcW w:w="4040" w:type="dxa"/>
            <w:vAlign w:val="bottom"/>
            <w:shd w:val="clear" w:color="auto" w:fill="E1E1DF"/>
          </w:tcPr>
          <w:p>
            <w:pPr>
              <w:spacing w:after="0"/>
              <w:rPr>
                <w:sz w:val="16"/>
                <w:szCs w:val="16"/>
                <w:color w:val="auto"/>
              </w:rPr>
            </w:pPr>
          </w:p>
        </w:tc>
        <w:tc>
          <w:tcPr>
            <w:tcW w:w="6880" w:type="dxa"/>
            <w:vAlign w:val="bottom"/>
            <w:shd w:val="clear" w:color="auto" w:fill="E1E1DF"/>
          </w:tcPr>
          <w:p>
            <w:pPr>
              <w:ind w:left="900"/>
              <w:spacing w:after="0"/>
              <w:rPr>
                <w:sz w:val="20"/>
                <w:szCs w:val="20"/>
                <w:color w:val="auto"/>
              </w:rPr>
            </w:pPr>
            <w:r>
              <w:rPr>
                <w:rFonts w:ascii="Arial" w:cs="Arial" w:eastAsia="Arial" w:hAnsi="Arial"/>
                <w:sz w:val="16"/>
                <w:szCs w:val="16"/>
                <w:color w:val="3B3C43"/>
              </w:rPr>
              <w:t>commitment to ESG matters and reporting</w:t>
            </w:r>
          </w:p>
        </w:tc>
      </w:tr>
      <w:tr>
        <w:trPr>
          <w:trHeight w:val="372"/>
        </w:trPr>
        <w:tc>
          <w:tcPr>
            <w:tcW w:w="4040" w:type="dxa"/>
            <w:vAlign w:val="bottom"/>
            <w:shd w:val="clear" w:color="auto" w:fill="E1E1DF"/>
          </w:tcPr>
          <w:p>
            <w:pPr>
              <w:spacing w:after="0"/>
              <w:rPr>
                <w:sz w:val="24"/>
                <w:szCs w:val="24"/>
                <w:color w:val="auto"/>
              </w:rPr>
            </w:pPr>
          </w:p>
        </w:tc>
        <w:tc>
          <w:tcPr>
            <w:tcW w:w="6880" w:type="dxa"/>
            <w:vAlign w:val="bottom"/>
            <w:shd w:val="clear" w:color="auto" w:fill="E1E1DF"/>
          </w:tcPr>
          <w:p>
            <w:pPr>
              <w:ind w:left="7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Achieved all of our 2018-2020 ESG objectives, and announced our 2021-2023</w:t>
            </w:r>
          </w:p>
        </w:tc>
      </w:tr>
      <w:tr>
        <w:trPr>
          <w:trHeight w:val="189"/>
        </w:trPr>
        <w:tc>
          <w:tcPr>
            <w:tcW w:w="4040" w:type="dxa"/>
            <w:vAlign w:val="bottom"/>
            <w:shd w:val="clear" w:color="auto" w:fill="E1E1DF"/>
          </w:tcPr>
          <w:p>
            <w:pPr>
              <w:spacing w:after="0"/>
              <w:rPr>
                <w:sz w:val="16"/>
                <w:szCs w:val="16"/>
                <w:color w:val="auto"/>
              </w:rPr>
            </w:pPr>
          </w:p>
        </w:tc>
        <w:tc>
          <w:tcPr>
            <w:tcW w:w="6880" w:type="dxa"/>
            <w:vAlign w:val="bottom"/>
            <w:shd w:val="clear" w:color="auto" w:fill="E1E1DF"/>
          </w:tcPr>
          <w:p>
            <w:pPr>
              <w:ind w:left="900"/>
              <w:spacing w:after="0"/>
              <w:rPr>
                <w:sz w:val="20"/>
                <w:szCs w:val="20"/>
                <w:color w:val="auto"/>
              </w:rPr>
            </w:pPr>
            <w:r>
              <w:rPr>
                <w:rFonts w:ascii="Arial" w:cs="Arial" w:eastAsia="Arial" w:hAnsi="Arial"/>
                <w:sz w:val="16"/>
                <w:szCs w:val="16"/>
                <w:color w:val="3B3C43"/>
              </w:rPr>
              <w:t>ESG commitments and scorecard, including a “50 by 30” objective to reduce CO</w:t>
            </w:r>
            <w:r>
              <w:rPr>
                <w:rFonts w:ascii="Arial" w:cs="Arial" w:eastAsia="Arial" w:hAnsi="Arial"/>
                <w:sz w:val="13"/>
                <w:szCs w:val="13"/>
                <w:color w:val="3B3C43"/>
              </w:rPr>
              <w:t>2</w:t>
            </w:r>
          </w:p>
        </w:tc>
      </w:tr>
      <w:tr>
        <w:trPr>
          <w:trHeight w:val="195"/>
        </w:trPr>
        <w:tc>
          <w:tcPr>
            <w:tcW w:w="4040" w:type="dxa"/>
            <w:vAlign w:val="bottom"/>
            <w:shd w:val="clear" w:color="auto" w:fill="E1E1DF"/>
          </w:tcPr>
          <w:p>
            <w:pPr>
              <w:spacing w:after="0"/>
              <w:rPr>
                <w:sz w:val="16"/>
                <w:szCs w:val="16"/>
                <w:color w:val="auto"/>
              </w:rPr>
            </w:pPr>
          </w:p>
        </w:tc>
        <w:tc>
          <w:tcPr>
            <w:tcW w:w="6880" w:type="dxa"/>
            <w:vAlign w:val="bottom"/>
            <w:shd w:val="clear" w:color="auto" w:fill="E1E1DF"/>
          </w:tcPr>
          <w:p>
            <w:pPr>
              <w:ind w:left="900"/>
              <w:spacing w:after="0"/>
              <w:rPr>
                <w:sz w:val="20"/>
                <w:szCs w:val="20"/>
                <w:color w:val="auto"/>
              </w:rPr>
            </w:pPr>
            <w:r>
              <w:rPr>
                <w:rFonts w:ascii="Arial" w:cs="Arial" w:eastAsia="Arial" w:hAnsi="Arial"/>
                <w:sz w:val="16"/>
                <w:szCs w:val="16"/>
                <w:color w:val="3B3C43"/>
              </w:rPr>
              <w:t>emissions by 50% by 2030</w:t>
            </w:r>
          </w:p>
        </w:tc>
      </w:tr>
      <w:tr>
        <w:trPr>
          <w:trHeight w:val="378"/>
        </w:trPr>
        <w:tc>
          <w:tcPr>
            <w:tcW w:w="4040" w:type="dxa"/>
            <w:vAlign w:val="bottom"/>
            <w:shd w:val="clear" w:color="auto" w:fill="E1E1DF"/>
          </w:tcPr>
          <w:p>
            <w:pPr>
              <w:spacing w:after="0"/>
              <w:rPr>
                <w:sz w:val="24"/>
                <w:szCs w:val="24"/>
                <w:color w:val="auto"/>
              </w:rPr>
            </w:pPr>
          </w:p>
        </w:tc>
        <w:tc>
          <w:tcPr>
            <w:tcW w:w="6880" w:type="dxa"/>
            <w:vAlign w:val="bottom"/>
            <w:shd w:val="clear" w:color="auto" w:fill="E1E1DF"/>
          </w:tcPr>
          <w:p>
            <w:pPr>
              <w:ind w:left="7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Enhanced commitment to Inclusion and Diversity across the organization</w:t>
            </w:r>
          </w:p>
        </w:tc>
      </w:tr>
      <w:tr>
        <w:trPr>
          <w:trHeight w:val="372"/>
        </w:trPr>
        <w:tc>
          <w:tcPr>
            <w:tcW w:w="4040" w:type="dxa"/>
            <w:vAlign w:val="bottom"/>
            <w:shd w:val="clear" w:color="auto" w:fill="E1E1DF"/>
          </w:tcPr>
          <w:p>
            <w:pPr>
              <w:spacing w:after="0"/>
              <w:rPr>
                <w:sz w:val="24"/>
                <w:szCs w:val="24"/>
                <w:color w:val="auto"/>
              </w:rPr>
            </w:pPr>
          </w:p>
        </w:tc>
        <w:tc>
          <w:tcPr>
            <w:tcW w:w="6880" w:type="dxa"/>
            <w:vAlign w:val="bottom"/>
            <w:shd w:val="clear" w:color="auto" w:fill="E1E1DF"/>
          </w:tcPr>
          <w:p>
            <w:pPr>
              <w:ind w:left="7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For 2021, included an ESG metric in our annual cash incentive plan, to directly</w:t>
            </w:r>
          </w:p>
        </w:tc>
      </w:tr>
      <w:tr>
        <w:trPr>
          <w:trHeight w:val="187"/>
        </w:trPr>
        <w:tc>
          <w:tcPr>
            <w:tcW w:w="4040" w:type="dxa"/>
            <w:vAlign w:val="bottom"/>
            <w:shd w:val="clear" w:color="auto" w:fill="E1E1DF"/>
          </w:tcPr>
          <w:p>
            <w:pPr>
              <w:spacing w:after="0"/>
              <w:rPr>
                <w:sz w:val="16"/>
                <w:szCs w:val="16"/>
                <w:color w:val="auto"/>
              </w:rPr>
            </w:pPr>
          </w:p>
        </w:tc>
        <w:tc>
          <w:tcPr>
            <w:tcW w:w="6880" w:type="dxa"/>
            <w:vAlign w:val="bottom"/>
            <w:shd w:val="clear" w:color="auto" w:fill="E1E1DF"/>
          </w:tcPr>
          <w:p>
            <w:pPr>
              <w:ind w:left="900"/>
              <w:spacing w:after="0"/>
              <w:rPr>
                <w:sz w:val="20"/>
                <w:szCs w:val="20"/>
                <w:color w:val="auto"/>
              </w:rPr>
            </w:pPr>
            <w:r>
              <w:rPr>
                <w:rFonts w:ascii="Arial" w:cs="Arial" w:eastAsia="Arial" w:hAnsi="Arial"/>
                <w:sz w:val="16"/>
                <w:szCs w:val="16"/>
                <w:color w:val="3B3C43"/>
              </w:rPr>
              <w:t>link our compensation program to our ESG commitments and objectives</w:t>
            </w:r>
          </w:p>
        </w:tc>
      </w:tr>
      <w:tr>
        <w:trPr>
          <w:trHeight w:val="243"/>
        </w:trPr>
        <w:tc>
          <w:tcPr>
            <w:tcW w:w="4040" w:type="dxa"/>
            <w:vAlign w:val="bottom"/>
          </w:tcPr>
          <w:p>
            <w:pPr>
              <w:spacing w:after="0"/>
              <w:rPr>
                <w:sz w:val="21"/>
                <w:szCs w:val="21"/>
                <w:color w:val="auto"/>
              </w:rPr>
            </w:pPr>
          </w:p>
        </w:tc>
        <w:tc>
          <w:tcPr>
            <w:tcW w:w="6880" w:type="dxa"/>
            <w:vAlign w:val="bottom"/>
          </w:tcPr>
          <w:p>
            <w:pPr>
              <w:spacing w:after="0"/>
              <w:rPr>
                <w:sz w:val="21"/>
                <w:szCs w:val="21"/>
                <w:color w:val="auto"/>
              </w:rPr>
            </w:pPr>
          </w:p>
        </w:tc>
      </w:tr>
      <w:tr>
        <w:trPr>
          <w:trHeight w:val="328"/>
        </w:trPr>
        <w:tc>
          <w:tcPr>
            <w:tcW w:w="4040" w:type="dxa"/>
            <w:vAlign w:val="bottom"/>
            <w:shd w:val="clear" w:color="auto" w:fill="4A1F67"/>
          </w:tcPr>
          <w:p>
            <w:pPr>
              <w:ind w:left="120"/>
              <w:spacing w:after="0"/>
              <w:rPr>
                <w:sz w:val="20"/>
                <w:szCs w:val="20"/>
                <w:color w:val="auto"/>
              </w:rPr>
            </w:pPr>
            <w:r>
              <w:rPr>
                <w:rFonts w:ascii="Arial" w:cs="Arial" w:eastAsia="Arial" w:hAnsi="Arial"/>
                <w:sz w:val="20"/>
                <w:szCs w:val="20"/>
                <w:b w:val="1"/>
                <w:bCs w:val="1"/>
                <w:color w:val="FFFFFF"/>
              </w:rPr>
              <w:t>Compensation</w:t>
            </w:r>
          </w:p>
        </w:tc>
        <w:tc>
          <w:tcPr>
            <w:tcW w:w="6880" w:type="dxa"/>
            <w:vAlign w:val="bottom"/>
            <w:shd w:val="clear" w:color="auto" w:fill="4A1F67"/>
          </w:tcPr>
          <w:p>
            <w:pPr>
              <w:spacing w:after="0"/>
              <w:rPr>
                <w:sz w:val="24"/>
                <w:szCs w:val="24"/>
                <w:color w:val="auto"/>
              </w:rPr>
            </w:pPr>
          </w:p>
        </w:tc>
      </w:tr>
      <w:tr>
        <w:trPr>
          <w:trHeight w:val="77"/>
        </w:trPr>
        <w:tc>
          <w:tcPr>
            <w:tcW w:w="4040" w:type="dxa"/>
            <w:vAlign w:val="bottom"/>
            <w:shd w:val="clear" w:color="auto" w:fill="4A1F67"/>
          </w:tcPr>
          <w:p>
            <w:pPr>
              <w:spacing w:after="0"/>
              <w:rPr>
                <w:sz w:val="6"/>
                <w:szCs w:val="6"/>
                <w:color w:val="auto"/>
              </w:rPr>
            </w:pPr>
          </w:p>
        </w:tc>
        <w:tc>
          <w:tcPr>
            <w:tcW w:w="6880" w:type="dxa"/>
            <w:vAlign w:val="bottom"/>
            <w:shd w:val="clear" w:color="auto" w:fill="4A1F67"/>
          </w:tcPr>
          <w:p>
            <w:pPr>
              <w:spacing w:after="0"/>
              <w:rPr>
                <w:sz w:val="6"/>
                <w:szCs w:val="6"/>
                <w:color w:val="auto"/>
              </w:rPr>
            </w:pPr>
          </w:p>
        </w:tc>
      </w:tr>
    </w:tbl>
    <w:p>
      <w:pPr>
        <w:spacing w:after="0" w:line="191" w:lineRule="exact"/>
        <w:rPr>
          <w:sz w:val="20"/>
          <w:szCs w:val="20"/>
          <w:color w:val="auto"/>
        </w:rPr>
      </w:pPr>
    </w:p>
    <w:p>
      <w:pPr>
        <w:ind w:left="260" w:right="520"/>
        <w:spacing w:after="0" w:line="260" w:lineRule="auto"/>
        <w:rPr>
          <w:sz w:val="20"/>
          <w:szCs w:val="20"/>
          <w:color w:val="auto"/>
        </w:rPr>
      </w:pPr>
      <w:r>
        <w:rPr>
          <w:rFonts w:ascii="Arial" w:cs="Arial" w:eastAsia="Arial" w:hAnsi="Arial"/>
          <w:sz w:val="16"/>
          <w:szCs w:val="16"/>
          <w:color w:val="3B3C43"/>
        </w:rPr>
        <w:t>The COVID-19 impact on the Company triggered a need to adjust our compensation program, as we strived to achieve appropriate results in an exceptional year, and to reinforce the link between pay and performance alignment with the long-term interests of our shareholders.</w:t>
      </w:r>
    </w:p>
    <w:p>
      <w:pPr>
        <w:spacing w:after="0" w:line="148" w:lineRule="exact"/>
        <w:rPr>
          <w:sz w:val="20"/>
          <w:szCs w:val="20"/>
          <w:color w:val="auto"/>
        </w:rPr>
      </w:pPr>
    </w:p>
    <w:p>
      <w:pPr>
        <w:ind w:left="580" w:hanging="320"/>
        <w:spacing w:after="0"/>
        <w:tabs>
          <w:tab w:leader="none" w:pos="580" w:val="left"/>
        </w:tabs>
        <w:numPr>
          <w:ilvl w:val="0"/>
          <w:numId w:val="24"/>
        </w:numPr>
        <w:rPr>
          <w:rFonts w:ascii="Arial" w:cs="Arial" w:eastAsia="Arial" w:hAnsi="Arial"/>
          <w:sz w:val="16"/>
          <w:szCs w:val="16"/>
          <w:color w:val="4B1F68"/>
        </w:rPr>
      </w:pPr>
      <w:r>
        <w:rPr>
          <w:rFonts w:ascii="Arial" w:cs="Arial" w:eastAsia="Arial" w:hAnsi="Arial"/>
          <w:sz w:val="16"/>
          <w:szCs w:val="16"/>
          <w:b w:val="1"/>
          <w:bCs w:val="1"/>
          <w:color w:val="3B3C43"/>
        </w:rPr>
        <w:t>Reduced Chairman and CEO’s salary by 30% and other executives’ salaries by 20% for the remainder of 2020, effective May 1, 2020</w:t>
      </w:r>
    </w:p>
    <w:p>
      <w:pPr>
        <w:spacing w:after="0" w:line="25" w:lineRule="exact"/>
        <w:rPr>
          <w:rFonts w:ascii="Arial" w:cs="Arial" w:eastAsia="Arial" w:hAnsi="Arial"/>
          <w:sz w:val="16"/>
          <w:szCs w:val="16"/>
          <w:color w:val="4B1F68"/>
        </w:rPr>
      </w:pPr>
    </w:p>
    <w:p>
      <w:pPr>
        <w:ind w:left="580" w:hanging="320"/>
        <w:spacing w:after="0"/>
        <w:tabs>
          <w:tab w:leader="none" w:pos="580" w:val="left"/>
        </w:tabs>
        <w:numPr>
          <w:ilvl w:val="0"/>
          <w:numId w:val="24"/>
        </w:numPr>
        <w:rPr>
          <w:rFonts w:ascii="Arial" w:cs="Arial" w:eastAsia="Arial" w:hAnsi="Arial"/>
          <w:sz w:val="16"/>
          <w:szCs w:val="16"/>
          <w:color w:val="4B1F68"/>
        </w:rPr>
      </w:pPr>
      <w:r>
        <w:rPr>
          <w:rFonts w:ascii="Arial" w:cs="Arial" w:eastAsia="Arial" w:hAnsi="Arial"/>
          <w:sz w:val="16"/>
          <w:szCs w:val="16"/>
          <w:b w:val="1"/>
          <w:bCs w:val="1"/>
          <w:color w:val="3B3C43"/>
        </w:rPr>
        <w:t>Reduced directors’ annual cash retainers by 30% for the remainder of 2020, effective May 1, 2020</w:t>
      </w:r>
    </w:p>
    <w:p>
      <w:pPr>
        <w:spacing w:after="0" w:line="5" w:lineRule="exact"/>
        <w:rPr>
          <w:rFonts w:ascii="Arial" w:cs="Arial" w:eastAsia="Arial" w:hAnsi="Arial"/>
          <w:sz w:val="16"/>
          <w:szCs w:val="16"/>
          <w:color w:val="4B1F68"/>
        </w:rPr>
      </w:pPr>
    </w:p>
    <w:p>
      <w:pPr>
        <w:ind w:left="580" w:right="460" w:hanging="320"/>
        <w:spacing w:after="0" w:line="246" w:lineRule="auto"/>
        <w:tabs>
          <w:tab w:leader="none" w:pos="580" w:val="left"/>
        </w:tabs>
        <w:numPr>
          <w:ilvl w:val="0"/>
          <w:numId w:val="24"/>
        </w:numPr>
        <w:rPr>
          <w:rFonts w:ascii="Arial" w:cs="Arial" w:eastAsia="Arial" w:hAnsi="Arial"/>
          <w:sz w:val="16"/>
          <w:szCs w:val="16"/>
          <w:color w:val="4B1F68"/>
        </w:rPr>
      </w:pPr>
      <w:r>
        <w:rPr>
          <w:rFonts w:ascii="Arial" w:cs="Arial" w:eastAsia="Arial" w:hAnsi="Arial"/>
          <w:sz w:val="16"/>
          <w:szCs w:val="16"/>
          <w:b w:val="1"/>
          <w:bCs w:val="1"/>
          <w:color w:val="3B3C43"/>
        </w:rPr>
        <w:t>Adjusted 2020 annual incentive metrics for Q2-Q4 2020 to address strategic priorities due to the COVID-19 pandemic and business downturn and capped payout for business performance indicators at target (100%)</w:t>
      </w:r>
    </w:p>
    <w:p>
      <w:pPr>
        <w:ind w:left="580" w:right="260" w:hanging="320"/>
        <w:spacing w:after="0" w:line="260" w:lineRule="auto"/>
        <w:tabs>
          <w:tab w:leader="none" w:pos="580" w:val="left"/>
        </w:tabs>
        <w:numPr>
          <w:ilvl w:val="0"/>
          <w:numId w:val="24"/>
        </w:numPr>
        <w:rPr>
          <w:rFonts w:ascii="Arial" w:cs="Arial" w:eastAsia="Arial" w:hAnsi="Arial"/>
          <w:sz w:val="16"/>
          <w:szCs w:val="16"/>
          <w:color w:val="4B1F68"/>
        </w:rPr>
      </w:pPr>
      <w:r>
        <w:rPr>
          <w:rFonts w:ascii="Arial" w:cs="Arial" w:eastAsia="Arial" w:hAnsi="Arial"/>
          <w:sz w:val="16"/>
          <w:szCs w:val="16"/>
          <w:b w:val="1"/>
          <w:bCs w:val="1"/>
          <w:color w:val="3B3C43"/>
        </w:rPr>
        <w:t>Continued to include sustainability measures in the individual performance portion of our annual cash incentive plan to reinforce the Company’s commitment to our Foundational Beliefs while responding to the challenging business environment</w:t>
      </w:r>
    </w:p>
    <w:p>
      <w:pPr>
        <w:spacing w:after="0" w:line="33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4624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462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2020 Financials</w:t>
      </w:r>
      <w:r>
        <w:rPr>
          <w:rFonts w:ascii="Arial" w:cs="Arial" w:eastAsia="Arial" w:hAnsi="Arial"/>
          <w:sz w:val="26"/>
          <w:szCs w:val="26"/>
          <w:b w:val="1"/>
          <w:bCs w:val="1"/>
          <w:color w:val="FFFFFF"/>
          <w:vertAlign w:val="superscript"/>
        </w:rPr>
        <w:t>1</w:t>
      </w:r>
    </w:p>
    <w:p>
      <w:pPr>
        <w:spacing w:after="0" w:line="21" w:lineRule="exact"/>
        <w:rPr>
          <w:sz w:val="20"/>
          <w:szCs w:val="20"/>
          <w:color w:val="auto"/>
        </w:rPr>
      </w:pPr>
    </w:p>
    <w:tbl>
      <w:tblPr>
        <w:tblLayout w:type="fixed"/>
        <w:tblInd w:w="340" w:type="dxa"/>
        <w:tblCellMar>
          <w:top w:w="0" w:type="dxa"/>
          <w:left w:w="0" w:type="dxa"/>
          <w:bottom w:w="0" w:type="dxa"/>
          <w:right w:w="0" w:type="dxa"/>
        </w:tblCellMar>
      </w:tblPr>
      <w:tr>
        <w:trPr>
          <w:trHeight w:val="582"/>
        </w:trPr>
        <w:tc>
          <w:tcPr>
            <w:tcW w:w="3440" w:type="dxa"/>
            <w:vAlign w:val="bottom"/>
          </w:tcPr>
          <w:p>
            <w:pPr>
              <w:ind w:left="520"/>
              <w:spacing w:after="0"/>
              <w:rPr>
                <w:sz w:val="20"/>
                <w:szCs w:val="20"/>
                <w:color w:val="auto"/>
              </w:rPr>
            </w:pPr>
            <w:r>
              <w:rPr>
                <w:rFonts w:ascii="Arial" w:cs="Arial" w:eastAsia="Arial" w:hAnsi="Arial"/>
                <w:sz w:val="16"/>
                <w:szCs w:val="16"/>
                <w:b w:val="1"/>
                <w:bCs w:val="1"/>
                <w:color w:val="4B1F68"/>
              </w:rPr>
              <w:t>Subsea</w:t>
            </w:r>
          </w:p>
        </w:tc>
        <w:tc>
          <w:tcPr>
            <w:tcW w:w="3920" w:type="dxa"/>
            <w:vAlign w:val="bottom"/>
            <w:shd w:val="clear" w:color="auto" w:fill="E1E1DF"/>
          </w:tcPr>
          <w:p>
            <w:pPr>
              <w:ind w:left="840"/>
              <w:spacing w:after="0"/>
              <w:rPr>
                <w:sz w:val="20"/>
                <w:szCs w:val="20"/>
                <w:color w:val="auto"/>
              </w:rPr>
            </w:pPr>
            <w:r>
              <w:rPr>
                <w:rFonts w:ascii="Arial" w:cs="Arial" w:eastAsia="Arial" w:hAnsi="Arial"/>
                <w:sz w:val="16"/>
                <w:szCs w:val="16"/>
                <w:b w:val="1"/>
                <w:bCs w:val="1"/>
                <w:color w:val="4B1F68"/>
              </w:rPr>
              <w:t>Technip Energies</w:t>
            </w:r>
          </w:p>
        </w:tc>
        <w:tc>
          <w:tcPr>
            <w:tcW w:w="3380" w:type="dxa"/>
            <w:vAlign w:val="bottom"/>
            <w:shd w:val="clear" w:color="auto" w:fill="E1E1DF"/>
          </w:tcPr>
          <w:p>
            <w:pPr>
              <w:ind w:left="540"/>
              <w:spacing w:after="0"/>
              <w:rPr>
                <w:sz w:val="20"/>
                <w:szCs w:val="20"/>
                <w:color w:val="auto"/>
              </w:rPr>
            </w:pPr>
            <w:r>
              <w:rPr>
                <w:rFonts w:ascii="Arial" w:cs="Arial" w:eastAsia="Arial" w:hAnsi="Arial"/>
                <w:sz w:val="16"/>
                <w:szCs w:val="16"/>
                <w:b w:val="1"/>
                <w:bCs w:val="1"/>
                <w:color w:val="4B1F68"/>
              </w:rPr>
              <w:t>Surface Technologies</w:t>
            </w:r>
          </w:p>
        </w:tc>
        <w:tc>
          <w:tcPr>
            <w:tcW w:w="0" w:type="dxa"/>
            <w:vAlign w:val="bottom"/>
          </w:tcPr>
          <w:p>
            <w:pPr>
              <w:spacing w:after="0"/>
              <w:rPr>
                <w:sz w:val="1"/>
                <w:szCs w:val="1"/>
                <w:color w:val="auto"/>
              </w:rPr>
            </w:pPr>
          </w:p>
        </w:tc>
      </w:tr>
      <w:tr>
        <w:trPr>
          <w:trHeight w:val="467"/>
        </w:trPr>
        <w:tc>
          <w:tcPr>
            <w:tcW w:w="3440" w:type="dxa"/>
            <w:vAlign w:val="bottom"/>
          </w:tcPr>
          <w:p>
            <w:pPr>
              <w:spacing w:after="0"/>
              <w:rPr>
                <w:sz w:val="20"/>
                <w:szCs w:val="20"/>
                <w:color w:val="auto"/>
              </w:rPr>
            </w:pPr>
            <w:r>
              <w:rPr>
                <w:rFonts w:ascii="Arial" w:cs="Arial" w:eastAsia="Arial" w:hAnsi="Arial"/>
                <w:sz w:val="16"/>
                <w:szCs w:val="16"/>
                <w:b w:val="1"/>
                <w:bCs w:val="1"/>
                <w:color w:val="3B3C43"/>
              </w:rPr>
              <w:t>Results</w:t>
            </w:r>
          </w:p>
        </w:tc>
        <w:tc>
          <w:tcPr>
            <w:tcW w:w="3920" w:type="dxa"/>
            <w:vAlign w:val="bottom"/>
            <w:shd w:val="clear" w:color="auto" w:fill="E1E1DF"/>
          </w:tcPr>
          <w:p>
            <w:pPr>
              <w:ind w:left="180"/>
              <w:spacing w:after="0"/>
              <w:rPr>
                <w:sz w:val="20"/>
                <w:szCs w:val="20"/>
                <w:color w:val="auto"/>
              </w:rPr>
            </w:pPr>
            <w:r>
              <w:rPr>
                <w:rFonts w:ascii="Arial" w:cs="Arial" w:eastAsia="Arial" w:hAnsi="Arial"/>
                <w:sz w:val="16"/>
                <w:szCs w:val="16"/>
                <w:b w:val="1"/>
                <w:bCs w:val="1"/>
                <w:color w:val="3B3C43"/>
              </w:rPr>
              <w:t>Results</w:t>
            </w:r>
          </w:p>
        </w:tc>
        <w:tc>
          <w:tcPr>
            <w:tcW w:w="3380" w:type="dxa"/>
            <w:vAlign w:val="bottom"/>
            <w:shd w:val="clear" w:color="auto" w:fill="E1E1DF"/>
          </w:tcPr>
          <w:p>
            <w:pPr>
              <w:ind w:left="200"/>
              <w:spacing w:after="0"/>
              <w:rPr>
                <w:sz w:val="20"/>
                <w:szCs w:val="20"/>
                <w:color w:val="auto"/>
              </w:rPr>
            </w:pPr>
            <w:r>
              <w:rPr>
                <w:rFonts w:ascii="Arial" w:cs="Arial" w:eastAsia="Arial" w:hAnsi="Arial"/>
                <w:sz w:val="16"/>
                <w:szCs w:val="16"/>
                <w:b w:val="1"/>
                <w:bCs w:val="1"/>
                <w:color w:val="3B3C43"/>
              </w:rPr>
              <w:t>Results</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Inbound orders of $4 billion, supported by</w:t>
            </w:r>
          </w:p>
        </w:tc>
        <w:tc>
          <w:tcPr>
            <w:tcW w:w="3920" w:type="dxa"/>
            <w:vAlign w:val="bottom"/>
            <w:shd w:val="clear" w:color="auto" w:fill="E1E1DF"/>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Second consecutive year of revenue growth,</w:t>
            </w:r>
          </w:p>
        </w:tc>
        <w:tc>
          <w:tcPr>
            <w:tcW w:w="3380" w:type="dxa"/>
            <w:vAlign w:val="bottom"/>
            <w:shd w:val="clear" w:color="auto" w:fill="E1E1DF"/>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International revenue more than 60% of</w:t>
            </w:r>
          </w:p>
        </w:tc>
        <w:tc>
          <w:tcPr>
            <w:tcW w:w="0" w:type="dxa"/>
            <w:vAlign w:val="bottom"/>
          </w:tcPr>
          <w:p>
            <w:pPr>
              <w:spacing w:after="0"/>
              <w:rPr>
                <w:sz w:val="1"/>
                <w:szCs w:val="1"/>
                <w:color w:val="auto"/>
              </w:rPr>
            </w:pPr>
          </w:p>
        </w:tc>
      </w:tr>
      <w:tr>
        <w:trPr>
          <w:trHeight w:val="189"/>
        </w:trPr>
        <w:tc>
          <w:tcPr>
            <w:tcW w:w="3440" w:type="dxa"/>
            <w:vAlign w:val="bottom"/>
          </w:tcPr>
          <w:p>
            <w:pPr>
              <w:ind w:left="200"/>
              <w:spacing w:after="0"/>
              <w:rPr>
                <w:sz w:val="20"/>
                <w:szCs w:val="20"/>
                <w:color w:val="auto"/>
              </w:rPr>
            </w:pPr>
            <w:r>
              <w:rPr>
                <w:rFonts w:ascii="Arial" w:cs="Arial" w:eastAsia="Arial" w:hAnsi="Arial"/>
                <w:sz w:val="16"/>
                <w:szCs w:val="16"/>
                <w:color w:val="3B3C43"/>
              </w:rPr>
              <w:t>higher mix of service and small project</w:t>
            </w:r>
          </w:p>
        </w:tc>
        <w:tc>
          <w:tcPr>
            <w:tcW w:w="3920" w:type="dxa"/>
            <w:vAlign w:val="bottom"/>
            <w:shd w:val="clear" w:color="auto" w:fill="E1E1DF"/>
          </w:tcPr>
          <w:p>
            <w:pPr>
              <w:ind w:left="380"/>
              <w:spacing w:after="0"/>
              <w:rPr>
                <w:sz w:val="20"/>
                <w:szCs w:val="20"/>
                <w:color w:val="auto"/>
              </w:rPr>
            </w:pPr>
            <w:r>
              <w:rPr>
                <w:rFonts w:ascii="Arial" w:cs="Arial" w:eastAsia="Arial" w:hAnsi="Arial"/>
                <w:sz w:val="16"/>
                <w:szCs w:val="16"/>
                <w:color w:val="3B3C43"/>
              </w:rPr>
              <w:t>driven by LNG and downstream projects</w:t>
            </w:r>
          </w:p>
        </w:tc>
        <w:tc>
          <w:tcPr>
            <w:tcW w:w="3380" w:type="dxa"/>
            <w:vAlign w:val="bottom"/>
            <w:shd w:val="clear" w:color="auto" w:fill="E1E1DF"/>
          </w:tcPr>
          <w:p>
            <w:pPr>
              <w:ind w:left="380"/>
              <w:spacing w:after="0"/>
              <w:rPr>
                <w:sz w:val="20"/>
                <w:szCs w:val="20"/>
                <w:color w:val="auto"/>
              </w:rPr>
            </w:pPr>
            <w:r>
              <w:rPr>
                <w:rFonts w:ascii="Arial" w:cs="Arial" w:eastAsia="Arial" w:hAnsi="Arial"/>
                <w:sz w:val="16"/>
                <w:szCs w:val="16"/>
                <w:color w:val="3B3C43"/>
              </w:rPr>
              <w:t>total segment, with increased revenue in</w:t>
            </w:r>
          </w:p>
        </w:tc>
        <w:tc>
          <w:tcPr>
            <w:tcW w:w="0" w:type="dxa"/>
            <w:vAlign w:val="bottom"/>
          </w:tcPr>
          <w:p>
            <w:pPr>
              <w:spacing w:after="0"/>
              <w:rPr>
                <w:sz w:val="1"/>
                <w:szCs w:val="1"/>
                <w:color w:val="auto"/>
              </w:rPr>
            </w:pPr>
          </w:p>
        </w:tc>
      </w:tr>
      <w:tr>
        <w:trPr>
          <w:trHeight w:val="195"/>
        </w:trPr>
        <w:tc>
          <w:tcPr>
            <w:tcW w:w="3440" w:type="dxa"/>
            <w:vAlign w:val="bottom"/>
          </w:tcPr>
          <w:p>
            <w:pPr>
              <w:ind w:left="200"/>
              <w:spacing w:after="0"/>
              <w:rPr>
                <w:sz w:val="20"/>
                <w:szCs w:val="20"/>
                <w:color w:val="auto"/>
              </w:rPr>
            </w:pPr>
            <w:r>
              <w:rPr>
                <w:rFonts w:ascii="Arial" w:cs="Arial" w:eastAsia="Arial" w:hAnsi="Arial"/>
                <w:sz w:val="16"/>
                <w:szCs w:val="16"/>
                <w:color w:val="3B3C43"/>
              </w:rPr>
              <w:t>activity</w:t>
            </w:r>
          </w:p>
        </w:tc>
        <w:tc>
          <w:tcPr>
            <w:tcW w:w="3920" w:type="dxa"/>
            <w:vAlign w:val="bottom"/>
            <w:vMerge w:val="restart"/>
            <w:shd w:val="clear" w:color="auto" w:fill="E1E1DF"/>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Approximately 60% of total order backlog linked</w:t>
            </w:r>
          </w:p>
        </w:tc>
        <w:tc>
          <w:tcPr>
            <w:tcW w:w="3380" w:type="dxa"/>
            <w:vAlign w:val="bottom"/>
            <w:shd w:val="clear" w:color="auto" w:fill="E1E1DF"/>
          </w:tcPr>
          <w:p>
            <w:pPr>
              <w:ind w:left="380"/>
              <w:spacing w:after="0"/>
              <w:rPr>
                <w:sz w:val="20"/>
                <w:szCs w:val="20"/>
                <w:color w:val="auto"/>
              </w:rPr>
            </w:pPr>
            <w:r>
              <w:rPr>
                <w:rFonts w:ascii="Arial" w:cs="Arial" w:eastAsia="Arial" w:hAnsi="Arial"/>
                <w:sz w:val="16"/>
                <w:szCs w:val="16"/>
                <w:color w:val="3B3C43"/>
              </w:rPr>
              <w:t>technology- driven businesses</w:t>
            </w: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3920" w:type="dxa"/>
            <w:vAlign w:val="bottom"/>
            <w:vMerge w:val="continue"/>
            <w:shd w:val="clear" w:color="auto" w:fill="E1E1DF"/>
          </w:tcPr>
          <w:p>
            <w:pPr>
              <w:spacing w:after="0"/>
              <w:rPr>
                <w:sz w:val="15"/>
                <w:szCs w:val="15"/>
                <w:color w:val="auto"/>
              </w:rPr>
            </w:pPr>
          </w:p>
        </w:tc>
        <w:tc>
          <w:tcPr>
            <w:tcW w:w="3380" w:type="dxa"/>
            <w:vAlign w:val="bottom"/>
            <w:shd w:val="clear" w:color="auto" w:fill="E1E1D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Additional integrated awards all from repeat</w:t>
            </w:r>
          </w:p>
        </w:tc>
        <w:tc>
          <w:tcPr>
            <w:tcW w:w="3920" w:type="dxa"/>
            <w:vAlign w:val="bottom"/>
            <w:shd w:val="clear" w:color="auto" w:fill="E1E1DF"/>
          </w:tcPr>
          <w:p>
            <w:pPr>
              <w:ind w:left="380"/>
              <w:spacing w:after="0"/>
              <w:rPr>
                <w:sz w:val="20"/>
                <w:szCs w:val="20"/>
                <w:color w:val="auto"/>
              </w:rPr>
            </w:pPr>
            <w:r>
              <w:rPr>
                <w:rFonts w:ascii="Arial" w:cs="Arial" w:eastAsia="Arial" w:hAnsi="Arial"/>
                <w:sz w:val="16"/>
                <w:szCs w:val="16"/>
                <w:color w:val="3B3C43"/>
              </w:rPr>
              <w:t>to energy transition, including LNG</w:t>
            </w:r>
          </w:p>
        </w:tc>
        <w:tc>
          <w:tcPr>
            <w:tcW w:w="3380" w:type="dxa"/>
            <w:vAlign w:val="bottom"/>
            <w:shd w:val="clear" w:color="auto" w:fill="E1E1DF"/>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Significant decline in North America</w:t>
            </w:r>
          </w:p>
        </w:tc>
        <w:tc>
          <w:tcPr>
            <w:tcW w:w="0" w:type="dxa"/>
            <w:vAlign w:val="bottom"/>
          </w:tcPr>
          <w:p>
            <w:pPr>
              <w:spacing w:after="0"/>
              <w:rPr>
                <w:sz w:val="1"/>
                <w:szCs w:val="1"/>
                <w:color w:val="auto"/>
              </w:rPr>
            </w:pPr>
          </w:p>
        </w:tc>
      </w:tr>
      <w:tr>
        <w:trPr>
          <w:trHeight w:val="189"/>
        </w:trPr>
        <w:tc>
          <w:tcPr>
            <w:tcW w:w="3440" w:type="dxa"/>
            <w:vAlign w:val="bottom"/>
          </w:tcPr>
          <w:p>
            <w:pPr>
              <w:ind w:left="200"/>
              <w:spacing w:after="0"/>
              <w:rPr>
                <w:sz w:val="20"/>
                <w:szCs w:val="20"/>
                <w:color w:val="auto"/>
              </w:rPr>
            </w:pPr>
            <w:r>
              <w:rPr>
                <w:rFonts w:ascii="Arial" w:cs="Arial" w:eastAsia="Arial" w:hAnsi="Arial"/>
                <w:sz w:val="16"/>
                <w:szCs w:val="16"/>
                <w:color w:val="3B3C43"/>
              </w:rPr>
              <w:t>iEPCI™ customers</w:t>
            </w:r>
          </w:p>
        </w:tc>
        <w:tc>
          <w:tcPr>
            <w:tcW w:w="3920" w:type="dxa"/>
            <w:vAlign w:val="bottom"/>
            <w:shd w:val="clear" w:color="auto" w:fill="E1E1DF"/>
          </w:tcPr>
          <w:p>
            <w:pPr>
              <w:spacing w:after="0"/>
              <w:rPr>
                <w:sz w:val="16"/>
                <w:szCs w:val="16"/>
                <w:color w:val="auto"/>
              </w:rPr>
            </w:pPr>
          </w:p>
        </w:tc>
        <w:tc>
          <w:tcPr>
            <w:tcW w:w="3380" w:type="dxa"/>
            <w:vAlign w:val="bottom"/>
            <w:shd w:val="clear" w:color="auto" w:fill="E1E1DF"/>
          </w:tcPr>
          <w:p>
            <w:pPr>
              <w:ind w:left="380"/>
              <w:spacing w:after="0"/>
              <w:rPr>
                <w:sz w:val="20"/>
                <w:szCs w:val="20"/>
                <w:color w:val="auto"/>
              </w:rPr>
            </w:pPr>
            <w:r>
              <w:rPr>
                <w:rFonts w:ascii="Arial" w:cs="Arial" w:eastAsia="Arial" w:hAnsi="Arial"/>
                <w:sz w:val="16"/>
                <w:szCs w:val="16"/>
                <w:color w:val="3B3C43"/>
              </w:rPr>
              <w:t>market activity partially mitigated by</w:t>
            </w:r>
          </w:p>
        </w:tc>
        <w:tc>
          <w:tcPr>
            <w:tcW w:w="0" w:type="dxa"/>
            <w:vAlign w:val="bottom"/>
          </w:tcPr>
          <w:p>
            <w:pPr>
              <w:spacing w:after="0"/>
              <w:rPr>
                <w:sz w:val="1"/>
                <w:szCs w:val="1"/>
                <w:color w:val="auto"/>
              </w:rPr>
            </w:pPr>
          </w:p>
        </w:tc>
      </w:tr>
      <w:tr>
        <w:trPr>
          <w:trHeight w:val="195"/>
        </w:trPr>
        <w:tc>
          <w:tcPr>
            <w:tcW w:w="3440" w:type="dxa"/>
            <w:vAlign w:val="bottom"/>
            <w:vMerge w:val="restart"/>
          </w:tcPr>
          <w:p>
            <w:pPr>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Backlog of $6.9 billion</w:t>
            </w:r>
          </w:p>
        </w:tc>
        <w:tc>
          <w:tcPr>
            <w:tcW w:w="3920" w:type="dxa"/>
            <w:vAlign w:val="bottom"/>
            <w:shd w:val="clear" w:color="auto" w:fill="E1E1DF"/>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Backlog of $14.1 billion</w:t>
            </w:r>
          </w:p>
        </w:tc>
        <w:tc>
          <w:tcPr>
            <w:tcW w:w="3380" w:type="dxa"/>
            <w:vAlign w:val="bottom"/>
            <w:shd w:val="clear" w:color="auto" w:fill="E1E1DF"/>
          </w:tcPr>
          <w:p>
            <w:pPr>
              <w:ind w:left="380"/>
              <w:spacing w:after="0"/>
              <w:rPr>
                <w:sz w:val="20"/>
                <w:szCs w:val="20"/>
                <w:color w:val="auto"/>
              </w:rPr>
            </w:pPr>
            <w:r>
              <w:rPr>
                <w:rFonts w:ascii="Arial" w:cs="Arial" w:eastAsia="Arial" w:hAnsi="Arial"/>
                <w:sz w:val="16"/>
                <w:szCs w:val="16"/>
                <w:color w:val="3B3C43"/>
              </w:rPr>
              <w:t>aggressive cost reduction</w:t>
            </w:r>
          </w:p>
        </w:tc>
        <w:tc>
          <w:tcPr>
            <w:tcW w:w="0" w:type="dxa"/>
            <w:vAlign w:val="bottom"/>
          </w:tcPr>
          <w:p>
            <w:pPr>
              <w:spacing w:after="0"/>
              <w:rPr>
                <w:sz w:val="1"/>
                <w:szCs w:val="1"/>
                <w:color w:val="auto"/>
              </w:rPr>
            </w:pPr>
          </w:p>
        </w:tc>
      </w:tr>
      <w:tr>
        <w:trPr>
          <w:trHeight w:val="189"/>
        </w:trPr>
        <w:tc>
          <w:tcPr>
            <w:tcW w:w="3440" w:type="dxa"/>
            <w:vAlign w:val="bottom"/>
            <w:vMerge w:val="continue"/>
          </w:tcPr>
          <w:p>
            <w:pPr>
              <w:spacing w:after="0"/>
              <w:rPr>
                <w:sz w:val="16"/>
                <w:szCs w:val="16"/>
                <w:color w:val="auto"/>
              </w:rPr>
            </w:pPr>
          </w:p>
        </w:tc>
        <w:tc>
          <w:tcPr>
            <w:tcW w:w="3920" w:type="dxa"/>
            <w:vAlign w:val="bottom"/>
            <w:shd w:val="clear" w:color="auto" w:fill="E1E1DF"/>
          </w:tcPr>
          <w:p>
            <w:pPr>
              <w:spacing w:after="0"/>
              <w:rPr>
                <w:sz w:val="16"/>
                <w:szCs w:val="16"/>
                <w:color w:val="auto"/>
              </w:rPr>
            </w:pPr>
          </w:p>
        </w:tc>
        <w:tc>
          <w:tcPr>
            <w:tcW w:w="3380" w:type="dxa"/>
            <w:vAlign w:val="bottom"/>
            <w:vMerge w:val="restart"/>
            <w:shd w:val="clear" w:color="auto" w:fill="E1E1DF"/>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Backlog of $0.4 billion</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3920" w:type="dxa"/>
            <w:vAlign w:val="bottom"/>
            <w:shd w:val="clear" w:color="auto" w:fill="E1E1DF"/>
          </w:tcPr>
          <w:p>
            <w:pPr>
              <w:spacing w:after="0"/>
              <w:rPr>
                <w:sz w:val="16"/>
                <w:szCs w:val="16"/>
                <w:color w:val="auto"/>
              </w:rPr>
            </w:pPr>
          </w:p>
        </w:tc>
        <w:tc>
          <w:tcPr>
            <w:tcW w:w="3380" w:type="dxa"/>
            <w:vAlign w:val="bottom"/>
            <w:vMerge w:val="continue"/>
            <w:shd w:val="clear" w:color="auto" w:fill="E1E1DF"/>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440" w:type="dxa"/>
            <w:vAlign w:val="bottom"/>
          </w:tcPr>
          <w:p>
            <w:pPr>
              <w:spacing w:after="0"/>
              <w:rPr>
                <w:sz w:val="6"/>
                <w:szCs w:val="6"/>
                <w:color w:val="auto"/>
              </w:rPr>
            </w:pPr>
          </w:p>
        </w:tc>
        <w:tc>
          <w:tcPr>
            <w:tcW w:w="3920" w:type="dxa"/>
            <w:vAlign w:val="bottom"/>
            <w:shd w:val="clear" w:color="auto" w:fill="E1E1DF"/>
          </w:tcPr>
          <w:p>
            <w:pPr>
              <w:spacing w:after="0"/>
              <w:rPr>
                <w:sz w:val="6"/>
                <w:szCs w:val="6"/>
                <w:color w:val="auto"/>
              </w:rPr>
            </w:pPr>
          </w:p>
        </w:tc>
        <w:tc>
          <w:tcPr>
            <w:tcW w:w="338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4"/>
          <w:szCs w:val="14"/>
          <w:color w:val="3B3C43"/>
        </w:rPr>
      </w:pPr>
      <w:r>
        <w:rPr>
          <w:rFonts w:ascii="Arial" w:cs="Arial" w:eastAsia="Arial" w:hAnsi="Arial"/>
          <w:sz w:val="14"/>
          <w:szCs w:val="14"/>
          <w:color w:val="3B3C43"/>
        </w:rPr>
        <w:t>Reported financial results for the twelve months ended December 31, 2020 and inbound and backlog as of December 31, 2020 are as reported in our Form 10-K.</w:t>
      </w:r>
    </w:p>
    <w:p>
      <w:pPr>
        <w:spacing w:after="0" w:line="187" w:lineRule="exact"/>
        <w:rPr>
          <w:sz w:val="20"/>
          <w:szCs w:val="20"/>
          <w:color w:val="auto"/>
        </w:rPr>
      </w:pPr>
    </w:p>
    <w:p>
      <w:pPr>
        <w:ind w:left="160" w:right="1040"/>
        <w:spacing w:after="0" w:line="260" w:lineRule="auto"/>
        <w:rPr>
          <w:sz w:val="20"/>
          <w:szCs w:val="20"/>
          <w:color w:val="auto"/>
        </w:rPr>
      </w:pPr>
      <w:r>
        <w:rPr>
          <w:rFonts w:ascii="Arial" w:cs="Arial" w:eastAsia="Arial" w:hAnsi="Arial"/>
          <w:sz w:val="16"/>
          <w:szCs w:val="16"/>
          <w:color w:val="3B3C43"/>
        </w:rPr>
        <w:t>The record inbound orders and solid execution of 2019 gave us strong momentum into the new year, but 2020 abruptly shifted to a year of unprecedented global challenges due to the COVID-19 pandemic and the sharp drop in demand for oil and natural gas.</w:t>
      </w:r>
    </w:p>
    <w:p>
      <w:pPr>
        <w:spacing w:after="0" w:line="168" w:lineRule="exact"/>
        <w:rPr>
          <w:sz w:val="20"/>
          <w:szCs w:val="20"/>
          <w:color w:val="auto"/>
        </w:rPr>
      </w:pPr>
    </w:p>
    <w:p>
      <w:pPr>
        <w:jc w:val="both"/>
        <w:ind w:left="160" w:right="120"/>
        <w:spacing w:after="0" w:line="253" w:lineRule="auto"/>
        <w:rPr>
          <w:sz w:val="20"/>
          <w:szCs w:val="20"/>
          <w:color w:val="auto"/>
        </w:rPr>
      </w:pPr>
      <w:r>
        <w:rPr>
          <w:rFonts w:ascii="Arial" w:cs="Arial" w:eastAsia="Arial" w:hAnsi="Arial"/>
          <w:sz w:val="16"/>
          <w:szCs w:val="16"/>
          <w:color w:val="3B3C43"/>
        </w:rPr>
        <w:t>Revenue decreased by $358.5 million in 2020 compared to 2019, primarily driven by decreased project activity in Subsea and sharply lower demand in North America for Surface Technologies. The decrease was partially offset by the increased activity in Technip Energies, including the continued ramp-up of Arctic LNG 2.</w:t>
      </w:r>
    </w:p>
    <w:p>
      <w:pPr>
        <w:spacing w:after="0" w:line="174" w:lineRule="exact"/>
        <w:rPr>
          <w:sz w:val="20"/>
          <w:szCs w:val="20"/>
          <w:color w:val="auto"/>
        </w:rPr>
      </w:pPr>
    </w:p>
    <w:p>
      <w:pPr>
        <w:ind w:left="160" w:right="240"/>
        <w:spacing w:after="0" w:line="251" w:lineRule="auto"/>
        <w:rPr>
          <w:sz w:val="20"/>
          <w:szCs w:val="20"/>
          <w:color w:val="auto"/>
        </w:rPr>
      </w:pPr>
      <w:r>
        <w:rPr>
          <w:rFonts w:ascii="Arial" w:cs="Arial" w:eastAsia="Arial" w:hAnsi="Arial"/>
          <w:sz w:val="16"/>
          <w:szCs w:val="16"/>
          <w:color w:val="3B3C43"/>
        </w:rPr>
        <w:t>Operating results in the year were largely impacted by significant impairment and other non-recurring charges totaling $3,501.3 million, most of which were included in Subsea and Surface Technologies. Results were also impacted by a reduced contribution from Yamal LNG and lower margin realization on early stage projects in Technip Energies versus the prior year. Results included the benefits of our accelerated cost reduction actions initiated in the first quarter of 2020.</w:t>
      </w:r>
    </w:p>
    <w:p>
      <w:pPr>
        <w:spacing w:after="0" w:line="175" w:lineRule="exact"/>
        <w:rPr>
          <w:sz w:val="20"/>
          <w:szCs w:val="20"/>
          <w:color w:val="auto"/>
        </w:rPr>
      </w:pPr>
    </w:p>
    <w:p>
      <w:pPr>
        <w:ind w:left="160" w:right="20"/>
        <w:spacing w:after="0" w:line="260" w:lineRule="auto"/>
        <w:rPr>
          <w:sz w:val="20"/>
          <w:szCs w:val="20"/>
          <w:color w:val="auto"/>
        </w:rPr>
      </w:pPr>
      <w:r>
        <w:rPr>
          <w:rFonts w:ascii="Arial" w:cs="Arial" w:eastAsia="Arial" w:hAnsi="Arial"/>
          <w:sz w:val="16"/>
          <w:szCs w:val="16"/>
          <w:color w:val="3B3C43"/>
        </w:rPr>
        <w:t>The significant decline in commodity prices, due in part to the lower demand resulting from COVID-19, contributed to the decrease in the inbound orders during 2020. The decline in backlog was more modest, with our significant backlog providing solid revenue visibility in future periods.</w:t>
      </w:r>
    </w:p>
    <w:p>
      <w:pPr>
        <w:spacing w:after="0" w:line="152" w:lineRule="exact"/>
        <w:rPr>
          <w:sz w:val="20"/>
          <w:szCs w:val="20"/>
          <w:color w:val="auto"/>
        </w:rPr>
      </w:pPr>
    </w:p>
    <w:p>
      <w:pPr>
        <w:ind w:left="160" w:right="580"/>
        <w:spacing w:after="0" w:line="281" w:lineRule="auto"/>
        <w:rPr>
          <w:sz w:val="20"/>
          <w:szCs w:val="20"/>
          <w:color w:val="auto"/>
        </w:rPr>
      </w:pPr>
      <w:r>
        <w:rPr>
          <w:rFonts w:ascii="Arial" w:cs="Arial" w:eastAsia="Arial" w:hAnsi="Arial"/>
          <w:sz w:val="16"/>
          <w:szCs w:val="16"/>
          <w:color w:val="3B3C43"/>
        </w:rPr>
        <w:t xml:space="preserve">For additional details regarding the Company’s 2020 financial performance, please see the section entitled </w:t>
      </w:r>
      <w:r>
        <w:rPr>
          <w:rFonts w:ascii="Arial" w:cs="Arial" w:eastAsia="Arial" w:hAnsi="Arial"/>
          <w:sz w:val="16"/>
          <w:szCs w:val="16"/>
          <w:i w:val="1"/>
          <w:iCs w:val="1"/>
          <w:color w:val="3B3C43"/>
        </w:rPr>
        <w:t>“</w:t>
      </w:r>
      <w:r>
        <w:rPr>
          <w:rFonts w:ascii="Arial" w:cs="Arial" w:eastAsia="Arial" w:hAnsi="Arial"/>
          <w:sz w:val="14"/>
          <w:szCs w:val="14"/>
          <w:i w:val="1"/>
          <w:iCs w:val="1"/>
          <w:color w:val="3B3C43"/>
        </w:rPr>
        <w:t>Executive Compensation Discussion and</w:t>
      </w:r>
      <w:r>
        <w:rPr>
          <w:rFonts w:ascii="Arial" w:cs="Arial" w:eastAsia="Arial" w:hAnsi="Arial"/>
          <w:sz w:val="16"/>
          <w:szCs w:val="16"/>
          <w:color w:val="3B3C43"/>
        </w:rPr>
        <w:t xml:space="preserve"> </w:t>
      </w:r>
      <w:r>
        <w:rPr>
          <w:rFonts w:ascii="Arial" w:cs="Arial" w:eastAsia="Arial" w:hAnsi="Arial"/>
          <w:sz w:val="14"/>
          <w:szCs w:val="14"/>
          <w:i w:val="1"/>
          <w:iCs w:val="1"/>
          <w:color w:val="3B3C43"/>
        </w:rPr>
        <w:t>Analysis-2020 Performance and Impact on Executive Compensation</w:t>
      </w:r>
      <w:r>
        <w:rPr>
          <w:rFonts w:ascii="Arial" w:cs="Arial" w:eastAsia="Arial" w:hAnsi="Arial"/>
          <w:sz w:val="16"/>
          <w:szCs w:val="16"/>
          <w:i w:val="1"/>
          <w:iCs w:val="1"/>
          <w:color w:val="3B3C43"/>
        </w:rPr>
        <w:t>.”</w:t>
      </w:r>
    </w:p>
    <w:p>
      <w:pPr>
        <w:spacing w:after="0" w:line="31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87052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8705215"/>
                    </a:xfrm>
                    <a:prstGeom prst="rect">
                      <a:avLst/>
                    </a:prstGeom>
                    <a:noFill/>
                  </pic:spPr>
                </pic:pic>
              </a:graphicData>
            </a:graphic>
          </wp:anchor>
        </w:drawing>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38"/>
          <w:szCs w:val="38"/>
          <w:color w:val="4B1F68"/>
        </w:rPr>
        <w:t>Executive Compensation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3B3C43"/>
        </w:rPr>
        <w:t>Our named executive officers (“</w:t>
      </w:r>
      <w:r>
        <w:rPr>
          <w:rFonts w:ascii="Arial" w:cs="Arial" w:eastAsia="Arial" w:hAnsi="Arial"/>
          <w:sz w:val="16"/>
          <w:szCs w:val="16"/>
          <w:b w:val="1"/>
          <w:bCs w:val="1"/>
          <w:color w:val="3B3C43"/>
        </w:rPr>
        <w:t>NEOs</w:t>
      </w:r>
      <w:r>
        <w:rPr>
          <w:rFonts w:ascii="Arial" w:cs="Arial" w:eastAsia="Arial" w:hAnsi="Arial"/>
          <w:sz w:val="16"/>
          <w:szCs w:val="16"/>
          <w:color w:val="3B3C43"/>
        </w:rPr>
        <w:t>”) for 2020 are:</w:t>
      </w:r>
    </w:p>
    <w:p>
      <w:pPr>
        <w:spacing w:after="0" w:line="340"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4B1F68"/>
        </w:rPr>
        <w:t>Douglas J. Pferdehirt</w:t>
      </w:r>
    </w:p>
    <w:p>
      <w:pPr>
        <w:spacing w:after="0" w:line="50"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3B3C43"/>
        </w:rPr>
        <w:t>Age: 57</w:t>
      </w:r>
    </w:p>
    <w:p>
      <w:pPr>
        <w:spacing w:after="0" w:line="5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3B3C43"/>
        </w:rPr>
        <w:t>Position Held in 2020:</w:t>
      </w:r>
    </w:p>
    <w:p>
      <w:pPr>
        <w:spacing w:after="0" w:line="79" w:lineRule="exact"/>
        <w:rPr>
          <w:sz w:val="20"/>
          <w:szCs w:val="20"/>
          <w:color w:val="auto"/>
        </w:rPr>
      </w:pPr>
    </w:p>
    <w:p>
      <w:pPr>
        <w:ind w:left="2160"/>
        <w:spacing w:after="0"/>
        <w:rPr>
          <w:sz w:val="20"/>
          <w:szCs w:val="20"/>
          <w:color w:val="auto"/>
        </w:rPr>
      </w:pPr>
      <w:r>
        <w:rPr>
          <w:rFonts w:ascii="Arial" w:cs="Arial" w:eastAsia="Arial" w:hAnsi="Arial"/>
          <w:sz w:val="16"/>
          <w:szCs w:val="16"/>
          <w:color w:val="3B3C43"/>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4B1F68"/>
        </w:rPr>
        <w:t>Maryann T. Mannen</w:t>
      </w:r>
    </w:p>
    <w:p>
      <w:pPr>
        <w:spacing w:after="0" w:line="50"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3B3C43"/>
        </w:rPr>
        <w:t>Age: 58</w:t>
      </w:r>
    </w:p>
    <w:p>
      <w:pPr>
        <w:spacing w:after="0" w:line="5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3B3C43"/>
        </w:rPr>
        <w:t>Position Held in 2020:</w:t>
      </w:r>
    </w:p>
    <w:p>
      <w:pPr>
        <w:spacing w:after="0" w:line="79" w:lineRule="exact"/>
        <w:rPr>
          <w:sz w:val="20"/>
          <w:szCs w:val="20"/>
          <w:color w:val="auto"/>
        </w:rPr>
      </w:pPr>
    </w:p>
    <w:p>
      <w:pPr>
        <w:ind w:left="2160"/>
        <w:spacing w:after="0"/>
        <w:rPr>
          <w:sz w:val="20"/>
          <w:szCs w:val="20"/>
          <w:color w:val="auto"/>
        </w:rPr>
      </w:pPr>
      <w:r>
        <w:rPr>
          <w:rFonts w:ascii="Arial" w:cs="Arial" w:eastAsia="Arial" w:hAnsi="Arial"/>
          <w:sz w:val="16"/>
          <w:szCs w:val="16"/>
          <w:color w:val="3B3C43"/>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4B1F68"/>
        </w:rPr>
        <w:t>Justin Rounce</w:t>
      </w:r>
    </w:p>
    <w:p>
      <w:pPr>
        <w:spacing w:after="0" w:line="50"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3B3C43"/>
        </w:rPr>
        <w:t>Age: 54</w:t>
      </w:r>
    </w:p>
    <w:p>
      <w:pPr>
        <w:spacing w:after="0" w:line="59"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3B3C43"/>
        </w:rPr>
        <w:t>Position Held in 2020:</w:t>
      </w:r>
    </w:p>
    <w:p>
      <w:pPr>
        <w:spacing w:after="0" w:line="79" w:lineRule="exact"/>
        <w:rPr>
          <w:sz w:val="20"/>
          <w:szCs w:val="20"/>
          <w:color w:val="auto"/>
        </w:rPr>
      </w:pPr>
    </w:p>
    <w:p>
      <w:pPr>
        <w:ind w:left="2160"/>
        <w:spacing w:after="0"/>
        <w:rPr>
          <w:sz w:val="20"/>
          <w:szCs w:val="20"/>
          <w:color w:val="auto"/>
        </w:rPr>
      </w:pPr>
      <w:r>
        <w:rPr>
          <w:rFonts w:ascii="Arial" w:cs="Arial" w:eastAsia="Arial" w:hAnsi="Arial"/>
          <w:sz w:val="16"/>
          <w:szCs w:val="16"/>
          <w:color w:val="3B3C43"/>
        </w:rPr>
        <w:t>Executive Vice President and Chief Technology Officer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4B1F68"/>
        </w:rPr>
        <w:t>Arnaud Pieton</w:t>
      </w:r>
    </w:p>
    <w:p>
      <w:pPr>
        <w:spacing w:after="0" w:line="50" w:lineRule="exact"/>
        <w:rPr>
          <w:sz w:val="20"/>
          <w:szCs w:val="20"/>
          <w:color w:val="auto"/>
        </w:rPr>
      </w:pPr>
    </w:p>
    <w:tbl>
      <w:tblPr>
        <w:tblLayout w:type="fixed"/>
        <w:tblInd w:w="2160" w:type="dxa"/>
        <w:tblCellMar>
          <w:top w:w="0" w:type="dxa"/>
          <w:left w:w="0" w:type="dxa"/>
          <w:bottom w:w="0" w:type="dxa"/>
          <w:right w:w="0" w:type="dxa"/>
        </w:tblCellMar>
      </w:tblPr>
      <w:tr>
        <w:trPr>
          <w:trHeight w:val="215"/>
        </w:trPr>
        <w:tc>
          <w:tcPr>
            <w:tcW w:w="3500" w:type="dxa"/>
            <w:vAlign w:val="bottom"/>
          </w:tcPr>
          <w:p>
            <w:pPr>
              <w:spacing w:after="0"/>
              <w:rPr>
                <w:sz w:val="20"/>
                <w:szCs w:val="20"/>
                <w:color w:val="auto"/>
              </w:rPr>
            </w:pPr>
            <w:r>
              <w:rPr>
                <w:rFonts w:ascii="Arial" w:cs="Arial" w:eastAsia="Arial" w:hAnsi="Arial"/>
                <w:sz w:val="16"/>
                <w:szCs w:val="16"/>
                <w:b w:val="1"/>
                <w:bCs w:val="1"/>
                <w:color w:val="3B3C43"/>
              </w:rPr>
              <w:t>Age: 47</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Arial" w:cs="Arial" w:eastAsia="Arial" w:hAnsi="Arial"/>
                <w:sz w:val="16"/>
                <w:szCs w:val="16"/>
                <w:b w:val="1"/>
                <w:bCs w:val="1"/>
                <w:color w:val="3B3C43"/>
              </w:rPr>
              <w:t>Positions Held in 2020:</w:t>
            </w:r>
          </w:p>
        </w:tc>
        <w:tc>
          <w:tcPr>
            <w:tcW w:w="3400" w:type="dxa"/>
            <w:vAlign w:val="bottom"/>
            <w:vMerge w:val="restart"/>
          </w:tcPr>
          <w:p>
            <w:pPr>
              <w:ind w:left="980"/>
              <w:spacing w:after="0"/>
              <w:rPr>
                <w:sz w:val="20"/>
                <w:szCs w:val="20"/>
                <w:color w:val="auto"/>
              </w:rPr>
            </w:pPr>
            <w:r>
              <w:rPr>
                <w:rFonts w:ascii="Arial" w:cs="Arial" w:eastAsia="Arial" w:hAnsi="Arial"/>
                <w:sz w:val="16"/>
                <w:szCs w:val="16"/>
                <w:color w:val="3B3C43"/>
              </w:rPr>
              <w:t>President and CEO-elect of</w:t>
            </w:r>
          </w:p>
        </w:tc>
        <w:tc>
          <w:tcPr>
            <w:tcW w:w="0" w:type="dxa"/>
            <w:vAlign w:val="bottom"/>
          </w:tcPr>
          <w:p>
            <w:pPr>
              <w:spacing w:after="0"/>
              <w:rPr>
                <w:sz w:val="1"/>
                <w:szCs w:val="1"/>
                <w:color w:val="auto"/>
              </w:rPr>
            </w:pPr>
          </w:p>
        </w:tc>
      </w:tr>
      <w:tr>
        <w:trPr>
          <w:trHeight w:val="116"/>
        </w:trPr>
        <w:tc>
          <w:tcPr>
            <w:tcW w:w="3500" w:type="dxa"/>
            <w:vAlign w:val="bottom"/>
            <w:vMerge w:val="restart"/>
          </w:tcPr>
          <w:p>
            <w:pPr>
              <w:spacing w:after="0"/>
              <w:rPr>
                <w:sz w:val="20"/>
                <w:szCs w:val="20"/>
                <w:color w:val="auto"/>
              </w:rPr>
            </w:pPr>
            <w:r>
              <w:rPr>
                <w:rFonts w:ascii="Arial" w:cs="Arial" w:eastAsia="Arial" w:hAnsi="Arial"/>
                <w:sz w:val="16"/>
                <w:szCs w:val="16"/>
                <w:color w:val="3B3C43"/>
              </w:rPr>
              <w:t>President of Subsea from</w:t>
            </w:r>
          </w:p>
        </w:tc>
        <w:tc>
          <w:tcPr>
            <w:tcW w:w="3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500" w:type="dxa"/>
            <w:vAlign w:val="bottom"/>
            <w:vMerge w:val="continue"/>
          </w:tcPr>
          <w:p>
            <w:pPr>
              <w:spacing w:after="0"/>
              <w:rPr>
                <w:sz w:val="11"/>
                <w:szCs w:val="11"/>
                <w:color w:val="auto"/>
              </w:rPr>
            </w:pPr>
          </w:p>
        </w:tc>
        <w:tc>
          <w:tcPr>
            <w:tcW w:w="3400" w:type="dxa"/>
            <w:vAlign w:val="bottom"/>
            <w:vMerge w:val="restart"/>
          </w:tcPr>
          <w:p>
            <w:pPr>
              <w:ind w:left="980"/>
              <w:spacing w:after="0"/>
              <w:rPr>
                <w:sz w:val="20"/>
                <w:szCs w:val="20"/>
                <w:color w:val="auto"/>
              </w:rPr>
            </w:pPr>
            <w:r>
              <w:rPr>
                <w:rFonts w:ascii="Arial" w:cs="Arial" w:eastAsia="Arial" w:hAnsi="Arial"/>
                <w:sz w:val="16"/>
                <w:szCs w:val="16"/>
                <w:color w:val="3B3C43"/>
                <w:w w:val="99"/>
              </w:rPr>
              <w:t>Technip Energies from October 2,</w:t>
            </w:r>
          </w:p>
        </w:tc>
        <w:tc>
          <w:tcPr>
            <w:tcW w:w="0" w:type="dxa"/>
            <w:vAlign w:val="bottom"/>
          </w:tcPr>
          <w:p>
            <w:pPr>
              <w:spacing w:after="0"/>
              <w:rPr>
                <w:sz w:val="1"/>
                <w:szCs w:val="1"/>
                <w:color w:val="auto"/>
              </w:rPr>
            </w:pPr>
          </w:p>
        </w:tc>
      </w:tr>
      <w:tr>
        <w:trPr>
          <w:trHeight w:val="62"/>
        </w:trPr>
        <w:tc>
          <w:tcPr>
            <w:tcW w:w="3500" w:type="dxa"/>
            <w:vAlign w:val="bottom"/>
            <w:vMerge w:val="restart"/>
          </w:tcPr>
          <w:p>
            <w:pPr>
              <w:spacing w:after="0"/>
              <w:rPr>
                <w:sz w:val="20"/>
                <w:szCs w:val="20"/>
                <w:color w:val="auto"/>
              </w:rPr>
            </w:pPr>
            <w:r>
              <w:rPr>
                <w:rFonts w:ascii="Arial" w:cs="Arial" w:eastAsia="Arial" w:hAnsi="Arial"/>
                <w:sz w:val="16"/>
                <w:szCs w:val="16"/>
                <w:color w:val="3B3C43"/>
              </w:rPr>
              <w:t>January 1 through October 2, 2020</w:t>
            </w:r>
          </w:p>
        </w:tc>
        <w:tc>
          <w:tcPr>
            <w:tcW w:w="3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500" w:type="dxa"/>
            <w:vAlign w:val="bottom"/>
            <w:vMerge w:val="continue"/>
          </w:tcPr>
          <w:p>
            <w:pPr>
              <w:spacing w:after="0"/>
              <w:rPr>
                <w:sz w:val="16"/>
                <w:szCs w:val="16"/>
                <w:color w:val="auto"/>
              </w:rPr>
            </w:pPr>
          </w:p>
        </w:tc>
        <w:tc>
          <w:tcPr>
            <w:tcW w:w="3400" w:type="dxa"/>
            <w:vAlign w:val="bottom"/>
          </w:tcPr>
          <w:p>
            <w:pPr>
              <w:ind w:left="980"/>
              <w:spacing w:after="0"/>
              <w:rPr>
                <w:sz w:val="20"/>
                <w:szCs w:val="20"/>
                <w:color w:val="auto"/>
              </w:rPr>
            </w:pPr>
            <w:r>
              <w:rPr>
                <w:rFonts w:ascii="Arial" w:cs="Arial" w:eastAsia="Arial" w:hAnsi="Arial"/>
                <w:sz w:val="16"/>
                <w:szCs w:val="16"/>
                <w:color w:val="3B3C43"/>
              </w:rPr>
              <w:t>2020 through December 31,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2060" w:type="dxa"/>
        <w:tblCellMar>
          <w:top w:w="0" w:type="dxa"/>
          <w:left w:w="0" w:type="dxa"/>
          <w:bottom w:w="0" w:type="dxa"/>
          <w:right w:w="0" w:type="dxa"/>
        </w:tblCellMar>
      </w:tblPr>
      <w:tr>
        <w:trPr>
          <w:trHeight w:val="423"/>
        </w:trPr>
        <w:tc>
          <w:tcPr>
            <w:tcW w:w="4380" w:type="dxa"/>
            <w:vAlign w:val="bottom"/>
            <w:shd w:val="clear" w:color="auto" w:fill="E1E2E0"/>
          </w:tcPr>
          <w:p>
            <w:pPr>
              <w:ind w:left="100"/>
              <w:spacing w:after="0"/>
              <w:rPr>
                <w:sz w:val="20"/>
                <w:szCs w:val="20"/>
                <w:color w:val="auto"/>
              </w:rPr>
            </w:pPr>
            <w:r>
              <w:rPr>
                <w:rFonts w:ascii="Arial" w:cs="Arial" w:eastAsia="Arial" w:hAnsi="Arial"/>
                <w:sz w:val="20"/>
                <w:szCs w:val="20"/>
                <w:b w:val="1"/>
                <w:bCs w:val="1"/>
                <w:color w:val="4B1F68"/>
              </w:rPr>
              <w:t>Barry Glickman</w:t>
            </w:r>
          </w:p>
        </w:tc>
        <w:tc>
          <w:tcPr>
            <w:tcW w:w="4640" w:type="dxa"/>
            <w:vAlign w:val="bottom"/>
            <w:shd w:val="clear" w:color="auto" w:fill="E1E2E0"/>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Age: 52</w:t>
            </w:r>
          </w:p>
        </w:tc>
        <w:tc>
          <w:tcPr>
            <w:tcW w:w="4640" w:type="dxa"/>
            <w:vAlign w:val="bottom"/>
            <w:shd w:val="clear" w:color="auto" w:fill="E1E2E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Position Held in 2020:</w:t>
            </w:r>
          </w:p>
        </w:tc>
        <w:tc>
          <w:tcPr>
            <w:tcW w:w="4640" w:type="dxa"/>
            <w:vAlign w:val="bottom"/>
            <w:shd w:val="clear" w:color="auto" w:fill="E1E2E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President of Surface</w:t>
            </w:r>
          </w:p>
        </w:tc>
        <w:tc>
          <w:tcPr>
            <w:tcW w:w="4640" w:type="dxa"/>
            <w:vAlign w:val="bottom"/>
            <w:shd w:val="clear" w:color="auto" w:fill="E1E2E0"/>
          </w:tcPr>
          <w:p>
            <w:pPr>
              <w:spacing w:after="0"/>
              <w:rPr>
                <w:sz w:val="21"/>
                <w:szCs w:val="21"/>
                <w:color w:val="auto"/>
              </w:rPr>
            </w:pPr>
          </w:p>
        </w:tc>
        <w:tc>
          <w:tcPr>
            <w:tcW w:w="0" w:type="dxa"/>
            <w:vAlign w:val="bottom"/>
          </w:tcPr>
          <w:p>
            <w:pPr>
              <w:spacing w:after="0"/>
              <w:rPr>
                <w:sz w:val="1"/>
                <w:szCs w:val="1"/>
                <w:color w:val="auto"/>
              </w:rPr>
            </w:pPr>
          </w:p>
        </w:tc>
      </w:tr>
      <w:tr>
        <w:trPr>
          <w:trHeight w:val="627"/>
        </w:trPr>
        <w:tc>
          <w:tcPr>
            <w:tcW w:w="4380" w:type="dxa"/>
            <w:vAlign w:val="bottom"/>
            <w:shd w:val="clear" w:color="auto" w:fill="E1E2E0"/>
          </w:tcPr>
          <w:p>
            <w:pPr>
              <w:spacing w:after="0"/>
              <w:rPr>
                <w:sz w:val="24"/>
                <w:szCs w:val="24"/>
                <w:color w:val="auto"/>
              </w:rPr>
            </w:pPr>
          </w:p>
        </w:tc>
        <w:tc>
          <w:tcPr>
            <w:tcW w:w="4640" w:type="dxa"/>
            <w:vAlign w:val="bottom"/>
            <w:shd w:val="clear" w:color="auto" w:fill="E1E2E0"/>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380" w:type="dxa"/>
            <w:vAlign w:val="bottom"/>
            <w:shd w:val="clear" w:color="auto" w:fill="F0F0F0"/>
          </w:tcPr>
          <w:p>
            <w:pPr>
              <w:ind w:left="100"/>
              <w:spacing w:after="0"/>
              <w:rPr>
                <w:sz w:val="20"/>
                <w:szCs w:val="20"/>
                <w:color w:val="auto"/>
              </w:rPr>
            </w:pPr>
            <w:r>
              <w:rPr>
                <w:rFonts w:ascii="Arial" w:cs="Arial" w:eastAsia="Arial" w:hAnsi="Arial"/>
                <w:sz w:val="20"/>
                <w:szCs w:val="20"/>
                <w:b w:val="1"/>
                <w:bCs w:val="1"/>
                <w:color w:val="4B1F68"/>
              </w:rPr>
              <w:t>Catherine MacGregor</w:t>
            </w:r>
          </w:p>
        </w:tc>
        <w:tc>
          <w:tcPr>
            <w:tcW w:w="46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F0F0F0"/>
          </w:tcPr>
          <w:p>
            <w:pPr>
              <w:ind w:left="100"/>
              <w:spacing w:after="0"/>
              <w:rPr>
                <w:sz w:val="20"/>
                <w:szCs w:val="20"/>
                <w:color w:val="auto"/>
              </w:rPr>
            </w:pPr>
            <w:r>
              <w:rPr>
                <w:rFonts w:ascii="Arial" w:cs="Arial" w:eastAsia="Arial" w:hAnsi="Arial"/>
                <w:sz w:val="16"/>
                <w:szCs w:val="16"/>
                <w:b w:val="1"/>
                <w:bCs w:val="1"/>
                <w:color w:val="3B3C43"/>
              </w:rPr>
              <w:t>Age: 48</w:t>
            </w:r>
          </w:p>
        </w:tc>
        <w:tc>
          <w:tcPr>
            <w:tcW w:w="4640" w:type="dxa"/>
            <w:vAlign w:val="bottom"/>
            <w:shd w:val="clear" w:color="auto" w:fill="F0F0F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F0F0F0"/>
          </w:tcPr>
          <w:p>
            <w:pPr>
              <w:ind w:left="100"/>
              <w:spacing w:after="0"/>
              <w:rPr>
                <w:sz w:val="20"/>
                <w:szCs w:val="20"/>
                <w:color w:val="auto"/>
              </w:rPr>
            </w:pPr>
            <w:r>
              <w:rPr>
                <w:rFonts w:ascii="Arial" w:cs="Arial" w:eastAsia="Arial" w:hAnsi="Arial"/>
                <w:sz w:val="16"/>
                <w:szCs w:val="16"/>
                <w:b w:val="1"/>
                <w:bCs w:val="1"/>
                <w:color w:val="3B3C43"/>
              </w:rPr>
              <w:t>Position Held in 2020:</w:t>
            </w:r>
          </w:p>
        </w:tc>
        <w:tc>
          <w:tcPr>
            <w:tcW w:w="4640" w:type="dxa"/>
            <w:vAlign w:val="bottom"/>
            <w:shd w:val="clear" w:color="auto" w:fill="F0F0F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F0F0F0"/>
          </w:tcPr>
          <w:p>
            <w:pPr>
              <w:ind w:left="100"/>
              <w:spacing w:after="0"/>
              <w:rPr>
                <w:sz w:val="20"/>
                <w:szCs w:val="20"/>
                <w:color w:val="auto"/>
              </w:rPr>
            </w:pPr>
            <w:r>
              <w:rPr>
                <w:rFonts w:ascii="Arial" w:cs="Arial" w:eastAsia="Arial" w:hAnsi="Arial"/>
                <w:sz w:val="16"/>
                <w:szCs w:val="16"/>
                <w:color w:val="3B3C43"/>
              </w:rPr>
              <w:t>President of Technip Energies from</w:t>
            </w:r>
          </w:p>
        </w:tc>
        <w:tc>
          <w:tcPr>
            <w:tcW w:w="4640" w:type="dxa"/>
            <w:vAlign w:val="bottom"/>
            <w:vMerge w:val="restart"/>
            <w:shd w:val="clear" w:color="auto" w:fill="F0F0F0"/>
          </w:tcPr>
          <w:p>
            <w:pPr>
              <w:ind w:left="200"/>
              <w:spacing w:after="0"/>
              <w:rPr>
                <w:sz w:val="20"/>
                <w:szCs w:val="20"/>
                <w:color w:val="auto"/>
              </w:rPr>
            </w:pPr>
            <w:r>
              <w:rPr>
                <w:rFonts w:ascii="Arial" w:cs="Arial" w:eastAsia="Arial" w:hAnsi="Arial"/>
                <w:sz w:val="16"/>
                <w:szCs w:val="16"/>
                <w:color w:val="3B3C43"/>
              </w:rPr>
              <w:t>Departed from TechnipFMC</w:t>
            </w:r>
          </w:p>
        </w:tc>
        <w:tc>
          <w:tcPr>
            <w:tcW w:w="0" w:type="dxa"/>
            <w:vAlign w:val="bottom"/>
          </w:tcPr>
          <w:p>
            <w:pPr>
              <w:spacing w:after="0"/>
              <w:rPr>
                <w:sz w:val="1"/>
                <w:szCs w:val="1"/>
                <w:color w:val="auto"/>
              </w:rPr>
            </w:pPr>
          </w:p>
        </w:tc>
      </w:tr>
      <w:tr>
        <w:trPr>
          <w:trHeight w:val="102"/>
        </w:trPr>
        <w:tc>
          <w:tcPr>
            <w:tcW w:w="4380" w:type="dxa"/>
            <w:vAlign w:val="bottom"/>
            <w:vMerge w:val="restart"/>
            <w:shd w:val="clear" w:color="auto" w:fill="F0F0F0"/>
          </w:tcPr>
          <w:p>
            <w:pPr>
              <w:ind w:left="100"/>
              <w:spacing w:after="0"/>
              <w:rPr>
                <w:sz w:val="20"/>
                <w:szCs w:val="20"/>
                <w:color w:val="auto"/>
              </w:rPr>
            </w:pPr>
            <w:r>
              <w:rPr>
                <w:rFonts w:ascii="Arial" w:cs="Arial" w:eastAsia="Arial" w:hAnsi="Arial"/>
                <w:sz w:val="16"/>
                <w:szCs w:val="16"/>
                <w:color w:val="3B3C43"/>
              </w:rPr>
              <w:t>January 1 through October 2, 2020</w:t>
            </w:r>
          </w:p>
        </w:tc>
        <w:tc>
          <w:tcPr>
            <w:tcW w:w="4640" w:type="dxa"/>
            <w:vAlign w:val="bottom"/>
            <w:vMerge w:val="continue"/>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380" w:type="dxa"/>
            <w:vAlign w:val="bottom"/>
            <w:vMerge w:val="continue"/>
            <w:shd w:val="clear" w:color="auto" w:fill="F0F0F0"/>
          </w:tcPr>
          <w:p>
            <w:pPr>
              <w:spacing w:after="0"/>
              <w:rPr>
                <w:sz w:val="12"/>
                <w:szCs w:val="12"/>
                <w:color w:val="auto"/>
              </w:rPr>
            </w:pPr>
          </w:p>
        </w:tc>
        <w:tc>
          <w:tcPr>
            <w:tcW w:w="4640" w:type="dxa"/>
            <w:vAlign w:val="bottom"/>
            <w:vMerge w:val="restart"/>
            <w:shd w:val="clear" w:color="auto" w:fill="F0F0F0"/>
          </w:tcPr>
          <w:p>
            <w:pPr>
              <w:ind w:left="200"/>
              <w:spacing w:after="0"/>
              <w:rPr>
                <w:sz w:val="20"/>
                <w:szCs w:val="20"/>
                <w:color w:val="auto"/>
              </w:rPr>
            </w:pPr>
            <w:r>
              <w:rPr>
                <w:rFonts w:ascii="Arial" w:cs="Arial" w:eastAsia="Arial" w:hAnsi="Arial"/>
                <w:sz w:val="16"/>
                <w:szCs w:val="16"/>
                <w:color w:val="3B3C43"/>
              </w:rPr>
              <w:t>on October 31, 2020</w:t>
            </w:r>
          </w:p>
        </w:tc>
        <w:tc>
          <w:tcPr>
            <w:tcW w:w="0" w:type="dxa"/>
            <w:vAlign w:val="bottom"/>
          </w:tcPr>
          <w:p>
            <w:pPr>
              <w:spacing w:after="0"/>
              <w:rPr>
                <w:sz w:val="1"/>
                <w:szCs w:val="1"/>
                <w:color w:val="auto"/>
              </w:rPr>
            </w:pPr>
          </w:p>
        </w:tc>
      </w:tr>
      <w:tr>
        <w:trPr>
          <w:trHeight w:val="54"/>
        </w:trPr>
        <w:tc>
          <w:tcPr>
            <w:tcW w:w="4380" w:type="dxa"/>
            <w:vAlign w:val="bottom"/>
            <w:shd w:val="clear" w:color="auto" w:fill="F0F0F0"/>
          </w:tcPr>
          <w:p>
            <w:pPr>
              <w:spacing w:after="0"/>
              <w:rPr>
                <w:sz w:val="4"/>
                <w:szCs w:val="4"/>
                <w:color w:val="auto"/>
              </w:rPr>
            </w:pPr>
          </w:p>
        </w:tc>
        <w:tc>
          <w:tcPr>
            <w:tcW w:w="4640" w:type="dxa"/>
            <w:vAlign w:val="bottom"/>
            <w:vMerge w:val="continue"/>
            <w:shd w:val="clear" w:color="auto" w:fill="F0F0F0"/>
          </w:tcPr>
          <w:p>
            <w:pPr>
              <w:spacing w:after="0"/>
              <w:rPr>
                <w:sz w:val="4"/>
                <w:szCs w:val="4"/>
                <w:color w:val="auto"/>
              </w:rPr>
            </w:pPr>
          </w:p>
        </w:tc>
        <w:tc>
          <w:tcPr>
            <w:tcW w:w="0" w:type="dxa"/>
            <w:vAlign w:val="bottom"/>
          </w:tcPr>
          <w:p>
            <w:pPr>
              <w:spacing w:after="0"/>
              <w:rPr>
                <w:sz w:val="1"/>
                <w:szCs w:val="1"/>
                <w:color w:val="auto"/>
              </w:rPr>
            </w:pPr>
          </w:p>
        </w:tc>
      </w:tr>
      <w:tr>
        <w:trPr>
          <w:trHeight w:val="411"/>
        </w:trPr>
        <w:tc>
          <w:tcPr>
            <w:tcW w:w="4380" w:type="dxa"/>
            <w:vAlign w:val="bottom"/>
            <w:shd w:val="clear" w:color="auto" w:fill="F0F0F0"/>
          </w:tcPr>
          <w:p>
            <w:pPr>
              <w:spacing w:after="0"/>
              <w:rPr>
                <w:sz w:val="24"/>
                <w:szCs w:val="24"/>
                <w:color w:val="auto"/>
              </w:rPr>
            </w:pPr>
          </w:p>
        </w:tc>
        <w:tc>
          <w:tcPr>
            <w:tcW w:w="46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380" w:type="dxa"/>
            <w:vAlign w:val="bottom"/>
            <w:shd w:val="clear" w:color="auto" w:fill="E1E2E0"/>
          </w:tcPr>
          <w:p>
            <w:pPr>
              <w:ind w:left="100"/>
              <w:spacing w:after="0"/>
              <w:rPr>
                <w:sz w:val="20"/>
                <w:szCs w:val="20"/>
                <w:color w:val="auto"/>
              </w:rPr>
            </w:pPr>
            <w:r>
              <w:rPr>
                <w:rFonts w:ascii="Arial" w:cs="Arial" w:eastAsia="Arial" w:hAnsi="Arial"/>
                <w:sz w:val="20"/>
                <w:szCs w:val="20"/>
                <w:b w:val="1"/>
                <w:bCs w:val="1"/>
                <w:color w:val="4B1F68"/>
              </w:rPr>
              <w:t>Nello Uccelletti</w:t>
            </w:r>
          </w:p>
        </w:tc>
        <w:tc>
          <w:tcPr>
            <w:tcW w:w="4640" w:type="dxa"/>
            <w:vAlign w:val="bottom"/>
            <w:shd w:val="clear" w:color="auto" w:fill="E1E2E0"/>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38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Age: 67</w:t>
            </w:r>
          </w:p>
        </w:tc>
        <w:tc>
          <w:tcPr>
            <w:tcW w:w="4640" w:type="dxa"/>
            <w:vAlign w:val="bottom"/>
            <w:shd w:val="clear" w:color="auto" w:fill="E1E2E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Position Held in 2020:</w:t>
            </w:r>
          </w:p>
        </w:tc>
        <w:tc>
          <w:tcPr>
            <w:tcW w:w="4640" w:type="dxa"/>
            <w:vAlign w:val="bottom"/>
            <w:shd w:val="clear" w:color="auto" w:fill="E1E2E0"/>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38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Advisor to the CEO from January 1 through February 29,</w:t>
            </w:r>
          </w:p>
        </w:tc>
        <w:tc>
          <w:tcPr>
            <w:tcW w:w="4640" w:type="dxa"/>
            <w:vAlign w:val="bottom"/>
            <w:shd w:val="clear" w:color="auto" w:fill="E1E2E0"/>
          </w:tcPr>
          <w:p>
            <w:pPr>
              <w:ind w:left="200"/>
              <w:spacing w:after="0"/>
              <w:rPr>
                <w:sz w:val="20"/>
                <w:szCs w:val="20"/>
                <w:color w:val="auto"/>
              </w:rPr>
            </w:pPr>
            <w:r>
              <w:rPr>
                <w:rFonts w:ascii="Arial" w:cs="Arial" w:eastAsia="Arial" w:hAnsi="Arial"/>
                <w:sz w:val="16"/>
                <w:szCs w:val="16"/>
                <w:color w:val="3B3C43"/>
              </w:rPr>
              <w:t>Retired from TechnipFMC</w:t>
            </w:r>
          </w:p>
        </w:tc>
        <w:tc>
          <w:tcPr>
            <w:tcW w:w="0" w:type="dxa"/>
            <w:vAlign w:val="bottom"/>
          </w:tcPr>
          <w:p>
            <w:pPr>
              <w:spacing w:after="0"/>
              <w:rPr>
                <w:sz w:val="1"/>
                <w:szCs w:val="1"/>
                <w:color w:val="auto"/>
              </w:rPr>
            </w:pPr>
          </w:p>
        </w:tc>
      </w:tr>
      <w:tr>
        <w:trPr>
          <w:trHeight w:val="208"/>
        </w:trPr>
        <w:tc>
          <w:tcPr>
            <w:tcW w:w="438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2020</w:t>
            </w:r>
          </w:p>
        </w:tc>
        <w:tc>
          <w:tcPr>
            <w:tcW w:w="4640" w:type="dxa"/>
            <w:vAlign w:val="bottom"/>
            <w:shd w:val="clear" w:color="auto" w:fill="E1E2E0"/>
          </w:tcPr>
          <w:p>
            <w:pPr>
              <w:ind w:left="200"/>
              <w:spacing w:after="0"/>
              <w:rPr>
                <w:sz w:val="20"/>
                <w:szCs w:val="20"/>
                <w:color w:val="auto"/>
              </w:rPr>
            </w:pPr>
            <w:r>
              <w:rPr>
                <w:rFonts w:ascii="Arial" w:cs="Arial" w:eastAsia="Arial" w:hAnsi="Arial"/>
                <w:sz w:val="16"/>
                <w:szCs w:val="16"/>
                <w:color w:val="3B3C43"/>
              </w:rPr>
              <w:t>on February 29, 2020</w:t>
            </w:r>
          </w:p>
        </w:tc>
        <w:tc>
          <w:tcPr>
            <w:tcW w:w="0" w:type="dxa"/>
            <w:vAlign w:val="bottom"/>
          </w:tcPr>
          <w:p>
            <w:pPr>
              <w:spacing w:after="0"/>
              <w:rPr>
                <w:sz w:val="1"/>
                <w:szCs w:val="1"/>
                <w:color w:val="auto"/>
              </w:rPr>
            </w:pPr>
          </w:p>
        </w:tc>
      </w:tr>
      <w:tr>
        <w:trPr>
          <w:trHeight w:val="519"/>
        </w:trPr>
        <w:tc>
          <w:tcPr>
            <w:tcW w:w="4380" w:type="dxa"/>
            <w:vAlign w:val="bottom"/>
            <w:shd w:val="clear" w:color="auto" w:fill="E1E2E0"/>
          </w:tcPr>
          <w:p>
            <w:pPr>
              <w:spacing w:after="0"/>
              <w:rPr>
                <w:sz w:val="24"/>
                <w:szCs w:val="24"/>
                <w:color w:val="auto"/>
              </w:rPr>
            </w:pPr>
          </w:p>
        </w:tc>
        <w:tc>
          <w:tcPr>
            <w:tcW w:w="4640" w:type="dxa"/>
            <w:vAlign w:val="bottom"/>
            <w:shd w:val="clear" w:color="auto" w:fill="E1E2E0"/>
          </w:tcPr>
          <w:p>
            <w:pPr>
              <w:spacing w:after="0"/>
              <w:rPr>
                <w:sz w:val="24"/>
                <w:szCs w:val="2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10</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399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399859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B1F68"/>
        </w:rPr>
        <w:t>2020 Compensation Program Changes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In 2020, we took the following actions in response to the COVID-19 pandemic and the resulting oil price decline:</w:t>
      </w:r>
    </w:p>
    <w:p>
      <w:pPr>
        <w:spacing w:after="0" w:line="181" w:lineRule="exact"/>
        <w:rPr>
          <w:sz w:val="20"/>
          <w:szCs w:val="20"/>
          <w:color w:val="auto"/>
        </w:rPr>
      </w:pPr>
    </w:p>
    <w:p>
      <w:pPr>
        <w:ind w:left="460" w:hanging="209"/>
        <w:spacing w:after="0" w:line="286" w:lineRule="auto"/>
        <w:tabs>
          <w:tab w:leader="none" w:pos="460" w:val="left"/>
        </w:tabs>
        <w:numPr>
          <w:ilvl w:val="0"/>
          <w:numId w:val="28"/>
        </w:numPr>
        <w:rPr>
          <w:rFonts w:ascii="Arial" w:cs="Arial" w:eastAsia="Arial" w:hAnsi="Arial"/>
          <w:sz w:val="14"/>
          <w:szCs w:val="14"/>
          <w:color w:val="4B1F68"/>
        </w:rPr>
      </w:pPr>
      <w:r>
        <w:rPr>
          <w:rFonts w:ascii="Arial" w:cs="Arial" w:eastAsia="Arial" w:hAnsi="Arial"/>
          <w:sz w:val="16"/>
          <w:szCs w:val="16"/>
          <w:b w:val="1"/>
          <w:bCs w:val="1"/>
          <w:color w:val="3B3C43"/>
        </w:rPr>
        <w:t>Reduced the annual base salary for our Chairman and CEO by 30% and for other executive officers by 20% for the remainder of 2020, effective May 1, 2020.</w:t>
      </w:r>
    </w:p>
    <w:p>
      <w:pPr>
        <w:spacing w:after="0" w:line="128" w:lineRule="exact"/>
        <w:rPr>
          <w:rFonts w:ascii="Arial" w:cs="Arial" w:eastAsia="Arial" w:hAnsi="Arial"/>
          <w:sz w:val="14"/>
          <w:szCs w:val="14"/>
          <w:color w:val="4B1F68"/>
        </w:rPr>
      </w:pPr>
    </w:p>
    <w:p>
      <w:pPr>
        <w:ind w:left="460" w:hanging="209"/>
        <w:spacing w:after="0"/>
        <w:tabs>
          <w:tab w:leader="none" w:pos="460" w:val="left"/>
        </w:tabs>
        <w:numPr>
          <w:ilvl w:val="0"/>
          <w:numId w:val="28"/>
        </w:numPr>
        <w:rPr>
          <w:rFonts w:ascii="Arial" w:cs="Arial" w:eastAsia="Arial" w:hAnsi="Arial"/>
          <w:sz w:val="14"/>
          <w:szCs w:val="14"/>
          <w:color w:val="4B1F68"/>
        </w:rPr>
      </w:pPr>
      <w:r>
        <w:rPr>
          <w:rFonts w:ascii="Arial" w:cs="Arial" w:eastAsia="Arial" w:hAnsi="Arial"/>
          <w:sz w:val="16"/>
          <w:szCs w:val="16"/>
          <w:b w:val="1"/>
          <w:bCs w:val="1"/>
          <w:color w:val="3B3C43"/>
        </w:rPr>
        <w:t>Reduced annual cash retainers for our Board of Directors by 30% for the remainder of 2020, effective May 1, 2020.</w:t>
      </w:r>
    </w:p>
    <w:p>
      <w:pPr>
        <w:spacing w:after="0" w:line="133" w:lineRule="exact"/>
        <w:rPr>
          <w:rFonts w:ascii="Arial" w:cs="Arial" w:eastAsia="Arial" w:hAnsi="Arial"/>
          <w:sz w:val="14"/>
          <w:szCs w:val="14"/>
          <w:color w:val="4B1F68"/>
        </w:rPr>
      </w:pPr>
    </w:p>
    <w:p>
      <w:pPr>
        <w:ind w:left="800" w:hanging="297"/>
        <w:spacing w:after="0"/>
        <w:tabs>
          <w:tab w:leader="none" w:pos="800" w:val="left"/>
        </w:tabs>
        <w:numPr>
          <w:ilvl w:val="1"/>
          <w:numId w:val="28"/>
        </w:numPr>
        <w:rPr>
          <w:rFonts w:ascii="Arial" w:cs="Arial" w:eastAsia="Arial" w:hAnsi="Arial"/>
          <w:sz w:val="14"/>
          <w:szCs w:val="14"/>
          <w:color w:val="00ACE8"/>
        </w:rPr>
      </w:pPr>
      <w:r>
        <w:rPr>
          <w:rFonts w:ascii="Arial" w:cs="Arial" w:eastAsia="Arial" w:hAnsi="Arial"/>
          <w:sz w:val="16"/>
          <w:szCs w:val="16"/>
          <w:color w:val="3B3C43"/>
        </w:rPr>
        <w:t>Updated our annual cash incentive plan measures effective April 1, 2020, and applied a cap on payout:</w:t>
      </w:r>
    </w:p>
    <w:p>
      <w:pPr>
        <w:spacing w:after="0" w:line="113" w:lineRule="exact"/>
        <w:rPr>
          <w:rFonts w:ascii="Arial" w:cs="Arial" w:eastAsia="Arial" w:hAnsi="Arial"/>
          <w:sz w:val="14"/>
          <w:szCs w:val="14"/>
          <w:color w:val="00ACE8"/>
        </w:rPr>
      </w:pPr>
    </w:p>
    <w:p>
      <w:pPr>
        <w:ind w:left="800" w:right="100" w:hanging="297"/>
        <w:spacing w:after="0" w:line="249" w:lineRule="auto"/>
        <w:tabs>
          <w:tab w:leader="none" w:pos="800" w:val="left"/>
        </w:tabs>
        <w:numPr>
          <w:ilvl w:val="1"/>
          <w:numId w:val="28"/>
        </w:numPr>
        <w:rPr>
          <w:rFonts w:ascii="Arial" w:cs="Arial" w:eastAsia="Arial" w:hAnsi="Arial"/>
          <w:sz w:val="14"/>
          <w:szCs w:val="14"/>
          <w:color w:val="00ACE8"/>
        </w:rPr>
      </w:pPr>
      <w:r>
        <w:rPr>
          <w:rFonts w:ascii="Arial" w:cs="Arial" w:eastAsia="Arial" w:hAnsi="Arial"/>
          <w:sz w:val="16"/>
          <w:szCs w:val="16"/>
          <w:color w:val="3B3C43"/>
        </w:rPr>
        <w:t>Due to the COVID-19 pandemic and business downturn, the Company’s strategic priorities shifted to a significantly greater focus on cash flow, liquidity, and business sustainability. To better align our executives’ compensation with these critical priorities, the financial measures for the 2020 annual cash incentive plan were changed from EBITDA, EBITDA as a Percentage of Revenue, and Working Capital Days to Incremental Cost Savings (37.5% weighting) and Free Cash Flow Conversion (37.5%), for the last three quarters of 2020. The Incremental Cost Savings metric measures our performance against our publicly disclosed Cost Reduction Program. The Free Cash Flow Conversion metric (ratio of Free Cash Flow to Adjusted Net Income) measures the quality of our earnings and is important for liquidity.</w:t>
      </w:r>
    </w:p>
    <w:p>
      <w:pPr>
        <w:spacing w:after="0" w:line="96" w:lineRule="exact"/>
        <w:rPr>
          <w:rFonts w:ascii="Arial" w:cs="Arial" w:eastAsia="Arial" w:hAnsi="Arial"/>
          <w:sz w:val="14"/>
          <w:szCs w:val="14"/>
          <w:color w:val="00ACE8"/>
        </w:rPr>
      </w:pPr>
    </w:p>
    <w:p>
      <w:pPr>
        <w:jc w:val="both"/>
        <w:ind w:left="800" w:right="480" w:hanging="297"/>
        <w:spacing w:after="0" w:line="253" w:lineRule="auto"/>
        <w:tabs>
          <w:tab w:leader="none" w:pos="800" w:val="left"/>
        </w:tabs>
        <w:numPr>
          <w:ilvl w:val="1"/>
          <w:numId w:val="28"/>
        </w:numPr>
        <w:rPr>
          <w:rFonts w:ascii="Arial" w:cs="Arial" w:eastAsia="Arial" w:hAnsi="Arial"/>
          <w:sz w:val="14"/>
          <w:szCs w:val="14"/>
          <w:color w:val="00ACE8"/>
        </w:rPr>
      </w:pPr>
      <w:r>
        <w:rPr>
          <w:rFonts w:ascii="Arial" w:cs="Arial" w:eastAsia="Arial" w:hAnsi="Arial"/>
          <w:sz w:val="16"/>
          <w:szCs w:val="16"/>
          <w:color w:val="3B3C43"/>
        </w:rPr>
        <w:t>25% of our 2020 annual cash incentive plan continued to be based on individual performance indicators that included specific objectives regarding sustainability in our business performance, further reinforcing the Company’s commitment to our Foundational Beliefs while we focused on responding to the challenging business environment.</w:t>
      </w:r>
    </w:p>
    <w:p>
      <w:pPr>
        <w:spacing w:after="0" w:line="93" w:lineRule="exact"/>
        <w:rPr>
          <w:rFonts w:ascii="Arial" w:cs="Arial" w:eastAsia="Arial" w:hAnsi="Arial"/>
          <w:sz w:val="14"/>
          <w:szCs w:val="14"/>
          <w:color w:val="00ACE8"/>
        </w:rPr>
      </w:pPr>
    </w:p>
    <w:p>
      <w:pPr>
        <w:ind w:left="800" w:right="680" w:hanging="297"/>
        <w:spacing w:after="0" w:line="253" w:lineRule="auto"/>
        <w:tabs>
          <w:tab w:leader="none" w:pos="800" w:val="left"/>
        </w:tabs>
        <w:numPr>
          <w:ilvl w:val="1"/>
          <w:numId w:val="28"/>
        </w:numPr>
        <w:rPr>
          <w:rFonts w:ascii="Arial" w:cs="Arial" w:eastAsia="Arial" w:hAnsi="Arial"/>
          <w:sz w:val="14"/>
          <w:szCs w:val="14"/>
          <w:color w:val="00ACE8"/>
        </w:rPr>
      </w:pPr>
      <w:r>
        <w:rPr>
          <w:rFonts w:ascii="Arial" w:cs="Arial" w:eastAsia="Arial" w:hAnsi="Arial"/>
          <w:sz w:val="16"/>
          <w:szCs w:val="16"/>
          <w:color w:val="3B3C43"/>
        </w:rPr>
        <w:t>Due to the volatility in the oil and gas market, the annual incentive plan targets set at the beginning of 2020 were no longer considered applicable. As such, performance and payout for the Q1 2020 business performance indicators was set at 0% by our Compensation Committee.</w:t>
      </w:r>
    </w:p>
    <w:p>
      <w:pPr>
        <w:spacing w:after="0" w:line="93" w:lineRule="exact"/>
        <w:rPr>
          <w:rFonts w:ascii="Arial" w:cs="Arial" w:eastAsia="Arial" w:hAnsi="Arial"/>
          <w:sz w:val="14"/>
          <w:szCs w:val="14"/>
          <w:color w:val="00ACE8"/>
        </w:rPr>
      </w:pPr>
    </w:p>
    <w:p>
      <w:pPr>
        <w:jc w:val="both"/>
        <w:ind w:left="800" w:right="380" w:hanging="297"/>
        <w:spacing w:after="0" w:line="251" w:lineRule="auto"/>
        <w:tabs>
          <w:tab w:leader="none" w:pos="800" w:val="left"/>
        </w:tabs>
        <w:numPr>
          <w:ilvl w:val="1"/>
          <w:numId w:val="28"/>
        </w:numPr>
        <w:rPr>
          <w:rFonts w:ascii="Arial" w:cs="Arial" w:eastAsia="Arial" w:hAnsi="Arial"/>
          <w:sz w:val="14"/>
          <w:szCs w:val="14"/>
          <w:color w:val="00ACE8"/>
        </w:rPr>
      </w:pPr>
      <w:r>
        <w:rPr>
          <w:rFonts w:ascii="Arial" w:cs="Arial" w:eastAsia="Arial" w:hAnsi="Arial"/>
          <w:sz w:val="16"/>
          <w:szCs w:val="16"/>
          <w:color w:val="3B3C43"/>
        </w:rPr>
        <w:t>In addition to updating our Q2-Q4 2020 performance metrics in order to swiftly respond to changing short-term business priorities, we also capped the payout for the business performance indicators under the 2020 annual cash incentive plan at target (100%), with no upside for above-target performance. Limiting payouts at target (compared to 200% in prior years) in a volatile business environment helps align with shareholder interests.</w:t>
      </w:r>
    </w:p>
    <w:p>
      <w:pPr>
        <w:spacing w:after="0" w:line="94" w:lineRule="exact"/>
        <w:rPr>
          <w:rFonts w:ascii="Arial" w:cs="Arial" w:eastAsia="Arial" w:hAnsi="Arial"/>
          <w:sz w:val="14"/>
          <w:szCs w:val="14"/>
          <w:color w:val="00ACE8"/>
        </w:rPr>
      </w:pPr>
    </w:p>
    <w:p>
      <w:pPr>
        <w:ind w:left="500" w:hanging="249"/>
        <w:spacing w:after="0"/>
        <w:tabs>
          <w:tab w:leader="none" w:pos="500" w:val="left"/>
        </w:tabs>
        <w:numPr>
          <w:ilvl w:val="0"/>
          <w:numId w:val="28"/>
        </w:numPr>
        <w:rPr>
          <w:rFonts w:ascii="Arial" w:cs="Arial" w:eastAsia="Arial" w:hAnsi="Arial"/>
          <w:sz w:val="14"/>
          <w:szCs w:val="14"/>
          <w:color w:val="4B1F68"/>
        </w:rPr>
      </w:pPr>
      <w:r>
        <w:rPr>
          <w:rFonts w:ascii="Arial" w:cs="Arial" w:eastAsia="Arial" w:hAnsi="Arial"/>
          <w:sz w:val="16"/>
          <w:szCs w:val="16"/>
          <w:color w:val="3B3C43"/>
        </w:rPr>
        <w:t>No changes were made to the annual equity awards previously granted and not vested.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11</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257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57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In 2020, we took the following actions in response to shareholder feedback:</w:t>
      </w:r>
    </w:p>
    <w:p>
      <w:pPr>
        <w:spacing w:after="0" w:line="201" w:lineRule="exact"/>
        <w:rPr>
          <w:sz w:val="20"/>
          <w:szCs w:val="20"/>
          <w:color w:val="auto"/>
        </w:rPr>
      </w:pPr>
    </w:p>
    <w:p>
      <w:pPr>
        <w:ind w:left="580" w:hanging="329"/>
        <w:spacing w:after="0" w:line="253" w:lineRule="auto"/>
        <w:tabs>
          <w:tab w:leader="none" w:pos="580" w:val="left"/>
        </w:tabs>
        <w:numPr>
          <w:ilvl w:val="0"/>
          <w:numId w:val="29"/>
        </w:numPr>
        <w:rPr>
          <w:rFonts w:ascii="Arial" w:cs="Arial" w:eastAsia="Arial" w:hAnsi="Arial"/>
          <w:sz w:val="16"/>
          <w:szCs w:val="16"/>
          <w:color w:val="4B1F68"/>
        </w:rPr>
      </w:pPr>
      <w:r>
        <w:rPr>
          <w:rFonts w:ascii="Arial" w:cs="Arial" w:eastAsia="Arial" w:hAnsi="Arial"/>
          <w:sz w:val="16"/>
          <w:szCs w:val="16"/>
          <w:color w:val="3B3C43"/>
        </w:rPr>
        <w:t>Discontinued the use of stock options, based on feedback from shareholders that stock options are not performance-based. A majority of our long-term equity plan continued to be performance-based, consisting of 70% Performance Share Unit awards (“</w:t>
      </w:r>
      <w:r>
        <w:rPr>
          <w:rFonts w:ascii="Arial" w:cs="Arial" w:eastAsia="Arial" w:hAnsi="Arial"/>
          <w:sz w:val="16"/>
          <w:szCs w:val="16"/>
          <w:b w:val="1"/>
          <w:bCs w:val="1"/>
          <w:color w:val="3B3C43"/>
        </w:rPr>
        <w:t>PSUs</w:t>
      </w:r>
      <w:r>
        <w:rPr>
          <w:rFonts w:ascii="Arial" w:cs="Arial" w:eastAsia="Arial" w:hAnsi="Arial"/>
          <w:sz w:val="16"/>
          <w:szCs w:val="16"/>
          <w:color w:val="3B3C43"/>
        </w:rPr>
        <w:t>”) and 30% Restricted Stock Unit awards (“</w:t>
      </w:r>
      <w:r>
        <w:rPr>
          <w:rFonts w:ascii="Arial" w:cs="Arial" w:eastAsia="Arial" w:hAnsi="Arial"/>
          <w:sz w:val="16"/>
          <w:szCs w:val="16"/>
          <w:b w:val="1"/>
          <w:bCs w:val="1"/>
          <w:color w:val="3B3C43"/>
        </w:rPr>
        <w:t>RSUs</w:t>
      </w:r>
      <w:r>
        <w:rPr>
          <w:rFonts w:ascii="Arial" w:cs="Arial" w:eastAsia="Arial" w:hAnsi="Arial"/>
          <w:sz w:val="16"/>
          <w:szCs w:val="16"/>
          <w:color w:val="3B3C43"/>
        </w:rPr>
        <w:t>”).</w:t>
      </w:r>
    </w:p>
    <w:p>
      <w:pPr>
        <w:spacing w:after="0" w:line="127" w:lineRule="exact"/>
        <w:rPr>
          <w:rFonts w:ascii="Arial" w:cs="Arial" w:eastAsia="Arial" w:hAnsi="Arial"/>
          <w:sz w:val="16"/>
          <w:szCs w:val="16"/>
          <w:color w:val="4B1F68"/>
        </w:rPr>
      </w:pPr>
    </w:p>
    <w:p>
      <w:pPr>
        <w:ind w:left="580" w:right="60" w:hanging="329"/>
        <w:spacing w:after="0" w:line="259" w:lineRule="auto"/>
        <w:tabs>
          <w:tab w:leader="none" w:pos="580" w:val="left"/>
        </w:tabs>
        <w:numPr>
          <w:ilvl w:val="0"/>
          <w:numId w:val="29"/>
        </w:numPr>
        <w:rPr>
          <w:rFonts w:ascii="Arial" w:cs="Arial" w:eastAsia="Arial" w:hAnsi="Arial"/>
          <w:sz w:val="16"/>
          <w:szCs w:val="16"/>
          <w:color w:val="4B1F68"/>
        </w:rPr>
      </w:pPr>
      <w:r>
        <w:rPr>
          <w:rFonts w:ascii="Arial" w:cs="Arial" w:eastAsia="Arial" w:hAnsi="Arial"/>
          <w:sz w:val="16"/>
          <w:szCs w:val="16"/>
          <w:color w:val="3B3C43"/>
        </w:rPr>
        <w:t>In 2019, the long-term equity award grant was based on two performance measures, Return on Invested Capital (“</w:t>
      </w:r>
      <w:r>
        <w:rPr>
          <w:rFonts w:ascii="Arial" w:cs="Arial" w:eastAsia="Arial" w:hAnsi="Arial"/>
          <w:sz w:val="16"/>
          <w:szCs w:val="16"/>
          <w:b w:val="1"/>
          <w:bCs w:val="1"/>
          <w:color w:val="3B3C43"/>
        </w:rPr>
        <w:t>ROIC</w:t>
      </w:r>
      <w:r>
        <w:rPr>
          <w:rFonts w:ascii="Arial" w:cs="Arial" w:eastAsia="Arial" w:hAnsi="Arial"/>
          <w:sz w:val="16"/>
          <w:szCs w:val="16"/>
          <w:color w:val="3B3C43"/>
        </w:rPr>
        <w:t>”) and relative Total Shareholder Return (“</w:t>
      </w:r>
      <w:r>
        <w:rPr>
          <w:rFonts w:ascii="Arial" w:cs="Arial" w:eastAsia="Arial" w:hAnsi="Arial"/>
          <w:sz w:val="16"/>
          <w:szCs w:val="16"/>
          <w:b w:val="1"/>
          <w:bCs w:val="1"/>
          <w:color w:val="3B3C43"/>
        </w:rPr>
        <w:t>TSR</w:t>
      </w:r>
      <w:r>
        <w:rPr>
          <w:rFonts w:ascii="Arial" w:cs="Arial" w:eastAsia="Arial" w:hAnsi="Arial"/>
          <w:sz w:val="16"/>
          <w:szCs w:val="16"/>
          <w:color w:val="3B3C43"/>
        </w:rPr>
        <w:t>”). However, for 2020, the volatility in the oil and gas business environment, as well as our Spin-off, made it challenging to set meaningful ROIC targets, and as a result, a single performance measure, relative TSR, was selected. We believe that this measure is strongly aligned with shareholder interests and is a meaningful measure of our long-term performance.</w:t>
      </w:r>
    </w:p>
    <w:p>
      <w:pPr>
        <w:spacing w:after="0" w:line="143" w:lineRule="exact"/>
        <w:rPr>
          <w:rFonts w:ascii="Arial" w:cs="Arial" w:eastAsia="Arial" w:hAnsi="Arial"/>
          <w:sz w:val="16"/>
          <w:szCs w:val="16"/>
          <w:color w:val="4B1F68"/>
        </w:rPr>
      </w:pPr>
    </w:p>
    <w:p>
      <w:pPr>
        <w:ind w:left="580" w:hanging="329"/>
        <w:spacing w:after="0" w:line="253" w:lineRule="auto"/>
        <w:tabs>
          <w:tab w:leader="none" w:pos="580" w:val="left"/>
        </w:tabs>
        <w:numPr>
          <w:ilvl w:val="0"/>
          <w:numId w:val="29"/>
        </w:numPr>
        <w:rPr>
          <w:rFonts w:ascii="Arial" w:cs="Arial" w:eastAsia="Arial" w:hAnsi="Arial"/>
          <w:sz w:val="16"/>
          <w:szCs w:val="16"/>
          <w:color w:val="4B1F68"/>
        </w:rPr>
      </w:pPr>
      <w:r>
        <w:rPr>
          <w:rFonts w:ascii="Arial" w:cs="Arial" w:eastAsia="Arial" w:hAnsi="Arial"/>
          <w:sz w:val="16"/>
          <w:szCs w:val="16"/>
          <w:color w:val="3B3C43"/>
        </w:rPr>
        <w:t>Continued to base a portion of our CEO’s annual cash incentive on certain sustainability measures to further reinforce the Company’s commitment to our Foundational Beliefs. For 2021, we have included an ESG metric (25% weighting) in our annual cash incentive plan to drive accountability and strengthen the link between our compensation program and our ESG commitments and objectives.</w:t>
      </w:r>
    </w:p>
    <w:p>
      <w:pPr>
        <w:spacing w:after="0" w:line="147" w:lineRule="exact"/>
        <w:rPr>
          <w:rFonts w:ascii="Arial" w:cs="Arial" w:eastAsia="Arial" w:hAnsi="Arial"/>
          <w:sz w:val="16"/>
          <w:szCs w:val="16"/>
          <w:color w:val="4B1F68"/>
        </w:rPr>
      </w:pPr>
    </w:p>
    <w:p>
      <w:pPr>
        <w:ind w:left="580" w:hanging="329"/>
        <w:spacing w:after="0"/>
        <w:tabs>
          <w:tab w:leader="none" w:pos="580" w:val="left"/>
        </w:tabs>
        <w:numPr>
          <w:ilvl w:val="0"/>
          <w:numId w:val="29"/>
        </w:numPr>
        <w:rPr>
          <w:rFonts w:ascii="Arial" w:cs="Arial" w:eastAsia="Arial" w:hAnsi="Arial"/>
          <w:sz w:val="16"/>
          <w:szCs w:val="16"/>
          <w:color w:val="4B1F68"/>
        </w:rPr>
      </w:pPr>
      <w:r>
        <w:rPr>
          <w:rFonts w:ascii="Arial" w:cs="Arial" w:eastAsia="Arial" w:hAnsi="Arial"/>
          <w:sz w:val="16"/>
          <w:szCs w:val="16"/>
          <w:color w:val="3B3C43"/>
        </w:rPr>
        <w:t>Updated our Compensation Peer Group and Relative TSR Peer Group to reflect changes in our business environment.</w:t>
      </w:r>
    </w:p>
    <w:p>
      <w:pPr>
        <w:spacing w:after="0" w:line="167" w:lineRule="exact"/>
        <w:rPr>
          <w:rFonts w:ascii="Arial" w:cs="Arial" w:eastAsia="Arial" w:hAnsi="Arial"/>
          <w:sz w:val="16"/>
          <w:szCs w:val="16"/>
          <w:color w:val="4B1F68"/>
        </w:rPr>
      </w:pPr>
    </w:p>
    <w:p>
      <w:pPr>
        <w:ind w:left="580" w:right="480" w:hanging="329"/>
        <w:spacing w:after="0" w:line="260" w:lineRule="auto"/>
        <w:tabs>
          <w:tab w:leader="none" w:pos="580" w:val="left"/>
        </w:tabs>
        <w:numPr>
          <w:ilvl w:val="0"/>
          <w:numId w:val="29"/>
        </w:numPr>
        <w:rPr>
          <w:rFonts w:ascii="Arial" w:cs="Arial" w:eastAsia="Arial" w:hAnsi="Arial"/>
          <w:sz w:val="16"/>
          <w:szCs w:val="16"/>
          <w:color w:val="4B1F68"/>
        </w:rPr>
      </w:pPr>
      <w:r>
        <w:rPr>
          <w:rFonts w:ascii="Arial" w:cs="Arial" w:eastAsia="Arial" w:hAnsi="Arial"/>
          <w:sz w:val="16"/>
          <w:szCs w:val="16"/>
          <w:color w:val="3B3C43"/>
        </w:rPr>
        <w:t>Enhanced disclosures in our Compensation Discussion and Analysis, including descriptions of the individual performance component of our annual cash incentive plan, our PSU plan performance, our target-setting process, and our peer group selection rationale.</w:t>
      </w:r>
    </w:p>
    <w:p>
      <w:pPr>
        <w:spacing w:after="0" w:line="200" w:lineRule="exact"/>
        <w:rPr>
          <w:sz w:val="20"/>
          <w:szCs w:val="20"/>
          <w:color w:val="auto"/>
        </w:rPr>
      </w:pPr>
    </w:p>
    <w:p>
      <w:pPr>
        <w:spacing w:after="0" w:line="29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12</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315" w:right="5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36130" cy="50787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507873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4B1F68"/>
        </w:rPr>
        <w:t>Executive Compensation Practices</w:t>
      </w:r>
    </w:p>
    <w:p>
      <w:pPr>
        <w:spacing w:after="0" w:line="16" w:lineRule="exact"/>
        <w:rPr>
          <w:sz w:val="20"/>
          <w:szCs w:val="20"/>
          <w:color w:val="auto"/>
        </w:rPr>
      </w:pPr>
    </w:p>
    <w:p>
      <w:pPr>
        <w:ind w:left="160" w:right="460"/>
        <w:spacing w:after="0" w:line="260" w:lineRule="auto"/>
        <w:rPr>
          <w:sz w:val="20"/>
          <w:szCs w:val="20"/>
          <w:color w:val="auto"/>
        </w:rPr>
      </w:pPr>
      <w:r>
        <w:rPr>
          <w:rFonts w:ascii="Arial" w:cs="Arial" w:eastAsia="Arial" w:hAnsi="Arial"/>
          <w:sz w:val="16"/>
          <w:szCs w:val="16"/>
          <w:color w:val="3B3C43"/>
        </w:rPr>
        <w:t>Our compensation practices are designed to align with shareholder interests and incorporate strong governance practices that support the guiding principles of our executive compensation program, which include the following:</w:t>
      </w:r>
    </w:p>
    <w:p>
      <w:pPr>
        <w:spacing w:after="0" w:line="168" w:lineRule="exact"/>
        <w:rPr>
          <w:sz w:val="20"/>
          <w:szCs w:val="20"/>
          <w:color w:val="auto"/>
        </w:rPr>
      </w:pPr>
    </w:p>
    <w:p>
      <w:pPr>
        <w:ind w:left="600" w:hanging="214"/>
        <w:spacing w:after="0"/>
        <w:tabs>
          <w:tab w:leader="none" w:pos="600" w:val="left"/>
        </w:tabs>
        <w:numPr>
          <w:ilvl w:val="0"/>
          <w:numId w:val="30"/>
        </w:numPr>
        <w:rPr>
          <w:rFonts w:ascii="Arial" w:cs="Arial" w:eastAsia="Arial" w:hAnsi="Arial"/>
          <w:sz w:val="16"/>
          <w:szCs w:val="16"/>
          <w:color w:val="4B1F68"/>
        </w:rPr>
      </w:pPr>
      <w:r>
        <w:rPr>
          <w:rFonts w:ascii="Arial" w:cs="Arial" w:eastAsia="Arial" w:hAnsi="Arial"/>
          <w:sz w:val="16"/>
          <w:szCs w:val="16"/>
          <w:color w:val="3B3C43"/>
        </w:rPr>
        <w:t>Attract talented individuals by providing market competitive levels of compensation</w:t>
      </w:r>
    </w:p>
    <w:p>
      <w:pPr>
        <w:spacing w:after="0" w:line="194" w:lineRule="exact"/>
        <w:rPr>
          <w:rFonts w:ascii="Arial" w:cs="Arial" w:eastAsia="Arial" w:hAnsi="Arial"/>
          <w:sz w:val="16"/>
          <w:szCs w:val="16"/>
          <w:color w:val="4B1F68"/>
        </w:rPr>
      </w:pPr>
    </w:p>
    <w:p>
      <w:pPr>
        <w:ind w:left="600" w:hanging="214"/>
        <w:spacing w:after="0"/>
        <w:tabs>
          <w:tab w:leader="none" w:pos="600" w:val="left"/>
        </w:tabs>
        <w:numPr>
          <w:ilvl w:val="0"/>
          <w:numId w:val="30"/>
        </w:numPr>
        <w:rPr>
          <w:rFonts w:ascii="Arial" w:cs="Arial" w:eastAsia="Arial" w:hAnsi="Arial"/>
          <w:sz w:val="16"/>
          <w:szCs w:val="16"/>
          <w:color w:val="4B1F68"/>
        </w:rPr>
      </w:pPr>
      <w:r>
        <w:rPr>
          <w:rFonts w:ascii="Arial" w:cs="Arial" w:eastAsia="Arial" w:hAnsi="Arial"/>
          <w:sz w:val="16"/>
          <w:szCs w:val="16"/>
          <w:color w:val="3B3C43"/>
        </w:rPr>
        <w:t>Retain our leaders by incentivizing them to deliver on our vision</w:t>
      </w:r>
    </w:p>
    <w:p>
      <w:pPr>
        <w:spacing w:after="0" w:line="194" w:lineRule="exact"/>
        <w:rPr>
          <w:rFonts w:ascii="Arial" w:cs="Arial" w:eastAsia="Arial" w:hAnsi="Arial"/>
          <w:sz w:val="16"/>
          <w:szCs w:val="16"/>
          <w:color w:val="4B1F68"/>
        </w:rPr>
      </w:pPr>
    </w:p>
    <w:p>
      <w:pPr>
        <w:ind w:left="600" w:hanging="214"/>
        <w:spacing w:after="0"/>
        <w:tabs>
          <w:tab w:leader="none" w:pos="600" w:val="left"/>
        </w:tabs>
        <w:numPr>
          <w:ilvl w:val="0"/>
          <w:numId w:val="30"/>
        </w:numPr>
        <w:rPr>
          <w:rFonts w:ascii="Arial" w:cs="Arial" w:eastAsia="Arial" w:hAnsi="Arial"/>
          <w:sz w:val="16"/>
          <w:szCs w:val="16"/>
          <w:color w:val="4B1F68"/>
        </w:rPr>
      </w:pPr>
      <w:r>
        <w:rPr>
          <w:rFonts w:ascii="Arial" w:cs="Arial" w:eastAsia="Arial" w:hAnsi="Arial"/>
          <w:sz w:val="16"/>
          <w:szCs w:val="16"/>
          <w:color w:val="3B3C43"/>
        </w:rPr>
        <w:t>Link the interests of our executive officers with the interests of the Company and shareholders</w:t>
      </w:r>
    </w:p>
    <w:p>
      <w:pPr>
        <w:spacing w:after="0" w:line="194" w:lineRule="exact"/>
        <w:rPr>
          <w:rFonts w:ascii="Arial" w:cs="Arial" w:eastAsia="Arial" w:hAnsi="Arial"/>
          <w:sz w:val="16"/>
          <w:szCs w:val="16"/>
          <w:color w:val="4B1F68"/>
        </w:rPr>
      </w:pPr>
    </w:p>
    <w:p>
      <w:pPr>
        <w:ind w:left="600" w:hanging="214"/>
        <w:spacing w:after="0"/>
        <w:tabs>
          <w:tab w:leader="none" w:pos="600" w:val="left"/>
        </w:tabs>
        <w:numPr>
          <w:ilvl w:val="0"/>
          <w:numId w:val="30"/>
        </w:numPr>
        <w:rPr>
          <w:rFonts w:ascii="Arial" w:cs="Arial" w:eastAsia="Arial" w:hAnsi="Arial"/>
          <w:sz w:val="16"/>
          <w:szCs w:val="16"/>
          <w:color w:val="4B1F68"/>
        </w:rPr>
      </w:pPr>
      <w:r>
        <w:rPr>
          <w:rFonts w:ascii="Arial" w:cs="Arial" w:eastAsia="Arial" w:hAnsi="Arial"/>
          <w:sz w:val="16"/>
          <w:szCs w:val="16"/>
          <w:color w:val="3B3C43"/>
        </w:rPr>
        <w:t>Align executive officers’ interests with our long-term financial and strategic objectives</w:t>
      </w:r>
    </w:p>
    <w:p>
      <w:pPr>
        <w:spacing w:after="0" w:line="194" w:lineRule="exact"/>
        <w:rPr>
          <w:rFonts w:ascii="Arial" w:cs="Arial" w:eastAsia="Arial" w:hAnsi="Arial"/>
          <w:sz w:val="16"/>
          <w:szCs w:val="16"/>
          <w:color w:val="4B1F68"/>
        </w:rPr>
      </w:pPr>
    </w:p>
    <w:p>
      <w:pPr>
        <w:ind w:left="600" w:hanging="214"/>
        <w:spacing w:after="0"/>
        <w:tabs>
          <w:tab w:leader="none" w:pos="600" w:val="left"/>
        </w:tabs>
        <w:numPr>
          <w:ilvl w:val="0"/>
          <w:numId w:val="30"/>
        </w:numPr>
        <w:rPr>
          <w:rFonts w:ascii="Arial" w:cs="Arial" w:eastAsia="Arial" w:hAnsi="Arial"/>
          <w:sz w:val="16"/>
          <w:szCs w:val="16"/>
          <w:color w:val="4B1F68"/>
        </w:rPr>
      </w:pPr>
      <w:r>
        <w:rPr>
          <w:rFonts w:ascii="Arial" w:cs="Arial" w:eastAsia="Arial" w:hAnsi="Arial"/>
          <w:sz w:val="16"/>
          <w:szCs w:val="16"/>
          <w:color w:val="3B3C43"/>
        </w:rPr>
        <w:t>Maintain flexibility to better respond to the cyclical energy industry</w:t>
      </w:r>
    </w:p>
    <w:p>
      <w:pPr>
        <w:spacing w:after="0" w:line="194" w:lineRule="exact"/>
        <w:rPr>
          <w:rFonts w:ascii="Arial" w:cs="Arial" w:eastAsia="Arial" w:hAnsi="Arial"/>
          <w:sz w:val="16"/>
          <w:szCs w:val="16"/>
          <w:color w:val="4B1F68"/>
        </w:rPr>
      </w:pPr>
    </w:p>
    <w:p>
      <w:pPr>
        <w:ind w:left="600" w:hanging="214"/>
        <w:spacing w:after="0"/>
        <w:tabs>
          <w:tab w:leader="none" w:pos="600" w:val="left"/>
        </w:tabs>
        <w:numPr>
          <w:ilvl w:val="0"/>
          <w:numId w:val="30"/>
        </w:numPr>
        <w:rPr>
          <w:rFonts w:ascii="Arial" w:cs="Arial" w:eastAsia="Arial" w:hAnsi="Arial"/>
          <w:sz w:val="16"/>
          <w:szCs w:val="16"/>
          <w:color w:val="4B1F68"/>
        </w:rPr>
      </w:pPr>
      <w:r>
        <w:rPr>
          <w:rFonts w:ascii="Arial" w:cs="Arial" w:eastAsia="Arial" w:hAnsi="Arial"/>
          <w:sz w:val="16"/>
          <w:szCs w:val="16"/>
          <w:color w:val="3B3C43"/>
        </w:rPr>
        <w:t>Encourage prudent risk-taking by our executives</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278"/>
        </w:trPr>
        <w:tc>
          <w:tcPr>
            <w:tcW w:w="526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What We Do:</w:t>
            </w:r>
          </w:p>
        </w:tc>
        <w:tc>
          <w:tcPr>
            <w:tcW w:w="5660" w:type="dxa"/>
            <w:vAlign w:val="bottom"/>
            <w:shd w:val="clear" w:color="auto" w:fill="4B1F68"/>
          </w:tcPr>
          <w:p>
            <w:pPr>
              <w:ind w:left="240"/>
              <w:spacing w:after="0"/>
              <w:rPr>
                <w:sz w:val="20"/>
                <w:szCs w:val="20"/>
                <w:color w:val="auto"/>
              </w:rPr>
            </w:pPr>
            <w:r>
              <w:rPr>
                <w:rFonts w:ascii="Arial" w:cs="Arial" w:eastAsia="Arial" w:hAnsi="Arial"/>
                <w:sz w:val="16"/>
                <w:szCs w:val="16"/>
                <w:b w:val="1"/>
                <w:bCs w:val="1"/>
                <w:color w:val="FFFFFF"/>
              </w:rPr>
              <w:t>What We Don’t Do</w:t>
            </w:r>
          </w:p>
        </w:tc>
        <w:tc>
          <w:tcPr>
            <w:tcW w:w="0" w:type="dxa"/>
            <w:vAlign w:val="bottom"/>
          </w:tcPr>
          <w:p>
            <w:pPr>
              <w:spacing w:after="0"/>
              <w:rPr>
                <w:sz w:val="1"/>
                <w:szCs w:val="1"/>
                <w:color w:val="auto"/>
              </w:rPr>
            </w:pPr>
          </w:p>
        </w:tc>
      </w:tr>
      <w:tr>
        <w:trPr>
          <w:trHeight w:val="100"/>
        </w:trPr>
        <w:tc>
          <w:tcPr>
            <w:tcW w:w="5260" w:type="dxa"/>
            <w:vAlign w:val="bottom"/>
            <w:shd w:val="clear" w:color="auto" w:fill="4B1F68"/>
          </w:tcPr>
          <w:p>
            <w:pPr>
              <w:spacing w:after="0"/>
              <w:rPr>
                <w:sz w:val="8"/>
                <w:szCs w:val="8"/>
                <w:color w:val="auto"/>
              </w:rPr>
            </w:pPr>
          </w:p>
        </w:tc>
        <w:tc>
          <w:tcPr>
            <w:tcW w:w="5660" w:type="dxa"/>
            <w:vAlign w:val="bottom"/>
            <w:shd w:val="clear" w:color="auto" w:fill="4B1F68"/>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5260" w:type="dxa"/>
            <w:vAlign w:val="bottom"/>
          </w:tcPr>
          <w:p>
            <w:pPr>
              <w:ind w:left="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Pay for performance by aligning performance measures with our</w:t>
            </w:r>
          </w:p>
        </w:tc>
        <w:tc>
          <w:tcPr>
            <w:tcW w:w="5660" w:type="dxa"/>
            <w:vAlign w:val="bottom"/>
          </w:tcPr>
          <w:p>
            <w:pPr>
              <w:ind w:left="2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000000"/>
              </w:rPr>
              <w:t>No single-trigger vesting upon a change-in-control</w:t>
            </w:r>
          </w:p>
        </w:tc>
        <w:tc>
          <w:tcPr>
            <w:tcW w:w="0" w:type="dxa"/>
            <w:vAlign w:val="bottom"/>
          </w:tcPr>
          <w:p>
            <w:pPr>
              <w:spacing w:after="0"/>
              <w:rPr>
                <w:sz w:val="1"/>
                <w:szCs w:val="1"/>
                <w:color w:val="auto"/>
              </w:rPr>
            </w:pPr>
          </w:p>
        </w:tc>
      </w:tr>
      <w:tr>
        <w:trPr>
          <w:trHeight w:val="195"/>
        </w:trPr>
        <w:tc>
          <w:tcPr>
            <w:tcW w:w="5260" w:type="dxa"/>
            <w:vAlign w:val="bottom"/>
          </w:tcPr>
          <w:p>
            <w:pPr>
              <w:ind w:left="280"/>
              <w:spacing w:after="0"/>
              <w:rPr>
                <w:sz w:val="20"/>
                <w:szCs w:val="20"/>
                <w:color w:val="auto"/>
              </w:rPr>
            </w:pPr>
            <w:r>
              <w:rPr>
                <w:rFonts w:ascii="Arial" w:cs="Arial" w:eastAsia="Arial" w:hAnsi="Arial"/>
                <w:sz w:val="16"/>
                <w:szCs w:val="16"/>
                <w:color w:val="3B3C43"/>
              </w:rPr>
              <w:t>strategy and shareholder interests</w:t>
            </w:r>
          </w:p>
        </w:tc>
        <w:tc>
          <w:tcPr>
            <w:tcW w:w="5660" w:type="dxa"/>
            <w:vAlign w:val="bottom"/>
            <w:vMerge w:val="restart"/>
          </w:tcPr>
          <w:p>
            <w:pPr>
              <w:ind w:left="2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000000"/>
              </w:rPr>
              <w:t>No guaranteed bonuses</w:t>
            </w:r>
          </w:p>
        </w:tc>
        <w:tc>
          <w:tcPr>
            <w:tcW w:w="0" w:type="dxa"/>
            <w:vAlign w:val="bottom"/>
          </w:tcPr>
          <w:p>
            <w:pPr>
              <w:spacing w:after="0"/>
              <w:rPr>
                <w:sz w:val="1"/>
                <w:szCs w:val="1"/>
                <w:color w:val="auto"/>
              </w:rPr>
            </w:pPr>
          </w:p>
        </w:tc>
      </w:tr>
      <w:tr>
        <w:trPr>
          <w:trHeight w:val="189"/>
        </w:trPr>
        <w:tc>
          <w:tcPr>
            <w:tcW w:w="5260" w:type="dxa"/>
            <w:vAlign w:val="bottom"/>
            <w:vMerge w:val="restart"/>
          </w:tcPr>
          <w:p>
            <w:pPr>
              <w:ind w:left="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Provide the majority of NEO compensation as performance-based,</w:t>
            </w:r>
          </w:p>
        </w:tc>
        <w:tc>
          <w:tcPr>
            <w:tcW w:w="5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60" w:type="dxa"/>
            <w:vAlign w:val="bottom"/>
            <w:vMerge w:val="continue"/>
          </w:tcPr>
          <w:p>
            <w:pPr>
              <w:spacing w:after="0"/>
              <w:rPr>
                <w:sz w:val="15"/>
                <w:szCs w:val="15"/>
                <w:color w:val="auto"/>
              </w:rPr>
            </w:pPr>
          </w:p>
        </w:tc>
        <w:tc>
          <w:tcPr>
            <w:tcW w:w="5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280"/>
              <w:spacing w:after="0"/>
              <w:rPr>
                <w:sz w:val="20"/>
                <w:szCs w:val="20"/>
                <w:color w:val="auto"/>
              </w:rPr>
            </w:pPr>
            <w:r>
              <w:rPr>
                <w:rFonts w:ascii="Arial" w:cs="Arial" w:eastAsia="Arial" w:hAnsi="Arial"/>
                <w:sz w:val="16"/>
                <w:szCs w:val="16"/>
                <w:color w:val="3B3C43"/>
              </w:rPr>
              <w:t>“at-risk” compensation</w:t>
            </w:r>
          </w:p>
        </w:tc>
        <w:tc>
          <w:tcPr>
            <w:tcW w:w="5660" w:type="dxa"/>
            <w:vAlign w:val="bottom"/>
          </w:tcPr>
          <w:p>
            <w:pPr>
              <w:ind w:left="2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000000"/>
              </w:rPr>
              <w:t>No uncapped incentives</w:t>
            </w:r>
          </w:p>
        </w:tc>
        <w:tc>
          <w:tcPr>
            <w:tcW w:w="0" w:type="dxa"/>
            <w:vAlign w:val="bottom"/>
          </w:tcPr>
          <w:p>
            <w:pPr>
              <w:spacing w:after="0"/>
              <w:rPr>
                <w:sz w:val="1"/>
                <w:szCs w:val="1"/>
                <w:color w:val="auto"/>
              </w:rPr>
            </w:pPr>
          </w:p>
        </w:tc>
      </w:tr>
      <w:tr>
        <w:trPr>
          <w:trHeight w:val="378"/>
        </w:trPr>
        <w:tc>
          <w:tcPr>
            <w:tcW w:w="5260" w:type="dxa"/>
            <w:vAlign w:val="bottom"/>
          </w:tcPr>
          <w:p>
            <w:pPr>
              <w:ind w:left="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Maintain a clawback policy in the event of malfeasance or fraud</w:t>
            </w:r>
          </w:p>
        </w:tc>
        <w:tc>
          <w:tcPr>
            <w:tcW w:w="5660" w:type="dxa"/>
            <w:vAlign w:val="bottom"/>
          </w:tcPr>
          <w:p>
            <w:pPr>
              <w:ind w:left="2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000000"/>
              </w:rPr>
              <w:t>No tax gross-ups on any severance payments</w:t>
            </w:r>
          </w:p>
        </w:tc>
        <w:tc>
          <w:tcPr>
            <w:tcW w:w="0" w:type="dxa"/>
            <w:vAlign w:val="bottom"/>
          </w:tcPr>
          <w:p>
            <w:pPr>
              <w:spacing w:after="0"/>
              <w:rPr>
                <w:sz w:val="1"/>
                <w:szCs w:val="1"/>
                <w:color w:val="auto"/>
              </w:rPr>
            </w:pPr>
          </w:p>
        </w:tc>
      </w:tr>
      <w:tr>
        <w:trPr>
          <w:trHeight w:val="372"/>
        </w:trPr>
        <w:tc>
          <w:tcPr>
            <w:tcW w:w="5260" w:type="dxa"/>
            <w:vAlign w:val="bottom"/>
          </w:tcPr>
          <w:p>
            <w:pPr>
              <w:ind w:left="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Require robust executive and director share ownership</w:t>
            </w:r>
          </w:p>
        </w:tc>
        <w:tc>
          <w:tcPr>
            <w:tcW w:w="5660" w:type="dxa"/>
            <w:vAlign w:val="bottom"/>
          </w:tcPr>
          <w:p>
            <w:pPr>
              <w:ind w:left="2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000000"/>
              </w:rPr>
              <w:t>No excessive perquisites, benefits, or pension payments</w:t>
            </w:r>
          </w:p>
        </w:tc>
        <w:tc>
          <w:tcPr>
            <w:tcW w:w="0" w:type="dxa"/>
            <w:vAlign w:val="bottom"/>
          </w:tcPr>
          <w:p>
            <w:pPr>
              <w:spacing w:after="0"/>
              <w:rPr>
                <w:sz w:val="1"/>
                <w:szCs w:val="1"/>
                <w:color w:val="auto"/>
              </w:rPr>
            </w:pPr>
          </w:p>
        </w:tc>
      </w:tr>
      <w:tr>
        <w:trPr>
          <w:trHeight w:val="195"/>
        </w:trPr>
        <w:tc>
          <w:tcPr>
            <w:tcW w:w="5260" w:type="dxa"/>
            <w:vAlign w:val="bottom"/>
          </w:tcPr>
          <w:p>
            <w:pPr>
              <w:ind w:left="280"/>
              <w:spacing w:after="0"/>
              <w:rPr>
                <w:sz w:val="20"/>
                <w:szCs w:val="20"/>
                <w:color w:val="auto"/>
              </w:rPr>
            </w:pPr>
            <w:r>
              <w:rPr>
                <w:rFonts w:ascii="Arial" w:cs="Arial" w:eastAsia="Arial" w:hAnsi="Arial"/>
                <w:sz w:val="16"/>
                <w:szCs w:val="16"/>
                <w:color w:val="3B3C43"/>
              </w:rPr>
              <w:t>requirements</w:t>
            </w:r>
          </w:p>
        </w:tc>
        <w:tc>
          <w:tcPr>
            <w:tcW w:w="5660" w:type="dxa"/>
            <w:vAlign w:val="bottom"/>
            <w:vMerge w:val="restart"/>
          </w:tcPr>
          <w:p>
            <w:pPr>
              <w:ind w:left="2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000000"/>
              </w:rPr>
              <w:t>No discounting, reloading, or repricing of stock options</w:t>
            </w:r>
          </w:p>
        </w:tc>
        <w:tc>
          <w:tcPr>
            <w:tcW w:w="0" w:type="dxa"/>
            <w:vAlign w:val="bottom"/>
          </w:tcPr>
          <w:p>
            <w:pPr>
              <w:spacing w:after="0"/>
              <w:rPr>
                <w:sz w:val="1"/>
                <w:szCs w:val="1"/>
                <w:color w:val="auto"/>
              </w:rPr>
            </w:pPr>
          </w:p>
        </w:tc>
      </w:tr>
      <w:tr>
        <w:trPr>
          <w:trHeight w:val="189"/>
        </w:trPr>
        <w:tc>
          <w:tcPr>
            <w:tcW w:w="5260" w:type="dxa"/>
            <w:vAlign w:val="bottom"/>
            <w:vMerge w:val="restart"/>
          </w:tcPr>
          <w:p>
            <w:pPr>
              <w:ind w:left="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Engage an independent, external compensation consultant</w:t>
            </w:r>
          </w:p>
        </w:tc>
        <w:tc>
          <w:tcPr>
            <w:tcW w:w="5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vMerge w:val="continue"/>
          </w:tcPr>
          <w:p>
            <w:pPr>
              <w:spacing w:after="0"/>
              <w:rPr>
                <w:sz w:val="16"/>
                <w:szCs w:val="16"/>
                <w:color w:val="auto"/>
              </w:rPr>
            </w:pPr>
          </w:p>
        </w:tc>
        <w:tc>
          <w:tcPr>
            <w:tcW w:w="5660" w:type="dxa"/>
            <w:vAlign w:val="bottom"/>
            <w:vMerge w:val="restart"/>
          </w:tcPr>
          <w:p>
            <w:pPr>
              <w:ind w:left="2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000000"/>
              </w:rPr>
              <w:t>No hedging and pledging of Company securities</w:t>
            </w:r>
          </w:p>
        </w:tc>
        <w:tc>
          <w:tcPr>
            <w:tcW w:w="0" w:type="dxa"/>
            <w:vAlign w:val="bottom"/>
          </w:tcPr>
          <w:p>
            <w:pPr>
              <w:spacing w:after="0"/>
              <w:rPr>
                <w:sz w:val="1"/>
                <w:szCs w:val="1"/>
                <w:color w:val="auto"/>
              </w:rPr>
            </w:pPr>
          </w:p>
        </w:tc>
      </w:tr>
      <w:tr>
        <w:trPr>
          <w:trHeight w:val="183"/>
        </w:trPr>
        <w:tc>
          <w:tcPr>
            <w:tcW w:w="5260" w:type="dxa"/>
            <w:vAlign w:val="bottom"/>
          </w:tcPr>
          <w:p>
            <w:pPr>
              <w:spacing w:after="0"/>
              <w:rPr>
                <w:sz w:val="15"/>
                <w:szCs w:val="15"/>
                <w:color w:val="auto"/>
              </w:rPr>
            </w:pPr>
          </w:p>
        </w:tc>
        <w:tc>
          <w:tcPr>
            <w:tcW w:w="5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440" w:right="5820" w:hanging="216"/>
        <w:spacing w:after="0" w:line="260" w:lineRule="auto"/>
        <w:tabs>
          <w:tab w:leader="none" w:pos="429" w:val="left"/>
        </w:tabs>
        <w:numPr>
          <w:ilvl w:val="0"/>
          <w:numId w:val="31"/>
        </w:numPr>
        <w:rPr>
          <w:rFonts w:ascii="Arial" w:cs="Arial" w:eastAsia="Arial" w:hAnsi="Arial"/>
          <w:sz w:val="16"/>
          <w:szCs w:val="16"/>
          <w:color w:val="4B1F68"/>
        </w:rPr>
      </w:pPr>
      <w:r>
        <w:rPr>
          <w:rFonts w:ascii="Arial" w:cs="Arial" w:eastAsia="Arial" w:hAnsi="Arial"/>
          <w:sz w:val="16"/>
          <w:szCs w:val="16"/>
          <w:color w:val="3B3C43"/>
        </w:rPr>
        <w:t>Benchmark compensation against relevant global and industry peer groups</w:t>
      </w:r>
    </w:p>
    <w:p>
      <w:pPr>
        <w:spacing w:after="0" w:line="168" w:lineRule="exact"/>
        <w:rPr>
          <w:rFonts w:ascii="Arial" w:cs="Arial" w:eastAsia="Arial" w:hAnsi="Arial"/>
          <w:sz w:val="16"/>
          <w:szCs w:val="16"/>
          <w:color w:val="4B1F68"/>
        </w:rPr>
      </w:pPr>
    </w:p>
    <w:p>
      <w:pPr>
        <w:ind w:left="440" w:right="5940" w:hanging="216"/>
        <w:spacing w:after="0" w:line="260" w:lineRule="auto"/>
        <w:tabs>
          <w:tab w:leader="none" w:pos="429" w:val="left"/>
        </w:tabs>
        <w:numPr>
          <w:ilvl w:val="0"/>
          <w:numId w:val="31"/>
        </w:numPr>
        <w:rPr>
          <w:rFonts w:ascii="Arial" w:cs="Arial" w:eastAsia="Arial" w:hAnsi="Arial"/>
          <w:sz w:val="16"/>
          <w:szCs w:val="16"/>
          <w:color w:val="4B1F68"/>
        </w:rPr>
      </w:pPr>
      <w:r>
        <w:rPr>
          <w:rFonts w:ascii="Arial" w:cs="Arial" w:eastAsia="Arial" w:hAnsi="Arial"/>
          <w:sz w:val="16"/>
          <w:szCs w:val="16"/>
          <w:color w:val="3B3C43"/>
        </w:rPr>
        <w:t>Cap PSU payout at target when relative TSR exceeds peers’ TSR but absolute TSR is negative</w:t>
      </w:r>
    </w:p>
    <w:p>
      <w:pPr>
        <w:spacing w:after="0" w:line="341" w:lineRule="exact"/>
        <w:rPr>
          <w:sz w:val="20"/>
          <w:szCs w:val="20"/>
          <w:color w:val="auto"/>
        </w:rPr>
      </w:pPr>
    </w:p>
    <w:p>
      <w:pPr>
        <w:ind w:left="160" w:right="680"/>
        <w:spacing w:after="0" w:line="281" w:lineRule="auto"/>
        <w:rPr>
          <w:sz w:val="20"/>
          <w:szCs w:val="20"/>
          <w:color w:val="auto"/>
        </w:rPr>
      </w:pPr>
      <w:r>
        <w:rPr>
          <w:rFonts w:ascii="Arial" w:cs="Arial" w:eastAsia="Arial" w:hAnsi="Arial"/>
          <w:sz w:val="16"/>
          <w:szCs w:val="16"/>
          <w:color w:val="3B3C43"/>
        </w:rPr>
        <w:t>For additional details regarding our executive compensation program, please see the section entitled “</w:t>
      </w:r>
      <w:r>
        <w:rPr>
          <w:rFonts w:ascii="Arial" w:cs="Arial" w:eastAsia="Arial" w:hAnsi="Arial"/>
          <w:sz w:val="16"/>
          <w:szCs w:val="16"/>
          <w:i w:val="1"/>
          <w:iCs w:val="1"/>
          <w:color w:val="3B3C43"/>
        </w:rPr>
        <w:t>Executive Compensation Discussion and</w:t>
      </w:r>
      <w:r>
        <w:rPr>
          <w:rFonts w:ascii="Arial" w:cs="Arial" w:eastAsia="Arial" w:hAnsi="Arial"/>
          <w:sz w:val="16"/>
          <w:szCs w:val="16"/>
          <w:color w:val="3B3C43"/>
        </w:rPr>
        <w:t xml:space="preserve"> </w:t>
      </w:r>
      <w:r>
        <w:rPr>
          <w:rFonts w:ascii="Arial" w:cs="Arial" w:eastAsia="Arial" w:hAnsi="Arial"/>
          <w:sz w:val="16"/>
          <w:szCs w:val="16"/>
          <w:i w:val="1"/>
          <w:iCs w:val="1"/>
          <w:color w:val="3B3C43"/>
        </w:rPr>
        <w:t>Analysis.</w:t>
      </w:r>
      <w:r>
        <w:rPr>
          <w:rFonts w:ascii="Arial" w:cs="Arial" w:eastAsia="Arial" w:hAnsi="Arial"/>
          <w:sz w:val="16"/>
          <w:szCs w:val="16"/>
          <w:color w:val="3B3C43"/>
        </w:rPr>
        <w:t>”</w:t>
      </w:r>
    </w:p>
    <w:p>
      <w:pPr>
        <w:spacing w:after="0" w:line="31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13</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2680"/>
        <w:spacing w:after="0" w:line="250" w:lineRule="auto"/>
        <w:rPr>
          <w:sz w:val="20"/>
          <w:szCs w:val="20"/>
          <w:color w:val="auto"/>
        </w:rPr>
      </w:pPr>
      <w:r>
        <w:rPr>
          <w:rFonts w:ascii="Arial" w:cs="Arial" w:eastAsia="Arial" w:hAnsi="Arial"/>
          <w:sz w:val="67"/>
          <w:szCs w:val="67"/>
          <w:color w:val="4B1F68"/>
        </w:rPr>
        <w:t>Corporate Responsibility and Sustainability</w:t>
      </w:r>
    </w:p>
    <w:p>
      <w:pPr>
        <w:spacing w:after="0" w:line="12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3B3C43"/>
        </w:rPr>
        <w:t>TechnipFMC is a leading technology provider to the traditional and new energy industries, delivering fully integrated projects, products, and services. Our vision to enhance the performance of the world’s energy industry is supported by a relentless drive of every individual at TechnipFMC.</w:t>
      </w:r>
    </w:p>
    <w:p>
      <w:pPr>
        <w:spacing w:after="0" w:line="16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3B3C43"/>
        </w:rPr>
        <w:t>Our decisions regarding corporate responsibility, governance, and sustainability are founded on the principles that guide our Company. Our core values provide the framework for all of our decision making and are based on our Foundational Beliefs.</w:t>
      </w:r>
    </w:p>
    <w:p>
      <w:pPr>
        <w:spacing w:after="0" w:line="16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3B3C43"/>
        </w:rPr>
        <w:t>In 2020, to better reflect our focus on corporate responsibility and sustainability at the Board level, the Nominating and Corporate Governance Committee’s charter was substantially expanded to include oversight of the Company’s policies, programs, and strategies related to environmental stewardship, responsible investment, corporate citizenship, human rights, human capital management, ESG risk management, and other ESG matters, as well as other social and public matters of significance to the Company. This committee, now renamed our ESG Committee, also reviews and monitors the development and implementation of ESG targets, standards, metrics or methodologies, and reviews the Company’s public disclosures with respect to ESG matters.</w:t>
      </w:r>
    </w:p>
    <w:p>
      <w:pPr>
        <w:spacing w:after="0" w:line="169" w:lineRule="exact"/>
        <w:rPr>
          <w:sz w:val="20"/>
          <w:szCs w:val="20"/>
          <w:color w:val="auto"/>
        </w:rPr>
      </w:pPr>
    </w:p>
    <w:p>
      <w:pPr>
        <w:spacing w:after="0"/>
        <w:rPr>
          <w:sz w:val="20"/>
          <w:szCs w:val="20"/>
          <w:color w:val="auto"/>
        </w:rPr>
      </w:pPr>
      <w:r>
        <w:rPr>
          <w:rFonts w:ascii="Arial" w:cs="Arial" w:eastAsia="Arial" w:hAnsi="Arial"/>
          <w:sz w:val="38"/>
          <w:szCs w:val="38"/>
          <w:color w:val="4B1F68"/>
        </w:rPr>
        <w:t>Core Values and Foundational Beliefs</w:t>
      </w:r>
    </w:p>
    <w:p>
      <w:pPr>
        <w:spacing w:after="0" w:line="6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3B3C43"/>
        </w:rPr>
        <w:t>Our core values are the drivers that guide how we act in a distinctly TechnipFMC way so we can deliver on our purpose and achieve our vision. We bring our values to life through our behaviors-specific, observable, and measurable actions.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B1F68"/>
        </w:rPr>
        <w:t>Our core values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242"/>
        </w:trPr>
        <w:tc>
          <w:tcPr>
            <w:tcW w:w="3740" w:type="dxa"/>
            <w:vAlign w:val="bottom"/>
            <w:tcBorders>
              <w:right w:val="single" w:sz="8" w:color="auto"/>
            </w:tcBorders>
            <w:shd w:val="clear" w:color="auto" w:fill="4A1F67"/>
          </w:tcPr>
          <w:p>
            <w:pPr>
              <w:ind w:left="1000"/>
              <w:spacing w:after="0"/>
              <w:rPr>
                <w:sz w:val="20"/>
                <w:szCs w:val="20"/>
                <w:color w:val="auto"/>
              </w:rPr>
            </w:pPr>
            <w:r>
              <w:rPr>
                <w:rFonts w:ascii="Arial" w:cs="Arial" w:eastAsia="Arial" w:hAnsi="Arial"/>
                <w:sz w:val="16"/>
                <w:szCs w:val="16"/>
                <w:b w:val="1"/>
                <w:bCs w:val="1"/>
                <w:color w:val="FFFFFF"/>
              </w:rPr>
              <w:t>Realizing possibilities</w:t>
            </w:r>
          </w:p>
        </w:tc>
        <w:tc>
          <w:tcPr>
            <w:tcW w:w="3820" w:type="dxa"/>
            <w:vAlign w:val="bottom"/>
            <w:tcBorders>
              <w:right w:val="single" w:sz="8" w:color="D21D22"/>
            </w:tcBorders>
            <w:shd w:val="clear" w:color="auto" w:fill="00ADE9"/>
          </w:tcPr>
          <w:p>
            <w:pPr>
              <w:jc w:val="center"/>
              <w:spacing w:after="0"/>
              <w:rPr>
                <w:sz w:val="20"/>
                <w:szCs w:val="20"/>
                <w:color w:val="auto"/>
              </w:rPr>
            </w:pPr>
            <w:r>
              <w:rPr>
                <w:rFonts w:ascii="Arial" w:cs="Arial" w:eastAsia="Arial" w:hAnsi="Arial"/>
                <w:sz w:val="16"/>
                <w:szCs w:val="16"/>
                <w:b w:val="1"/>
                <w:bCs w:val="1"/>
                <w:color w:val="FFFFFF"/>
              </w:rPr>
              <w:t>Achieving together</w:t>
            </w:r>
          </w:p>
        </w:tc>
        <w:tc>
          <w:tcPr>
            <w:tcW w:w="3680" w:type="dxa"/>
            <w:vAlign w:val="bottom"/>
            <w:shd w:val="clear" w:color="auto" w:fill="D21D22"/>
          </w:tcPr>
          <w:p>
            <w:pPr>
              <w:ind w:left="1300"/>
              <w:spacing w:after="0"/>
              <w:rPr>
                <w:sz w:val="20"/>
                <w:szCs w:val="20"/>
                <w:color w:val="auto"/>
              </w:rPr>
            </w:pPr>
            <w:r>
              <w:rPr>
                <w:rFonts w:ascii="Arial" w:cs="Arial" w:eastAsia="Arial" w:hAnsi="Arial"/>
                <w:sz w:val="16"/>
                <w:szCs w:val="16"/>
                <w:b w:val="1"/>
                <w:bCs w:val="1"/>
                <w:color w:val="FFFFFF"/>
              </w:rPr>
              <w:t>Building trust</w:t>
            </w:r>
          </w:p>
        </w:tc>
      </w:tr>
      <w:tr>
        <w:trPr>
          <w:trHeight w:val="81"/>
        </w:trPr>
        <w:tc>
          <w:tcPr>
            <w:tcW w:w="3740" w:type="dxa"/>
            <w:vAlign w:val="bottom"/>
            <w:tcBorders>
              <w:right w:val="single" w:sz="8" w:color="auto"/>
            </w:tcBorders>
            <w:shd w:val="clear" w:color="auto" w:fill="4A1F67"/>
          </w:tcPr>
          <w:p>
            <w:pPr>
              <w:spacing w:after="0"/>
              <w:rPr>
                <w:sz w:val="7"/>
                <w:szCs w:val="7"/>
                <w:color w:val="auto"/>
              </w:rPr>
            </w:pPr>
          </w:p>
        </w:tc>
        <w:tc>
          <w:tcPr>
            <w:tcW w:w="3820" w:type="dxa"/>
            <w:vAlign w:val="bottom"/>
            <w:tcBorders>
              <w:right w:val="single" w:sz="8" w:color="D21D22"/>
            </w:tcBorders>
            <w:shd w:val="clear" w:color="auto" w:fill="00ADE9"/>
          </w:tcPr>
          <w:p>
            <w:pPr>
              <w:spacing w:after="0"/>
              <w:rPr>
                <w:sz w:val="7"/>
                <w:szCs w:val="7"/>
                <w:color w:val="auto"/>
              </w:rPr>
            </w:pPr>
          </w:p>
        </w:tc>
        <w:tc>
          <w:tcPr>
            <w:tcW w:w="3680" w:type="dxa"/>
            <w:vAlign w:val="bottom"/>
            <w:shd w:val="clear" w:color="auto" w:fill="D21D22"/>
          </w:tcPr>
          <w:p>
            <w:pPr>
              <w:spacing w:after="0"/>
              <w:rPr>
                <w:sz w:val="7"/>
                <w:szCs w:val="7"/>
                <w:color w:val="auto"/>
              </w:rPr>
            </w:pPr>
          </w:p>
        </w:tc>
      </w:tr>
      <w:tr>
        <w:trPr>
          <w:trHeight w:val="328"/>
        </w:trPr>
        <w:tc>
          <w:tcPr>
            <w:tcW w:w="374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20"/>
                <w:szCs w:val="20"/>
                <w:b w:val="1"/>
                <w:bCs w:val="1"/>
                <w:color w:val="4B1F68"/>
                <w:w w:val="98"/>
              </w:rPr>
              <w:t>The heart of everything we do</w:t>
            </w:r>
          </w:p>
        </w:tc>
        <w:tc>
          <w:tcPr>
            <w:tcW w:w="3680" w:type="dxa"/>
            <w:vAlign w:val="bottom"/>
          </w:tcPr>
          <w:p>
            <w:pPr>
              <w:spacing w:after="0"/>
              <w:rPr>
                <w:sz w:val="24"/>
                <w:szCs w:val="24"/>
                <w:color w:val="auto"/>
              </w:rPr>
            </w:pPr>
          </w:p>
        </w:tc>
      </w:tr>
      <w:tr>
        <w:trPr>
          <w:trHeight w:val="77"/>
        </w:trPr>
        <w:tc>
          <w:tcPr>
            <w:tcW w:w="374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680" w:type="dxa"/>
            <w:vAlign w:val="bottom"/>
          </w:tcPr>
          <w:p>
            <w:pPr>
              <w:spacing w:after="0"/>
              <w:rPr>
                <w:sz w:val="6"/>
                <w:szCs w:val="6"/>
                <w:color w:val="auto"/>
              </w:rPr>
            </w:pPr>
          </w:p>
        </w:tc>
      </w:tr>
      <w:tr>
        <w:trPr>
          <w:trHeight w:val="278"/>
        </w:trPr>
        <w:tc>
          <w:tcPr>
            <w:tcW w:w="3740" w:type="dxa"/>
            <w:vAlign w:val="bottom"/>
            <w:tcBorders>
              <w:right w:val="single" w:sz="8" w:color="auto"/>
            </w:tcBorders>
            <w:shd w:val="clear" w:color="auto" w:fill="4A1F67"/>
          </w:tcPr>
          <w:p>
            <w:pPr>
              <w:ind w:left="100"/>
              <w:spacing w:after="0"/>
              <w:rPr>
                <w:sz w:val="20"/>
                <w:szCs w:val="20"/>
                <w:color w:val="auto"/>
              </w:rPr>
            </w:pPr>
            <w:r>
              <w:rPr>
                <w:rFonts w:ascii="Arial" w:cs="Arial" w:eastAsia="Arial" w:hAnsi="Arial"/>
                <w:sz w:val="16"/>
                <w:szCs w:val="16"/>
                <w:color w:val="FFFFFF"/>
              </w:rPr>
              <w:t>► We strive for ever better</w:t>
            </w:r>
          </w:p>
        </w:tc>
        <w:tc>
          <w:tcPr>
            <w:tcW w:w="3820" w:type="dxa"/>
            <w:vAlign w:val="bottom"/>
            <w:tcBorders>
              <w:right w:val="single" w:sz="8" w:color="auto"/>
            </w:tcBorders>
            <w:shd w:val="clear" w:color="auto" w:fill="00ADE9"/>
          </w:tcPr>
          <w:p>
            <w:pPr>
              <w:ind w:left="80"/>
              <w:spacing w:after="0"/>
              <w:rPr>
                <w:sz w:val="20"/>
                <w:szCs w:val="20"/>
                <w:color w:val="auto"/>
              </w:rPr>
            </w:pPr>
            <w:r>
              <w:rPr>
                <w:rFonts w:ascii="Arial" w:cs="Arial" w:eastAsia="Arial" w:hAnsi="Arial"/>
                <w:sz w:val="16"/>
                <w:szCs w:val="16"/>
                <w:color w:val="FFFFFF"/>
              </w:rPr>
              <w:t>► We work as one team</w:t>
            </w:r>
          </w:p>
        </w:tc>
        <w:tc>
          <w:tcPr>
            <w:tcW w:w="3680" w:type="dxa"/>
            <w:vAlign w:val="bottom"/>
            <w:shd w:val="clear" w:color="auto" w:fill="D21D22"/>
          </w:tcPr>
          <w:p>
            <w:pPr>
              <w:ind w:left="80"/>
              <w:spacing w:after="0"/>
              <w:rPr>
                <w:sz w:val="20"/>
                <w:szCs w:val="20"/>
                <w:color w:val="auto"/>
              </w:rPr>
            </w:pPr>
            <w:r>
              <w:rPr>
                <w:rFonts w:ascii="Arial" w:cs="Arial" w:eastAsia="Arial" w:hAnsi="Arial"/>
                <w:sz w:val="16"/>
                <w:szCs w:val="16"/>
                <w:color w:val="FFFFFF"/>
              </w:rPr>
              <w:t>► We listen to improve</w:t>
            </w:r>
          </w:p>
        </w:tc>
      </w:tr>
      <w:tr>
        <w:trPr>
          <w:trHeight w:val="351"/>
        </w:trPr>
        <w:tc>
          <w:tcPr>
            <w:tcW w:w="3740" w:type="dxa"/>
            <w:vAlign w:val="bottom"/>
            <w:tcBorders>
              <w:right w:val="single" w:sz="8" w:color="auto"/>
            </w:tcBorders>
            <w:shd w:val="clear" w:color="auto" w:fill="4A1F67"/>
          </w:tcPr>
          <w:p>
            <w:pPr>
              <w:ind w:left="100"/>
              <w:spacing w:after="0"/>
              <w:rPr>
                <w:sz w:val="20"/>
                <w:szCs w:val="20"/>
                <w:color w:val="auto"/>
              </w:rPr>
            </w:pPr>
            <w:r>
              <w:rPr>
                <w:rFonts w:ascii="Arial" w:cs="Arial" w:eastAsia="Arial" w:hAnsi="Arial"/>
                <w:sz w:val="16"/>
                <w:szCs w:val="16"/>
                <w:color w:val="FFFFFF"/>
              </w:rPr>
              <w:t>► We take initiative</w:t>
            </w:r>
          </w:p>
        </w:tc>
        <w:tc>
          <w:tcPr>
            <w:tcW w:w="3820" w:type="dxa"/>
            <w:vAlign w:val="bottom"/>
            <w:tcBorders>
              <w:right w:val="single" w:sz="8" w:color="auto"/>
            </w:tcBorders>
            <w:shd w:val="clear" w:color="auto" w:fill="00ADE9"/>
          </w:tcPr>
          <w:p>
            <w:pPr>
              <w:ind w:left="80"/>
              <w:spacing w:after="0"/>
              <w:rPr>
                <w:sz w:val="20"/>
                <w:szCs w:val="20"/>
                <w:color w:val="auto"/>
              </w:rPr>
            </w:pPr>
            <w:r>
              <w:rPr>
                <w:rFonts w:ascii="Arial" w:cs="Arial" w:eastAsia="Arial" w:hAnsi="Arial"/>
                <w:sz w:val="16"/>
                <w:szCs w:val="16"/>
                <w:color w:val="FFFFFF"/>
              </w:rPr>
              <w:t>► We share knowledge</w:t>
            </w:r>
          </w:p>
        </w:tc>
        <w:tc>
          <w:tcPr>
            <w:tcW w:w="3680" w:type="dxa"/>
            <w:vAlign w:val="bottom"/>
            <w:shd w:val="clear" w:color="auto" w:fill="D21D22"/>
          </w:tcPr>
          <w:p>
            <w:pPr>
              <w:ind w:left="80"/>
              <w:spacing w:after="0"/>
              <w:rPr>
                <w:sz w:val="20"/>
                <w:szCs w:val="20"/>
                <w:color w:val="auto"/>
              </w:rPr>
            </w:pPr>
            <w:r>
              <w:rPr>
                <w:rFonts w:ascii="Arial" w:cs="Arial" w:eastAsia="Arial" w:hAnsi="Arial"/>
                <w:sz w:val="16"/>
                <w:szCs w:val="16"/>
                <w:color w:val="FFFFFF"/>
              </w:rPr>
              <w:t>► We partner constructively</w:t>
            </w:r>
          </w:p>
        </w:tc>
      </w:tr>
      <w:tr>
        <w:trPr>
          <w:trHeight w:val="351"/>
        </w:trPr>
        <w:tc>
          <w:tcPr>
            <w:tcW w:w="3740" w:type="dxa"/>
            <w:vAlign w:val="bottom"/>
            <w:tcBorders>
              <w:right w:val="single" w:sz="8" w:color="auto"/>
            </w:tcBorders>
            <w:shd w:val="clear" w:color="auto" w:fill="4A1F67"/>
          </w:tcPr>
          <w:p>
            <w:pPr>
              <w:ind w:left="100"/>
              <w:spacing w:after="0"/>
              <w:rPr>
                <w:sz w:val="20"/>
                <w:szCs w:val="20"/>
                <w:color w:val="auto"/>
              </w:rPr>
            </w:pPr>
            <w:r>
              <w:rPr>
                <w:rFonts w:ascii="Arial" w:cs="Arial" w:eastAsia="Arial" w:hAnsi="Arial"/>
                <w:sz w:val="16"/>
                <w:szCs w:val="16"/>
                <w:color w:val="FFFFFF"/>
              </w:rPr>
              <w:t>► We learn from success and failure</w:t>
            </w:r>
          </w:p>
        </w:tc>
        <w:tc>
          <w:tcPr>
            <w:tcW w:w="3820" w:type="dxa"/>
            <w:vAlign w:val="bottom"/>
            <w:tcBorders>
              <w:right w:val="single" w:sz="8" w:color="auto"/>
            </w:tcBorders>
            <w:shd w:val="clear" w:color="auto" w:fill="00ADE9"/>
          </w:tcPr>
          <w:p>
            <w:pPr>
              <w:ind w:left="80"/>
              <w:spacing w:after="0"/>
              <w:rPr>
                <w:sz w:val="20"/>
                <w:szCs w:val="20"/>
                <w:color w:val="auto"/>
              </w:rPr>
            </w:pPr>
            <w:r>
              <w:rPr>
                <w:rFonts w:ascii="Arial" w:cs="Arial" w:eastAsia="Arial" w:hAnsi="Arial"/>
                <w:sz w:val="16"/>
                <w:szCs w:val="16"/>
                <w:color w:val="FFFFFF"/>
              </w:rPr>
              <w:t>► We embrace diversity of thought</w:t>
            </w:r>
          </w:p>
        </w:tc>
        <w:tc>
          <w:tcPr>
            <w:tcW w:w="3680" w:type="dxa"/>
            <w:vAlign w:val="bottom"/>
            <w:shd w:val="clear" w:color="auto" w:fill="D21D22"/>
          </w:tcPr>
          <w:p>
            <w:pPr>
              <w:ind w:left="80"/>
              <w:spacing w:after="0"/>
              <w:rPr>
                <w:sz w:val="20"/>
                <w:szCs w:val="20"/>
                <w:color w:val="auto"/>
              </w:rPr>
            </w:pPr>
            <w:r>
              <w:rPr>
                <w:rFonts w:ascii="Arial" w:cs="Arial" w:eastAsia="Arial" w:hAnsi="Arial"/>
                <w:sz w:val="16"/>
                <w:szCs w:val="16"/>
                <w:color w:val="FFFFFF"/>
              </w:rPr>
              <w:t>► We seek to outperform</w:t>
            </w:r>
          </w:p>
        </w:tc>
      </w:tr>
      <w:tr>
        <w:trPr>
          <w:trHeight w:val="73"/>
        </w:trPr>
        <w:tc>
          <w:tcPr>
            <w:tcW w:w="3740" w:type="dxa"/>
            <w:vAlign w:val="bottom"/>
            <w:tcBorders>
              <w:right w:val="single" w:sz="8" w:color="auto"/>
            </w:tcBorders>
            <w:shd w:val="clear" w:color="auto" w:fill="4A1F67"/>
          </w:tcPr>
          <w:p>
            <w:pPr>
              <w:spacing w:after="0"/>
              <w:rPr>
                <w:sz w:val="6"/>
                <w:szCs w:val="6"/>
                <w:color w:val="auto"/>
              </w:rPr>
            </w:pPr>
          </w:p>
        </w:tc>
        <w:tc>
          <w:tcPr>
            <w:tcW w:w="3820" w:type="dxa"/>
            <w:vAlign w:val="bottom"/>
            <w:tcBorders>
              <w:right w:val="single" w:sz="8" w:color="auto"/>
            </w:tcBorders>
            <w:shd w:val="clear" w:color="auto" w:fill="00ADE9"/>
          </w:tcPr>
          <w:p>
            <w:pPr>
              <w:spacing w:after="0"/>
              <w:rPr>
                <w:sz w:val="6"/>
                <w:szCs w:val="6"/>
                <w:color w:val="auto"/>
              </w:rPr>
            </w:pPr>
          </w:p>
        </w:tc>
        <w:tc>
          <w:tcPr>
            <w:tcW w:w="3680" w:type="dxa"/>
            <w:vAlign w:val="bottom"/>
            <w:shd w:val="clear" w:color="auto" w:fill="D21D22"/>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-1551305</wp:posOffset>
            </wp:positionV>
            <wp:extent cx="1045845" cy="4540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45845" cy="45402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-1713865</wp:posOffset>
            </wp:positionV>
            <wp:extent cx="1028700" cy="617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0" cy="61722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-1568450</wp:posOffset>
            </wp:positionV>
            <wp:extent cx="514350" cy="4718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 cy="471805"/>
                    </a:xfrm>
                    <a:prstGeom prst="rect">
                      <a:avLst/>
                    </a:prstGeom>
                    <a:noFill/>
                  </pic:spPr>
                </pic:pic>
              </a:graphicData>
            </a:graphic>
          </wp:anchor>
        </w:drawing>
      </w:r>
    </w:p>
    <w:p>
      <w:pPr>
        <w:spacing w:after="0" w:line="22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Our Foundational Beliefs are the cornerstone of our values that describe how we fundamentally do business and what we never compromise on, no matter the circumstances.</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14</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274955</wp:posOffset>
            </wp:positionV>
            <wp:extent cx="6909435" cy="3960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09435"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38"/>
          <w:szCs w:val="38"/>
          <w:color w:val="4B1F68"/>
        </w:rPr>
        <w:t>Code of Business Conduct</w:t>
      </w:r>
    </w:p>
    <w:p>
      <w:pPr>
        <w:spacing w:after="0" w:line="69"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Our Code of Business Conduct is built on our Foundational Beliefs and gives our directors, officers, and employees a common language and playbook for decisions and actions that help us live our core values. We are committed to establishing and maintaining an effective compliance program that is intended to increase the likelihood of preventing, detecting, and correcting violations of Company policy and the law. Moreover, we have a hotline in place for employees, officers, directors, and external parties to anonymously report violations of our Code of Business Conduct or complaints regarding accounting and auditing practices. Reports of possible violations of financial or accounting policies are reported to our Audit Committee.</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We will disclose amendments to, or waivers of, our Code of Business Conduct that are required to be disclosed under the U.S. Securities and Exchange Commission (“</w:t>
      </w:r>
      <w:r>
        <w:rPr>
          <w:rFonts w:ascii="Arial" w:cs="Arial" w:eastAsia="Arial" w:hAnsi="Arial"/>
          <w:sz w:val="16"/>
          <w:szCs w:val="16"/>
          <w:b w:val="1"/>
          <w:bCs w:val="1"/>
          <w:color w:val="3B3C43"/>
        </w:rPr>
        <w:t>SEC</w:t>
      </w:r>
      <w:r>
        <w:rPr>
          <w:rFonts w:ascii="Arial" w:cs="Arial" w:eastAsia="Arial" w:hAnsi="Arial"/>
          <w:sz w:val="16"/>
          <w:szCs w:val="16"/>
          <w:color w:val="3B3C43"/>
        </w:rPr>
        <w:t>”) and NYSE rules or any other applicable laws, rules, and regulations. Any waiver of our Code of Business Conduct for our officers and directors must be approved by the Board or a relevant Board committee. We have not made any such waivers, and do not anticipate making any such waiver.</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15</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Corporate Responsibility and Sustainability 2018-2020</w:t>
      </w:r>
    </w:p>
    <w:p>
      <w:pPr>
        <w:spacing w:after="0" w:line="69"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3B3C43"/>
        </w:rPr>
        <w:t>We believe corporate responsibility and sustainability is a key element of our Company’s long-term success and is, therefore, one of our Foundational Beliefs. To ensure that the Company is collectively focused on making meaningful and tangible changes, we focused our sustainability efforts under three pillars for the years 2018-2020.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B1F68"/>
        </w:rPr>
        <w:t>Corporate Responsibility and Sustainability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146050</wp:posOffset>
            </wp:positionV>
            <wp:extent cx="8255" cy="8229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146050</wp:posOffset>
            </wp:positionV>
            <wp:extent cx="8890" cy="8229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2296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223"/>
        </w:trPr>
        <w:tc>
          <w:tcPr>
            <w:tcW w:w="420" w:type="dxa"/>
            <w:vAlign w:val="bottom"/>
            <w:shd w:val="clear" w:color="auto" w:fill="D21D23"/>
          </w:tcPr>
          <w:p>
            <w:pPr>
              <w:spacing w:after="0"/>
              <w:rPr>
                <w:sz w:val="24"/>
                <w:szCs w:val="24"/>
                <w:color w:val="auto"/>
              </w:rPr>
            </w:pPr>
          </w:p>
        </w:tc>
        <w:tc>
          <w:tcPr>
            <w:tcW w:w="3300" w:type="dxa"/>
            <w:vAlign w:val="bottom"/>
            <w:shd w:val="clear" w:color="auto" w:fill="D21D23"/>
          </w:tcPr>
          <w:p>
            <w:pPr>
              <w:jc w:val="center"/>
              <w:ind w:right="319"/>
              <w:spacing w:after="0"/>
              <w:rPr>
                <w:sz w:val="20"/>
                <w:szCs w:val="20"/>
                <w:color w:val="auto"/>
              </w:rPr>
            </w:pPr>
            <w:r>
              <w:rPr>
                <w:rFonts w:ascii="Arial" w:cs="Arial" w:eastAsia="Arial" w:hAnsi="Arial"/>
                <w:sz w:val="16"/>
                <w:szCs w:val="16"/>
                <w:b w:val="1"/>
                <w:bCs w:val="1"/>
                <w:color w:val="FFFFFF"/>
              </w:rPr>
              <w:t>Supporting communities</w:t>
            </w:r>
          </w:p>
        </w:tc>
        <w:tc>
          <w:tcPr>
            <w:tcW w:w="320" w:type="dxa"/>
            <w:vAlign w:val="bottom"/>
            <w:shd w:val="clear" w:color="auto" w:fill="00ACE8"/>
          </w:tcPr>
          <w:p>
            <w:pPr>
              <w:spacing w:after="0"/>
              <w:rPr>
                <w:sz w:val="24"/>
                <w:szCs w:val="24"/>
                <w:color w:val="auto"/>
              </w:rPr>
            </w:pPr>
          </w:p>
        </w:tc>
        <w:tc>
          <w:tcPr>
            <w:tcW w:w="120" w:type="dxa"/>
            <w:vAlign w:val="bottom"/>
            <w:shd w:val="clear" w:color="auto" w:fill="00ACE8"/>
          </w:tcPr>
          <w:p>
            <w:pPr>
              <w:spacing w:after="0"/>
              <w:rPr>
                <w:sz w:val="24"/>
                <w:szCs w:val="24"/>
                <w:color w:val="auto"/>
              </w:rPr>
            </w:pPr>
          </w:p>
        </w:tc>
        <w:tc>
          <w:tcPr>
            <w:tcW w:w="3380" w:type="dxa"/>
            <w:vAlign w:val="bottom"/>
            <w:gridSpan w:val="2"/>
            <w:shd w:val="clear" w:color="auto" w:fill="00ACE8"/>
          </w:tcPr>
          <w:p>
            <w:pPr>
              <w:jc w:val="center"/>
              <w:ind w:right="420"/>
              <w:spacing w:after="0"/>
              <w:rPr>
                <w:sz w:val="20"/>
                <w:szCs w:val="20"/>
                <w:color w:val="auto"/>
              </w:rPr>
            </w:pPr>
            <w:r>
              <w:rPr>
                <w:rFonts w:ascii="Arial" w:cs="Arial" w:eastAsia="Arial" w:hAnsi="Arial"/>
                <w:sz w:val="16"/>
                <w:szCs w:val="16"/>
                <w:b w:val="1"/>
                <w:bCs w:val="1"/>
                <w:color w:val="FFFFFF"/>
              </w:rPr>
              <w:t>Advancing gender diversity</w:t>
            </w:r>
          </w:p>
        </w:tc>
        <w:tc>
          <w:tcPr>
            <w:tcW w:w="440" w:type="dxa"/>
            <w:vAlign w:val="bottom"/>
            <w:shd w:val="clear" w:color="auto" w:fill="4B1F68"/>
          </w:tcPr>
          <w:p>
            <w:pPr>
              <w:spacing w:after="0"/>
              <w:rPr>
                <w:sz w:val="24"/>
                <w:szCs w:val="24"/>
                <w:color w:val="auto"/>
              </w:rPr>
            </w:pPr>
          </w:p>
        </w:tc>
        <w:tc>
          <w:tcPr>
            <w:tcW w:w="3260" w:type="dxa"/>
            <w:vAlign w:val="bottom"/>
            <w:gridSpan w:val="2"/>
            <w:shd w:val="clear" w:color="auto" w:fill="4B1F68"/>
          </w:tcPr>
          <w:p>
            <w:pPr>
              <w:jc w:val="center"/>
              <w:ind w:right="440"/>
              <w:spacing w:after="0"/>
              <w:rPr>
                <w:sz w:val="20"/>
                <w:szCs w:val="20"/>
                <w:color w:val="auto"/>
              </w:rPr>
            </w:pPr>
            <w:r>
              <w:rPr>
                <w:rFonts w:ascii="Arial" w:cs="Arial" w:eastAsia="Arial" w:hAnsi="Arial"/>
                <w:sz w:val="16"/>
                <w:szCs w:val="16"/>
                <w:b w:val="1"/>
                <w:bCs w:val="1"/>
                <w:color w:val="FFFFFF"/>
              </w:rPr>
              <w:t>Respecting the environment</w:t>
            </w:r>
          </w:p>
        </w:tc>
        <w:tc>
          <w:tcPr>
            <w:tcW w:w="0" w:type="dxa"/>
            <w:vAlign w:val="bottom"/>
          </w:tcPr>
          <w:p>
            <w:pPr>
              <w:spacing w:after="0"/>
              <w:rPr>
                <w:sz w:val="1"/>
                <w:szCs w:val="1"/>
                <w:color w:val="auto"/>
              </w:rPr>
            </w:pPr>
          </w:p>
        </w:tc>
      </w:tr>
      <w:tr>
        <w:trPr>
          <w:trHeight w:val="73"/>
        </w:trPr>
        <w:tc>
          <w:tcPr>
            <w:tcW w:w="420" w:type="dxa"/>
            <w:vAlign w:val="bottom"/>
            <w:shd w:val="clear" w:color="auto" w:fill="D21D23"/>
          </w:tcPr>
          <w:p>
            <w:pPr>
              <w:spacing w:after="0"/>
              <w:rPr>
                <w:sz w:val="6"/>
                <w:szCs w:val="6"/>
                <w:color w:val="auto"/>
              </w:rPr>
            </w:pPr>
          </w:p>
        </w:tc>
        <w:tc>
          <w:tcPr>
            <w:tcW w:w="3300" w:type="dxa"/>
            <w:vAlign w:val="bottom"/>
            <w:shd w:val="clear" w:color="auto" w:fill="D21D23"/>
          </w:tcPr>
          <w:p>
            <w:pPr>
              <w:spacing w:after="0"/>
              <w:rPr>
                <w:sz w:val="6"/>
                <w:szCs w:val="6"/>
                <w:color w:val="auto"/>
              </w:rPr>
            </w:pPr>
          </w:p>
        </w:tc>
        <w:tc>
          <w:tcPr>
            <w:tcW w:w="320" w:type="dxa"/>
            <w:vAlign w:val="bottom"/>
            <w:shd w:val="clear" w:color="auto" w:fill="00ACE8"/>
          </w:tcPr>
          <w:p>
            <w:pPr>
              <w:spacing w:after="0"/>
              <w:rPr>
                <w:sz w:val="6"/>
                <w:szCs w:val="6"/>
                <w:color w:val="auto"/>
              </w:rPr>
            </w:pPr>
          </w:p>
        </w:tc>
        <w:tc>
          <w:tcPr>
            <w:tcW w:w="120" w:type="dxa"/>
            <w:vAlign w:val="bottom"/>
            <w:shd w:val="clear" w:color="auto" w:fill="00ACE8"/>
          </w:tcPr>
          <w:p>
            <w:pPr>
              <w:spacing w:after="0"/>
              <w:rPr>
                <w:sz w:val="6"/>
                <w:szCs w:val="6"/>
                <w:color w:val="auto"/>
              </w:rPr>
            </w:pPr>
          </w:p>
        </w:tc>
        <w:tc>
          <w:tcPr>
            <w:tcW w:w="3280" w:type="dxa"/>
            <w:vAlign w:val="bottom"/>
            <w:shd w:val="clear" w:color="auto" w:fill="00ACE8"/>
          </w:tcPr>
          <w:p>
            <w:pPr>
              <w:spacing w:after="0"/>
              <w:rPr>
                <w:sz w:val="6"/>
                <w:szCs w:val="6"/>
                <w:color w:val="auto"/>
              </w:rPr>
            </w:pPr>
          </w:p>
        </w:tc>
        <w:tc>
          <w:tcPr>
            <w:tcW w:w="100" w:type="dxa"/>
            <w:vAlign w:val="bottom"/>
            <w:shd w:val="clear" w:color="auto" w:fill="00ACE8"/>
          </w:tcPr>
          <w:p>
            <w:pPr>
              <w:spacing w:after="0"/>
              <w:rPr>
                <w:sz w:val="6"/>
                <w:szCs w:val="6"/>
                <w:color w:val="auto"/>
              </w:rPr>
            </w:pPr>
          </w:p>
        </w:tc>
        <w:tc>
          <w:tcPr>
            <w:tcW w:w="440" w:type="dxa"/>
            <w:vAlign w:val="bottom"/>
            <w:shd w:val="clear" w:color="auto" w:fill="4B1F68"/>
          </w:tcPr>
          <w:p>
            <w:pPr>
              <w:spacing w:after="0"/>
              <w:rPr>
                <w:sz w:val="6"/>
                <w:szCs w:val="6"/>
                <w:color w:val="auto"/>
              </w:rPr>
            </w:pPr>
          </w:p>
        </w:tc>
        <w:tc>
          <w:tcPr>
            <w:tcW w:w="3160" w:type="dxa"/>
            <w:vAlign w:val="bottom"/>
            <w:shd w:val="clear" w:color="auto" w:fill="4B1F68"/>
          </w:tcPr>
          <w:p>
            <w:pPr>
              <w:spacing w:after="0"/>
              <w:rPr>
                <w:sz w:val="6"/>
                <w:szCs w:val="6"/>
                <w:color w:val="auto"/>
              </w:rPr>
            </w:pPr>
          </w:p>
        </w:tc>
        <w:tc>
          <w:tcPr>
            <w:tcW w:w="100" w:type="dxa"/>
            <w:vAlign w:val="bottom"/>
            <w:shd w:val="clear" w:color="auto" w:fill="4B1F68"/>
          </w:tcPr>
          <w:p>
            <w:pPr>
              <w:spacing w:after="0"/>
              <w:rPr>
                <w:sz w:val="6"/>
                <w:szCs w:val="6"/>
                <w:color w:val="auto"/>
              </w:rPr>
            </w:pPr>
          </w:p>
        </w:tc>
        <w:tc>
          <w:tcPr>
            <w:tcW w:w="0" w:type="dxa"/>
            <w:vAlign w:val="bottom"/>
          </w:tcPr>
          <w:p>
            <w:pPr>
              <w:spacing w:after="0"/>
              <w:rPr>
                <w:sz w:val="1"/>
                <w:szCs w:val="1"/>
                <w:color w:val="auto"/>
              </w:rPr>
            </w:pPr>
          </w:p>
        </w:tc>
      </w:tr>
      <w:tr>
        <w:trPr>
          <w:trHeight w:val="332"/>
        </w:trPr>
        <w:tc>
          <w:tcPr>
            <w:tcW w:w="4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4B1F68"/>
              </w:rPr>
              <w:t>Main objectives</w:t>
            </w: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420" w:type="dxa"/>
            <w:vAlign w:val="bottom"/>
            <w:shd w:val="clear" w:color="auto" w:fill="D21D22"/>
          </w:tcPr>
          <w:p>
            <w:pPr>
              <w:spacing w:after="0"/>
              <w:rPr>
                <w:sz w:val="21"/>
                <w:szCs w:val="21"/>
                <w:color w:val="auto"/>
              </w:rPr>
            </w:pPr>
          </w:p>
        </w:tc>
        <w:tc>
          <w:tcPr>
            <w:tcW w:w="3300" w:type="dxa"/>
            <w:vAlign w:val="bottom"/>
            <w:shd w:val="clear" w:color="auto" w:fill="D21D22"/>
          </w:tcPr>
          <w:p>
            <w:pPr>
              <w:jc w:val="center"/>
              <w:ind w:right="339"/>
              <w:spacing w:after="0"/>
              <w:rPr>
                <w:sz w:val="20"/>
                <w:szCs w:val="20"/>
                <w:color w:val="auto"/>
              </w:rPr>
            </w:pPr>
            <w:r>
              <w:rPr>
                <w:rFonts w:ascii="Arial" w:cs="Arial" w:eastAsia="Arial" w:hAnsi="Arial"/>
                <w:sz w:val="16"/>
                <w:szCs w:val="16"/>
                <w:b w:val="1"/>
                <w:bCs w:val="1"/>
                <w:color w:val="FFFFFF"/>
              </w:rPr>
              <w:t>We make a long-term positive</w:t>
            </w:r>
          </w:p>
        </w:tc>
        <w:tc>
          <w:tcPr>
            <w:tcW w:w="320" w:type="dxa"/>
            <w:vAlign w:val="bottom"/>
            <w:shd w:val="clear" w:color="auto" w:fill="00ADE9"/>
          </w:tcPr>
          <w:p>
            <w:pPr>
              <w:spacing w:after="0"/>
              <w:rPr>
                <w:sz w:val="21"/>
                <w:szCs w:val="21"/>
                <w:color w:val="auto"/>
              </w:rPr>
            </w:pPr>
          </w:p>
        </w:tc>
        <w:tc>
          <w:tcPr>
            <w:tcW w:w="120" w:type="dxa"/>
            <w:vAlign w:val="bottom"/>
            <w:shd w:val="clear" w:color="auto" w:fill="00ADE9"/>
          </w:tcPr>
          <w:p>
            <w:pPr>
              <w:spacing w:after="0"/>
              <w:rPr>
                <w:sz w:val="21"/>
                <w:szCs w:val="21"/>
                <w:color w:val="auto"/>
              </w:rPr>
            </w:pPr>
          </w:p>
        </w:tc>
        <w:tc>
          <w:tcPr>
            <w:tcW w:w="3280" w:type="dxa"/>
            <w:vAlign w:val="bottom"/>
            <w:shd w:val="clear" w:color="auto" w:fill="00ADE9"/>
          </w:tcPr>
          <w:p>
            <w:pPr>
              <w:spacing w:after="0"/>
              <w:rPr>
                <w:sz w:val="21"/>
                <w:szCs w:val="21"/>
                <w:color w:val="auto"/>
              </w:rPr>
            </w:pPr>
          </w:p>
        </w:tc>
        <w:tc>
          <w:tcPr>
            <w:tcW w:w="100" w:type="dxa"/>
            <w:vAlign w:val="bottom"/>
            <w:shd w:val="clear" w:color="auto" w:fill="00ADE9"/>
          </w:tcPr>
          <w:p>
            <w:pPr>
              <w:spacing w:after="0"/>
              <w:rPr>
                <w:sz w:val="21"/>
                <w:szCs w:val="21"/>
                <w:color w:val="auto"/>
              </w:rPr>
            </w:pPr>
          </w:p>
        </w:tc>
        <w:tc>
          <w:tcPr>
            <w:tcW w:w="440" w:type="dxa"/>
            <w:vAlign w:val="bottom"/>
            <w:shd w:val="clear" w:color="auto" w:fill="4A1F67"/>
          </w:tcPr>
          <w:p>
            <w:pPr>
              <w:spacing w:after="0"/>
              <w:rPr>
                <w:sz w:val="21"/>
                <w:szCs w:val="21"/>
                <w:color w:val="auto"/>
              </w:rPr>
            </w:pPr>
          </w:p>
        </w:tc>
        <w:tc>
          <w:tcPr>
            <w:tcW w:w="3260" w:type="dxa"/>
            <w:vAlign w:val="bottom"/>
            <w:gridSpan w:val="2"/>
            <w:vMerge w:val="restart"/>
            <w:shd w:val="clear" w:color="auto" w:fill="4A1F67"/>
          </w:tcPr>
          <w:p>
            <w:pPr>
              <w:jc w:val="center"/>
              <w:ind w:right="420"/>
              <w:spacing w:after="0"/>
              <w:rPr>
                <w:sz w:val="20"/>
                <w:szCs w:val="20"/>
                <w:color w:val="auto"/>
              </w:rPr>
            </w:pPr>
            <w:r>
              <w:rPr>
                <w:rFonts w:ascii="Arial" w:cs="Arial" w:eastAsia="Arial" w:hAnsi="Arial"/>
                <w:sz w:val="16"/>
                <w:szCs w:val="16"/>
                <w:b w:val="1"/>
                <w:bCs w:val="1"/>
                <w:color w:val="FFFFFF"/>
              </w:rPr>
              <w:t>We develop solutions and</w:t>
            </w:r>
          </w:p>
        </w:tc>
        <w:tc>
          <w:tcPr>
            <w:tcW w:w="0" w:type="dxa"/>
            <w:vAlign w:val="bottom"/>
          </w:tcPr>
          <w:p>
            <w:pPr>
              <w:spacing w:after="0"/>
              <w:rPr>
                <w:sz w:val="1"/>
                <w:szCs w:val="1"/>
                <w:color w:val="auto"/>
              </w:rPr>
            </w:pPr>
          </w:p>
        </w:tc>
      </w:tr>
      <w:tr>
        <w:trPr>
          <w:trHeight w:val="94"/>
        </w:trPr>
        <w:tc>
          <w:tcPr>
            <w:tcW w:w="420" w:type="dxa"/>
            <w:vAlign w:val="bottom"/>
            <w:shd w:val="clear" w:color="auto" w:fill="D21D22"/>
          </w:tcPr>
          <w:p>
            <w:pPr>
              <w:spacing w:after="0"/>
              <w:rPr>
                <w:sz w:val="8"/>
                <w:szCs w:val="8"/>
                <w:color w:val="auto"/>
              </w:rPr>
            </w:pPr>
          </w:p>
        </w:tc>
        <w:tc>
          <w:tcPr>
            <w:tcW w:w="3300" w:type="dxa"/>
            <w:vAlign w:val="bottom"/>
            <w:vMerge w:val="restart"/>
            <w:shd w:val="clear" w:color="auto" w:fill="D21D22"/>
          </w:tcPr>
          <w:p>
            <w:pPr>
              <w:jc w:val="center"/>
              <w:ind w:right="339"/>
              <w:spacing w:after="0"/>
              <w:rPr>
                <w:sz w:val="20"/>
                <w:szCs w:val="20"/>
                <w:color w:val="auto"/>
              </w:rPr>
            </w:pPr>
            <w:r>
              <w:rPr>
                <w:rFonts w:ascii="Arial" w:cs="Arial" w:eastAsia="Arial" w:hAnsi="Arial"/>
                <w:sz w:val="16"/>
                <w:szCs w:val="16"/>
                <w:b w:val="1"/>
                <w:bCs w:val="1"/>
                <w:color w:val="FFFFFF"/>
              </w:rPr>
              <w:t>impact in the communities where</w:t>
            </w:r>
          </w:p>
        </w:tc>
        <w:tc>
          <w:tcPr>
            <w:tcW w:w="320" w:type="dxa"/>
            <w:vAlign w:val="bottom"/>
            <w:shd w:val="clear" w:color="auto" w:fill="00ADE9"/>
          </w:tcPr>
          <w:p>
            <w:pPr>
              <w:spacing w:after="0"/>
              <w:rPr>
                <w:sz w:val="8"/>
                <w:szCs w:val="8"/>
                <w:color w:val="auto"/>
              </w:rPr>
            </w:pPr>
          </w:p>
        </w:tc>
        <w:tc>
          <w:tcPr>
            <w:tcW w:w="120" w:type="dxa"/>
            <w:vAlign w:val="bottom"/>
            <w:shd w:val="clear" w:color="auto" w:fill="00ADE9"/>
          </w:tcPr>
          <w:p>
            <w:pPr>
              <w:spacing w:after="0"/>
              <w:rPr>
                <w:sz w:val="8"/>
                <w:szCs w:val="8"/>
                <w:color w:val="auto"/>
              </w:rPr>
            </w:pPr>
          </w:p>
        </w:tc>
        <w:tc>
          <w:tcPr>
            <w:tcW w:w="3380" w:type="dxa"/>
            <w:vAlign w:val="bottom"/>
            <w:gridSpan w:val="2"/>
            <w:vMerge w:val="restart"/>
            <w:shd w:val="clear" w:color="auto" w:fill="00ADE9"/>
          </w:tcPr>
          <w:p>
            <w:pPr>
              <w:jc w:val="center"/>
              <w:ind w:right="420"/>
              <w:spacing w:after="0"/>
              <w:rPr>
                <w:sz w:val="20"/>
                <w:szCs w:val="20"/>
                <w:color w:val="auto"/>
              </w:rPr>
            </w:pPr>
            <w:r>
              <w:rPr>
                <w:rFonts w:ascii="Arial" w:cs="Arial" w:eastAsia="Arial" w:hAnsi="Arial"/>
                <w:sz w:val="16"/>
                <w:szCs w:val="16"/>
                <w:b w:val="1"/>
                <w:bCs w:val="1"/>
                <w:color w:val="FFFFFF"/>
              </w:rPr>
              <w:t>We create an environment</w:t>
            </w:r>
          </w:p>
        </w:tc>
        <w:tc>
          <w:tcPr>
            <w:tcW w:w="440" w:type="dxa"/>
            <w:vAlign w:val="bottom"/>
            <w:shd w:val="clear" w:color="auto" w:fill="4A1F67"/>
          </w:tcPr>
          <w:p>
            <w:pPr>
              <w:spacing w:after="0"/>
              <w:rPr>
                <w:sz w:val="8"/>
                <w:szCs w:val="8"/>
                <w:color w:val="auto"/>
              </w:rPr>
            </w:pPr>
          </w:p>
        </w:tc>
        <w:tc>
          <w:tcPr>
            <w:tcW w:w="3260" w:type="dxa"/>
            <w:vAlign w:val="bottom"/>
            <w:gridSpan w:val="2"/>
            <w:vMerge w:val="continue"/>
            <w:shd w:val="clear" w:color="auto" w:fill="4A1F67"/>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20" w:type="dxa"/>
            <w:vAlign w:val="bottom"/>
            <w:shd w:val="clear" w:color="auto" w:fill="D21D22"/>
          </w:tcPr>
          <w:p>
            <w:pPr>
              <w:spacing w:after="0"/>
              <w:rPr>
                <w:sz w:val="8"/>
                <w:szCs w:val="8"/>
                <w:color w:val="auto"/>
              </w:rPr>
            </w:pPr>
          </w:p>
        </w:tc>
        <w:tc>
          <w:tcPr>
            <w:tcW w:w="3300" w:type="dxa"/>
            <w:vAlign w:val="bottom"/>
            <w:vMerge w:val="continue"/>
            <w:shd w:val="clear" w:color="auto" w:fill="D21D22"/>
          </w:tcPr>
          <w:p>
            <w:pPr>
              <w:spacing w:after="0"/>
              <w:rPr>
                <w:sz w:val="8"/>
                <w:szCs w:val="8"/>
                <w:color w:val="auto"/>
              </w:rPr>
            </w:pPr>
          </w:p>
        </w:tc>
        <w:tc>
          <w:tcPr>
            <w:tcW w:w="320" w:type="dxa"/>
            <w:vAlign w:val="bottom"/>
            <w:shd w:val="clear" w:color="auto" w:fill="00ADE9"/>
          </w:tcPr>
          <w:p>
            <w:pPr>
              <w:spacing w:after="0"/>
              <w:rPr>
                <w:sz w:val="8"/>
                <w:szCs w:val="8"/>
                <w:color w:val="auto"/>
              </w:rPr>
            </w:pPr>
          </w:p>
        </w:tc>
        <w:tc>
          <w:tcPr>
            <w:tcW w:w="120" w:type="dxa"/>
            <w:vAlign w:val="bottom"/>
            <w:shd w:val="clear" w:color="auto" w:fill="00ADE9"/>
          </w:tcPr>
          <w:p>
            <w:pPr>
              <w:spacing w:after="0"/>
              <w:rPr>
                <w:sz w:val="8"/>
                <w:szCs w:val="8"/>
                <w:color w:val="auto"/>
              </w:rPr>
            </w:pPr>
          </w:p>
        </w:tc>
        <w:tc>
          <w:tcPr>
            <w:tcW w:w="3380" w:type="dxa"/>
            <w:vAlign w:val="bottom"/>
            <w:gridSpan w:val="2"/>
            <w:vMerge w:val="continue"/>
            <w:shd w:val="clear" w:color="auto" w:fill="00ADE9"/>
          </w:tcPr>
          <w:p>
            <w:pPr>
              <w:spacing w:after="0"/>
              <w:rPr>
                <w:sz w:val="8"/>
                <w:szCs w:val="8"/>
                <w:color w:val="auto"/>
              </w:rPr>
            </w:pPr>
          </w:p>
        </w:tc>
        <w:tc>
          <w:tcPr>
            <w:tcW w:w="440" w:type="dxa"/>
            <w:vAlign w:val="bottom"/>
            <w:shd w:val="clear" w:color="auto" w:fill="4A1F67"/>
          </w:tcPr>
          <w:p>
            <w:pPr>
              <w:spacing w:after="0"/>
              <w:rPr>
                <w:sz w:val="8"/>
                <w:szCs w:val="8"/>
                <w:color w:val="auto"/>
              </w:rPr>
            </w:pPr>
          </w:p>
        </w:tc>
        <w:tc>
          <w:tcPr>
            <w:tcW w:w="3260" w:type="dxa"/>
            <w:vAlign w:val="bottom"/>
            <w:gridSpan w:val="2"/>
            <w:vMerge w:val="restart"/>
            <w:shd w:val="clear" w:color="auto" w:fill="4A1F67"/>
          </w:tcPr>
          <w:p>
            <w:pPr>
              <w:jc w:val="center"/>
              <w:ind w:right="420"/>
              <w:spacing w:after="0"/>
              <w:rPr>
                <w:sz w:val="20"/>
                <w:szCs w:val="20"/>
                <w:color w:val="auto"/>
              </w:rPr>
            </w:pPr>
            <w:r>
              <w:rPr>
                <w:rFonts w:ascii="Arial" w:cs="Arial" w:eastAsia="Arial" w:hAnsi="Arial"/>
                <w:sz w:val="16"/>
                <w:szCs w:val="16"/>
                <w:b w:val="1"/>
                <w:bCs w:val="1"/>
                <w:color w:val="FFFFFF"/>
              </w:rPr>
              <w:t>operations to minimize</w:t>
            </w:r>
          </w:p>
        </w:tc>
        <w:tc>
          <w:tcPr>
            <w:tcW w:w="0" w:type="dxa"/>
            <w:vAlign w:val="bottom"/>
          </w:tcPr>
          <w:p>
            <w:pPr>
              <w:spacing w:after="0"/>
              <w:rPr>
                <w:sz w:val="1"/>
                <w:szCs w:val="1"/>
                <w:color w:val="auto"/>
              </w:rPr>
            </w:pPr>
          </w:p>
        </w:tc>
      </w:tr>
      <w:tr>
        <w:trPr>
          <w:trHeight w:val="94"/>
        </w:trPr>
        <w:tc>
          <w:tcPr>
            <w:tcW w:w="3720" w:type="dxa"/>
            <w:vAlign w:val="bottom"/>
            <w:gridSpan w:val="2"/>
            <w:vMerge w:val="restart"/>
            <w:shd w:val="clear" w:color="auto" w:fill="D21D22"/>
          </w:tcPr>
          <w:p>
            <w:pPr>
              <w:jc w:val="center"/>
              <w:spacing w:after="0"/>
              <w:rPr>
                <w:sz w:val="20"/>
                <w:szCs w:val="20"/>
                <w:color w:val="auto"/>
              </w:rPr>
            </w:pPr>
            <w:r>
              <w:rPr>
                <w:rFonts w:ascii="Arial" w:cs="Arial" w:eastAsia="Arial" w:hAnsi="Arial"/>
                <w:sz w:val="16"/>
                <w:szCs w:val="16"/>
                <w:b w:val="1"/>
                <w:bCs w:val="1"/>
                <w:color w:val="FFFFFF"/>
              </w:rPr>
              <w:t>we live and work through active engagement</w:t>
            </w:r>
          </w:p>
        </w:tc>
        <w:tc>
          <w:tcPr>
            <w:tcW w:w="320" w:type="dxa"/>
            <w:vAlign w:val="bottom"/>
            <w:shd w:val="clear" w:color="auto" w:fill="00ADE9"/>
          </w:tcPr>
          <w:p>
            <w:pPr>
              <w:spacing w:after="0"/>
              <w:rPr>
                <w:sz w:val="8"/>
                <w:szCs w:val="8"/>
                <w:color w:val="auto"/>
              </w:rPr>
            </w:pPr>
          </w:p>
        </w:tc>
        <w:tc>
          <w:tcPr>
            <w:tcW w:w="120" w:type="dxa"/>
            <w:vAlign w:val="bottom"/>
            <w:shd w:val="clear" w:color="auto" w:fill="00ADE9"/>
          </w:tcPr>
          <w:p>
            <w:pPr>
              <w:spacing w:after="0"/>
              <w:rPr>
                <w:sz w:val="8"/>
                <w:szCs w:val="8"/>
                <w:color w:val="auto"/>
              </w:rPr>
            </w:pPr>
          </w:p>
        </w:tc>
        <w:tc>
          <w:tcPr>
            <w:tcW w:w="3380" w:type="dxa"/>
            <w:vAlign w:val="bottom"/>
            <w:gridSpan w:val="2"/>
            <w:vMerge w:val="restart"/>
            <w:shd w:val="clear" w:color="auto" w:fill="00ADE9"/>
          </w:tcPr>
          <w:p>
            <w:pPr>
              <w:jc w:val="center"/>
              <w:ind w:right="420"/>
              <w:spacing w:after="0"/>
              <w:rPr>
                <w:sz w:val="20"/>
                <w:szCs w:val="20"/>
                <w:color w:val="auto"/>
              </w:rPr>
            </w:pPr>
            <w:r>
              <w:rPr>
                <w:rFonts w:ascii="Arial" w:cs="Arial" w:eastAsia="Arial" w:hAnsi="Arial"/>
                <w:sz w:val="16"/>
                <w:szCs w:val="16"/>
                <w:b w:val="1"/>
                <w:bCs w:val="1"/>
                <w:color w:val="FFFFFF"/>
              </w:rPr>
              <w:t>that encourages everyone</w:t>
            </w:r>
          </w:p>
        </w:tc>
        <w:tc>
          <w:tcPr>
            <w:tcW w:w="440" w:type="dxa"/>
            <w:vAlign w:val="bottom"/>
            <w:shd w:val="clear" w:color="auto" w:fill="4A1F67"/>
          </w:tcPr>
          <w:p>
            <w:pPr>
              <w:spacing w:after="0"/>
              <w:rPr>
                <w:sz w:val="8"/>
                <w:szCs w:val="8"/>
                <w:color w:val="auto"/>
              </w:rPr>
            </w:pPr>
          </w:p>
        </w:tc>
        <w:tc>
          <w:tcPr>
            <w:tcW w:w="3260" w:type="dxa"/>
            <w:vAlign w:val="bottom"/>
            <w:gridSpan w:val="2"/>
            <w:vMerge w:val="continue"/>
            <w:shd w:val="clear" w:color="auto" w:fill="4A1F67"/>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720" w:type="dxa"/>
            <w:vAlign w:val="bottom"/>
            <w:gridSpan w:val="2"/>
            <w:vMerge w:val="continue"/>
            <w:shd w:val="clear" w:color="auto" w:fill="D21D22"/>
          </w:tcPr>
          <w:p>
            <w:pPr>
              <w:spacing w:after="0"/>
              <w:rPr>
                <w:sz w:val="8"/>
                <w:szCs w:val="8"/>
                <w:color w:val="auto"/>
              </w:rPr>
            </w:pPr>
          </w:p>
        </w:tc>
        <w:tc>
          <w:tcPr>
            <w:tcW w:w="320" w:type="dxa"/>
            <w:vAlign w:val="bottom"/>
            <w:shd w:val="clear" w:color="auto" w:fill="00ADE9"/>
          </w:tcPr>
          <w:p>
            <w:pPr>
              <w:spacing w:after="0"/>
              <w:rPr>
                <w:sz w:val="8"/>
                <w:szCs w:val="8"/>
                <w:color w:val="auto"/>
              </w:rPr>
            </w:pPr>
          </w:p>
        </w:tc>
        <w:tc>
          <w:tcPr>
            <w:tcW w:w="120" w:type="dxa"/>
            <w:vAlign w:val="bottom"/>
            <w:shd w:val="clear" w:color="auto" w:fill="00ADE9"/>
          </w:tcPr>
          <w:p>
            <w:pPr>
              <w:spacing w:after="0"/>
              <w:rPr>
                <w:sz w:val="8"/>
                <w:szCs w:val="8"/>
                <w:color w:val="auto"/>
              </w:rPr>
            </w:pPr>
          </w:p>
        </w:tc>
        <w:tc>
          <w:tcPr>
            <w:tcW w:w="3380" w:type="dxa"/>
            <w:vAlign w:val="bottom"/>
            <w:gridSpan w:val="2"/>
            <w:vMerge w:val="continue"/>
            <w:shd w:val="clear" w:color="auto" w:fill="00ADE9"/>
          </w:tcPr>
          <w:p>
            <w:pPr>
              <w:spacing w:after="0"/>
              <w:rPr>
                <w:sz w:val="8"/>
                <w:szCs w:val="8"/>
                <w:color w:val="auto"/>
              </w:rPr>
            </w:pPr>
          </w:p>
        </w:tc>
        <w:tc>
          <w:tcPr>
            <w:tcW w:w="440" w:type="dxa"/>
            <w:vAlign w:val="bottom"/>
            <w:shd w:val="clear" w:color="auto" w:fill="4A1F67"/>
          </w:tcPr>
          <w:p>
            <w:pPr>
              <w:spacing w:after="0"/>
              <w:rPr>
                <w:sz w:val="8"/>
                <w:szCs w:val="8"/>
                <w:color w:val="auto"/>
              </w:rPr>
            </w:pPr>
          </w:p>
        </w:tc>
        <w:tc>
          <w:tcPr>
            <w:tcW w:w="3260" w:type="dxa"/>
            <w:vAlign w:val="bottom"/>
            <w:gridSpan w:val="2"/>
            <w:vMerge w:val="restart"/>
            <w:shd w:val="clear" w:color="auto" w:fill="4A1F67"/>
          </w:tcPr>
          <w:p>
            <w:pPr>
              <w:jc w:val="center"/>
              <w:ind w:right="420"/>
              <w:spacing w:after="0"/>
              <w:rPr>
                <w:sz w:val="20"/>
                <w:szCs w:val="20"/>
                <w:color w:val="auto"/>
              </w:rPr>
            </w:pPr>
            <w:r>
              <w:rPr>
                <w:rFonts w:ascii="Arial" w:cs="Arial" w:eastAsia="Arial" w:hAnsi="Arial"/>
                <w:sz w:val="16"/>
                <w:szCs w:val="16"/>
                <w:b w:val="1"/>
                <w:bCs w:val="1"/>
                <w:color w:val="FFFFFF"/>
              </w:rPr>
              <w:t>carbon intensity and the</w:t>
            </w:r>
          </w:p>
        </w:tc>
        <w:tc>
          <w:tcPr>
            <w:tcW w:w="0" w:type="dxa"/>
            <w:vAlign w:val="bottom"/>
          </w:tcPr>
          <w:p>
            <w:pPr>
              <w:spacing w:after="0"/>
              <w:rPr>
                <w:sz w:val="1"/>
                <w:szCs w:val="1"/>
                <w:color w:val="auto"/>
              </w:rPr>
            </w:pPr>
          </w:p>
        </w:tc>
      </w:tr>
      <w:tr>
        <w:trPr>
          <w:trHeight w:val="94"/>
        </w:trPr>
        <w:tc>
          <w:tcPr>
            <w:tcW w:w="420" w:type="dxa"/>
            <w:vAlign w:val="bottom"/>
            <w:shd w:val="clear" w:color="auto" w:fill="D21D22"/>
          </w:tcPr>
          <w:p>
            <w:pPr>
              <w:spacing w:after="0"/>
              <w:rPr>
                <w:sz w:val="8"/>
                <w:szCs w:val="8"/>
                <w:color w:val="auto"/>
              </w:rPr>
            </w:pPr>
          </w:p>
        </w:tc>
        <w:tc>
          <w:tcPr>
            <w:tcW w:w="3300" w:type="dxa"/>
            <w:vAlign w:val="bottom"/>
            <w:vMerge w:val="restart"/>
            <w:shd w:val="clear" w:color="auto" w:fill="D21D22"/>
          </w:tcPr>
          <w:p>
            <w:pPr>
              <w:jc w:val="center"/>
              <w:ind w:right="339"/>
              <w:spacing w:after="0"/>
              <w:rPr>
                <w:sz w:val="20"/>
                <w:szCs w:val="20"/>
                <w:color w:val="auto"/>
              </w:rPr>
            </w:pPr>
            <w:r>
              <w:rPr>
                <w:rFonts w:ascii="Arial" w:cs="Arial" w:eastAsia="Arial" w:hAnsi="Arial"/>
                <w:sz w:val="16"/>
                <w:szCs w:val="16"/>
                <w:b w:val="1"/>
                <w:bCs w:val="1"/>
                <w:color w:val="FFFFFF"/>
              </w:rPr>
              <w:t>in health, education,</w:t>
            </w:r>
          </w:p>
        </w:tc>
        <w:tc>
          <w:tcPr>
            <w:tcW w:w="320" w:type="dxa"/>
            <w:vAlign w:val="bottom"/>
            <w:shd w:val="clear" w:color="auto" w:fill="00ADE9"/>
          </w:tcPr>
          <w:p>
            <w:pPr>
              <w:spacing w:after="0"/>
              <w:rPr>
                <w:sz w:val="8"/>
                <w:szCs w:val="8"/>
                <w:color w:val="auto"/>
              </w:rPr>
            </w:pPr>
          </w:p>
        </w:tc>
        <w:tc>
          <w:tcPr>
            <w:tcW w:w="120" w:type="dxa"/>
            <w:vAlign w:val="bottom"/>
            <w:shd w:val="clear" w:color="auto" w:fill="00ADE9"/>
          </w:tcPr>
          <w:p>
            <w:pPr>
              <w:spacing w:after="0"/>
              <w:rPr>
                <w:sz w:val="8"/>
                <w:szCs w:val="8"/>
                <w:color w:val="auto"/>
              </w:rPr>
            </w:pPr>
          </w:p>
        </w:tc>
        <w:tc>
          <w:tcPr>
            <w:tcW w:w="3380" w:type="dxa"/>
            <w:vAlign w:val="bottom"/>
            <w:gridSpan w:val="2"/>
            <w:vMerge w:val="restart"/>
            <w:shd w:val="clear" w:color="auto" w:fill="00ADE9"/>
          </w:tcPr>
          <w:p>
            <w:pPr>
              <w:jc w:val="center"/>
              <w:ind w:right="420"/>
              <w:spacing w:after="0"/>
              <w:rPr>
                <w:sz w:val="20"/>
                <w:szCs w:val="20"/>
                <w:color w:val="auto"/>
              </w:rPr>
            </w:pPr>
            <w:r>
              <w:rPr>
                <w:rFonts w:ascii="Arial" w:cs="Arial" w:eastAsia="Arial" w:hAnsi="Arial"/>
                <w:sz w:val="16"/>
                <w:szCs w:val="16"/>
                <w:b w:val="1"/>
                <w:bCs w:val="1"/>
                <w:color w:val="FFFFFF"/>
              </w:rPr>
              <w:t>to reach their full potential</w:t>
            </w:r>
          </w:p>
        </w:tc>
        <w:tc>
          <w:tcPr>
            <w:tcW w:w="440" w:type="dxa"/>
            <w:vAlign w:val="bottom"/>
            <w:shd w:val="clear" w:color="auto" w:fill="4A1F67"/>
          </w:tcPr>
          <w:p>
            <w:pPr>
              <w:spacing w:after="0"/>
              <w:rPr>
                <w:sz w:val="8"/>
                <w:szCs w:val="8"/>
                <w:color w:val="auto"/>
              </w:rPr>
            </w:pPr>
          </w:p>
        </w:tc>
        <w:tc>
          <w:tcPr>
            <w:tcW w:w="3260" w:type="dxa"/>
            <w:vAlign w:val="bottom"/>
            <w:gridSpan w:val="2"/>
            <w:vMerge w:val="continue"/>
            <w:shd w:val="clear" w:color="auto" w:fill="4A1F67"/>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20" w:type="dxa"/>
            <w:vAlign w:val="bottom"/>
            <w:shd w:val="clear" w:color="auto" w:fill="D21D22"/>
          </w:tcPr>
          <w:p>
            <w:pPr>
              <w:spacing w:after="0"/>
              <w:rPr>
                <w:sz w:val="8"/>
                <w:szCs w:val="8"/>
                <w:color w:val="auto"/>
              </w:rPr>
            </w:pPr>
          </w:p>
        </w:tc>
        <w:tc>
          <w:tcPr>
            <w:tcW w:w="3300" w:type="dxa"/>
            <w:vAlign w:val="bottom"/>
            <w:vMerge w:val="continue"/>
            <w:shd w:val="clear" w:color="auto" w:fill="D21D22"/>
          </w:tcPr>
          <w:p>
            <w:pPr>
              <w:spacing w:after="0"/>
              <w:rPr>
                <w:sz w:val="8"/>
                <w:szCs w:val="8"/>
                <w:color w:val="auto"/>
              </w:rPr>
            </w:pPr>
          </w:p>
        </w:tc>
        <w:tc>
          <w:tcPr>
            <w:tcW w:w="320" w:type="dxa"/>
            <w:vAlign w:val="bottom"/>
            <w:shd w:val="clear" w:color="auto" w:fill="00ADE9"/>
          </w:tcPr>
          <w:p>
            <w:pPr>
              <w:spacing w:after="0"/>
              <w:rPr>
                <w:sz w:val="8"/>
                <w:szCs w:val="8"/>
                <w:color w:val="auto"/>
              </w:rPr>
            </w:pPr>
          </w:p>
        </w:tc>
        <w:tc>
          <w:tcPr>
            <w:tcW w:w="120" w:type="dxa"/>
            <w:vAlign w:val="bottom"/>
            <w:shd w:val="clear" w:color="auto" w:fill="00ADE9"/>
          </w:tcPr>
          <w:p>
            <w:pPr>
              <w:spacing w:after="0"/>
              <w:rPr>
                <w:sz w:val="8"/>
                <w:szCs w:val="8"/>
                <w:color w:val="auto"/>
              </w:rPr>
            </w:pPr>
          </w:p>
        </w:tc>
        <w:tc>
          <w:tcPr>
            <w:tcW w:w="3380" w:type="dxa"/>
            <w:vAlign w:val="bottom"/>
            <w:gridSpan w:val="2"/>
            <w:vMerge w:val="continue"/>
            <w:shd w:val="clear" w:color="auto" w:fill="00ADE9"/>
          </w:tcPr>
          <w:p>
            <w:pPr>
              <w:spacing w:after="0"/>
              <w:rPr>
                <w:sz w:val="8"/>
                <w:szCs w:val="8"/>
                <w:color w:val="auto"/>
              </w:rPr>
            </w:pPr>
          </w:p>
        </w:tc>
        <w:tc>
          <w:tcPr>
            <w:tcW w:w="440" w:type="dxa"/>
            <w:vAlign w:val="bottom"/>
            <w:shd w:val="clear" w:color="auto" w:fill="4A1F67"/>
          </w:tcPr>
          <w:p>
            <w:pPr>
              <w:spacing w:after="0"/>
              <w:rPr>
                <w:sz w:val="8"/>
                <w:szCs w:val="8"/>
                <w:color w:val="auto"/>
              </w:rPr>
            </w:pPr>
          </w:p>
        </w:tc>
        <w:tc>
          <w:tcPr>
            <w:tcW w:w="3260" w:type="dxa"/>
            <w:vAlign w:val="bottom"/>
            <w:gridSpan w:val="2"/>
            <w:vMerge w:val="restart"/>
            <w:shd w:val="clear" w:color="auto" w:fill="4A1F67"/>
          </w:tcPr>
          <w:p>
            <w:pPr>
              <w:jc w:val="center"/>
              <w:ind w:right="440"/>
              <w:spacing w:after="0"/>
              <w:rPr>
                <w:sz w:val="20"/>
                <w:szCs w:val="20"/>
                <w:color w:val="auto"/>
              </w:rPr>
            </w:pPr>
            <w:r>
              <w:rPr>
                <w:rFonts w:ascii="Arial" w:cs="Arial" w:eastAsia="Arial" w:hAnsi="Arial"/>
                <w:sz w:val="16"/>
                <w:szCs w:val="16"/>
                <w:b w:val="1"/>
                <w:bCs w:val="1"/>
                <w:color w:val="FFFFFF"/>
              </w:rPr>
              <w:t>impact on the planet</w:t>
            </w:r>
          </w:p>
        </w:tc>
        <w:tc>
          <w:tcPr>
            <w:tcW w:w="0" w:type="dxa"/>
            <w:vAlign w:val="bottom"/>
          </w:tcPr>
          <w:p>
            <w:pPr>
              <w:spacing w:after="0"/>
              <w:rPr>
                <w:sz w:val="1"/>
                <w:szCs w:val="1"/>
                <w:color w:val="auto"/>
              </w:rPr>
            </w:pPr>
          </w:p>
        </w:tc>
      </w:tr>
      <w:tr>
        <w:trPr>
          <w:trHeight w:val="120"/>
        </w:trPr>
        <w:tc>
          <w:tcPr>
            <w:tcW w:w="420" w:type="dxa"/>
            <w:vAlign w:val="bottom"/>
            <w:shd w:val="clear" w:color="auto" w:fill="D21D22"/>
          </w:tcPr>
          <w:p>
            <w:pPr>
              <w:spacing w:after="0"/>
              <w:rPr>
                <w:sz w:val="10"/>
                <w:szCs w:val="10"/>
                <w:color w:val="auto"/>
              </w:rPr>
            </w:pPr>
          </w:p>
        </w:tc>
        <w:tc>
          <w:tcPr>
            <w:tcW w:w="3300" w:type="dxa"/>
            <w:vAlign w:val="bottom"/>
            <w:vMerge w:val="restart"/>
            <w:shd w:val="clear" w:color="auto" w:fill="D21D22"/>
          </w:tcPr>
          <w:p>
            <w:pPr>
              <w:jc w:val="center"/>
              <w:ind w:right="319"/>
              <w:spacing w:after="0"/>
              <w:rPr>
                <w:sz w:val="20"/>
                <w:szCs w:val="20"/>
                <w:color w:val="auto"/>
              </w:rPr>
            </w:pPr>
            <w:r>
              <w:rPr>
                <w:rFonts w:ascii="Arial" w:cs="Arial" w:eastAsia="Arial" w:hAnsi="Arial"/>
                <w:sz w:val="16"/>
                <w:szCs w:val="16"/>
                <w:b w:val="1"/>
                <w:bCs w:val="1"/>
                <w:color w:val="FFFFFF"/>
              </w:rPr>
              <w:t>and local employment</w:t>
            </w:r>
          </w:p>
        </w:tc>
        <w:tc>
          <w:tcPr>
            <w:tcW w:w="320" w:type="dxa"/>
            <w:vAlign w:val="bottom"/>
            <w:shd w:val="clear" w:color="auto" w:fill="00ADE9"/>
          </w:tcPr>
          <w:p>
            <w:pPr>
              <w:spacing w:after="0"/>
              <w:rPr>
                <w:sz w:val="10"/>
                <w:szCs w:val="10"/>
                <w:color w:val="auto"/>
              </w:rPr>
            </w:pPr>
          </w:p>
        </w:tc>
        <w:tc>
          <w:tcPr>
            <w:tcW w:w="120" w:type="dxa"/>
            <w:vAlign w:val="bottom"/>
            <w:shd w:val="clear" w:color="auto" w:fill="00ADE9"/>
          </w:tcPr>
          <w:p>
            <w:pPr>
              <w:spacing w:after="0"/>
              <w:rPr>
                <w:sz w:val="10"/>
                <w:szCs w:val="10"/>
                <w:color w:val="auto"/>
              </w:rPr>
            </w:pPr>
          </w:p>
        </w:tc>
        <w:tc>
          <w:tcPr>
            <w:tcW w:w="3280" w:type="dxa"/>
            <w:vAlign w:val="bottom"/>
            <w:shd w:val="clear" w:color="auto" w:fill="00ADE9"/>
          </w:tcPr>
          <w:p>
            <w:pPr>
              <w:spacing w:after="0"/>
              <w:rPr>
                <w:sz w:val="10"/>
                <w:szCs w:val="10"/>
                <w:color w:val="auto"/>
              </w:rPr>
            </w:pPr>
          </w:p>
        </w:tc>
        <w:tc>
          <w:tcPr>
            <w:tcW w:w="100" w:type="dxa"/>
            <w:vAlign w:val="bottom"/>
            <w:shd w:val="clear" w:color="auto" w:fill="00ADE9"/>
          </w:tcPr>
          <w:p>
            <w:pPr>
              <w:spacing w:after="0"/>
              <w:rPr>
                <w:sz w:val="10"/>
                <w:szCs w:val="10"/>
                <w:color w:val="auto"/>
              </w:rPr>
            </w:pPr>
          </w:p>
        </w:tc>
        <w:tc>
          <w:tcPr>
            <w:tcW w:w="440" w:type="dxa"/>
            <w:vAlign w:val="bottom"/>
            <w:shd w:val="clear" w:color="auto" w:fill="4A1F67"/>
          </w:tcPr>
          <w:p>
            <w:pPr>
              <w:spacing w:after="0"/>
              <w:rPr>
                <w:sz w:val="10"/>
                <w:szCs w:val="10"/>
                <w:color w:val="auto"/>
              </w:rPr>
            </w:pPr>
          </w:p>
        </w:tc>
        <w:tc>
          <w:tcPr>
            <w:tcW w:w="3260" w:type="dxa"/>
            <w:vAlign w:val="bottom"/>
            <w:gridSpan w:val="2"/>
            <w:vMerge w:val="continue"/>
            <w:shd w:val="clear" w:color="auto" w:fill="4A1F67"/>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20" w:type="dxa"/>
            <w:vAlign w:val="bottom"/>
            <w:shd w:val="clear" w:color="auto" w:fill="D21D22"/>
          </w:tcPr>
          <w:p>
            <w:pPr>
              <w:spacing w:after="0"/>
              <w:rPr>
                <w:sz w:val="8"/>
                <w:szCs w:val="8"/>
                <w:color w:val="auto"/>
              </w:rPr>
            </w:pPr>
          </w:p>
        </w:tc>
        <w:tc>
          <w:tcPr>
            <w:tcW w:w="3300" w:type="dxa"/>
            <w:vAlign w:val="bottom"/>
            <w:vMerge w:val="continue"/>
            <w:shd w:val="clear" w:color="auto" w:fill="D21D22"/>
          </w:tcPr>
          <w:p>
            <w:pPr>
              <w:spacing w:after="0"/>
              <w:rPr>
                <w:sz w:val="8"/>
                <w:szCs w:val="8"/>
                <w:color w:val="auto"/>
              </w:rPr>
            </w:pPr>
          </w:p>
        </w:tc>
        <w:tc>
          <w:tcPr>
            <w:tcW w:w="320" w:type="dxa"/>
            <w:vAlign w:val="bottom"/>
            <w:shd w:val="clear" w:color="auto" w:fill="00ADE9"/>
          </w:tcPr>
          <w:p>
            <w:pPr>
              <w:spacing w:after="0"/>
              <w:rPr>
                <w:sz w:val="8"/>
                <w:szCs w:val="8"/>
                <w:color w:val="auto"/>
              </w:rPr>
            </w:pPr>
          </w:p>
        </w:tc>
        <w:tc>
          <w:tcPr>
            <w:tcW w:w="120" w:type="dxa"/>
            <w:vAlign w:val="bottom"/>
            <w:shd w:val="clear" w:color="auto" w:fill="00ADE9"/>
          </w:tcPr>
          <w:p>
            <w:pPr>
              <w:spacing w:after="0"/>
              <w:rPr>
                <w:sz w:val="8"/>
                <w:szCs w:val="8"/>
                <w:color w:val="auto"/>
              </w:rPr>
            </w:pPr>
          </w:p>
        </w:tc>
        <w:tc>
          <w:tcPr>
            <w:tcW w:w="3280" w:type="dxa"/>
            <w:vAlign w:val="bottom"/>
            <w:shd w:val="clear" w:color="auto" w:fill="00ADE9"/>
          </w:tcPr>
          <w:p>
            <w:pPr>
              <w:spacing w:after="0"/>
              <w:rPr>
                <w:sz w:val="8"/>
                <w:szCs w:val="8"/>
                <w:color w:val="auto"/>
              </w:rPr>
            </w:pPr>
          </w:p>
        </w:tc>
        <w:tc>
          <w:tcPr>
            <w:tcW w:w="100" w:type="dxa"/>
            <w:vAlign w:val="bottom"/>
            <w:shd w:val="clear" w:color="auto" w:fill="00ADE9"/>
          </w:tcPr>
          <w:p>
            <w:pPr>
              <w:spacing w:after="0"/>
              <w:rPr>
                <w:sz w:val="8"/>
                <w:szCs w:val="8"/>
                <w:color w:val="auto"/>
              </w:rPr>
            </w:pPr>
          </w:p>
        </w:tc>
        <w:tc>
          <w:tcPr>
            <w:tcW w:w="440" w:type="dxa"/>
            <w:vAlign w:val="bottom"/>
            <w:shd w:val="clear" w:color="auto" w:fill="4A1F67"/>
          </w:tcPr>
          <w:p>
            <w:pPr>
              <w:spacing w:after="0"/>
              <w:rPr>
                <w:sz w:val="8"/>
                <w:szCs w:val="8"/>
                <w:color w:val="auto"/>
              </w:rPr>
            </w:pPr>
          </w:p>
        </w:tc>
        <w:tc>
          <w:tcPr>
            <w:tcW w:w="3160" w:type="dxa"/>
            <w:vAlign w:val="bottom"/>
            <w:shd w:val="clear" w:color="auto" w:fill="4A1F67"/>
          </w:tcPr>
          <w:p>
            <w:pPr>
              <w:spacing w:after="0"/>
              <w:rPr>
                <w:sz w:val="8"/>
                <w:szCs w:val="8"/>
                <w:color w:val="auto"/>
              </w:rPr>
            </w:pPr>
          </w:p>
        </w:tc>
        <w:tc>
          <w:tcPr>
            <w:tcW w:w="100" w:type="dxa"/>
            <w:vAlign w:val="bottom"/>
            <w:shd w:val="clear" w:color="auto" w:fill="4A1F67"/>
          </w:tcPr>
          <w:p>
            <w:pPr>
              <w:spacing w:after="0"/>
              <w:rPr>
                <w:sz w:val="8"/>
                <w:szCs w:val="8"/>
                <w:color w:val="auto"/>
              </w:rPr>
            </w:pPr>
          </w:p>
        </w:tc>
        <w:tc>
          <w:tcPr>
            <w:tcW w:w="0" w:type="dxa"/>
            <w:vAlign w:val="bottom"/>
          </w:tcPr>
          <w:p>
            <w:pPr>
              <w:spacing w:after="0"/>
              <w:rPr>
                <w:sz w:val="1"/>
                <w:szCs w:val="1"/>
                <w:color w:val="auto"/>
              </w:rPr>
            </w:pPr>
          </w:p>
        </w:tc>
      </w:tr>
      <w:tr>
        <w:trPr>
          <w:trHeight w:val="359"/>
        </w:trPr>
        <w:tc>
          <w:tcPr>
            <w:tcW w:w="3720" w:type="dxa"/>
            <w:vAlign w:val="bottom"/>
            <w:gridSpan w:val="2"/>
            <w:shd w:val="clear" w:color="auto" w:fill="D21D22"/>
          </w:tcPr>
          <w:p>
            <w:pPr>
              <w:ind w:left="100"/>
              <w:spacing w:after="0"/>
              <w:rPr>
                <w:sz w:val="20"/>
                <w:szCs w:val="20"/>
                <w:color w:val="auto"/>
              </w:rPr>
            </w:pPr>
            <w:r>
              <w:rPr>
                <w:rFonts w:ascii="Arial" w:cs="Arial" w:eastAsia="Arial" w:hAnsi="Arial"/>
                <w:sz w:val="16"/>
                <w:szCs w:val="16"/>
                <w:color w:val="FFFFFF"/>
              </w:rPr>
              <w:t>► Go beyond our commercial obligations to</w:t>
            </w:r>
          </w:p>
        </w:tc>
        <w:tc>
          <w:tcPr>
            <w:tcW w:w="320" w:type="dxa"/>
            <w:vAlign w:val="bottom"/>
            <w:shd w:val="clear" w:color="auto" w:fill="00ADE9"/>
          </w:tcPr>
          <w:p>
            <w:pPr>
              <w:ind w:left="100"/>
              <w:spacing w:after="0"/>
              <w:rPr>
                <w:sz w:val="20"/>
                <w:szCs w:val="20"/>
                <w:color w:val="auto"/>
              </w:rPr>
            </w:pPr>
            <w:r>
              <w:rPr>
                <w:rFonts w:ascii="Arial" w:cs="Arial" w:eastAsia="Arial" w:hAnsi="Arial"/>
                <w:sz w:val="16"/>
                <w:szCs w:val="16"/>
                <w:color w:val="FFFFFF"/>
              </w:rPr>
              <w:t>►</w:t>
            </w:r>
          </w:p>
        </w:tc>
        <w:tc>
          <w:tcPr>
            <w:tcW w:w="120" w:type="dxa"/>
            <w:vAlign w:val="bottom"/>
            <w:shd w:val="clear" w:color="auto" w:fill="00ADE9"/>
          </w:tcPr>
          <w:p>
            <w:pPr>
              <w:spacing w:after="0"/>
              <w:rPr>
                <w:sz w:val="24"/>
                <w:szCs w:val="24"/>
                <w:color w:val="auto"/>
              </w:rPr>
            </w:pPr>
          </w:p>
        </w:tc>
        <w:tc>
          <w:tcPr>
            <w:tcW w:w="3280" w:type="dxa"/>
            <w:vAlign w:val="bottom"/>
            <w:shd w:val="clear" w:color="auto" w:fill="00ADE9"/>
          </w:tcPr>
          <w:p>
            <w:pPr>
              <w:spacing w:after="0"/>
              <w:rPr>
                <w:sz w:val="20"/>
                <w:szCs w:val="20"/>
                <w:color w:val="auto"/>
              </w:rPr>
            </w:pPr>
            <w:r>
              <w:rPr>
                <w:rFonts w:ascii="Arial" w:cs="Arial" w:eastAsia="Arial" w:hAnsi="Arial"/>
                <w:sz w:val="16"/>
                <w:szCs w:val="16"/>
                <w:color w:val="FFFFFF"/>
              </w:rPr>
              <w:t>Ensure gender pay equity everywhere we</w:t>
            </w:r>
          </w:p>
        </w:tc>
        <w:tc>
          <w:tcPr>
            <w:tcW w:w="100" w:type="dxa"/>
            <w:vAlign w:val="bottom"/>
            <w:shd w:val="clear" w:color="auto" w:fill="00ADE9"/>
          </w:tcPr>
          <w:p>
            <w:pPr>
              <w:spacing w:after="0"/>
              <w:rPr>
                <w:sz w:val="24"/>
                <w:szCs w:val="24"/>
                <w:color w:val="auto"/>
              </w:rPr>
            </w:pPr>
          </w:p>
        </w:tc>
        <w:tc>
          <w:tcPr>
            <w:tcW w:w="440" w:type="dxa"/>
            <w:vAlign w:val="bottom"/>
            <w:shd w:val="clear" w:color="auto" w:fill="4A1F67"/>
          </w:tcPr>
          <w:p>
            <w:pPr>
              <w:ind w:left="100"/>
              <w:spacing w:after="0"/>
              <w:rPr>
                <w:sz w:val="20"/>
                <w:szCs w:val="20"/>
                <w:color w:val="auto"/>
              </w:rPr>
            </w:pPr>
            <w:r>
              <w:rPr>
                <w:rFonts w:ascii="Arial" w:cs="Arial" w:eastAsia="Arial" w:hAnsi="Arial"/>
                <w:sz w:val="16"/>
                <w:szCs w:val="16"/>
                <w:color w:val="FFFFFF"/>
              </w:rPr>
              <w:t>►</w:t>
            </w:r>
          </w:p>
        </w:tc>
        <w:tc>
          <w:tcPr>
            <w:tcW w:w="3160" w:type="dxa"/>
            <w:vAlign w:val="bottom"/>
            <w:shd w:val="clear" w:color="auto" w:fill="4A1F67"/>
          </w:tcPr>
          <w:p>
            <w:pPr>
              <w:spacing w:after="0"/>
              <w:rPr>
                <w:sz w:val="20"/>
                <w:szCs w:val="20"/>
                <w:color w:val="auto"/>
              </w:rPr>
            </w:pPr>
            <w:r>
              <w:rPr>
                <w:rFonts w:ascii="Arial" w:cs="Arial" w:eastAsia="Arial" w:hAnsi="Arial"/>
                <w:sz w:val="16"/>
                <w:szCs w:val="16"/>
                <w:color w:val="FFFFFF"/>
              </w:rPr>
              <w:t>Reduce the carbon footprint of our facilities,</w:t>
            </w:r>
          </w:p>
        </w:tc>
        <w:tc>
          <w:tcPr>
            <w:tcW w:w="100" w:type="dxa"/>
            <w:vAlign w:val="bottom"/>
            <w:shd w:val="clear" w:color="auto" w:fill="4A1F67"/>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720" w:type="dxa"/>
            <w:vAlign w:val="bottom"/>
            <w:gridSpan w:val="2"/>
            <w:shd w:val="clear" w:color="auto" w:fill="D21D22"/>
          </w:tcPr>
          <w:p>
            <w:pPr>
              <w:ind w:left="420"/>
              <w:spacing w:after="0"/>
              <w:rPr>
                <w:sz w:val="20"/>
                <w:szCs w:val="20"/>
                <w:color w:val="auto"/>
              </w:rPr>
            </w:pPr>
            <w:r>
              <w:rPr>
                <w:rFonts w:ascii="Arial" w:cs="Arial" w:eastAsia="Arial" w:hAnsi="Arial"/>
                <w:sz w:val="16"/>
                <w:szCs w:val="16"/>
                <w:color w:val="FFFFFF"/>
              </w:rPr>
              <w:t>create in-country value through initiatives in</w:t>
            </w:r>
          </w:p>
        </w:tc>
        <w:tc>
          <w:tcPr>
            <w:tcW w:w="320" w:type="dxa"/>
            <w:vAlign w:val="bottom"/>
            <w:shd w:val="clear" w:color="auto" w:fill="00ADE9"/>
          </w:tcPr>
          <w:p>
            <w:pPr>
              <w:spacing w:after="0"/>
              <w:rPr>
                <w:sz w:val="16"/>
                <w:szCs w:val="16"/>
                <w:color w:val="auto"/>
              </w:rPr>
            </w:pPr>
          </w:p>
        </w:tc>
        <w:tc>
          <w:tcPr>
            <w:tcW w:w="120" w:type="dxa"/>
            <w:vAlign w:val="bottom"/>
            <w:shd w:val="clear" w:color="auto" w:fill="00ADE9"/>
          </w:tcPr>
          <w:p>
            <w:pPr>
              <w:spacing w:after="0"/>
              <w:rPr>
                <w:sz w:val="16"/>
                <w:szCs w:val="16"/>
                <w:color w:val="auto"/>
              </w:rPr>
            </w:pPr>
          </w:p>
        </w:tc>
        <w:tc>
          <w:tcPr>
            <w:tcW w:w="3280" w:type="dxa"/>
            <w:vAlign w:val="bottom"/>
            <w:shd w:val="clear" w:color="auto" w:fill="00ADE9"/>
          </w:tcPr>
          <w:p>
            <w:pPr>
              <w:spacing w:after="0"/>
              <w:rPr>
                <w:sz w:val="20"/>
                <w:szCs w:val="20"/>
                <w:color w:val="auto"/>
              </w:rPr>
            </w:pPr>
            <w:r>
              <w:rPr>
                <w:rFonts w:ascii="Arial" w:cs="Arial" w:eastAsia="Arial" w:hAnsi="Arial"/>
                <w:sz w:val="16"/>
                <w:szCs w:val="16"/>
                <w:color w:val="FFFFFF"/>
              </w:rPr>
              <w:t>operate</w:t>
            </w:r>
          </w:p>
        </w:tc>
        <w:tc>
          <w:tcPr>
            <w:tcW w:w="100" w:type="dxa"/>
            <w:vAlign w:val="bottom"/>
            <w:shd w:val="clear" w:color="auto" w:fill="00ADE9"/>
          </w:tcPr>
          <w:p>
            <w:pPr>
              <w:spacing w:after="0"/>
              <w:rPr>
                <w:sz w:val="16"/>
                <w:szCs w:val="16"/>
                <w:color w:val="auto"/>
              </w:rPr>
            </w:pPr>
          </w:p>
        </w:tc>
        <w:tc>
          <w:tcPr>
            <w:tcW w:w="440" w:type="dxa"/>
            <w:vAlign w:val="bottom"/>
            <w:shd w:val="clear" w:color="auto" w:fill="4A1F67"/>
          </w:tcPr>
          <w:p>
            <w:pPr>
              <w:spacing w:after="0"/>
              <w:rPr>
                <w:sz w:val="16"/>
                <w:szCs w:val="16"/>
                <w:color w:val="auto"/>
              </w:rPr>
            </w:pPr>
          </w:p>
        </w:tc>
        <w:tc>
          <w:tcPr>
            <w:tcW w:w="3160" w:type="dxa"/>
            <w:vAlign w:val="bottom"/>
            <w:shd w:val="clear" w:color="auto" w:fill="4A1F67"/>
          </w:tcPr>
          <w:p>
            <w:pPr>
              <w:spacing w:after="0"/>
              <w:rPr>
                <w:sz w:val="20"/>
                <w:szCs w:val="20"/>
                <w:color w:val="auto"/>
              </w:rPr>
            </w:pPr>
            <w:r>
              <w:rPr>
                <w:rFonts w:ascii="Arial" w:cs="Arial" w:eastAsia="Arial" w:hAnsi="Arial"/>
                <w:sz w:val="16"/>
                <w:szCs w:val="16"/>
                <w:color w:val="FFFFFF"/>
              </w:rPr>
              <w:t>products, and solutions</w:t>
            </w:r>
          </w:p>
        </w:tc>
        <w:tc>
          <w:tcPr>
            <w:tcW w:w="100" w:type="dxa"/>
            <w:vAlign w:val="bottom"/>
            <w:shd w:val="clear" w:color="auto" w:fill="4A1F6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D21D22"/>
          </w:tcPr>
          <w:p>
            <w:pPr>
              <w:jc w:val="center"/>
              <w:spacing w:after="0"/>
              <w:rPr>
                <w:sz w:val="20"/>
                <w:szCs w:val="20"/>
                <w:color w:val="auto"/>
              </w:rPr>
            </w:pPr>
            <w:r>
              <w:rPr>
                <w:rFonts w:ascii="Arial" w:cs="Arial" w:eastAsia="Arial" w:hAnsi="Arial"/>
                <w:sz w:val="16"/>
                <w:szCs w:val="16"/>
                <w:color w:val="FFFFFF"/>
              </w:rPr>
              <w:t>health, education, and local employment</w:t>
            </w:r>
          </w:p>
        </w:tc>
        <w:tc>
          <w:tcPr>
            <w:tcW w:w="320" w:type="dxa"/>
            <w:vAlign w:val="bottom"/>
            <w:vMerge w:val="restart"/>
            <w:shd w:val="clear" w:color="auto" w:fill="00ADE9"/>
          </w:tcPr>
          <w:p>
            <w:pPr>
              <w:ind w:left="100"/>
              <w:spacing w:after="0"/>
              <w:rPr>
                <w:sz w:val="20"/>
                <w:szCs w:val="20"/>
                <w:color w:val="auto"/>
              </w:rPr>
            </w:pPr>
            <w:r>
              <w:rPr>
                <w:rFonts w:ascii="Arial" w:cs="Arial" w:eastAsia="Arial" w:hAnsi="Arial"/>
                <w:sz w:val="16"/>
                <w:szCs w:val="16"/>
                <w:color w:val="FFFFFF"/>
              </w:rPr>
              <w:t>►</w:t>
            </w:r>
          </w:p>
        </w:tc>
        <w:tc>
          <w:tcPr>
            <w:tcW w:w="120" w:type="dxa"/>
            <w:vAlign w:val="bottom"/>
            <w:shd w:val="clear" w:color="auto" w:fill="00ADE9"/>
          </w:tcPr>
          <w:p>
            <w:pPr>
              <w:spacing w:after="0"/>
              <w:rPr>
                <w:sz w:val="16"/>
                <w:szCs w:val="16"/>
                <w:color w:val="auto"/>
              </w:rPr>
            </w:pPr>
          </w:p>
        </w:tc>
        <w:tc>
          <w:tcPr>
            <w:tcW w:w="3280" w:type="dxa"/>
            <w:vAlign w:val="bottom"/>
            <w:shd w:val="clear" w:color="auto" w:fill="00ADE9"/>
          </w:tcPr>
          <w:p>
            <w:pPr>
              <w:spacing w:after="0"/>
              <w:rPr>
                <w:sz w:val="16"/>
                <w:szCs w:val="16"/>
                <w:color w:val="auto"/>
              </w:rPr>
            </w:pPr>
          </w:p>
        </w:tc>
        <w:tc>
          <w:tcPr>
            <w:tcW w:w="100" w:type="dxa"/>
            <w:vAlign w:val="bottom"/>
            <w:shd w:val="clear" w:color="auto" w:fill="00ADE9"/>
          </w:tcPr>
          <w:p>
            <w:pPr>
              <w:spacing w:after="0"/>
              <w:rPr>
                <w:sz w:val="16"/>
                <w:szCs w:val="16"/>
                <w:color w:val="auto"/>
              </w:rPr>
            </w:pPr>
          </w:p>
        </w:tc>
        <w:tc>
          <w:tcPr>
            <w:tcW w:w="440" w:type="dxa"/>
            <w:vAlign w:val="bottom"/>
            <w:vMerge w:val="restart"/>
            <w:shd w:val="clear" w:color="auto" w:fill="4A1F67"/>
          </w:tcPr>
          <w:p>
            <w:pPr>
              <w:ind w:left="100"/>
              <w:spacing w:after="0"/>
              <w:rPr>
                <w:sz w:val="20"/>
                <w:szCs w:val="20"/>
                <w:color w:val="auto"/>
              </w:rPr>
            </w:pPr>
            <w:r>
              <w:rPr>
                <w:rFonts w:ascii="Arial" w:cs="Arial" w:eastAsia="Arial" w:hAnsi="Arial"/>
                <w:sz w:val="16"/>
                <w:szCs w:val="16"/>
                <w:color w:val="FFFFFF"/>
              </w:rPr>
              <w:t>►</w:t>
            </w:r>
          </w:p>
        </w:tc>
        <w:tc>
          <w:tcPr>
            <w:tcW w:w="3160" w:type="dxa"/>
            <w:vAlign w:val="bottom"/>
            <w:vMerge w:val="restart"/>
            <w:shd w:val="clear" w:color="auto" w:fill="4A1F67"/>
          </w:tcPr>
          <w:p>
            <w:pPr>
              <w:spacing w:after="0"/>
              <w:rPr>
                <w:sz w:val="20"/>
                <w:szCs w:val="20"/>
                <w:color w:val="auto"/>
              </w:rPr>
            </w:pPr>
            <w:r>
              <w:rPr>
                <w:rFonts w:ascii="Arial" w:cs="Arial" w:eastAsia="Arial" w:hAnsi="Arial"/>
                <w:sz w:val="16"/>
                <w:szCs w:val="16"/>
                <w:color w:val="FFFFFF"/>
              </w:rPr>
              <w:t>Provide the carbon footprint of all our</w:t>
            </w:r>
          </w:p>
        </w:tc>
        <w:tc>
          <w:tcPr>
            <w:tcW w:w="100" w:type="dxa"/>
            <w:vAlign w:val="bottom"/>
            <w:shd w:val="clear" w:color="auto" w:fill="4A1F67"/>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0" w:type="dxa"/>
            <w:vAlign w:val="bottom"/>
            <w:shd w:val="clear" w:color="auto" w:fill="D21D22"/>
          </w:tcPr>
          <w:p>
            <w:pPr>
              <w:spacing w:after="0"/>
              <w:rPr>
                <w:sz w:val="16"/>
                <w:szCs w:val="16"/>
                <w:color w:val="auto"/>
              </w:rPr>
            </w:pPr>
          </w:p>
        </w:tc>
        <w:tc>
          <w:tcPr>
            <w:tcW w:w="3300" w:type="dxa"/>
            <w:vAlign w:val="bottom"/>
            <w:shd w:val="clear" w:color="auto" w:fill="D21D22"/>
          </w:tcPr>
          <w:p>
            <w:pPr>
              <w:spacing w:after="0"/>
              <w:rPr>
                <w:sz w:val="16"/>
                <w:szCs w:val="16"/>
                <w:color w:val="auto"/>
              </w:rPr>
            </w:pPr>
          </w:p>
        </w:tc>
        <w:tc>
          <w:tcPr>
            <w:tcW w:w="320" w:type="dxa"/>
            <w:vAlign w:val="bottom"/>
            <w:vMerge w:val="continue"/>
            <w:shd w:val="clear" w:color="auto" w:fill="00ADE9"/>
          </w:tcPr>
          <w:p>
            <w:pPr>
              <w:spacing w:after="0"/>
              <w:rPr>
                <w:sz w:val="16"/>
                <w:szCs w:val="16"/>
                <w:color w:val="auto"/>
              </w:rPr>
            </w:pPr>
          </w:p>
        </w:tc>
        <w:tc>
          <w:tcPr>
            <w:tcW w:w="120" w:type="dxa"/>
            <w:vAlign w:val="bottom"/>
            <w:shd w:val="clear" w:color="auto" w:fill="00ADE9"/>
          </w:tcPr>
          <w:p>
            <w:pPr>
              <w:spacing w:after="0"/>
              <w:rPr>
                <w:sz w:val="16"/>
                <w:szCs w:val="16"/>
                <w:color w:val="auto"/>
              </w:rPr>
            </w:pPr>
          </w:p>
        </w:tc>
        <w:tc>
          <w:tcPr>
            <w:tcW w:w="3280" w:type="dxa"/>
            <w:vAlign w:val="bottom"/>
            <w:shd w:val="clear" w:color="auto" w:fill="00ADE9"/>
          </w:tcPr>
          <w:p>
            <w:pPr>
              <w:spacing w:after="0"/>
              <w:rPr>
                <w:sz w:val="20"/>
                <w:szCs w:val="20"/>
                <w:color w:val="auto"/>
              </w:rPr>
            </w:pPr>
            <w:r>
              <w:rPr>
                <w:rFonts w:ascii="Arial" w:cs="Arial" w:eastAsia="Arial" w:hAnsi="Arial"/>
                <w:sz w:val="16"/>
                <w:szCs w:val="16"/>
                <w:color w:val="FFFFFF"/>
              </w:rPr>
              <w:t>Improve gender balance in the organization,</w:t>
            </w:r>
          </w:p>
        </w:tc>
        <w:tc>
          <w:tcPr>
            <w:tcW w:w="100" w:type="dxa"/>
            <w:vAlign w:val="bottom"/>
            <w:shd w:val="clear" w:color="auto" w:fill="00ADE9"/>
          </w:tcPr>
          <w:p>
            <w:pPr>
              <w:spacing w:after="0"/>
              <w:rPr>
                <w:sz w:val="16"/>
                <w:szCs w:val="16"/>
                <w:color w:val="auto"/>
              </w:rPr>
            </w:pPr>
          </w:p>
        </w:tc>
        <w:tc>
          <w:tcPr>
            <w:tcW w:w="440" w:type="dxa"/>
            <w:vAlign w:val="bottom"/>
            <w:vMerge w:val="continue"/>
            <w:shd w:val="clear" w:color="auto" w:fill="4A1F67"/>
          </w:tcPr>
          <w:p>
            <w:pPr>
              <w:spacing w:after="0"/>
              <w:rPr>
                <w:sz w:val="16"/>
                <w:szCs w:val="16"/>
                <w:color w:val="auto"/>
              </w:rPr>
            </w:pPr>
          </w:p>
        </w:tc>
        <w:tc>
          <w:tcPr>
            <w:tcW w:w="3160" w:type="dxa"/>
            <w:vAlign w:val="bottom"/>
            <w:vMerge w:val="continue"/>
            <w:shd w:val="clear" w:color="auto" w:fill="4A1F67"/>
          </w:tcPr>
          <w:p>
            <w:pPr>
              <w:spacing w:after="0"/>
              <w:rPr>
                <w:sz w:val="16"/>
                <w:szCs w:val="16"/>
                <w:color w:val="auto"/>
              </w:rPr>
            </w:pPr>
          </w:p>
        </w:tc>
        <w:tc>
          <w:tcPr>
            <w:tcW w:w="100" w:type="dxa"/>
            <w:vAlign w:val="bottom"/>
            <w:shd w:val="clear" w:color="auto" w:fill="4A1F6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D21D22"/>
          </w:tcPr>
          <w:p>
            <w:pPr>
              <w:ind w:left="100"/>
              <w:spacing w:after="0"/>
              <w:rPr>
                <w:sz w:val="20"/>
                <w:szCs w:val="20"/>
                <w:color w:val="auto"/>
              </w:rPr>
            </w:pPr>
            <w:r>
              <w:rPr>
                <w:rFonts w:ascii="Arial" w:cs="Arial" w:eastAsia="Arial" w:hAnsi="Arial"/>
                <w:sz w:val="16"/>
                <w:szCs w:val="16"/>
                <w:color w:val="FFFFFF"/>
              </w:rPr>
              <w:t>► Enable employees to volunteer and support</w:t>
            </w:r>
          </w:p>
        </w:tc>
        <w:tc>
          <w:tcPr>
            <w:tcW w:w="320" w:type="dxa"/>
            <w:vAlign w:val="bottom"/>
            <w:shd w:val="clear" w:color="auto" w:fill="00ADE9"/>
          </w:tcPr>
          <w:p>
            <w:pPr>
              <w:spacing w:after="0"/>
              <w:rPr>
                <w:sz w:val="16"/>
                <w:szCs w:val="16"/>
                <w:color w:val="auto"/>
              </w:rPr>
            </w:pPr>
          </w:p>
        </w:tc>
        <w:tc>
          <w:tcPr>
            <w:tcW w:w="120" w:type="dxa"/>
            <w:vAlign w:val="bottom"/>
            <w:shd w:val="clear" w:color="auto" w:fill="00ADE9"/>
          </w:tcPr>
          <w:p>
            <w:pPr>
              <w:spacing w:after="0"/>
              <w:rPr>
                <w:sz w:val="16"/>
                <w:szCs w:val="16"/>
                <w:color w:val="auto"/>
              </w:rPr>
            </w:pPr>
          </w:p>
        </w:tc>
        <w:tc>
          <w:tcPr>
            <w:tcW w:w="3280" w:type="dxa"/>
            <w:vAlign w:val="bottom"/>
            <w:shd w:val="clear" w:color="auto" w:fill="00ADE9"/>
          </w:tcPr>
          <w:p>
            <w:pPr>
              <w:spacing w:after="0"/>
              <w:rPr>
                <w:sz w:val="20"/>
                <w:szCs w:val="20"/>
                <w:color w:val="auto"/>
              </w:rPr>
            </w:pPr>
            <w:r>
              <w:rPr>
                <w:rFonts w:ascii="Arial" w:cs="Arial" w:eastAsia="Arial" w:hAnsi="Arial"/>
                <w:sz w:val="16"/>
                <w:szCs w:val="16"/>
                <w:color w:val="FFFFFF"/>
              </w:rPr>
              <w:t>across all functions and levels</w:t>
            </w:r>
          </w:p>
        </w:tc>
        <w:tc>
          <w:tcPr>
            <w:tcW w:w="100" w:type="dxa"/>
            <w:vAlign w:val="bottom"/>
            <w:shd w:val="clear" w:color="auto" w:fill="00ADE9"/>
          </w:tcPr>
          <w:p>
            <w:pPr>
              <w:spacing w:after="0"/>
              <w:rPr>
                <w:sz w:val="16"/>
                <w:szCs w:val="16"/>
                <w:color w:val="auto"/>
              </w:rPr>
            </w:pPr>
          </w:p>
        </w:tc>
        <w:tc>
          <w:tcPr>
            <w:tcW w:w="440" w:type="dxa"/>
            <w:vAlign w:val="bottom"/>
            <w:shd w:val="clear" w:color="auto" w:fill="4A1F67"/>
          </w:tcPr>
          <w:p>
            <w:pPr>
              <w:spacing w:after="0"/>
              <w:rPr>
                <w:sz w:val="16"/>
                <w:szCs w:val="16"/>
                <w:color w:val="auto"/>
              </w:rPr>
            </w:pPr>
          </w:p>
        </w:tc>
        <w:tc>
          <w:tcPr>
            <w:tcW w:w="3160" w:type="dxa"/>
            <w:vAlign w:val="bottom"/>
            <w:shd w:val="clear" w:color="auto" w:fill="4A1F67"/>
          </w:tcPr>
          <w:p>
            <w:pPr>
              <w:spacing w:after="0"/>
              <w:rPr>
                <w:sz w:val="20"/>
                <w:szCs w:val="20"/>
                <w:color w:val="auto"/>
              </w:rPr>
            </w:pPr>
            <w:r>
              <w:rPr>
                <w:rFonts w:ascii="Arial" w:cs="Arial" w:eastAsia="Arial" w:hAnsi="Arial"/>
                <w:sz w:val="16"/>
                <w:szCs w:val="16"/>
                <w:color w:val="FFFFFF"/>
              </w:rPr>
              <w:t>deliverables to clients through conceptual</w:t>
            </w:r>
          </w:p>
        </w:tc>
        <w:tc>
          <w:tcPr>
            <w:tcW w:w="100" w:type="dxa"/>
            <w:vAlign w:val="bottom"/>
            <w:shd w:val="clear" w:color="auto" w:fill="4A1F67"/>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20" w:type="dxa"/>
            <w:vAlign w:val="bottom"/>
            <w:gridSpan w:val="2"/>
            <w:shd w:val="clear" w:color="auto" w:fill="D21D22"/>
          </w:tcPr>
          <w:p>
            <w:pPr>
              <w:ind w:left="420"/>
              <w:spacing w:after="0"/>
              <w:rPr>
                <w:sz w:val="20"/>
                <w:szCs w:val="20"/>
                <w:color w:val="auto"/>
              </w:rPr>
            </w:pPr>
            <w:r>
              <w:rPr>
                <w:rFonts w:ascii="Arial" w:cs="Arial" w:eastAsia="Arial" w:hAnsi="Arial"/>
                <w:sz w:val="16"/>
                <w:szCs w:val="16"/>
                <w:color w:val="FFFFFF"/>
              </w:rPr>
              <w:t>initiatives</w:t>
            </w:r>
          </w:p>
        </w:tc>
        <w:tc>
          <w:tcPr>
            <w:tcW w:w="320" w:type="dxa"/>
            <w:vAlign w:val="bottom"/>
            <w:vMerge w:val="restart"/>
            <w:shd w:val="clear" w:color="auto" w:fill="00ADE9"/>
          </w:tcPr>
          <w:p>
            <w:pPr>
              <w:ind w:left="100"/>
              <w:spacing w:after="0"/>
              <w:rPr>
                <w:sz w:val="20"/>
                <w:szCs w:val="20"/>
                <w:color w:val="auto"/>
              </w:rPr>
            </w:pPr>
            <w:r>
              <w:rPr>
                <w:rFonts w:ascii="Arial" w:cs="Arial" w:eastAsia="Arial" w:hAnsi="Arial"/>
                <w:sz w:val="16"/>
                <w:szCs w:val="16"/>
                <w:color w:val="FFFFFF"/>
              </w:rPr>
              <w:t>►</w:t>
            </w:r>
          </w:p>
        </w:tc>
        <w:tc>
          <w:tcPr>
            <w:tcW w:w="120" w:type="dxa"/>
            <w:vAlign w:val="bottom"/>
            <w:shd w:val="clear" w:color="auto" w:fill="00ADE9"/>
          </w:tcPr>
          <w:p>
            <w:pPr>
              <w:spacing w:after="0"/>
              <w:rPr>
                <w:sz w:val="16"/>
                <w:szCs w:val="16"/>
                <w:color w:val="auto"/>
              </w:rPr>
            </w:pPr>
          </w:p>
        </w:tc>
        <w:tc>
          <w:tcPr>
            <w:tcW w:w="3280" w:type="dxa"/>
            <w:vAlign w:val="bottom"/>
            <w:vMerge w:val="restart"/>
            <w:shd w:val="clear" w:color="auto" w:fill="00ADE9"/>
          </w:tcPr>
          <w:p>
            <w:pPr>
              <w:spacing w:after="0"/>
              <w:rPr>
                <w:sz w:val="20"/>
                <w:szCs w:val="20"/>
                <w:color w:val="auto"/>
              </w:rPr>
            </w:pPr>
            <w:r>
              <w:rPr>
                <w:rFonts w:ascii="Arial" w:cs="Arial" w:eastAsia="Arial" w:hAnsi="Arial"/>
                <w:sz w:val="16"/>
                <w:szCs w:val="16"/>
                <w:color w:val="FFFFFF"/>
                <w:w w:val="99"/>
              </w:rPr>
              <w:t>Promote women fairly and equally through the</w:t>
            </w:r>
          </w:p>
        </w:tc>
        <w:tc>
          <w:tcPr>
            <w:tcW w:w="100" w:type="dxa"/>
            <w:vAlign w:val="bottom"/>
            <w:shd w:val="clear" w:color="auto" w:fill="00ADE9"/>
          </w:tcPr>
          <w:p>
            <w:pPr>
              <w:spacing w:after="0"/>
              <w:rPr>
                <w:sz w:val="16"/>
                <w:szCs w:val="16"/>
                <w:color w:val="auto"/>
              </w:rPr>
            </w:pPr>
          </w:p>
        </w:tc>
        <w:tc>
          <w:tcPr>
            <w:tcW w:w="440" w:type="dxa"/>
            <w:vAlign w:val="bottom"/>
            <w:shd w:val="clear" w:color="auto" w:fill="4A1F67"/>
          </w:tcPr>
          <w:p>
            <w:pPr>
              <w:spacing w:after="0"/>
              <w:rPr>
                <w:sz w:val="16"/>
                <w:szCs w:val="16"/>
                <w:color w:val="auto"/>
              </w:rPr>
            </w:pPr>
          </w:p>
        </w:tc>
        <w:tc>
          <w:tcPr>
            <w:tcW w:w="3160" w:type="dxa"/>
            <w:vAlign w:val="bottom"/>
            <w:shd w:val="clear" w:color="auto" w:fill="4A1F67"/>
          </w:tcPr>
          <w:p>
            <w:pPr>
              <w:spacing w:after="0"/>
              <w:rPr>
                <w:sz w:val="20"/>
                <w:szCs w:val="20"/>
                <w:color w:val="auto"/>
              </w:rPr>
            </w:pPr>
            <w:r>
              <w:rPr>
                <w:rFonts w:ascii="Arial" w:cs="Arial" w:eastAsia="Arial" w:hAnsi="Arial"/>
                <w:sz w:val="16"/>
                <w:szCs w:val="16"/>
                <w:color w:val="FFFFFF"/>
              </w:rPr>
              <w:t>studies</w:t>
            </w:r>
          </w:p>
        </w:tc>
        <w:tc>
          <w:tcPr>
            <w:tcW w:w="100" w:type="dxa"/>
            <w:vAlign w:val="bottom"/>
            <w:shd w:val="clear" w:color="auto" w:fill="4A1F67"/>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 w:type="dxa"/>
            <w:vAlign w:val="bottom"/>
            <w:shd w:val="clear" w:color="auto" w:fill="D21D22"/>
          </w:tcPr>
          <w:p>
            <w:pPr>
              <w:spacing w:after="0"/>
              <w:rPr>
                <w:sz w:val="15"/>
                <w:szCs w:val="15"/>
                <w:color w:val="auto"/>
              </w:rPr>
            </w:pPr>
          </w:p>
        </w:tc>
        <w:tc>
          <w:tcPr>
            <w:tcW w:w="3300" w:type="dxa"/>
            <w:vAlign w:val="bottom"/>
            <w:shd w:val="clear" w:color="auto" w:fill="D21D22"/>
          </w:tcPr>
          <w:p>
            <w:pPr>
              <w:spacing w:after="0"/>
              <w:rPr>
                <w:sz w:val="15"/>
                <w:szCs w:val="15"/>
                <w:color w:val="auto"/>
              </w:rPr>
            </w:pPr>
          </w:p>
        </w:tc>
        <w:tc>
          <w:tcPr>
            <w:tcW w:w="320" w:type="dxa"/>
            <w:vAlign w:val="bottom"/>
            <w:vMerge w:val="continue"/>
            <w:shd w:val="clear" w:color="auto" w:fill="00ADE9"/>
          </w:tcPr>
          <w:p>
            <w:pPr>
              <w:spacing w:after="0"/>
              <w:rPr>
                <w:sz w:val="15"/>
                <w:szCs w:val="15"/>
                <w:color w:val="auto"/>
              </w:rPr>
            </w:pPr>
          </w:p>
        </w:tc>
        <w:tc>
          <w:tcPr>
            <w:tcW w:w="120" w:type="dxa"/>
            <w:vAlign w:val="bottom"/>
            <w:shd w:val="clear" w:color="auto" w:fill="00ADE9"/>
          </w:tcPr>
          <w:p>
            <w:pPr>
              <w:spacing w:after="0"/>
              <w:rPr>
                <w:sz w:val="15"/>
                <w:szCs w:val="15"/>
                <w:color w:val="auto"/>
              </w:rPr>
            </w:pPr>
          </w:p>
        </w:tc>
        <w:tc>
          <w:tcPr>
            <w:tcW w:w="3280" w:type="dxa"/>
            <w:vAlign w:val="bottom"/>
            <w:vMerge w:val="continue"/>
            <w:shd w:val="clear" w:color="auto" w:fill="00ADE9"/>
          </w:tcPr>
          <w:p>
            <w:pPr>
              <w:spacing w:after="0"/>
              <w:rPr>
                <w:sz w:val="15"/>
                <w:szCs w:val="15"/>
                <w:color w:val="auto"/>
              </w:rPr>
            </w:pPr>
          </w:p>
        </w:tc>
        <w:tc>
          <w:tcPr>
            <w:tcW w:w="100" w:type="dxa"/>
            <w:vAlign w:val="bottom"/>
            <w:shd w:val="clear" w:color="auto" w:fill="00ADE9"/>
          </w:tcPr>
          <w:p>
            <w:pPr>
              <w:spacing w:after="0"/>
              <w:rPr>
                <w:sz w:val="15"/>
                <w:szCs w:val="15"/>
                <w:color w:val="auto"/>
              </w:rPr>
            </w:pPr>
          </w:p>
        </w:tc>
        <w:tc>
          <w:tcPr>
            <w:tcW w:w="440" w:type="dxa"/>
            <w:vAlign w:val="bottom"/>
            <w:shd w:val="clear" w:color="auto" w:fill="4A1F67"/>
          </w:tcPr>
          <w:p>
            <w:pPr>
              <w:spacing w:after="0"/>
              <w:rPr>
                <w:sz w:val="15"/>
                <w:szCs w:val="15"/>
                <w:color w:val="auto"/>
              </w:rPr>
            </w:pPr>
          </w:p>
        </w:tc>
        <w:tc>
          <w:tcPr>
            <w:tcW w:w="3160" w:type="dxa"/>
            <w:vAlign w:val="bottom"/>
            <w:shd w:val="clear" w:color="auto" w:fill="4A1F67"/>
          </w:tcPr>
          <w:p>
            <w:pPr>
              <w:spacing w:after="0"/>
              <w:rPr>
                <w:sz w:val="15"/>
                <w:szCs w:val="15"/>
                <w:color w:val="auto"/>
              </w:rPr>
            </w:pPr>
          </w:p>
        </w:tc>
        <w:tc>
          <w:tcPr>
            <w:tcW w:w="100" w:type="dxa"/>
            <w:vAlign w:val="bottom"/>
            <w:shd w:val="clear" w:color="auto" w:fill="4A1F67"/>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D21D22"/>
          </w:tcPr>
          <w:p>
            <w:pPr>
              <w:ind w:left="100"/>
              <w:spacing w:after="0"/>
              <w:rPr>
                <w:sz w:val="20"/>
                <w:szCs w:val="20"/>
                <w:color w:val="auto"/>
              </w:rPr>
            </w:pPr>
            <w:r>
              <w:rPr>
                <w:rFonts w:ascii="Arial" w:cs="Arial" w:eastAsia="Arial" w:hAnsi="Arial"/>
                <w:sz w:val="16"/>
                <w:szCs w:val="16"/>
                <w:color w:val="FFFFFF"/>
              </w:rPr>
              <w:t>► Support and develop Science, Technology,</w:t>
            </w:r>
          </w:p>
        </w:tc>
        <w:tc>
          <w:tcPr>
            <w:tcW w:w="320" w:type="dxa"/>
            <w:vAlign w:val="bottom"/>
            <w:shd w:val="clear" w:color="auto" w:fill="00ADE9"/>
          </w:tcPr>
          <w:p>
            <w:pPr>
              <w:spacing w:after="0"/>
              <w:rPr>
                <w:sz w:val="16"/>
                <w:szCs w:val="16"/>
                <w:color w:val="auto"/>
              </w:rPr>
            </w:pPr>
          </w:p>
        </w:tc>
        <w:tc>
          <w:tcPr>
            <w:tcW w:w="120" w:type="dxa"/>
            <w:vAlign w:val="bottom"/>
            <w:shd w:val="clear" w:color="auto" w:fill="00ADE9"/>
          </w:tcPr>
          <w:p>
            <w:pPr>
              <w:spacing w:after="0"/>
              <w:rPr>
                <w:sz w:val="16"/>
                <w:szCs w:val="16"/>
                <w:color w:val="auto"/>
              </w:rPr>
            </w:pPr>
          </w:p>
        </w:tc>
        <w:tc>
          <w:tcPr>
            <w:tcW w:w="3280" w:type="dxa"/>
            <w:vAlign w:val="bottom"/>
            <w:shd w:val="clear" w:color="auto" w:fill="00ADE9"/>
          </w:tcPr>
          <w:p>
            <w:pPr>
              <w:spacing w:after="0"/>
              <w:rPr>
                <w:sz w:val="20"/>
                <w:szCs w:val="20"/>
                <w:color w:val="auto"/>
              </w:rPr>
            </w:pPr>
            <w:r>
              <w:rPr>
                <w:rFonts w:ascii="Arial" w:cs="Arial" w:eastAsia="Arial" w:hAnsi="Arial"/>
                <w:sz w:val="16"/>
                <w:szCs w:val="16"/>
                <w:color w:val="FFFFFF"/>
              </w:rPr>
              <w:t>career development process</w:t>
            </w:r>
          </w:p>
        </w:tc>
        <w:tc>
          <w:tcPr>
            <w:tcW w:w="100" w:type="dxa"/>
            <w:vAlign w:val="bottom"/>
            <w:shd w:val="clear" w:color="auto" w:fill="00ADE9"/>
          </w:tcPr>
          <w:p>
            <w:pPr>
              <w:spacing w:after="0"/>
              <w:rPr>
                <w:sz w:val="16"/>
                <w:szCs w:val="16"/>
                <w:color w:val="auto"/>
              </w:rPr>
            </w:pPr>
          </w:p>
        </w:tc>
        <w:tc>
          <w:tcPr>
            <w:tcW w:w="3600" w:type="dxa"/>
            <w:vAlign w:val="bottom"/>
            <w:gridSpan w:val="2"/>
            <w:shd w:val="clear" w:color="auto" w:fill="4A1F67"/>
          </w:tcPr>
          <w:p>
            <w:pPr>
              <w:ind w:left="100"/>
              <w:spacing w:after="0"/>
              <w:rPr>
                <w:sz w:val="20"/>
                <w:szCs w:val="20"/>
                <w:color w:val="auto"/>
              </w:rPr>
            </w:pPr>
            <w:r>
              <w:rPr>
                <w:rFonts w:ascii="Arial" w:cs="Arial" w:eastAsia="Arial" w:hAnsi="Arial"/>
                <w:sz w:val="16"/>
                <w:szCs w:val="16"/>
                <w:color w:val="FFFFFF"/>
              </w:rPr>
              <w:t>► Set up an internal carbon price for the entire</w:t>
            </w:r>
          </w:p>
        </w:tc>
        <w:tc>
          <w:tcPr>
            <w:tcW w:w="100" w:type="dxa"/>
            <w:vAlign w:val="bottom"/>
            <w:shd w:val="clear" w:color="auto" w:fill="4A1F67"/>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20" w:type="dxa"/>
            <w:vAlign w:val="bottom"/>
            <w:gridSpan w:val="2"/>
            <w:shd w:val="clear" w:color="auto" w:fill="D21D22"/>
          </w:tcPr>
          <w:p>
            <w:pPr>
              <w:ind w:left="420"/>
              <w:spacing w:after="0"/>
              <w:rPr>
                <w:sz w:val="20"/>
                <w:szCs w:val="20"/>
                <w:color w:val="auto"/>
              </w:rPr>
            </w:pPr>
            <w:r>
              <w:rPr>
                <w:rFonts w:ascii="Arial" w:cs="Arial" w:eastAsia="Arial" w:hAnsi="Arial"/>
                <w:sz w:val="16"/>
                <w:szCs w:val="16"/>
                <w:color w:val="FFFFFF"/>
              </w:rPr>
              <w:t>Engineering, and Math (STEM) initiatives</w:t>
            </w:r>
          </w:p>
        </w:tc>
        <w:tc>
          <w:tcPr>
            <w:tcW w:w="320" w:type="dxa"/>
            <w:vAlign w:val="bottom"/>
            <w:shd w:val="clear" w:color="auto" w:fill="00ADE9"/>
          </w:tcPr>
          <w:p>
            <w:pPr>
              <w:spacing w:after="0"/>
              <w:rPr>
                <w:sz w:val="16"/>
                <w:szCs w:val="16"/>
                <w:color w:val="auto"/>
              </w:rPr>
            </w:pPr>
          </w:p>
        </w:tc>
        <w:tc>
          <w:tcPr>
            <w:tcW w:w="120" w:type="dxa"/>
            <w:vAlign w:val="bottom"/>
            <w:shd w:val="clear" w:color="auto" w:fill="00ADE9"/>
          </w:tcPr>
          <w:p>
            <w:pPr>
              <w:spacing w:after="0"/>
              <w:rPr>
                <w:sz w:val="16"/>
                <w:szCs w:val="16"/>
                <w:color w:val="auto"/>
              </w:rPr>
            </w:pPr>
          </w:p>
        </w:tc>
        <w:tc>
          <w:tcPr>
            <w:tcW w:w="3280" w:type="dxa"/>
            <w:vAlign w:val="bottom"/>
            <w:shd w:val="clear" w:color="auto" w:fill="00ADE9"/>
          </w:tcPr>
          <w:p>
            <w:pPr>
              <w:spacing w:after="0"/>
              <w:rPr>
                <w:sz w:val="16"/>
                <w:szCs w:val="16"/>
                <w:color w:val="auto"/>
              </w:rPr>
            </w:pPr>
          </w:p>
        </w:tc>
        <w:tc>
          <w:tcPr>
            <w:tcW w:w="100" w:type="dxa"/>
            <w:vAlign w:val="bottom"/>
            <w:shd w:val="clear" w:color="auto" w:fill="00ADE9"/>
          </w:tcPr>
          <w:p>
            <w:pPr>
              <w:spacing w:after="0"/>
              <w:rPr>
                <w:sz w:val="16"/>
                <w:szCs w:val="16"/>
                <w:color w:val="auto"/>
              </w:rPr>
            </w:pPr>
          </w:p>
        </w:tc>
        <w:tc>
          <w:tcPr>
            <w:tcW w:w="3600" w:type="dxa"/>
            <w:vAlign w:val="bottom"/>
            <w:gridSpan w:val="2"/>
            <w:shd w:val="clear" w:color="auto" w:fill="4A1F67"/>
          </w:tcPr>
          <w:p>
            <w:pPr>
              <w:ind w:left="420"/>
              <w:spacing w:after="0"/>
              <w:rPr>
                <w:sz w:val="20"/>
                <w:szCs w:val="20"/>
                <w:color w:val="auto"/>
              </w:rPr>
            </w:pPr>
            <w:r>
              <w:rPr>
                <w:rFonts w:ascii="Arial" w:cs="Arial" w:eastAsia="Arial" w:hAnsi="Arial"/>
                <w:sz w:val="16"/>
                <w:szCs w:val="16"/>
                <w:color w:val="FFFFFF"/>
              </w:rPr>
              <w:t>Company, projects, and operations to</w:t>
            </w:r>
          </w:p>
        </w:tc>
        <w:tc>
          <w:tcPr>
            <w:tcW w:w="100" w:type="dxa"/>
            <w:vAlign w:val="bottom"/>
            <w:shd w:val="clear" w:color="auto" w:fill="4A1F6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shd w:val="clear" w:color="auto" w:fill="D21D22"/>
          </w:tcPr>
          <w:p>
            <w:pPr>
              <w:spacing w:after="0"/>
              <w:rPr>
                <w:sz w:val="16"/>
                <w:szCs w:val="16"/>
                <w:color w:val="auto"/>
              </w:rPr>
            </w:pPr>
          </w:p>
        </w:tc>
        <w:tc>
          <w:tcPr>
            <w:tcW w:w="3300" w:type="dxa"/>
            <w:vAlign w:val="bottom"/>
            <w:shd w:val="clear" w:color="auto" w:fill="D21D22"/>
          </w:tcPr>
          <w:p>
            <w:pPr>
              <w:spacing w:after="0"/>
              <w:rPr>
                <w:sz w:val="16"/>
                <w:szCs w:val="16"/>
                <w:color w:val="auto"/>
              </w:rPr>
            </w:pPr>
          </w:p>
        </w:tc>
        <w:tc>
          <w:tcPr>
            <w:tcW w:w="320" w:type="dxa"/>
            <w:vAlign w:val="bottom"/>
            <w:shd w:val="clear" w:color="auto" w:fill="00ADE9"/>
          </w:tcPr>
          <w:p>
            <w:pPr>
              <w:spacing w:after="0"/>
              <w:rPr>
                <w:sz w:val="16"/>
                <w:szCs w:val="16"/>
                <w:color w:val="auto"/>
              </w:rPr>
            </w:pPr>
          </w:p>
        </w:tc>
        <w:tc>
          <w:tcPr>
            <w:tcW w:w="120" w:type="dxa"/>
            <w:vAlign w:val="bottom"/>
            <w:shd w:val="clear" w:color="auto" w:fill="00ADE9"/>
          </w:tcPr>
          <w:p>
            <w:pPr>
              <w:spacing w:after="0"/>
              <w:rPr>
                <w:sz w:val="16"/>
                <w:szCs w:val="16"/>
                <w:color w:val="auto"/>
              </w:rPr>
            </w:pPr>
          </w:p>
        </w:tc>
        <w:tc>
          <w:tcPr>
            <w:tcW w:w="3280" w:type="dxa"/>
            <w:vAlign w:val="bottom"/>
            <w:shd w:val="clear" w:color="auto" w:fill="00ADE9"/>
          </w:tcPr>
          <w:p>
            <w:pPr>
              <w:spacing w:after="0"/>
              <w:rPr>
                <w:sz w:val="16"/>
                <w:szCs w:val="16"/>
                <w:color w:val="auto"/>
              </w:rPr>
            </w:pPr>
          </w:p>
        </w:tc>
        <w:tc>
          <w:tcPr>
            <w:tcW w:w="100" w:type="dxa"/>
            <w:vAlign w:val="bottom"/>
            <w:shd w:val="clear" w:color="auto" w:fill="00ADE9"/>
          </w:tcPr>
          <w:p>
            <w:pPr>
              <w:spacing w:after="0"/>
              <w:rPr>
                <w:sz w:val="16"/>
                <w:szCs w:val="16"/>
                <w:color w:val="auto"/>
              </w:rPr>
            </w:pPr>
          </w:p>
        </w:tc>
        <w:tc>
          <w:tcPr>
            <w:tcW w:w="3600" w:type="dxa"/>
            <w:vAlign w:val="bottom"/>
            <w:gridSpan w:val="2"/>
            <w:shd w:val="clear" w:color="auto" w:fill="4A1F67"/>
          </w:tcPr>
          <w:p>
            <w:pPr>
              <w:ind w:left="420"/>
              <w:spacing w:after="0"/>
              <w:rPr>
                <w:sz w:val="20"/>
                <w:szCs w:val="20"/>
                <w:color w:val="auto"/>
              </w:rPr>
            </w:pPr>
            <w:r>
              <w:rPr>
                <w:rFonts w:ascii="Arial" w:cs="Arial" w:eastAsia="Arial" w:hAnsi="Arial"/>
                <w:sz w:val="16"/>
                <w:szCs w:val="16"/>
                <w:color w:val="FFFFFF"/>
              </w:rPr>
              <w:t>impact investment decisions</w:t>
            </w:r>
          </w:p>
        </w:tc>
        <w:tc>
          <w:tcPr>
            <w:tcW w:w="100" w:type="dxa"/>
            <w:vAlign w:val="bottom"/>
            <w:shd w:val="clear" w:color="auto" w:fill="4A1F67"/>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0" w:type="dxa"/>
            <w:vAlign w:val="bottom"/>
            <w:shd w:val="clear" w:color="auto" w:fill="D21D22"/>
          </w:tcPr>
          <w:p>
            <w:pPr>
              <w:spacing w:after="0"/>
              <w:rPr>
                <w:sz w:val="23"/>
                <w:szCs w:val="23"/>
                <w:color w:val="auto"/>
              </w:rPr>
            </w:pPr>
          </w:p>
        </w:tc>
        <w:tc>
          <w:tcPr>
            <w:tcW w:w="3300" w:type="dxa"/>
            <w:vAlign w:val="bottom"/>
            <w:shd w:val="clear" w:color="auto" w:fill="D21D22"/>
          </w:tcPr>
          <w:p>
            <w:pPr>
              <w:spacing w:after="0"/>
              <w:rPr>
                <w:sz w:val="23"/>
                <w:szCs w:val="23"/>
                <w:color w:val="auto"/>
              </w:rPr>
            </w:pPr>
          </w:p>
        </w:tc>
        <w:tc>
          <w:tcPr>
            <w:tcW w:w="320" w:type="dxa"/>
            <w:vAlign w:val="bottom"/>
            <w:shd w:val="clear" w:color="auto" w:fill="00ADE9"/>
          </w:tcPr>
          <w:p>
            <w:pPr>
              <w:spacing w:after="0"/>
              <w:rPr>
                <w:sz w:val="23"/>
                <w:szCs w:val="23"/>
                <w:color w:val="auto"/>
              </w:rPr>
            </w:pPr>
          </w:p>
        </w:tc>
        <w:tc>
          <w:tcPr>
            <w:tcW w:w="120" w:type="dxa"/>
            <w:vAlign w:val="bottom"/>
            <w:shd w:val="clear" w:color="auto" w:fill="00ADE9"/>
          </w:tcPr>
          <w:p>
            <w:pPr>
              <w:spacing w:after="0"/>
              <w:rPr>
                <w:sz w:val="23"/>
                <w:szCs w:val="23"/>
                <w:color w:val="auto"/>
              </w:rPr>
            </w:pPr>
          </w:p>
        </w:tc>
        <w:tc>
          <w:tcPr>
            <w:tcW w:w="3280" w:type="dxa"/>
            <w:vAlign w:val="bottom"/>
            <w:shd w:val="clear" w:color="auto" w:fill="00ADE9"/>
          </w:tcPr>
          <w:p>
            <w:pPr>
              <w:spacing w:after="0"/>
              <w:rPr>
                <w:sz w:val="23"/>
                <w:szCs w:val="23"/>
                <w:color w:val="auto"/>
              </w:rPr>
            </w:pPr>
          </w:p>
        </w:tc>
        <w:tc>
          <w:tcPr>
            <w:tcW w:w="100" w:type="dxa"/>
            <w:vAlign w:val="bottom"/>
            <w:shd w:val="clear" w:color="auto" w:fill="00ADE9"/>
          </w:tcPr>
          <w:p>
            <w:pPr>
              <w:spacing w:after="0"/>
              <w:rPr>
                <w:sz w:val="23"/>
                <w:szCs w:val="23"/>
                <w:color w:val="auto"/>
              </w:rPr>
            </w:pPr>
          </w:p>
        </w:tc>
        <w:tc>
          <w:tcPr>
            <w:tcW w:w="440" w:type="dxa"/>
            <w:vAlign w:val="bottom"/>
            <w:shd w:val="clear" w:color="auto" w:fill="4A1F67"/>
          </w:tcPr>
          <w:p>
            <w:pPr>
              <w:spacing w:after="0"/>
              <w:rPr>
                <w:sz w:val="23"/>
                <w:szCs w:val="23"/>
                <w:color w:val="auto"/>
              </w:rPr>
            </w:pPr>
          </w:p>
        </w:tc>
        <w:tc>
          <w:tcPr>
            <w:tcW w:w="3160" w:type="dxa"/>
            <w:vAlign w:val="bottom"/>
            <w:shd w:val="clear" w:color="auto" w:fill="4A1F67"/>
          </w:tcPr>
          <w:p>
            <w:pPr>
              <w:spacing w:after="0"/>
              <w:rPr>
                <w:sz w:val="23"/>
                <w:szCs w:val="23"/>
                <w:color w:val="auto"/>
              </w:rPr>
            </w:pPr>
          </w:p>
        </w:tc>
        <w:tc>
          <w:tcPr>
            <w:tcW w:w="100" w:type="dxa"/>
            <w:vAlign w:val="bottom"/>
            <w:shd w:val="clear" w:color="auto" w:fill="4A1F67"/>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-2133600</wp:posOffset>
            </wp:positionV>
            <wp:extent cx="7132320" cy="213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13423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-3180080</wp:posOffset>
            </wp:positionV>
            <wp:extent cx="908685" cy="4629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08685" cy="4629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-3136900</wp:posOffset>
            </wp:positionV>
            <wp:extent cx="471805" cy="539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1805" cy="5397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-3197225</wp:posOffset>
            </wp:positionV>
            <wp:extent cx="1080135" cy="4800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80135" cy="480060"/>
                    </a:xfrm>
                    <a:prstGeom prst="rect">
                      <a:avLst/>
                    </a:prstGeom>
                    <a:noFill/>
                  </pic:spPr>
                </pic:pic>
              </a:graphicData>
            </a:graphic>
          </wp:anchor>
        </w:drawing>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3B3C43"/>
        </w:rPr>
        <w:t>Over the last three years, we have set key performance targets for each of these pillars and measure our performance against these targets. In addition to these annual objectives, which are described further below, the Company demonstrates its commitment in other ways as it relates to climate change, energy efficiency, renewable resources, water management, material and waste management, and air emissions, all of which are described further within the Strategic Report of our U.K. Annual Report.</w:t>
      </w:r>
    </w:p>
    <w:p>
      <w:pPr>
        <w:spacing w:after="0" w:line="155"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3B3C43"/>
        </w:rPr>
        <w:t>For instance, in 2020, TechnipFMC reaffirmed its support of the Ten Principles of the United Nations (“</w:t>
      </w:r>
      <w:r>
        <w:rPr>
          <w:rFonts w:ascii="Arial" w:cs="Arial" w:eastAsia="Arial" w:hAnsi="Arial"/>
          <w:sz w:val="16"/>
          <w:szCs w:val="16"/>
          <w:b w:val="1"/>
          <w:bCs w:val="1"/>
          <w:color w:val="3B3C43"/>
        </w:rPr>
        <w:t>UN</w:t>
      </w:r>
      <w:r>
        <w:rPr>
          <w:rFonts w:ascii="Arial" w:cs="Arial" w:eastAsia="Arial" w:hAnsi="Arial"/>
          <w:sz w:val="16"/>
          <w:szCs w:val="16"/>
          <w:color w:val="3B3C43"/>
        </w:rPr>
        <w:t>”) Global Compact in the areas of Human Rights, Labor, Environment, and Anti-Corruption. The UN Global Compact requires an annual Communication on Progress, which is submitted and made publicly available on the UN Global Compact website.</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16</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3B3C43"/>
        </w:rPr>
        <w:t>The UN Global Compact is also a call for action to achieve its 17 Sustainable Development Goals (“</w:t>
      </w:r>
      <w:r>
        <w:rPr>
          <w:rFonts w:ascii="Arial" w:cs="Arial" w:eastAsia="Arial" w:hAnsi="Arial"/>
          <w:sz w:val="16"/>
          <w:szCs w:val="16"/>
          <w:b w:val="1"/>
          <w:bCs w:val="1"/>
          <w:color w:val="3B3C43"/>
        </w:rPr>
        <w:t>SDGs</w:t>
      </w:r>
      <w:r>
        <w:rPr>
          <w:rFonts w:ascii="Arial" w:cs="Arial" w:eastAsia="Arial" w:hAnsi="Arial"/>
          <w:sz w:val="16"/>
          <w:szCs w:val="16"/>
          <w:color w:val="3B3C43"/>
        </w:rPr>
        <w:t>”). These societal goals are at the heart of the UN’s 2030 Agenda for Sustainable Development and are aimed at ending poverty, protecting the planet, and ensuring that all people enjoy peace and prosperity by 2030.</w:t>
      </w:r>
    </w:p>
    <w:p>
      <w:pPr>
        <w:spacing w:after="0" w:line="16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3B3C43"/>
        </w:rPr>
        <w:t>After evaluation, we have selected certain UN SDGs for which we believe we can achieve the greatest positive impact, given their relevance to our business and sustainability strategy. The application of these SDGs throughout this section are identified by the SDG icon labels.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105410</wp:posOffset>
            </wp:positionV>
            <wp:extent cx="6858000" cy="15005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3B3C43"/>
        </w:rPr>
        <w:t>Additionally, our Code of Business Conduct requires that we, among other things:</w:t>
      </w:r>
    </w:p>
    <w:p>
      <w:pPr>
        <w:spacing w:after="0" w:line="194" w:lineRule="exact"/>
        <w:rPr>
          <w:sz w:val="20"/>
          <w:szCs w:val="20"/>
          <w:color w:val="auto"/>
        </w:rPr>
      </w:pPr>
    </w:p>
    <w:p>
      <w:pPr>
        <w:ind w:left="500" w:hanging="317"/>
        <w:spacing w:after="0"/>
        <w:tabs>
          <w:tab w:leader="none" w:pos="500" w:val="left"/>
        </w:tabs>
        <w:numPr>
          <w:ilvl w:val="0"/>
          <w:numId w:val="32"/>
        </w:numPr>
        <w:rPr>
          <w:rFonts w:ascii="Arial" w:cs="Arial" w:eastAsia="Arial" w:hAnsi="Arial"/>
          <w:sz w:val="16"/>
          <w:szCs w:val="16"/>
          <w:color w:val="4B1F68"/>
        </w:rPr>
      </w:pPr>
      <w:r>
        <w:rPr>
          <w:rFonts w:ascii="Arial" w:cs="Arial" w:eastAsia="Arial" w:hAnsi="Arial"/>
          <w:sz w:val="16"/>
          <w:szCs w:val="16"/>
          <w:color w:val="3B3C43"/>
        </w:rPr>
        <w:t>Design sustainable development initiatives with a focus on long-term added value;</w:t>
      </w:r>
    </w:p>
    <w:p>
      <w:pPr>
        <w:spacing w:after="0" w:line="194" w:lineRule="exact"/>
        <w:rPr>
          <w:rFonts w:ascii="Arial" w:cs="Arial" w:eastAsia="Arial" w:hAnsi="Arial"/>
          <w:sz w:val="16"/>
          <w:szCs w:val="16"/>
          <w:color w:val="4B1F68"/>
        </w:rPr>
      </w:pPr>
    </w:p>
    <w:p>
      <w:pPr>
        <w:ind w:left="500" w:right="860" w:hanging="317"/>
        <w:spacing w:after="0" w:line="260" w:lineRule="auto"/>
        <w:tabs>
          <w:tab w:leader="none" w:pos="500" w:val="left"/>
        </w:tabs>
        <w:numPr>
          <w:ilvl w:val="0"/>
          <w:numId w:val="32"/>
        </w:numPr>
        <w:rPr>
          <w:rFonts w:ascii="Arial" w:cs="Arial" w:eastAsia="Arial" w:hAnsi="Arial"/>
          <w:sz w:val="16"/>
          <w:szCs w:val="16"/>
          <w:color w:val="4B1F68"/>
        </w:rPr>
      </w:pPr>
      <w:r>
        <w:rPr>
          <w:rFonts w:ascii="Arial" w:cs="Arial" w:eastAsia="Arial" w:hAnsi="Arial"/>
          <w:sz w:val="16"/>
          <w:szCs w:val="16"/>
          <w:color w:val="3B3C43"/>
        </w:rPr>
        <w:t>Engage with local communities impacted by our activities in close coordination with our clients and contribute to social and economic self-sustainability;</w:t>
      </w:r>
    </w:p>
    <w:p>
      <w:pPr>
        <w:spacing w:after="0" w:line="168" w:lineRule="exact"/>
        <w:rPr>
          <w:rFonts w:ascii="Arial" w:cs="Arial" w:eastAsia="Arial" w:hAnsi="Arial"/>
          <w:sz w:val="16"/>
          <w:szCs w:val="16"/>
          <w:color w:val="4B1F68"/>
        </w:rPr>
      </w:pPr>
    </w:p>
    <w:p>
      <w:pPr>
        <w:ind w:left="500" w:hanging="317"/>
        <w:spacing w:after="0"/>
        <w:tabs>
          <w:tab w:leader="none" w:pos="500" w:val="left"/>
        </w:tabs>
        <w:numPr>
          <w:ilvl w:val="0"/>
          <w:numId w:val="32"/>
        </w:numPr>
        <w:rPr>
          <w:rFonts w:ascii="Arial" w:cs="Arial" w:eastAsia="Arial" w:hAnsi="Arial"/>
          <w:sz w:val="16"/>
          <w:szCs w:val="16"/>
          <w:color w:val="4B1F68"/>
        </w:rPr>
      </w:pPr>
      <w:r>
        <w:rPr>
          <w:rFonts w:ascii="Arial" w:cs="Arial" w:eastAsia="Arial" w:hAnsi="Arial"/>
          <w:sz w:val="16"/>
          <w:szCs w:val="16"/>
          <w:color w:val="3B3C43"/>
        </w:rPr>
        <w:t>Anticipate and minimize potential disruptions to the community;</w:t>
      </w:r>
    </w:p>
    <w:p>
      <w:pPr>
        <w:spacing w:after="0" w:line="194" w:lineRule="exact"/>
        <w:rPr>
          <w:rFonts w:ascii="Arial" w:cs="Arial" w:eastAsia="Arial" w:hAnsi="Arial"/>
          <w:sz w:val="16"/>
          <w:szCs w:val="16"/>
          <w:color w:val="4B1F68"/>
        </w:rPr>
      </w:pPr>
    </w:p>
    <w:p>
      <w:pPr>
        <w:ind w:left="500" w:hanging="317"/>
        <w:spacing w:after="0"/>
        <w:tabs>
          <w:tab w:leader="none" w:pos="500" w:val="left"/>
        </w:tabs>
        <w:numPr>
          <w:ilvl w:val="0"/>
          <w:numId w:val="32"/>
        </w:numPr>
        <w:rPr>
          <w:rFonts w:ascii="Arial" w:cs="Arial" w:eastAsia="Arial" w:hAnsi="Arial"/>
          <w:sz w:val="16"/>
          <w:szCs w:val="16"/>
          <w:color w:val="4B1F68"/>
        </w:rPr>
      </w:pPr>
      <w:r>
        <w:rPr>
          <w:rFonts w:ascii="Arial" w:cs="Arial" w:eastAsia="Arial" w:hAnsi="Arial"/>
          <w:sz w:val="16"/>
          <w:szCs w:val="16"/>
          <w:color w:val="3B3C43"/>
        </w:rPr>
        <w:t>Mitigate any negative impacts to local communities from our activities;</w:t>
      </w:r>
    </w:p>
    <w:p>
      <w:pPr>
        <w:spacing w:after="0" w:line="194" w:lineRule="exact"/>
        <w:rPr>
          <w:rFonts w:ascii="Arial" w:cs="Arial" w:eastAsia="Arial" w:hAnsi="Arial"/>
          <w:sz w:val="16"/>
          <w:szCs w:val="16"/>
          <w:color w:val="4B1F68"/>
        </w:rPr>
      </w:pPr>
    </w:p>
    <w:p>
      <w:pPr>
        <w:ind w:left="500" w:hanging="317"/>
        <w:spacing w:after="0"/>
        <w:tabs>
          <w:tab w:leader="none" w:pos="500" w:val="left"/>
        </w:tabs>
        <w:numPr>
          <w:ilvl w:val="0"/>
          <w:numId w:val="32"/>
        </w:numPr>
        <w:rPr>
          <w:rFonts w:ascii="Arial" w:cs="Arial" w:eastAsia="Arial" w:hAnsi="Arial"/>
          <w:sz w:val="16"/>
          <w:szCs w:val="16"/>
          <w:color w:val="4B1F68"/>
        </w:rPr>
      </w:pPr>
      <w:r>
        <w:rPr>
          <w:rFonts w:ascii="Arial" w:cs="Arial" w:eastAsia="Arial" w:hAnsi="Arial"/>
          <w:sz w:val="16"/>
          <w:szCs w:val="16"/>
          <w:color w:val="3B3C43"/>
        </w:rPr>
        <w:t>Contribute to local employment growth by fostering training and transfer of skills and technology; and</w:t>
      </w:r>
    </w:p>
    <w:p>
      <w:pPr>
        <w:spacing w:after="0" w:line="194" w:lineRule="exact"/>
        <w:rPr>
          <w:rFonts w:ascii="Arial" w:cs="Arial" w:eastAsia="Arial" w:hAnsi="Arial"/>
          <w:sz w:val="16"/>
          <w:szCs w:val="16"/>
          <w:color w:val="4B1F68"/>
        </w:rPr>
      </w:pPr>
    </w:p>
    <w:p>
      <w:pPr>
        <w:ind w:left="500" w:hanging="317"/>
        <w:spacing w:after="0"/>
        <w:tabs>
          <w:tab w:leader="none" w:pos="500" w:val="left"/>
        </w:tabs>
        <w:numPr>
          <w:ilvl w:val="0"/>
          <w:numId w:val="32"/>
        </w:numPr>
        <w:rPr>
          <w:rFonts w:ascii="Arial" w:cs="Arial" w:eastAsia="Arial" w:hAnsi="Arial"/>
          <w:sz w:val="16"/>
          <w:szCs w:val="16"/>
          <w:color w:val="4B1F68"/>
        </w:rPr>
      </w:pPr>
      <w:r>
        <w:rPr>
          <w:rFonts w:ascii="Arial" w:cs="Arial" w:eastAsia="Arial" w:hAnsi="Arial"/>
          <w:sz w:val="16"/>
          <w:szCs w:val="16"/>
          <w:color w:val="3B3C43"/>
        </w:rPr>
        <w:t>Respect local cultures and be aware of local practices and traditions, legislation, and cultural factors that may impact behaviors and decisions.</w:t>
      </w:r>
    </w:p>
    <w:p>
      <w:pPr>
        <w:spacing w:after="0" w:line="19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3B3C43"/>
        </w:rPr>
        <w:t>Our Code of Business Conduct also covers many sustainability issues, from fair employment practices and equal opportunity to Health, Safety, and Environment (“</w:t>
      </w:r>
      <w:r>
        <w:rPr>
          <w:rFonts w:ascii="Arial" w:cs="Arial" w:eastAsia="Arial" w:hAnsi="Arial"/>
          <w:sz w:val="16"/>
          <w:szCs w:val="16"/>
          <w:b w:val="1"/>
          <w:bCs w:val="1"/>
          <w:color w:val="3B3C43"/>
        </w:rPr>
        <w:t>HSE</w:t>
      </w:r>
      <w:r>
        <w:rPr>
          <w:rFonts w:ascii="Arial" w:cs="Arial" w:eastAsia="Arial" w:hAnsi="Arial"/>
          <w:sz w:val="16"/>
          <w:szCs w:val="16"/>
          <w:color w:val="3B3C43"/>
        </w:rPr>
        <w:t>”), human rights, and community involvement. We also have a Quality, Health, Safety, Environment, and Security (“</w:t>
      </w:r>
      <w:r>
        <w:rPr>
          <w:rFonts w:ascii="Arial" w:cs="Arial" w:eastAsia="Arial" w:hAnsi="Arial"/>
          <w:sz w:val="16"/>
          <w:szCs w:val="16"/>
          <w:b w:val="1"/>
          <w:bCs w:val="1"/>
          <w:color w:val="3B3C43"/>
        </w:rPr>
        <w:t>QHSES</w:t>
      </w:r>
      <w:r>
        <w:rPr>
          <w:rFonts w:ascii="Arial" w:cs="Arial" w:eastAsia="Arial" w:hAnsi="Arial"/>
          <w:sz w:val="16"/>
          <w:szCs w:val="16"/>
          <w:color w:val="3B3C43"/>
        </w:rPr>
        <w:t>”) program aimed at preventing accidents and incidents, ensuring personal and corporate accountability, and simplifying practices and processes across our Company. Backed by our Foundational Beliefs, our QHSES teams create a culture of engagement to develop the leadership behaviors that deliver enhanced performance and business results. Regarding human rights, the Company is specifically advancing compliance in recruitment, working conditions, and supply chain practices. Since 2018, we have been a proud member of Building Responsibly, an industry-led initiative enabling construction and engineering companies to collaborate around their shared values, advance their compliance programs, and agree on common approaches regarding worker welfare and human rights.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3B3C43"/>
        </w:rPr>
        <w:t>In addition, we have three specific networking groups involving subject matter experts from all of our business units: the Sustainability Network, the Inclusion</w:t>
      </w:r>
    </w:p>
    <w:p>
      <w:pPr>
        <w:spacing w:after="0" w:line="5" w:lineRule="exact"/>
        <w:rPr>
          <w:sz w:val="20"/>
          <w:szCs w:val="20"/>
          <w:color w:val="auto"/>
        </w:rPr>
      </w:pPr>
    </w:p>
    <w:p>
      <w:pPr>
        <w:ind w:right="580" w:firstLine="8"/>
        <w:spacing w:after="0" w:line="260" w:lineRule="auto"/>
        <w:tabs>
          <w:tab w:leader="none" w:pos="153" w:val="left"/>
        </w:tabs>
        <w:numPr>
          <w:ilvl w:val="0"/>
          <w:numId w:val="33"/>
        </w:numPr>
        <w:rPr>
          <w:rFonts w:ascii="Arial" w:cs="Arial" w:eastAsia="Arial" w:hAnsi="Arial"/>
          <w:sz w:val="16"/>
          <w:szCs w:val="16"/>
          <w:color w:val="3B3C43"/>
        </w:rPr>
      </w:pPr>
      <w:r>
        <w:rPr>
          <w:rFonts w:ascii="Arial" w:cs="Arial" w:eastAsia="Arial" w:hAnsi="Arial"/>
          <w:sz w:val="16"/>
          <w:szCs w:val="16"/>
          <w:color w:val="3B3C43"/>
        </w:rPr>
        <w:t>Diversity Network, and the Environmental Working Group (“</w:t>
      </w:r>
      <w:r>
        <w:rPr>
          <w:rFonts w:ascii="Arial" w:cs="Arial" w:eastAsia="Arial" w:hAnsi="Arial"/>
          <w:sz w:val="16"/>
          <w:szCs w:val="16"/>
          <w:b w:val="1"/>
          <w:bCs w:val="1"/>
          <w:color w:val="3B3C43"/>
        </w:rPr>
        <w:t>EWG</w:t>
      </w:r>
      <w:r>
        <w:rPr>
          <w:rFonts w:ascii="Arial" w:cs="Arial" w:eastAsia="Arial" w:hAnsi="Arial"/>
          <w:sz w:val="16"/>
          <w:szCs w:val="16"/>
          <w:color w:val="3B3C43"/>
        </w:rPr>
        <w:t>”). These groups implement our sustainability strategy, share knowledge and best practices, develop global and local initiatives and report on results.</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17</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Supporting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128270</wp:posOffset>
            </wp:positionV>
            <wp:extent cx="6429375" cy="2057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2937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53" w:lineRule="auto"/>
        <w:rPr>
          <w:sz w:val="20"/>
          <w:szCs w:val="20"/>
          <w:color w:val="auto"/>
        </w:rPr>
      </w:pPr>
      <w:r>
        <w:rPr>
          <w:rFonts w:ascii="Arial" w:cs="Arial" w:eastAsia="Arial" w:hAnsi="Arial"/>
          <w:sz w:val="16"/>
          <w:szCs w:val="16"/>
          <w:color w:val="3B3C43"/>
        </w:rPr>
        <w:t>Supporting Communities is our first sustainability pillar. Our Code of Business Conduct encourages employees to engage with local communities where we live and work, to contribute to their social and economic self-sustainability, and to ensure that TechnipFMC is a responsible corporate citizen in our communities. It is the foundation of that responsibility that forges our commitment to local communities.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Supporting Communities –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1028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1028700"/>
                    </a:xfrm>
                    <a:prstGeom prst="rect">
                      <a:avLst/>
                    </a:prstGeom>
                    <a:noFill/>
                  </pic:spPr>
                </pic:pic>
              </a:graphicData>
            </a:graphic>
          </wp:anchor>
        </w:drawing>
      </w:r>
    </w:p>
    <w:p>
      <w:pPr>
        <w:spacing w:after="0" w:line="252" w:lineRule="exact"/>
        <w:rPr>
          <w:sz w:val="20"/>
          <w:szCs w:val="20"/>
          <w:color w:val="auto"/>
        </w:rPr>
      </w:pPr>
    </w:p>
    <w:p>
      <w:pPr>
        <w:ind w:left="100" w:right="100"/>
        <w:spacing w:after="0" w:line="260" w:lineRule="auto"/>
        <w:rPr>
          <w:sz w:val="20"/>
          <w:szCs w:val="20"/>
          <w:color w:val="auto"/>
        </w:rPr>
      </w:pPr>
      <w:r>
        <w:rPr>
          <w:rFonts w:ascii="Arial" w:cs="Arial" w:eastAsia="Arial" w:hAnsi="Arial"/>
          <w:sz w:val="16"/>
          <w:szCs w:val="16"/>
          <w:color w:val="3B3C43"/>
        </w:rPr>
        <w:t>TechnipFMC supports and encourages its employees to volunteer and support their community development programs in line with our Code of Business Conduct and our Supporting Communities pillar. Objectives of the pillar included the following:</w:t>
      </w:r>
    </w:p>
    <w:p>
      <w:pPr>
        <w:sectPr>
          <w:pgSz w:w="11900" w:h="16838" w:orient="portrait"/>
          <w:cols w:equalWidth="0" w:num="1">
            <w:col w:w="11100"/>
          </w:cols>
          <w:pgMar w:left="320" w:top="329" w:right="479" w:bottom="1440" w:gutter="0" w:footer="0" w:header="0"/>
        </w:sectPr>
      </w:pPr>
    </w:p>
    <w:p>
      <w:pPr>
        <w:spacing w:after="0" w:line="310" w:lineRule="exact"/>
        <w:rPr>
          <w:sz w:val="20"/>
          <w:szCs w:val="20"/>
          <w:color w:val="auto"/>
        </w:rPr>
      </w:pPr>
    </w:p>
    <w:p>
      <w:pPr>
        <w:ind w:left="360" w:hanging="249"/>
        <w:spacing w:after="0" w:line="266" w:lineRule="auto"/>
        <w:tabs>
          <w:tab w:leader="none" w:pos="322" w:val="left"/>
        </w:tabs>
        <w:numPr>
          <w:ilvl w:val="0"/>
          <w:numId w:val="34"/>
        </w:numPr>
        <w:rPr>
          <w:rFonts w:ascii="Arial" w:cs="Arial" w:eastAsia="Arial" w:hAnsi="Arial"/>
          <w:sz w:val="16"/>
          <w:szCs w:val="16"/>
          <w:color w:val="4B1F68"/>
        </w:rPr>
      </w:pPr>
      <w:r>
        <w:rPr>
          <w:rFonts w:ascii="Arial" w:cs="Arial" w:eastAsia="Arial" w:hAnsi="Arial"/>
          <w:sz w:val="16"/>
          <w:szCs w:val="16"/>
          <w:b w:val="1"/>
          <w:bCs w:val="1"/>
          <w:color w:val="3B3C43"/>
        </w:rPr>
        <w:t xml:space="preserve">Go beyond our commercial obligations to create in-country value </w:t>
      </w:r>
      <w:r>
        <w:rPr>
          <w:rFonts w:ascii="Arial" w:cs="Arial" w:eastAsia="Arial" w:hAnsi="Arial"/>
          <w:sz w:val="16"/>
          <w:szCs w:val="16"/>
          <w:color w:val="3B3C43"/>
        </w:rPr>
        <w:t>through initiatives in health, education,</w:t>
      </w:r>
      <w:r>
        <w:rPr>
          <w:rFonts w:ascii="Arial" w:cs="Arial" w:eastAsia="Arial" w:hAnsi="Arial"/>
          <w:sz w:val="16"/>
          <w:szCs w:val="16"/>
          <w:b w:val="1"/>
          <w:bCs w:val="1"/>
          <w:color w:val="3B3C43"/>
        </w:rPr>
        <w:t xml:space="preserve"> </w:t>
      </w:r>
      <w:r>
        <w:rPr>
          <w:rFonts w:ascii="Arial" w:cs="Arial" w:eastAsia="Arial" w:hAnsi="Arial"/>
          <w:sz w:val="16"/>
          <w:szCs w:val="16"/>
          <w:color w:val="3B3C43"/>
        </w:rPr>
        <w:t>and local employment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233" w:right="2" w:hanging="233"/>
        <w:spacing w:after="0" w:line="259" w:lineRule="auto"/>
        <w:tabs>
          <w:tab w:leader="none" w:pos="196" w:val="left"/>
        </w:tabs>
        <w:numPr>
          <w:ilvl w:val="0"/>
          <w:numId w:val="35"/>
        </w:numPr>
        <w:rPr>
          <w:rFonts w:ascii="Arial" w:cs="Arial" w:eastAsia="Arial" w:hAnsi="Arial"/>
          <w:sz w:val="16"/>
          <w:szCs w:val="16"/>
          <w:color w:val="4B1F68"/>
        </w:rPr>
      </w:pPr>
      <w:r>
        <w:rPr>
          <w:rFonts w:ascii="Arial" w:cs="Arial" w:eastAsia="Arial" w:hAnsi="Arial"/>
          <w:sz w:val="16"/>
          <w:szCs w:val="16"/>
          <w:b w:val="1"/>
          <w:bCs w:val="1"/>
          <w:color w:val="3B3C43"/>
        </w:rPr>
        <w:t>Support and develop initiatives related to Science, Technology, Engineering, and Mathematics (STEM)</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238" w:right="200" w:hanging="238"/>
        <w:spacing w:after="0" w:line="286" w:lineRule="auto"/>
        <w:tabs>
          <w:tab w:leader="none" w:pos="201" w:val="left"/>
        </w:tabs>
        <w:numPr>
          <w:ilvl w:val="0"/>
          <w:numId w:val="36"/>
        </w:numPr>
        <w:rPr>
          <w:rFonts w:ascii="Arial" w:cs="Arial" w:eastAsia="Arial" w:hAnsi="Arial"/>
          <w:sz w:val="16"/>
          <w:szCs w:val="16"/>
          <w:color w:val="4B1F68"/>
        </w:rPr>
      </w:pPr>
      <w:r>
        <w:rPr>
          <w:rFonts w:ascii="Arial" w:cs="Arial" w:eastAsia="Arial" w:hAnsi="Arial"/>
          <w:sz w:val="16"/>
          <w:szCs w:val="16"/>
          <w:b w:val="1"/>
          <w:bCs w:val="1"/>
          <w:color w:val="3B3C43"/>
        </w:rPr>
        <w:t>Enable employees to volunteer and support initiatives</w:t>
      </w:r>
    </w:p>
    <w:p>
      <w:pPr>
        <w:spacing w:after="0" w:line="555" w:lineRule="exact"/>
        <w:rPr>
          <w:sz w:val="20"/>
          <w:szCs w:val="20"/>
          <w:color w:val="auto"/>
        </w:rPr>
      </w:pPr>
    </w:p>
    <w:p>
      <w:pPr>
        <w:sectPr>
          <w:pgSz w:w="11900" w:h="16838" w:orient="portrait"/>
          <w:cols w:equalWidth="0" w:num="3">
            <w:col w:w="4280" w:space="327"/>
            <w:col w:w="2655" w:space="720"/>
            <w:col w:w="3118"/>
          </w:cols>
          <w:pgMar w:left="320" w:top="329" w:right="479" w:bottom="1440" w:gutter="0" w:footer="0" w:header="0"/>
          <w:type w:val="continuous"/>
        </w:sectPr>
      </w:pP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18</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329" w:right="47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Go beyond our commercial obligations to create in-country value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B3C43"/>
        </w:rPr>
        <w:t>Keeping our initiatives and commitment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B3C43"/>
        </w:rPr>
        <w:t>to support local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130810</wp:posOffset>
            </wp:positionV>
            <wp:extent cx="4286250" cy="43287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86250" cy="432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3B3C43"/>
        </w:rPr>
        <w:t>In 2020, 340 volunteer initiatives were organized in 33 countries where TechnipFMC operates, compared to 346 initiatives in 33 countries in 2019. Employees spent approximately 27,700 volunteer hours in 2020, versus 26,500 in 2019, creating in-country value through actions in health, education, STEM, local employment, environment, gender diversity, and other relevant and impactful local issues. Despite the impact of the COVID-19 pandemic and lockdown in many countries where we operate, our teams were creative and resilient, even designing remote volunteering initiatives, and committed to our continuous support of local communities.</w:t>
      </w:r>
    </w:p>
    <w:p>
      <w:pPr>
        <w:spacing w:after="0" w:line="189"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In the resource-strained environment around COVID-19, our teams donated personal protection equipment, facemasks, sanitizers, cleaning products, food, medical supplies, and other products to local hospitals, local communities around our facilities, and other charitable organizations. In the United Kingdom, Brazil, and Norway, we also used internal resources to develop and print face shields that were donated to hospitals and medical facilities. In total, we organized more than 100 initiatives in 19 countries and donated more than 100,000 facemasks from our employees and through partnerships with our clients and suppliers.</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19</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Support and develop STEM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143510</wp:posOffset>
            </wp:positionV>
            <wp:extent cx="6197600" cy="1560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9760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In 2020, we continued to focus on holding at least one STEM initiative in each Company entity with more than 300 employees. Initiatives developed in 2019 and 2020 can be grouped into three main areas: working with schools and/ or organizations to promote STEM for children, promoting STEM careers for students and young professionals, and promoting STEM for employees’ children. Although 2020 brought unique challenges to our traditional STEM format, our employees’ innovative ideas allowed us to offer STEM initiatives that met necessary health protocols and further advanced the Company’s emphasis on STEM topics. For 2020, 73 STEM initiatives were organized in 15 countries.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Enable employees to volunteer and support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143510</wp:posOffset>
            </wp:positionV>
            <wp:extent cx="6137910" cy="22028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3791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3B3C43"/>
        </w:rPr>
        <w:t>In 2020, we continued our global volunteering program, iVolunteer, which we launched in 2019. iVolunteer enables employees to support initiatives in the communities where they live and work to promote positive, tangible, and collective impact on these communities. Globally, in 2020, our employees participated in local initiatives and spent approximately 27,700 hours volunteering, demonstrating their commitment to our communities despite the COVID-</w:t>
      </w:r>
    </w:p>
    <w:p>
      <w:pPr>
        <w:spacing w:after="0" w:line="1"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16"/>
          <w:szCs w:val="16"/>
          <w:color w:val="3B3C43"/>
        </w:rPr>
      </w:pPr>
      <w:r>
        <w:rPr>
          <w:rFonts w:ascii="Arial" w:cs="Arial" w:eastAsia="Arial" w:hAnsi="Arial"/>
          <w:sz w:val="16"/>
          <w:szCs w:val="16"/>
          <w:color w:val="3B3C43"/>
        </w:rPr>
        <w:t>pandemic.</w:t>
      </w:r>
    </w:p>
    <w:p>
      <w:pPr>
        <w:spacing w:after="0" w:line="196" w:lineRule="exact"/>
        <w:rPr>
          <w:rFonts w:ascii="Arial" w:cs="Arial" w:eastAsia="Arial" w:hAnsi="Arial"/>
          <w:sz w:val="16"/>
          <w:szCs w:val="16"/>
          <w:color w:val="3B3C43"/>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329" w:right="4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3B3C43"/>
        </w:rPr>
        <w:t>Below are some examples of our community outreach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1864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18642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320" w:type="dxa"/>
            <w:vAlign w:val="bottom"/>
            <w:shd w:val="clear" w:color="auto" w:fill="E1E1DF"/>
          </w:tcPr>
          <w:p>
            <w:pPr>
              <w:ind w:left="120"/>
              <w:spacing w:after="0"/>
              <w:rPr>
                <w:sz w:val="20"/>
                <w:szCs w:val="20"/>
                <w:color w:val="auto"/>
              </w:rPr>
            </w:pPr>
            <w:r>
              <w:rPr>
                <w:rFonts w:ascii="Arial" w:cs="Arial" w:eastAsia="Arial" w:hAnsi="Arial"/>
                <w:sz w:val="16"/>
                <w:szCs w:val="16"/>
                <w:b w:val="1"/>
                <w:bCs w:val="1"/>
                <w:color w:val="3B3C43"/>
              </w:rPr>
              <w:t>United States</w:t>
            </w: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In February 2020, TechnipFMC hosted the third annual STEM Day in Houston, Texas. The initiative is part of our active</w:t>
            </w:r>
          </w:p>
        </w:tc>
      </w:tr>
      <w:tr>
        <w:trPr>
          <w:trHeight w:val="189"/>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engagement in the education of our community. The event presented 270 students an exciting, hands-on experience</w:t>
            </w:r>
          </w:p>
        </w:tc>
      </w:tr>
      <w:tr>
        <w:trPr>
          <w:trHeight w:val="189"/>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related to STEM projects, including experiments and stations related to our industry. We also participate regularly in</w:t>
            </w:r>
          </w:p>
        </w:tc>
      </w:tr>
      <w:tr>
        <w:trPr>
          <w:trHeight w:val="189"/>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numerous charitable events, including Women’s Initiative Day of Caring, Target Hunger Day of Caring, and the Veterans’</w:t>
            </w:r>
          </w:p>
        </w:tc>
      </w:tr>
      <w:tr>
        <w:trPr>
          <w:trHeight w:val="195"/>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Program.</w:t>
            </w:r>
          </w:p>
        </w:tc>
      </w:tr>
      <w:tr>
        <w:trPr>
          <w:trHeight w:val="372"/>
        </w:trPr>
        <w:tc>
          <w:tcPr>
            <w:tcW w:w="2320" w:type="dxa"/>
            <w:vAlign w:val="bottom"/>
            <w:shd w:val="clear" w:color="auto" w:fill="E1E1DF"/>
          </w:tcPr>
          <w:p>
            <w:pPr>
              <w:spacing w:after="0"/>
              <w:rPr>
                <w:sz w:val="24"/>
                <w:szCs w:val="24"/>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Other initiatives included being part of the Houston Heart Walk, an annual fundraising event dedicated to spreading</w:t>
            </w:r>
          </w:p>
        </w:tc>
      </w:tr>
      <w:tr>
        <w:trPr>
          <w:trHeight w:val="195"/>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awareness about cardiovascular health. Approximately 850 employees participated in a Virtual Heart Walk in 2020.</w:t>
            </w:r>
          </w:p>
        </w:tc>
      </w:tr>
      <w:tr>
        <w:trPr>
          <w:trHeight w:val="548"/>
        </w:trPr>
        <w:tc>
          <w:tcPr>
            <w:tcW w:w="2320" w:type="dxa"/>
            <w:vAlign w:val="bottom"/>
            <w:shd w:val="clear" w:color="auto" w:fill="E1E1DF"/>
          </w:tcPr>
          <w:p>
            <w:pPr>
              <w:ind w:left="120"/>
              <w:spacing w:after="0"/>
              <w:rPr>
                <w:sz w:val="20"/>
                <w:szCs w:val="20"/>
                <w:color w:val="auto"/>
              </w:rPr>
            </w:pPr>
            <w:r>
              <w:rPr>
                <w:rFonts w:ascii="Arial" w:cs="Arial" w:eastAsia="Arial" w:hAnsi="Arial"/>
                <w:sz w:val="16"/>
                <w:szCs w:val="16"/>
                <w:b w:val="1"/>
                <w:bCs w:val="1"/>
                <w:color w:val="3B3C43"/>
              </w:rPr>
              <w:t>United Kingdom</w:t>
            </w: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Our team in Newcastle promoted volunteering month, putting together a suite of eleven virtual volunteering activities. For</w:t>
            </w:r>
          </w:p>
        </w:tc>
      </w:tr>
      <w:tr>
        <w:trPr>
          <w:trHeight w:val="189"/>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every Newcastle-based employee who took part, a donation was made to NHS Charities Together. Our teams from</w:t>
            </w:r>
          </w:p>
        </w:tc>
      </w:tr>
      <w:tr>
        <w:trPr>
          <w:trHeight w:val="187"/>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Dunfermline, Westhill, and vessels also organized several virtual volunteering initiatives.</w:t>
            </w:r>
          </w:p>
        </w:tc>
      </w:tr>
      <w:tr>
        <w:trPr>
          <w:trHeight w:val="1743"/>
        </w:trPr>
        <w:tc>
          <w:tcPr>
            <w:tcW w:w="2320" w:type="dxa"/>
            <w:vAlign w:val="bottom"/>
            <w:shd w:val="clear" w:color="auto" w:fill="E1E1DF"/>
          </w:tcPr>
          <w:p>
            <w:pPr>
              <w:ind w:left="120"/>
              <w:spacing w:after="0"/>
              <w:rPr>
                <w:sz w:val="20"/>
                <w:szCs w:val="20"/>
                <w:color w:val="auto"/>
              </w:rPr>
            </w:pPr>
            <w:r>
              <w:rPr>
                <w:rFonts w:ascii="Arial" w:cs="Arial" w:eastAsia="Arial" w:hAnsi="Arial"/>
                <w:sz w:val="16"/>
                <w:szCs w:val="16"/>
                <w:b w:val="1"/>
                <w:bCs w:val="1"/>
                <w:color w:val="3B3C43"/>
              </w:rPr>
              <w:t>France</w:t>
            </w: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Our team in France supports the non-profit organization, Elles Bougent (Girls on the Move). Elles Bougent promotes</w:t>
            </w:r>
          </w:p>
        </w:tc>
      </w:tr>
      <w:tr>
        <w:trPr>
          <w:trHeight w:val="189"/>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gender diversity in STEM, as well as making technical and industrial careers accessible for young female students. Our</w:t>
            </w:r>
          </w:p>
        </w:tc>
      </w:tr>
      <w:tr>
        <w:trPr>
          <w:trHeight w:val="189"/>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team in Sens also organized 19 volunteering initiatives to support its community and organized a STEM Day, meeting</w:t>
            </w:r>
          </w:p>
        </w:tc>
      </w:tr>
      <w:tr>
        <w:trPr>
          <w:trHeight w:val="187"/>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approximately 700 students in two high schools close to our site.</w:t>
            </w:r>
          </w:p>
        </w:tc>
      </w:tr>
      <w:tr>
        <w:trPr>
          <w:trHeight w:val="1689"/>
        </w:trPr>
        <w:tc>
          <w:tcPr>
            <w:tcW w:w="2320" w:type="dxa"/>
            <w:vAlign w:val="bottom"/>
            <w:shd w:val="clear" w:color="auto" w:fill="E1E1DF"/>
          </w:tcPr>
          <w:p>
            <w:pPr>
              <w:ind w:left="120"/>
              <w:spacing w:after="0"/>
              <w:rPr>
                <w:sz w:val="20"/>
                <w:szCs w:val="20"/>
                <w:color w:val="auto"/>
              </w:rPr>
            </w:pPr>
            <w:r>
              <w:rPr>
                <w:rFonts w:ascii="Arial" w:cs="Arial" w:eastAsia="Arial" w:hAnsi="Arial"/>
                <w:sz w:val="16"/>
                <w:szCs w:val="16"/>
                <w:b w:val="1"/>
                <w:bCs w:val="1"/>
                <w:color w:val="3B3C43"/>
              </w:rPr>
              <w:t>Brazil</w:t>
            </w: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In Brazil, we sponsor social and environmental programs for underprivileged children and young students from</w:t>
            </w:r>
          </w:p>
        </w:tc>
      </w:tr>
      <w:tr>
        <w:trPr>
          <w:trHeight w:val="189"/>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neighboring communities to help them develop and have equal opportunities, like the “Música Encantada” project where</w:t>
            </w:r>
          </w:p>
        </w:tc>
      </w:tr>
      <w:tr>
        <w:trPr>
          <w:trHeight w:val="189"/>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we have sponsored music classes for 250 children in the local community. Also, in 2020, our volunteers organized a</w:t>
            </w:r>
          </w:p>
        </w:tc>
      </w:tr>
      <w:tr>
        <w:trPr>
          <w:trHeight w:val="189"/>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beach cleaning activity in Macaé and Vitória, where 360 kg of waste was collected, and a Christmas campaign to donate</w:t>
            </w:r>
          </w:p>
        </w:tc>
      </w:tr>
      <w:tr>
        <w:trPr>
          <w:trHeight w:val="195"/>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food and toys to underprivileged communities.</w:t>
            </w:r>
          </w:p>
        </w:tc>
      </w:tr>
      <w:tr>
        <w:trPr>
          <w:trHeight w:val="1425"/>
        </w:trPr>
        <w:tc>
          <w:tcPr>
            <w:tcW w:w="2320" w:type="dxa"/>
            <w:vAlign w:val="bottom"/>
            <w:shd w:val="clear" w:color="auto" w:fill="E1E1DF"/>
          </w:tcPr>
          <w:p>
            <w:pPr>
              <w:ind w:left="120"/>
              <w:spacing w:after="0"/>
              <w:rPr>
                <w:sz w:val="20"/>
                <w:szCs w:val="20"/>
                <w:color w:val="auto"/>
              </w:rPr>
            </w:pPr>
            <w:r>
              <w:rPr>
                <w:rFonts w:ascii="Arial" w:cs="Arial" w:eastAsia="Arial" w:hAnsi="Arial"/>
                <w:sz w:val="16"/>
                <w:szCs w:val="16"/>
                <w:b w:val="1"/>
                <w:bCs w:val="1"/>
                <w:color w:val="3B3C43"/>
              </w:rPr>
              <w:t>Colombia</w:t>
            </w: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In Colombia, we implemented a new virtual volunteering initiative to enable our employees to use their knowledge to</w:t>
            </w:r>
          </w:p>
        </w:tc>
      </w:tr>
      <w:tr>
        <w:trPr>
          <w:trHeight w:val="195"/>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create courses for colleagues and their families.</w:t>
            </w:r>
          </w:p>
        </w:tc>
      </w:tr>
      <w:tr>
        <w:trPr>
          <w:trHeight w:val="2127"/>
        </w:trPr>
        <w:tc>
          <w:tcPr>
            <w:tcW w:w="2320" w:type="dxa"/>
            <w:vAlign w:val="bottom"/>
            <w:shd w:val="clear" w:color="auto" w:fill="E1E1DF"/>
          </w:tcPr>
          <w:p>
            <w:pPr>
              <w:ind w:left="120"/>
              <w:spacing w:after="0"/>
              <w:rPr>
                <w:sz w:val="20"/>
                <w:szCs w:val="20"/>
                <w:color w:val="auto"/>
              </w:rPr>
            </w:pPr>
            <w:r>
              <w:rPr>
                <w:rFonts w:ascii="Arial" w:cs="Arial" w:eastAsia="Arial" w:hAnsi="Arial"/>
                <w:sz w:val="16"/>
                <w:szCs w:val="16"/>
                <w:b w:val="1"/>
                <w:bCs w:val="1"/>
                <w:color w:val="3B3C43"/>
              </w:rPr>
              <w:t>Italy</w:t>
            </w: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TechnipFMC in Italy, in collaboration with Technical School Enrico Fermi based in Rome, is involved in the Alternanza</w:t>
            </w:r>
          </w:p>
        </w:tc>
      </w:tr>
      <w:tr>
        <w:trPr>
          <w:trHeight w:val="189"/>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Scuola-Lavoro (Education-Work Rotation) project. This collaboration enriches school programs with energy sector</w:t>
            </w:r>
          </w:p>
        </w:tc>
      </w:tr>
      <w:tr>
        <w:trPr>
          <w:trHeight w:val="189"/>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experience focused on oil and gas, enabling students to better understand the added value offered by working in our</w:t>
            </w:r>
          </w:p>
        </w:tc>
      </w:tr>
      <w:tr>
        <w:trPr>
          <w:trHeight w:val="187"/>
        </w:trPr>
        <w:tc>
          <w:tcPr>
            <w:tcW w:w="2320" w:type="dxa"/>
            <w:vAlign w:val="bottom"/>
            <w:shd w:val="clear" w:color="auto" w:fill="E1E1DF"/>
          </w:tcPr>
          <w:p>
            <w:pPr>
              <w:spacing w:after="0"/>
              <w:rPr>
                <w:sz w:val="16"/>
                <w:szCs w:val="16"/>
                <w:color w:val="auto"/>
              </w:rPr>
            </w:pPr>
          </w:p>
        </w:tc>
        <w:tc>
          <w:tcPr>
            <w:tcW w:w="890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industry and at TechnipFMC.</w:t>
            </w:r>
          </w:p>
        </w:tc>
      </w:tr>
      <w:tr>
        <w:trPr>
          <w:trHeight w:val="1269"/>
        </w:trPr>
        <w:tc>
          <w:tcPr>
            <w:tcW w:w="2320" w:type="dxa"/>
            <w:vAlign w:val="bottom"/>
            <w:shd w:val="clear" w:color="auto" w:fill="E1E1DF"/>
          </w:tcPr>
          <w:p>
            <w:pPr>
              <w:spacing w:after="0"/>
              <w:rPr>
                <w:sz w:val="24"/>
                <w:szCs w:val="24"/>
                <w:color w:val="auto"/>
              </w:rPr>
            </w:pPr>
          </w:p>
        </w:tc>
        <w:tc>
          <w:tcPr>
            <w:tcW w:w="8900" w:type="dxa"/>
            <w:vAlign w:val="bottom"/>
            <w:shd w:val="clear" w:color="auto" w:fill="E1E1DF"/>
          </w:tcPr>
          <w:p>
            <w:pPr>
              <w:spacing w:after="0"/>
              <w:rPr>
                <w:sz w:val="24"/>
                <w:szCs w:val="24"/>
                <w:color w:val="auto"/>
              </w:rPr>
            </w:pPr>
          </w:p>
        </w:tc>
      </w:tr>
    </w:tbl>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21</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4911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91172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260" w:type="dxa"/>
            <w:vAlign w:val="bottom"/>
            <w:shd w:val="clear" w:color="auto" w:fill="E1E1DF"/>
          </w:tcPr>
          <w:p>
            <w:pPr>
              <w:ind w:left="120"/>
              <w:spacing w:after="0"/>
              <w:rPr>
                <w:sz w:val="20"/>
                <w:szCs w:val="20"/>
                <w:color w:val="auto"/>
              </w:rPr>
            </w:pPr>
            <w:r>
              <w:rPr>
                <w:rFonts w:ascii="Arial" w:cs="Arial" w:eastAsia="Arial" w:hAnsi="Arial"/>
                <w:sz w:val="16"/>
                <w:szCs w:val="16"/>
                <w:b w:val="1"/>
                <w:bCs w:val="1"/>
                <w:color w:val="3B3C43"/>
              </w:rPr>
              <w:t>Azerbaijan</w:t>
            </w: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TechnipFMC is promoting opportunities for students who aspire to work in the energy sector and who have a particular</w:t>
            </w:r>
          </w:p>
        </w:tc>
      </w:tr>
      <w:tr>
        <w:trPr>
          <w:trHeight w:val="189"/>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interest in our industry or related sectors through the Baku Master Program organized in collaboration with Heydar Aliyev</w:t>
            </w:r>
          </w:p>
        </w:tc>
      </w:tr>
      <w:tr>
        <w:trPr>
          <w:trHeight w:val="189"/>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Foundation. More than 53 students attending Baku Higher Oil School and Azerbaijan State Oil and Industrial University</w:t>
            </w:r>
          </w:p>
        </w:tc>
      </w:tr>
      <w:tr>
        <w:trPr>
          <w:trHeight w:val="189"/>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have enrolled and benefitted from the Baku Master Program, which is structured in seven industry modules and managed</w:t>
            </w:r>
          </w:p>
        </w:tc>
      </w:tr>
      <w:tr>
        <w:trPr>
          <w:trHeight w:val="195"/>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by our experts.</w:t>
            </w:r>
          </w:p>
        </w:tc>
      </w:tr>
      <w:tr>
        <w:trPr>
          <w:trHeight w:val="939"/>
        </w:trPr>
        <w:tc>
          <w:tcPr>
            <w:tcW w:w="2260" w:type="dxa"/>
            <w:vAlign w:val="bottom"/>
            <w:shd w:val="clear" w:color="auto" w:fill="E1E1DF"/>
          </w:tcPr>
          <w:p>
            <w:pPr>
              <w:ind w:left="120"/>
              <w:spacing w:after="0"/>
              <w:rPr>
                <w:sz w:val="20"/>
                <w:szCs w:val="20"/>
                <w:color w:val="auto"/>
              </w:rPr>
            </w:pPr>
            <w:r>
              <w:rPr>
                <w:rFonts w:ascii="Arial" w:cs="Arial" w:eastAsia="Arial" w:hAnsi="Arial"/>
                <w:sz w:val="16"/>
                <w:szCs w:val="16"/>
                <w:b w:val="1"/>
                <w:bCs w:val="1"/>
                <w:color w:val="3B3C43"/>
              </w:rPr>
              <w:t>India</w:t>
            </w: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In India, our impact-driven sustainable initiative, Seed of Hope, has benefited more than 90,000 people over the years. It</w:t>
            </w:r>
          </w:p>
        </w:tc>
      </w:tr>
      <w:tr>
        <w:trPr>
          <w:trHeight w:val="189"/>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has enabled STEM education for girls, provided development workshops for youths, sponsored school fees for</w:t>
            </w:r>
          </w:p>
        </w:tc>
      </w:tr>
      <w:tr>
        <w:trPr>
          <w:trHeight w:val="189"/>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underprivileged children, supported communities after natural disasters, and promoted livelihood opportunities, clean</w:t>
            </w:r>
          </w:p>
        </w:tc>
      </w:tr>
      <w:tr>
        <w:trPr>
          <w:trHeight w:val="195"/>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energy, and a circular economy.</w:t>
            </w:r>
          </w:p>
        </w:tc>
      </w:tr>
      <w:tr>
        <w:trPr>
          <w:trHeight w:val="966"/>
        </w:trPr>
        <w:tc>
          <w:tcPr>
            <w:tcW w:w="2260" w:type="dxa"/>
            <w:vAlign w:val="bottom"/>
            <w:shd w:val="clear" w:color="auto" w:fill="E1E1DF"/>
          </w:tcPr>
          <w:p>
            <w:pPr>
              <w:ind w:left="120"/>
              <w:spacing w:after="0"/>
              <w:rPr>
                <w:sz w:val="20"/>
                <w:szCs w:val="20"/>
                <w:color w:val="auto"/>
              </w:rPr>
            </w:pPr>
            <w:r>
              <w:rPr>
                <w:rFonts w:ascii="Arial" w:cs="Arial" w:eastAsia="Arial" w:hAnsi="Arial"/>
                <w:sz w:val="16"/>
                <w:szCs w:val="16"/>
                <w:b w:val="1"/>
                <w:bCs w:val="1"/>
                <w:color w:val="3B3C43"/>
              </w:rPr>
              <w:t>Malaysia</w:t>
            </w: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In Malaysia, our Go Success Program is a year-long holistic program that encompasses all branches of knowledge in</w:t>
            </w:r>
          </w:p>
        </w:tc>
      </w:tr>
      <w:tr>
        <w:trPr>
          <w:trHeight w:val="189"/>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education, including power motivation, technical education, soft skills, entrepreneurship, and public speaking. The</w:t>
            </w:r>
          </w:p>
        </w:tc>
      </w:tr>
      <w:tr>
        <w:trPr>
          <w:trHeight w:val="189"/>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program targets students but also teachers and parents as part of the students’ overall development. In Johor, our</w:t>
            </w:r>
          </w:p>
        </w:tc>
      </w:tr>
      <w:tr>
        <w:trPr>
          <w:trHeight w:val="195"/>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employees built a "recycled park” at a school near our site as part of our iVolunteer program.</w:t>
            </w:r>
          </w:p>
        </w:tc>
      </w:tr>
      <w:tr>
        <w:trPr>
          <w:trHeight w:val="521"/>
        </w:trPr>
        <w:tc>
          <w:tcPr>
            <w:tcW w:w="2260" w:type="dxa"/>
            <w:vAlign w:val="bottom"/>
            <w:shd w:val="clear" w:color="auto" w:fill="E1E1DF"/>
          </w:tcPr>
          <w:p>
            <w:pPr>
              <w:ind w:left="120"/>
              <w:spacing w:after="0"/>
              <w:rPr>
                <w:sz w:val="20"/>
                <w:szCs w:val="20"/>
                <w:color w:val="auto"/>
              </w:rPr>
            </w:pPr>
            <w:r>
              <w:rPr>
                <w:rFonts w:ascii="Arial" w:cs="Arial" w:eastAsia="Arial" w:hAnsi="Arial"/>
                <w:sz w:val="16"/>
                <w:szCs w:val="16"/>
                <w:b w:val="1"/>
                <w:bCs w:val="1"/>
                <w:color w:val="3B3C43"/>
              </w:rPr>
              <w:t>Australia</w:t>
            </w: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In Australia, we have been developing a Reconciliation Action Plan and indigenous engagement activities. Since 2018, we</w:t>
            </w:r>
          </w:p>
        </w:tc>
      </w:tr>
      <w:tr>
        <w:trPr>
          <w:trHeight w:val="189"/>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have joined more than 1,000 government, corporate, and not-for-profit organizations in committing to build higher trust,</w:t>
            </w:r>
          </w:p>
        </w:tc>
      </w:tr>
      <w:tr>
        <w:trPr>
          <w:trHeight w:val="195"/>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lower prejudice, and increased pride in Aboriginal and Torres Strait Islander people and culture.</w:t>
            </w:r>
          </w:p>
        </w:tc>
      </w:tr>
      <w:tr>
        <w:trPr>
          <w:trHeight w:val="1074"/>
        </w:trPr>
        <w:tc>
          <w:tcPr>
            <w:tcW w:w="2260" w:type="dxa"/>
            <w:vAlign w:val="bottom"/>
            <w:shd w:val="clear" w:color="auto" w:fill="E1E1DF"/>
          </w:tcPr>
          <w:p>
            <w:pPr>
              <w:ind w:left="120"/>
              <w:spacing w:after="0"/>
              <w:rPr>
                <w:sz w:val="20"/>
                <w:szCs w:val="20"/>
                <w:color w:val="auto"/>
              </w:rPr>
            </w:pPr>
            <w:r>
              <w:rPr>
                <w:rFonts w:ascii="Arial" w:cs="Arial" w:eastAsia="Arial" w:hAnsi="Arial"/>
                <w:sz w:val="16"/>
                <w:szCs w:val="16"/>
                <w:b w:val="1"/>
                <w:bCs w:val="1"/>
                <w:color w:val="3B3C43"/>
              </w:rPr>
              <w:t>Ghana</w:t>
            </w: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TechnipFMC in Ghana handed over a 150-bed capacity Female Hostel to the Ellembelle District and the Charlotte</w:t>
            </w:r>
          </w:p>
        </w:tc>
      </w:tr>
      <w:tr>
        <w:trPr>
          <w:trHeight w:val="189"/>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Dolphyne Training Institute, located in the Western region of Ghana, fulfilling a need to provide adequate and safe</w:t>
            </w:r>
          </w:p>
        </w:tc>
      </w:tr>
      <w:tr>
        <w:trPr>
          <w:trHeight w:val="195"/>
        </w:trPr>
        <w:tc>
          <w:tcPr>
            <w:tcW w:w="2260" w:type="dxa"/>
            <w:vAlign w:val="bottom"/>
            <w:shd w:val="clear" w:color="auto" w:fill="E1E1DF"/>
          </w:tcPr>
          <w:p>
            <w:pPr>
              <w:spacing w:after="0"/>
              <w:rPr>
                <w:sz w:val="16"/>
                <w:szCs w:val="16"/>
                <w:color w:val="auto"/>
              </w:rPr>
            </w:pPr>
          </w:p>
        </w:tc>
        <w:tc>
          <w:tcPr>
            <w:tcW w:w="89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accommodations for female students and improve their attendance in classes.</w:t>
            </w:r>
          </w:p>
        </w:tc>
      </w:tr>
      <w:tr>
        <w:trPr>
          <w:trHeight w:val="1261"/>
        </w:trPr>
        <w:tc>
          <w:tcPr>
            <w:tcW w:w="2260" w:type="dxa"/>
            <w:vAlign w:val="bottom"/>
            <w:shd w:val="clear" w:color="auto" w:fill="E1E1DF"/>
          </w:tcPr>
          <w:p>
            <w:pPr>
              <w:spacing w:after="0"/>
              <w:rPr>
                <w:sz w:val="24"/>
                <w:szCs w:val="24"/>
                <w:color w:val="auto"/>
              </w:rPr>
            </w:pPr>
          </w:p>
        </w:tc>
        <w:tc>
          <w:tcPr>
            <w:tcW w:w="8960" w:type="dxa"/>
            <w:vAlign w:val="bottom"/>
            <w:shd w:val="clear" w:color="auto" w:fill="E1E1DF"/>
          </w:tcPr>
          <w:p>
            <w:pPr>
              <w:spacing w:after="0"/>
              <w:rPr>
                <w:sz w:val="24"/>
                <w:szCs w:val="24"/>
                <w:color w:val="auto"/>
              </w:rPr>
            </w:pPr>
          </w:p>
        </w:tc>
      </w:tr>
    </w:tbl>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22</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TechnipFMC Relief and Development Fund (“TRDF”)</w:t>
      </w:r>
    </w:p>
    <w:p>
      <w:pPr>
        <w:spacing w:after="0" w:line="2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3B3C43"/>
        </w:rPr>
        <w:t>The TRDF is a Company endowment fund created in 2011 to support social and charitable initiatives. Its main goals are to reinforce our corporate social responsibility and our local presence in the countries where we operate and to support not-for-profit social or general interest projects.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3B3C43"/>
        </w:rPr>
        <w:t>Every year, we select certain social projects, proposed and carried out by an association or a non-governmental organization, in a country where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B3C43"/>
        </w:rPr>
        <w:t>TechnipFMC has a long-term presence. In 2020, the TRDF helped:</w:t>
      </w:r>
    </w:p>
    <w:p>
      <w:pPr>
        <w:spacing w:after="0" w:line="208" w:lineRule="exact"/>
        <w:rPr>
          <w:sz w:val="20"/>
          <w:szCs w:val="20"/>
          <w:color w:val="auto"/>
        </w:rPr>
      </w:pPr>
    </w:p>
    <w:p>
      <w:pPr>
        <w:ind w:left="520" w:hanging="318"/>
        <w:spacing w:after="0"/>
        <w:tabs>
          <w:tab w:leader="none" w:pos="520" w:val="left"/>
        </w:tabs>
        <w:numPr>
          <w:ilvl w:val="0"/>
          <w:numId w:val="38"/>
        </w:numPr>
        <w:rPr>
          <w:rFonts w:ascii="Arial" w:cs="Arial" w:eastAsia="Arial" w:hAnsi="Arial"/>
          <w:sz w:val="16"/>
          <w:szCs w:val="16"/>
          <w:color w:val="4B1F68"/>
        </w:rPr>
      </w:pPr>
      <w:r>
        <w:rPr>
          <w:rFonts w:ascii="Arial" w:cs="Arial" w:eastAsia="Arial" w:hAnsi="Arial"/>
          <w:sz w:val="16"/>
          <w:szCs w:val="16"/>
          <w:color w:val="3B3C43"/>
        </w:rPr>
        <w:t>Asedeme in Senegal to purchase a new school bus to transport children with mental disabilities to specialized daycare centers.</w:t>
      </w:r>
    </w:p>
    <w:p>
      <w:pPr>
        <w:spacing w:after="0" w:line="261" w:lineRule="exact"/>
        <w:rPr>
          <w:rFonts w:ascii="Arial" w:cs="Arial" w:eastAsia="Arial" w:hAnsi="Arial"/>
          <w:sz w:val="16"/>
          <w:szCs w:val="16"/>
          <w:color w:val="4B1F68"/>
        </w:rPr>
      </w:pPr>
    </w:p>
    <w:p>
      <w:pPr>
        <w:ind w:left="520" w:hanging="318"/>
        <w:spacing w:after="0" w:line="260" w:lineRule="auto"/>
        <w:tabs>
          <w:tab w:leader="none" w:pos="520" w:val="left"/>
        </w:tabs>
        <w:numPr>
          <w:ilvl w:val="0"/>
          <w:numId w:val="38"/>
        </w:numPr>
        <w:rPr>
          <w:rFonts w:ascii="Arial" w:cs="Arial" w:eastAsia="Arial" w:hAnsi="Arial"/>
          <w:sz w:val="16"/>
          <w:szCs w:val="16"/>
          <w:color w:val="4B1F68"/>
        </w:rPr>
      </w:pPr>
      <w:r>
        <w:rPr>
          <w:rFonts w:ascii="Arial" w:cs="Arial" w:eastAsia="Arial" w:hAnsi="Arial"/>
          <w:sz w:val="16"/>
          <w:szCs w:val="16"/>
          <w:color w:val="3B3C43"/>
        </w:rPr>
        <w:t>Asmae-Sister Emmanuelle to deliver aid related to COVID-19 in Egypt and the Philippines. We also supported a program on inclusive education for children and young adults with disabilities in Egypt.</w:t>
      </w:r>
    </w:p>
    <w:p>
      <w:pPr>
        <w:spacing w:after="0" w:line="195" w:lineRule="exact"/>
        <w:rPr>
          <w:rFonts w:ascii="Arial" w:cs="Arial" w:eastAsia="Arial" w:hAnsi="Arial"/>
          <w:sz w:val="16"/>
          <w:szCs w:val="16"/>
          <w:color w:val="4B1F68"/>
        </w:rPr>
      </w:pPr>
    </w:p>
    <w:p>
      <w:pPr>
        <w:ind w:left="520" w:hanging="318"/>
        <w:spacing w:after="0"/>
        <w:tabs>
          <w:tab w:leader="none" w:pos="520" w:val="left"/>
        </w:tabs>
        <w:numPr>
          <w:ilvl w:val="0"/>
          <w:numId w:val="38"/>
        </w:numPr>
        <w:rPr>
          <w:rFonts w:ascii="Arial" w:cs="Arial" w:eastAsia="Arial" w:hAnsi="Arial"/>
          <w:sz w:val="16"/>
          <w:szCs w:val="16"/>
          <w:color w:val="4B1F68"/>
        </w:rPr>
      </w:pPr>
      <w:r>
        <w:rPr>
          <w:rFonts w:ascii="Arial" w:cs="Arial" w:eastAsia="Arial" w:hAnsi="Arial"/>
          <w:sz w:val="16"/>
          <w:szCs w:val="16"/>
          <w:color w:val="3B3C43"/>
        </w:rPr>
        <w:t>Essor in Mozambique to improve the employability of the most vulnerable youth from Pemba, Cabo Delgado Province.</w:t>
      </w:r>
    </w:p>
    <w:p>
      <w:pPr>
        <w:spacing w:after="0" w:line="248" w:lineRule="exact"/>
        <w:rPr>
          <w:rFonts w:ascii="Arial" w:cs="Arial" w:eastAsia="Arial" w:hAnsi="Arial"/>
          <w:sz w:val="16"/>
          <w:szCs w:val="16"/>
          <w:color w:val="4B1F68"/>
        </w:rPr>
      </w:pPr>
    </w:p>
    <w:p>
      <w:pPr>
        <w:ind w:left="520" w:hanging="318"/>
        <w:spacing w:after="0"/>
        <w:tabs>
          <w:tab w:leader="none" w:pos="520" w:val="left"/>
        </w:tabs>
        <w:numPr>
          <w:ilvl w:val="0"/>
          <w:numId w:val="38"/>
        </w:numPr>
        <w:rPr>
          <w:rFonts w:ascii="Arial" w:cs="Arial" w:eastAsia="Arial" w:hAnsi="Arial"/>
          <w:sz w:val="16"/>
          <w:szCs w:val="16"/>
          <w:color w:val="4B1F68"/>
        </w:rPr>
      </w:pPr>
      <w:r>
        <w:rPr>
          <w:rFonts w:ascii="Arial" w:cs="Arial" w:eastAsia="Arial" w:hAnsi="Arial"/>
          <w:sz w:val="16"/>
          <w:szCs w:val="16"/>
          <w:color w:val="3B3C43"/>
        </w:rPr>
        <w:t>Inter Aide in Mozambique to improve maternal and child health in the rural populations of Monapo and Memba districts, Napula province.</w:t>
      </w:r>
    </w:p>
    <w:p>
      <w:pPr>
        <w:spacing w:after="0" w:line="248" w:lineRule="exact"/>
        <w:rPr>
          <w:rFonts w:ascii="Arial" w:cs="Arial" w:eastAsia="Arial" w:hAnsi="Arial"/>
          <w:sz w:val="16"/>
          <w:szCs w:val="16"/>
          <w:color w:val="4B1F68"/>
        </w:rPr>
      </w:pPr>
    </w:p>
    <w:p>
      <w:pPr>
        <w:ind w:left="520" w:hanging="318"/>
        <w:spacing w:after="0"/>
        <w:tabs>
          <w:tab w:leader="none" w:pos="520" w:val="left"/>
        </w:tabs>
        <w:numPr>
          <w:ilvl w:val="0"/>
          <w:numId w:val="38"/>
        </w:numPr>
        <w:rPr>
          <w:rFonts w:ascii="Arial" w:cs="Arial" w:eastAsia="Arial" w:hAnsi="Arial"/>
          <w:sz w:val="16"/>
          <w:szCs w:val="16"/>
          <w:color w:val="4B1F68"/>
        </w:rPr>
      </w:pPr>
      <w:r>
        <w:rPr>
          <w:rFonts w:ascii="Arial" w:cs="Arial" w:eastAsia="Arial" w:hAnsi="Arial"/>
          <w:sz w:val="16"/>
          <w:szCs w:val="16"/>
          <w:color w:val="3B3C43"/>
        </w:rPr>
        <w:t>Samu Social International in Angola to provide medical and psychological assistance to homeless youth in Luanda.</w:t>
      </w:r>
    </w:p>
    <w:p>
      <w:pPr>
        <w:spacing w:after="0" w:line="22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23</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329" w:right="5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388" w:lineRule="exact"/>
        <w:rPr>
          <w:sz w:val="20"/>
          <w:szCs w:val="20"/>
          <w:color w:val="auto"/>
        </w:rPr>
      </w:pPr>
    </w:p>
    <w:p>
      <w:pPr>
        <w:spacing w:after="0"/>
        <w:rPr>
          <w:sz w:val="20"/>
          <w:szCs w:val="20"/>
          <w:color w:val="auto"/>
        </w:rPr>
      </w:pPr>
      <w:r>
        <w:rPr>
          <w:rFonts w:ascii="Arial" w:cs="Arial" w:eastAsia="Arial" w:hAnsi="Arial"/>
          <w:sz w:val="38"/>
          <w:szCs w:val="38"/>
          <w:color w:val="4B1F68"/>
        </w:rPr>
        <w:t>Advancing Gender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128270</wp:posOffset>
            </wp:positionV>
            <wp:extent cx="6077585" cy="1937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758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Advancing Gender Diversity is our second sustainability pillar, and we believe it is not only a matter of responsibility, but also a business imperative for our success. We do not tolerate unlawful discrimination related to employment, and our Code of Business Conduct requires that employment decisions related to recruitment, selection, evaluation, compensation, and development, among others, are not influenced by race, color, religion, gender, age, ethnic origin, nationality, sexual orientation, marital status, or disability. We also ensure that our suppliers, customers, and business partners are aware of our goal of creating a diverse and tolerant workforce.</w:t>
      </w:r>
    </w:p>
    <w:p>
      <w:pPr>
        <w:spacing w:after="0" w:line="18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3B3C43"/>
        </w:rPr>
        <w:t>Our global framework and key performance indicators for 2018 through 2020 and beyond aim to promote and accelerate the development of women in all functions of our global organization.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Advancing Gender Diversity –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60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660400"/>
                    </a:xfrm>
                    <a:prstGeom prst="rect">
                      <a:avLst/>
                    </a:prstGeom>
                    <a:noFill/>
                  </pic:spPr>
                </pic:pic>
              </a:graphicData>
            </a:graphic>
          </wp:anchor>
        </w:drawing>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6"/>
          <w:szCs w:val="16"/>
          <w:color w:val="3B3C43"/>
        </w:rPr>
        <w:t>Our Advancing Gender Diversity objectives included the following:</w:t>
      </w:r>
    </w:p>
    <w:p>
      <w:pPr>
        <w:sectPr>
          <w:pgSz w:w="11900" w:h="16838" w:orient="portrait"/>
          <w:cols w:equalWidth="0" w:num="1">
            <w:col w:w="11060"/>
          </w:cols>
          <w:pgMar w:left="320" w:top="329" w:right="519" w:bottom="1440" w:gutter="0" w:footer="0" w:header="0"/>
        </w:sectPr>
      </w:pPr>
    </w:p>
    <w:p>
      <w:pPr>
        <w:spacing w:after="0" w:line="134" w:lineRule="exact"/>
        <w:rPr>
          <w:sz w:val="20"/>
          <w:szCs w:val="20"/>
          <w:color w:val="auto"/>
        </w:rPr>
      </w:pPr>
    </w:p>
    <w:p>
      <w:pPr>
        <w:jc w:val="both"/>
        <w:ind w:left="280" w:hanging="218"/>
        <w:spacing w:after="0" w:line="266" w:lineRule="auto"/>
        <w:tabs>
          <w:tab w:leader="none" w:pos="269" w:val="left"/>
        </w:tabs>
        <w:numPr>
          <w:ilvl w:val="0"/>
          <w:numId w:val="39"/>
        </w:numPr>
        <w:rPr>
          <w:rFonts w:ascii="Arial" w:cs="Arial" w:eastAsia="Arial" w:hAnsi="Arial"/>
          <w:sz w:val="16"/>
          <w:szCs w:val="16"/>
          <w:color w:val="4B1F68"/>
        </w:rPr>
      </w:pPr>
      <w:r>
        <w:rPr>
          <w:rFonts w:ascii="Arial" w:cs="Arial" w:eastAsia="Arial" w:hAnsi="Arial"/>
          <w:sz w:val="16"/>
          <w:szCs w:val="16"/>
          <w:b w:val="1"/>
          <w:bCs w:val="1"/>
          <w:color w:val="3B3C43"/>
        </w:rPr>
        <w:t xml:space="preserve">Ensure gender pay equity </w:t>
      </w:r>
      <w:r>
        <w:rPr>
          <w:rFonts w:ascii="Arial" w:cs="Arial" w:eastAsia="Arial" w:hAnsi="Arial"/>
          <w:sz w:val="16"/>
          <w:szCs w:val="16"/>
          <w:color w:val="3B3C43"/>
        </w:rPr>
        <w:t>everywhere we operate and</w:t>
      </w:r>
      <w:r>
        <w:rPr>
          <w:rFonts w:ascii="Arial" w:cs="Arial" w:eastAsia="Arial" w:hAnsi="Arial"/>
          <w:sz w:val="16"/>
          <w:szCs w:val="16"/>
          <w:b w:val="1"/>
          <w:bCs w:val="1"/>
          <w:color w:val="3B3C43"/>
        </w:rPr>
        <w:t xml:space="preserve"> </w:t>
      </w:r>
      <w:r>
        <w:rPr>
          <w:rFonts w:ascii="Arial" w:cs="Arial" w:eastAsia="Arial" w:hAnsi="Arial"/>
          <w:sz w:val="16"/>
          <w:szCs w:val="16"/>
          <w:color w:val="3B3C43"/>
        </w:rPr>
        <w:t>review all jobs to ensure gender pay equity and monitor them through a full review every three years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209" w:hanging="209"/>
        <w:spacing w:after="0" w:line="266" w:lineRule="auto"/>
        <w:tabs>
          <w:tab w:leader="none" w:pos="198" w:val="left"/>
        </w:tabs>
        <w:numPr>
          <w:ilvl w:val="0"/>
          <w:numId w:val="40"/>
        </w:numPr>
        <w:rPr>
          <w:rFonts w:ascii="Arial" w:cs="Arial" w:eastAsia="Arial" w:hAnsi="Arial"/>
          <w:sz w:val="16"/>
          <w:szCs w:val="16"/>
          <w:color w:val="4B1F68"/>
        </w:rPr>
      </w:pPr>
      <w:r>
        <w:rPr>
          <w:rFonts w:ascii="Arial" w:cs="Arial" w:eastAsia="Arial" w:hAnsi="Arial"/>
          <w:sz w:val="16"/>
          <w:szCs w:val="16"/>
          <w:b w:val="1"/>
          <w:bCs w:val="1"/>
          <w:color w:val="3B3C43"/>
        </w:rPr>
        <w:t>Improve gender balance in the organization, across all functions and levels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208" w:hanging="208"/>
        <w:spacing w:after="0" w:line="286" w:lineRule="auto"/>
        <w:tabs>
          <w:tab w:leader="none" w:pos="197" w:val="left"/>
        </w:tabs>
        <w:numPr>
          <w:ilvl w:val="0"/>
          <w:numId w:val="41"/>
        </w:numPr>
        <w:rPr>
          <w:rFonts w:ascii="Arial" w:cs="Arial" w:eastAsia="Arial" w:hAnsi="Arial"/>
          <w:sz w:val="16"/>
          <w:szCs w:val="16"/>
          <w:color w:val="4B1F68"/>
        </w:rPr>
      </w:pPr>
      <w:r>
        <w:rPr>
          <w:rFonts w:ascii="Arial" w:cs="Arial" w:eastAsia="Arial" w:hAnsi="Arial"/>
          <w:sz w:val="16"/>
          <w:szCs w:val="16"/>
          <w:b w:val="1"/>
          <w:bCs w:val="1"/>
          <w:color w:val="3B3C43"/>
        </w:rPr>
        <w:t xml:space="preserve">Promote women fairly and equally </w:t>
      </w:r>
      <w:r>
        <w:rPr>
          <w:rFonts w:ascii="Arial" w:cs="Arial" w:eastAsia="Arial" w:hAnsi="Arial"/>
          <w:sz w:val="16"/>
          <w:szCs w:val="16"/>
          <w:color w:val="3B3C43"/>
        </w:rPr>
        <w:t>through the career development process</w:t>
      </w:r>
    </w:p>
    <w:p>
      <w:pPr>
        <w:spacing w:after="0" w:line="373" w:lineRule="exact"/>
        <w:rPr>
          <w:sz w:val="20"/>
          <w:szCs w:val="20"/>
          <w:color w:val="auto"/>
        </w:rPr>
      </w:pPr>
    </w:p>
    <w:p>
      <w:pPr>
        <w:sectPr>
          <w:pgSz w:w="11900" w:h="16838" w:orient="portrait"/>
          <w:cols w:equalWidth="0" w:num="3">
            <w:col w:w="4300" w:space="271"/>
            <w:col w:w="3129" w:space="232"/>
            <w:col w:w="3128"/>
          </w:cols>
          <w:pgMar w:left="320" w:top="329" w:right="519" w:bottom="1440" w:gutter="0" w:footer="0" w:header="0"/>
          <w:type w:val="continuous"/>
        </w:sectPr>
      </w:pPr>
    </w:p>
    <w:p>
      <w:pPr>
        <w:spacing w:after="0" w:line="48"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24</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329" w:right="5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Ensure gender pay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134620</wp:posOffset>
            </wp:positionV>
            <wp:extent cx="6249035" cy="1577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4903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3B3C43"/>
        </w:rPr>
        <w:t>In 2018, we reviewed 100% of our Company job functions to ensure pay equity. We identified areas for improvement and completed all necessary salary adjustments in 2019 to ensure fair compensation for all of our employees.</w:t>
      </w:r>
    </w:p>
    <w:p>
      <w:pPr>
        <w:spacing w:after="0" w:line="16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3B3C43"/>
        </w:rPr>
        <w:t>For 2020 and beyond, we will continuously monitor our compensation programs with respect to pay equity. During our annual salary review process, we review average salary adjustments by gender, taking into account performance ranking and salary market competitiveness, in order to identify and address any discrepancies by gender. We perform similar analyses for the annual individual performance payout under the annual cash incentive plan, as well as long-term equity grants. For long-term equity grants, we aim for the gender distribution to reflect the gender distribution in the Company.</w:t>
      </w:r>
    </w:p>
    <w:p>
      <w:pPr>
        <w:spacing w:after="0" w:line="17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B3C43"/>
        </w:rPr>
        <w:t>As part of our commitment to inclusion and diversity, employee well-being, and work-life balance, we announced a Global Parental Leave Policy in 2020 that became effective in 2021. Our core values and Foundational Beliefs support an atmosphere where employees can thrive professionally without sacrificing essential family obligations and well-being. For parents, we recognize and support the need to care for and bond with a newborn or newly adopted child. Through our Global Parental Leave Policy, our aim is that our employees experience an inclusive working environment and feel welcome and comfortable working at TechnipFMC as a parent.</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Guidelines in the Global Parental Leave Policy include minimum levels of caregiver leave for birth/adoption, compensation, benefits and career development during caregiver leave, job protection during leave, working schedule and workplace adaptation, support of breastfeeding mothers, and time off for infant care. The policy is designed with gender equity and same-sex parents in mind and is defined using the terms “primary caregiver” and “secondary caregiver” in lieu of more traditional definitions. We recognize that every family is different and believe that our policies should apply consistently, whoever the primary caregiver is in a given family.</w:t>
      </w:r>
    </w:p>
    <w:p>
      <w:pPr>
        <w:spacing w:after="0" w:line="17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3B3C43"/>
        </w:rPr>
        <w:t>The policy provides global principles aimed at helping the countries design their own local parental leave policies, compliant with local legislation. The policy sets a minimum standard across the Company, and where local guidelines require additional benefits, the local guidelines are implemented.</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25</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Improve gender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134620</wp:posOffset>
            </wp:positionV>
            <wp:extent cx="6111875" cy="1534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187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3B3C43"/>
        </w:rPr>
        <w:t>In 2019, to foster a diverse and inclusive culture, we launched our “Diversity &amp; Inclusion - it Matters!” e-learning module with an aim to raise awareness of our differences and help our employees improve as people and professionals.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B3C43"/>
        </w:rPr>
        <w:t>This e-learning module was added to New Hire Orientation in 2020 to promote our commitment to advancing gender diversity and an inclusive culture where all employees can reach their full potential. We also continued to improve gender balance in 2020 with a focus on increasing the representation of women hired as new graduates. In 2020, 40% of all graduates hired globally were women, surpassing our goal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109220</wp:posOffset>
            </wp:positionV>
            <wp:extent cx="6035040" cy="1491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504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TechnipFMC has developed a culture that is based on the values of trust, mutual respect, and dialogue. In accordance with local legislation, regular meetings with trade union-appointed and/or works council representatives are organized for information and/or consultation. The European Works Council (“</w:t>
      </w:r>
      <w:r>
        <w:rPr>
          <w:rFonts w:ascii="Arial" w:cs="Arial" w:eastAsia="Arial" w:hAnsi="Arial"/>
          <w:sz w:val="16"/>
          <w:szCs w:val="16"/>
          <w:b w:val="1"/>
          <w:bCs w:val="1"/>
          <w:color w:val="3B3C43"/>
        </w:rPr>
        <w:t>EWC</w:t>
      </w:r>
      <w:r>
        <w:rPr>
          <w:rFonts w:ascii="Arial" w:cs="Arial" w:eastAsia="Arial" w:hAnsi="Arial"/>
          <w:sz w:val="16"/>
          <w:szCs w:val="16"/>
          <w:color w:val="3B3C43"/>
        </w:rPr>
        <w:t>”) meets at least twice a year and all of our European entities had joined the EWC by the end of 2019 with the EWC agreement signed by participants’ representatives by the end of 2019. In the first quarter of 2020, the EWC elected its new member and held two meetings in 2020, the first in May and the second in December.</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3B3C43"/>
        </w:rPr>
        <w:t>The Company also fosters Employee Resource Groups (“</w:t>
      </w:r>
      <w:r>
        <w:rPr>
          <w:rFonts w:ascii="Arial" w:cs="Arial" w:eastAsia="Arial" w:hAnsi="Arial"/>
          <w:sz w:val="16"/>
          <w:szCs w:val="16"/>
          <w:b w:val="1"/>
          <w:bCs w:val="1"/>
          <w:color w:val="3B3C43"/>
        </w:rPr>
        <w:t>ERGs</w:t>
      </w:r>
      <w:r>
        <w:rPr>
          <w:rFonts w:ascii="Arial" w:cs="Arial" w:eastAsia="Arial" w:hAnsi="Arial"/>
          <w:sz w:val="16"/>
          <w:szCs w:val="16"/>
          <w:color w:val="3B3C43"/>
        </w:rPr>
        <w:t>”), which are voluntary, employee-led focus groups dedicated to a diverse and inclusive work environment. We currently have seven active ERGs with approximately 1,800 members in the United States, the United Kingdom, and Australia, covering IDEA - Inclusion, Development, and Equality for All; Parents Network; Supporting TechnipFMC to Reach Its Vision of Equity; Black Organization for Leadership &amp; Development; Young Professionals Group; Military Veterans &amp; Friends Network; and Organization of Networking Employees. ERGs discuss and promote topics related to inclusion and diversity, develop and organize events internally and externally, support local initiatives, and propose actions to improve accessibility and inclusivity for all at the workplace. TechnipFMC provides executive support to our ERGs to help strengthen employee relations and improve the well-being of our people.</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26</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3B3C43"/>
        </w:rPr>
        <w:t>In 2020, our Chairman and CEO made the pledge to CEO Action for Diversity and Inclusion™, committing to create a trusting environment where all ideas are welcome and employees feel comfortable and empowered to draw on their unique experiences and backgrounds. CEO Action for Diversity &amp; Inclusion™ is the largest CEO-driven business commitment to advance diversity and inclusion in the workplace.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3B3C43"/>
        </w:rPr>
        <w:t>As of December 31, 2020, TechnipFMC had the following 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121920</wp:posOffset>
            </wp:positionV>
            <wp:extent cx="8890" cy="4972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4972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121920</wp:posOffset>
            </wp:positionV>
            <wp:extent cx="8255" cy="4972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49720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121920</wp:posOffset>
            </wp:positionV>
            <wp:extent cx="8255" cy="4972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49720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121920</wp:posOffset>
            </wp:positionV>
            <wp:extent cx="8890" cy="4972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49720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60" w:type="dxa"/>
            <w:vAlign w:val="bottom"/>
            <w:shd w:val="clear" w:color="auto" w:fill="4A1F67"/>
          </w:tcPr>
          <w:p>
            <w:pPr>
              <w:spacing w:after="0"/>
              <w:rPr>
                <w:sz w:val="21"/>
                <w:szCs w:val="21"/>
                <w:color w:val="auto"/>
              </w:rPr>
            </w:pPr>
          </w:p>
        </w:tc>
        <w:tc>
          <w:tcPr>
            <w:tcW w:w="880" w:type="dxa"/>
            <w:vAlign w:val="bottom"/>
            <w:shd w:val="clear" w:color="auto" w:fill="4A1F67"/>
          </w:tcPr>
          <w:p>
            <w:pPr>
              <w:spacing w:after="0"/>
              <w:rPr>
                <w:sz w:val="21"/>
                <w:szCs w:val="21"/>
                <w:color w:val="auto"/>
              </w:rPr>
            </w:pPr>
          </w:p>
        </w:tc>
        <w:tc>
          <w:tcPr>
            <w:tcW w:w="1000" w:type="dxa"/>
            <w:vAlign w:val="bottom"/>
            <w:shd w:val="clear" w:color="auto" w:fill="4A1F67"/>
          </w:tcPr>
          <w:p>
            <w:pPr>
              <w:jc w:val="right"/>
              <w:ind w:right="99"/>
              <w:spacing w:after="0"/>
              <w:rPr>
                <w:sz w:val="20"/>
                <w:szCs w:val="20"/>
                <w:color w:val="auto"/>
              </w:rPr>
            </w:pPr>
            <w:r>
              <w:rPr>
                <w:rFonts w:ascii="Arial" w:cs="Arial" w:eastAsia="Arial" w:hAnsi="Arial"/>
                <w:sz w:val="16"/>
                <w:szCs w:val="16"/>
                <w:b w:val="1"/>
                <w:bCs w:val="1"/>
                <w:color w:val="FFFFFF"/>
              </w:rPr>
              <w:t>Male</w:t>
            </w:r>
          </w:p>
        </w:tc>
        <w:tc>
          <w:tcPr>
            <w:tcW w:w="700" w:type="dxa"/>
            <w:vAlign w:val="bottom"/>
            <w:shd w:val="clear" w:color="auto" w:fill="4A1F67"/>
          </w:tcPr>
          <w:p>
            <w:pPr>
              <w:spacing w:after="0"/>
              <w:rPr>
                <w:sz w:val="21"/>
                <w:szCs w:val="21"/>
                <w:color w:val="auto"/>
              </w:rPr>
            </w:pPr>
          </w:p>
        </w:tc>
        <w:tc>
          <w:tcPr>
            <w:tcW w:w="1000" w:type="dxa"/>
            <w:vAlign w:val="bottom"/>
            <w:shd w:val="clear" w:color="auto" w:fill="4A1F67"/>
          </w:tcPr>
          <w:p>
            <w:pPr>
              <w:jc w:val="right"/>
              <w:ind w:right="39"/>
              <w:spacing w:after="0"/>
              <w:rPr>
                <w:sz w:val="20"/>
                <w:szCs w:val="20"/>
                <w:color w:val="auto"/>
              </w:rPr>
            </w:pPr>
            <w:r>
              <w:rPr>
                <w:rFonts w:ascii="Arial" w:cs="Arial" w:eastAsia="Arial" w:hAnsi="Arial"/>
                <w:sz w:val="16"/>
                <w:szCs w:val="16"/>
                <w:b w:val="1"/>
                <w:bCs w:val="1"/>
                <w:color w:val="FFFFFF"/>
              </w:rPr>
              <w:t>Female</w:t>
            </w:r>
          </w:p>
        </w:tc>
        <w:tc>
          <w:tcPr>
            <w:tcW w:w="1080" w:type="dxa"/>
            <w:vAlign w:val="bottom"/>
            <w:shd w:val="clear" w:color="auto" w:fill="4A1F67"/>
          </w:tcPr>
          <w:p>
            <w:pPr>
              <w:spacing w:after="0"/>
              <w:rPr>
                <w:sz w:val="21"/>
                <w:szCs w:val="21"/>
                <w:color w:val="auto"/>
              </w:rPr>
            </w:pPr>
          </w:p>
        </w:tc>
        <w:tc>
          <w:tcPr>
            <w:tcW w:w="1000" w:type="dxa"/>
            <w:vAlign w:val="bottom"/>
            <w:shd w:val="clear" w:color="auto" w:fill="4A1F67"/>
          </w:tcPr>
          <w:p>
            <w:pPr>
              <w:spacing w:after="0"/>
              <w:rPr>
                <w:sz w:val="21"/>
                <w:szCs w:val="21"/>
                <w:color w:val="auto"/>
              </w:rPr>
            </w:pPr>
          </w:p>
        </w:tc>
        <w:tc>
          <w:tcPr>
            <w:tcW w:w="1520" w:type="dxa"/>
            <w:vAlign w:val="bottom"/>
            <w:gridSpan w:val="2"/>
            <w:shd w:val="clear" w:color="auto" w:fill="4A1F67"/>
          </w:tcPr>
          <w:p>
            <w:pPr>
              <w:jc w:val="right"/>
              <w:spacing w:after="0"/>
              <w:rPr>
                <w:sz w:val="20"/>
                <w:szCs w:val="20"/>
                <w:color w:val="auto"/>
              </w:rPr>
            </w:pPr>
            <w:r>
              <w:rPr>
                <w:rFonts w:ascii="Arial" w:cs="Arial" w:eastAsia="Arial" w:hAnsi="Arial"/>
                <w:sz w:val="16"/>
                <w:szCs w:val="16"/>
                <w:b w:val="1"/>
                <w:bCs w:val="1"/>
                <w:color w:val="FFFFFF"/>
              </w:rPr>
              <w:t>% of Female</w:t>
            </w:r>
          </w:p>
        </w:tc>
      </w:tr>
      <w:tr>
        <w:trPr>
          <w:trHeight w:val="189"/>
        </w:trPr>
        <w:tc>
          <w:tcPr>
            <w:tcW w:w="4060" w:type="dxa"/>
            <w:vAlign w:val="bottom"/>
            <w:shd w:val="clear" w:color="auto" w:fill="4A1F67"/>
          </w:tcPr>
          <w:p>
            <w:pPr>
              <w:spacing w:after="0"/>
              <w:rPr>
                <w:sz w:val="16"/>
                <w:szCs w:val="16"/>
                <w:color w:val="auto"/>
              </w:rPr>
            </w:pPr>
          </w:p>
        </w:tc>
        <w:tc>
          <w:tcPr>
            <w:tcW w:w="880" w:type="dxa"/>
            <w:vAlign w:val="bottom"/>
            <w:shd w:val="clear" w:color="auto" w:fill="4A1F67"/>
          </w:tcPr>
          <w:p>
            <w:pPr>
              <w:spacing w:after="0"/>
              <w:rPr>
                <w:sz w:val="16"/>
                <w:szCs w:val="16"/>
                <w:color w:val="auto"/>
              </w:rPr>
            </w:pPr>
          </w:p>
        </w:tc>
        <w:tc>
          <w:tcPr>
            <w:tcW w:w="1000" w:type="dxa"/>
            <w:vAlign w:val="bottom"/>
            <w:shd w:val="clear" w:color="auto" w:fill="4A1F67"/>
          </w:tcPr>
          <w:p>
            <w:pPr>
              <w:jc w:val="right"/>
              <w:ind w:right="39"/>
              <w:spacing w:after="0"/>
              <w:rPr>
                <w:sz w:val="20"/>
                <w:szCs w:val="20"/>
                <w:color w:val="auto"/>
              </w:rPr>
            </w:pPr>
            <w:r>
              <w:rPr>
                <w:rFonts w:ascii="Arial" w:cs="Arial" w:eastAsia="Arial" w:hAnsi="Arial"/>
                <w:sz w:val="16"/>
                <w:szCs w:val="16"/>
                <w:b w:val="1"/>
                <w:bCs w:val="1"/>
                <w:color w:val="FFFFFF"/>
              </w:rPr>
              <w:t>Employees</w:t>
            </w:r>
          </w:p>
        </w:tc>
        <w:tc>
          <w:tcPr>
            <w:tcW w:w="700" w:type="dxa"/>
            <w:vAlign w:val="bottom"/>
            <w:shd w:val="clear" w:color="auto" w:fill="4A1F67"/>
          </w:tcPr>
          <w:p>
            <w:pPr>
              <w:spacing w:after="0"/>
              <w:rPr>
                <w:sz w:val="16"/>
                <w:szCs w:val="16"/>
                <w:color w:val="auto"/>
              </w:rPr>
            </w:pPr>
          </w:p>
        </w:tc>
        <w:tc>
          <w:tcPr>
            <w:tcW w:w="1000" w:type="dxa"/>
            <w:vAlign w:val="bottom"/>
            <w:shd w:val="clear" w:color="auto" w:fill="4A1F67"/>
          </w:tcPr>
          <w:p>
            <w:pPr>
              <w:jc w:val="right"/>
              <w:ind w:right="39"/>
              <w:spacing w:after="0"/>
              <w:rPr>
                <w:sz w:val="20"/>
                <w:szCs w:val="20"/>
                <w:color w:val="auto"/>
              </w:rPr>
            </w:pPr>
            <w:r>
              <w:rPr>
                <w:rFonts w:ascii="Arial" w:cs="Arial" w:eastAsia="Arial" w:hAnsi="Arial"/>
                <w:sz w:val="16"/>
                <w:szCs w:val="16"/>
                <w:b w:val="1"/>
                <w:bCs w:val="1"/>
                <w:color w:val="FFFFFF"/>
              </w:rPr>
              <w:t>Employees</w:t>
            </w:r>
          </w:p>
        </w:tc>
        <w:tc>
          <w:tcPr>
            <w:tcW w:w="1080" w:type="dxa"/>
            <w:vAlign w:val="bottom"/>
            <w:shd w:val="clear" w:color="auto" w:fill="4A1F67"/>
          </w:tcPr>
          <w:p>
            <w:pPr>
              <w:spacing w:after="0"/>
              <w:rPr>
                <w:sz w:val="16"/>
                <w:szCs w:val="16"/>
                <w:color w:val="auto"/>
              </w:rPr>
            </w:pPr>
          </w:p>
        </w:tc>
        <w:tc>
          <w:tcPr>
            <w:tcW w:w="1000" w:type="dxa"/>
            <w:vAlign w:val="bottom"/>
            <w:shd w:val="clear" w:color="auto" w:fill="4A1F67"/>
          </w:tcPr>
          <w:p>
            <w:pPr>
              <w:jc w:val="right"/>
              <w:ind w:right="239"/>
              <w:spacing w:after="0"/>
              <w:rPr>
                <w:sz w:val="20"/>
                <w:szCs w:val="20"/>
                <w:color w:val="auto"/>
              </w:rPr>
            </w:pPr>
            <w:r>
              <w:rPr>
                <w:rFonts w:ascii="Arial" w:cs="Arial" w:eastAsia="Arial" w:hAnsi="Arial"/>
                <w:sz w:val="16"/>
                <w:szCs w:val="16"/>
                <w:b w:val="1"/>
                <w:bCs w:val="1"/>
                <w:color w:val="FFFFFF"/>
              </w:rPr>
              <w:t>Total</w:t>
            </w:r>
          </w:p>
        </w:tc>
        <w:tc>
          <w:tcPr>
            <w:tcW w:w="1520" w:type="dxa"/>
            <w:vAlign w:val="bottom"/>
            <w:gridSpan w:val="2"/>
            <w:shd w:val="clear" w:color="auto" w:fill="4A1F67"/>
          </w:tcPr>
          <w:p>
            <w:pPr>
              <w:jc w:val="right"/>
              <w:spacing w:after="0"/>
              <w:rPr>
                <w:sz w:val="20"/>
                <w:szCs w:val="20"/>
                <w:color w:val="auto"/>
              </w:rPr>
            </w:pPr>
            <w:r>
              <w:rPr>
                <w:rFonts w:ascii="Arial" w:cs="Arial" w:eastAsia="Arial" w:hAnsi="Arial"/>
                <w:sz w:val="16"/>
                <w:szCs w:val="16"/>
                <w:b w:val="1"/>
                <w:bCs w:val="1"/>
                <w:color w:val="FFFFFF"/>
              </w:rPr>
              <w:t>Employees</w:t>
            </w:r>
          </w:p>
        </w:tc>
      </w:tr>
      <w:tr>
        <w:trPr>
          <w:trHeight w:val="331"/>
        </w:trPr>
        <w:tc>
          <w:tcPr>
            <w:tcW w:w="4060" w:type="dxa"/>
            <w:vAlign w:val="bottom"/>
            <w:tcBorders>
              <w:bottom w:val="single" w:sz="8" w:color="4A1F67"/>
            </w:tcBorders>
            <w:shd w:val="clear" w:color="auto" w:fill="4A1F67"/>
          </w:tcPr>
          <w:p>
            <w:pPr>
              <w:spacing w:after="0"/>
              <w:rPr>
                <w:sz w:val="24"/>
                <w:szCs w:val="24"/>
                <w:color w:val="auto"/>
              </w:rPr>
            </w:pPr>
          </w:p>
        </w:tc>
        <w:tc>
          <w:tcPr>
            <w:tcW w:w="88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6"/>
                <w:szCs w:val="16"/>
                <w:b w:val="1"/>
                <w:bCs w:val="1"/>
                <w:color w:val="FFFFFF"/>
              </w:rPr>
              <w:t>2019</w:t>
            </w:r>
          </w:p>
        </w:tc>
        <w:tc>
          <w:tcPr>
            <w:tcW w:w="1000" w:type="dxa"/>
            <w:vAlign w:val="bottom"/>
            <w:tcBorders>
              <w:bottom w:val="single" w:sz="8" w:color="4A1F67"/>
            </w:tcBorders>
            <w:shd w:val="clear" w:color="auto" w:fill="4A1F67"/>
          </w:tcPr>
          <w:p>
            <w:pPr>
              <w:jc w:val="right"/>
              <w:ind w:right="39"/>
              <w:spacing w:after="0"/>
              <w:rPr>
                <w:sz w:val="20"/>
                <w:szCs w:val="20"/>
                <w:color w:val="auto"/>
              </w:rPr>
            </w:pPr>
            <w:r>
              <w:rPr>
                <w:rFonts w:ascii="Arial" w:cs="Arial" w:eastAsia="Arial" w:hAnsi="Arial"/>
                <w:sz w:val="16"/>
                <w:szCs w:val="16"/>
                <w:b w:val="1"/>
                <w:bCs w:val="1"/>
                <w:color w:val="FFFFFF"/>
              </w:rPr>
              <w:t>2020</w:t>
            </w:r>
          </w:p>
        </w:tc>
        <w:tc>
          <w:tcPr>
            <w:tcW w:w="70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6"/>
                <w:szCs w:val="16"/>
                <w:b w:val="1"/>
                <w:bCs w:val="1"/>
                <w:color w:val="FFFFFF"/>
              </w:rPr>
              <w:t>2019</w:t>
            </w:r>
          </w:p>
        </w:tc>
        <w:tc>
          <w:tcPr>
            <w:tcW w:w="1000" w:type="dxa"/>
            <w:vAlign w:val="bottom"/>
            <w:tcBorders>
              <w:bottom w:val="single" w:sz="8" w:color="4A1F67"/>
            </w:tcBorders>
            <w:shd w:val="clear" w:color="auto" w:fill="4A1F67"/>
          </w:tcPr>
          <w:p>
            <w:pPr>
              <w:jc w:val="right"/>
              <w:ind w:right="39"/>
              <w:spacing w:after="0"/>
              <w:rPr>
                <w:sz w:val="20"/>
                <w:szCs w:val="20"/>
                <w:color w:val="auto"/>
              </w:rPr>
            </w:pPr>
            <w:r>
              <w:rPr>
                <w:rFonts w:ascii="Arial" w:cs="Arial" w:eastAsia="Arial" w:hAnsi="Arial"/>
                <w:sz w:val="16"/>
                <w:szCs w:val="16"/>
                <w:b w:val="1"/>
                <w:bCs w:val="1"/>
                <w:color w:val="FFFFFF"/>
              </w:rPr>
              <w:t>2020</w:t>
            </w:r>
          </w:p>
        </w:tc>
        <w:tc>
          <w:tcPr>
            <w:tcW w:w="1080" w:type="dxa"/>
            <w:vAlign w:val="bottom"/>
            <w:tcBorders>
              <w:bottom w:val="single" w:sz="8" w:color="4A1F67"/>
            </w:tcBorders>
            <w:shd w:val="clear" w:color="auto" w:fill="4A1F67"/>
          </w:tcPr>
          <w:p>
            <w:pPr>
              <w:jc w:val="right"/>
              <w:ind w:right="119"/>
              <w:spacing w:after="0"/>
              <w:rPr>
                <w:sz w:val="20"/>
                <w:szCs w:val="20"/>
                <w:color w:val="auto"/>
              </w:rPr>
            </w:pPr>
            <w:r>
              <w:rPr>
                <w:rFonts w:ascii="Arial" w:cs="Arial" w:eastAsia="Arial" w:hAnsi="Arial"/>
                <w:sz w:val="16"/>
                <w:szCs w:val="16"/>
                <w:b w:val="1"/>
                <w:bCs w:val="1"/>
                <w:color w:val="FFFFFF"/>
              </w:rPr>
              <w:t>2019</w:t>
            </w:r>
          </w:p>
        </w:tc>
        <w:tc>
          <w:tcPr>
            <w:tcW w:w="1000" w:type="dxa"/>
            <w:vAlign w:val="bottom"/>
            <w:tcBorders>
              <w:bottom w:val="single" w:sz="8" w:color="4A1F67"/>
            </w:tcBorders>
            <w:shd w:val="clear" w:color="auto" w:fill="4A1F67"/>
          </w:tcPr>
          <w:p>
            <w:pPr>
              <w:jc w:val="right"/>
              <w:ind w:right="239"/>
              <w:spacing w:after="0"/>
              <w:rPr>
                <w:sz w:val="20"/>
                <w:szCs w:val="20"/>
                <w:color w:val="auto"/>
              </w:rPr>
            </w:pPr>
            <w:r>
              <w:rPr>
                <w:rFonts w:ascii="Arial" w:cs="Arial" w:eastAsia="Arial" w:hAnsi="Arial"/>
                <w:sz w:val="16"/>
                <w:szCs w:val="16"/>
                <w:b w:val="1"/>
                <w:bCs w:val="1"/>
                <w:color w:val="FFFFFF"/>
              </w:rPr>
              <w:t>2020</w:t>
            </w:r>
          </w:p>
        </w:tc>
        <w:tc>
          <w:tcPr>
            <w:tcW w:w="900" w:type="dxa"/>
            <w:vAlign w:val="bottom"/>
            <w:tcBorders>
              <w:bottom w:val="single" w:sz="8" w:color="4A1F67"/>
            </w:tcBorders>
            <w:shd w:val="clear" w:color="auto" w:fill="4A1F67"/>
          </w:tcPr>
          <w:p>
            <w:pPr>
              <w:jc w:val="right"/>
              <w:ind w:right="139"/>
              <w:spacing w:after="0"/>
              <w:rPr>
                <w:sz w:val="20"/>
                <w:szCs w:val="20"/>
                <w:color w:val="auto"/>
              </w:rPr>
            </w:pPr>
            <w:r>
              <w:rPr>
                <w:rFonts w:ascii="Arial" w:cs="Arial" w:eastAsia="Arial" w:hAnsi="Arial"/>
                <w:sz w:val="16"/>
                <w:szCs w:val="16"/>
                <w:b w:val="1"/>
                <w:bCs w:val="1"/>
                <w:color w:val="FFFFFF"/>
              </w:rPr>
              <w:t>2019</w:t>
            </w:r>
          </w:p>
        </w:tc>
        <w:tc>
          <w:tcPr>
            <w:tcW w:w="62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6"/>
                <w:szCs w:val="16"/>
                <w:b w:val="1"/>
                <w:bCs w:val="1"/>
                <w:color w:val="FFFFFF"/>
              </w:rPr>
              <w:t>2020</w:t>
            </w:r>
          </w:p>
        </w:tc>
      </w:tr>
      <w:tr>
        <w:trPr>
          <w:trHeight w:val="251"/>
        </w:trPr>
        <w:tc>
          <w:tcPr>
            <w:tcW w:w="4060" w:type="dxa"/>
            <w:vAlign w:val="bottom"/>
          </w:tcPr>
          <w:p>
            <w:pPr>
              <w:ind w:left="60"/>
              <w:spacing w:after="0"/>
              <w:rPr>
                <w:sz w:val="20"/>
                <w:szCs w:val="20"/>
                <w:color w:val="auto"/>
              </w:rPr>
            </w:pPr>
            <w:r>
              <w:rPr>
                <w:rFonts w:ascii="Arial" w:cs="Arial" w:eastAsia="Arial" w:hAnsi="Arial"/>
                <w:sz w:val="16"/>
                <w:szCs w:val="16"/>
                <w:color w:val="3B3C43"/>
              </w:rPr>
              <w:t>Executive officers</w:t>
            </w:r>
          </w:p>
        </w:tc>
        <w:tc>
          <w:tcPr>
            <w:tcW w:w="880" w:type="dxa"/>
            <w:vAlign w:val="bottom"/>
          </w:tcPr>
          <w:p>
            <w:pPr>
              <w:jc w:val="right"/>
              <w:spacing w:after="0"/>
              <w:rPr>
                <w:sz w:val="20"/>
                <w:szCs w:val="20"/>
                <w:color w:val="auto"/>
              </w:rPr>
            </w:pPr>
            <w:r>
              <w:rPr>
                <w:rFonts w:ascii="Arial" w:cs="Arial" w:eastAsia="Arial" w:hAnsi="Arial"/>
                <w:sz w:val="16"/>
                <w:szCs w:val="16"/>
                <w:color w:val="3B3C43"/>
              </w:rPr>
              <w:t>7</w:t>
            </w:r>
          </w:p>
        </w:tc>
        <w:tc>
          <w:tcPr>
            <w:tcW w:w="1000" w:type="dxa"/>
            <w:vAlign w:val="bottom"/>
          </w:tcPr>
          <w:p>
            <w:pPr>
              <w:jc w:val="right"/>
              <w:ind w:right="39"/>
              <w:spacing w:after="0"/>
              <w:rPr>
                <w:sz w:val="20"/>
                <w:szCs w:val="20"/>
                <w:color w:val="auto"/>
              </w:rPr>
            </w:pPr>
            <w:r>
              <w:rPr>
                <w:rFonts w:ascii="Arial" w:cs="Arial" w:eastAsia="Arial" w:hAnsi="Arial"/>
                <w:sz w:val="16"/>
                <w:szCs w:val="16"/>
                <w:color w:val="3B3C43"/>
              </w:rPr>
              <w:t>5</w:t>
            </w:r>
          </w:p>
        </w:tc>
        <w:tc>
          <w:tcPr>
            <w:tcW w:w="700" w:type="dxa"/>
            <w:vAlign w:val="bottom"/>
          </w:tcPr>
          <w:p>
            <w:pPr>
              <w:jc w:val="right"/>
              <w:spacing w:after="0"/>
              <w:rPr>
                <w:sz w:val="20"/>
                <w:szCs w:val="20"/>
                <w:color w:val="auto"/>
              </w:rPr>
            </w:pPr>
            <w:r>
              <w:rPr>
                <w:rFonts w:ascii="Arial" w:cs="Arial" w:eastAsia="Arial" w:hAnsi="Arial"/>
                <w:sz w:val="16"/>
                <w:szCs w:val="16"/>
                <w:color w:val="3B3C43"/>
              </w:rPr>
              <w:t>4</w:t>
            </w:r>
          </w:p>
        </w:tc>
        <w:tc>
          <w:tcPr>
            <w:tcW w:w="1000" w:type="dxa"/>
            <w:vAlign w:val="bottom"/>
          </w:tcPr>
          <w:p>
            <w:pPr>
              <w:jc w:val="right"/>
              <w:ind w:right="39"/>
              <w:spacing w:after="0"/>
              <w:rPr>
                <w:sz w:val="20"/>
                <w:szCs w:val="20"/>
                <w:color w:val="auto"/>
              </w:rPr>
            </w:pPr>
            <w:r>
              <w:rPr>
                <w:rFonts w:ascii="Arial" w:cs="Arial" w:eastAsia="Arial" w:hAnsi="Arial"/>
                <w:sz w:val="16"/>
                <w:szCs w:val="16"/>
                <w:color w:val="3B3C43"/>
              </w:rPr>
              <w:t>3</w:t>
            </w:r>
          </w:p>
        </w:tc>
        <w:tc>
          <w:tcPr>
            <w:tcW w:w="1080" w:type="dxa"/>
            <w:vAlign w:val="bottom"/>
          </w:tcPr>
          <w:p>
            <w:pPr>
              <w:jc w:val="right"/>
              <w:ind w:right="119"/>
              <w:spacing w:after="0"/>
              <w:rPr>
                <w:sz w:val="20"/>
                <w:szCs w:val="20"/>
                <w:color w:val="auto"/>
              </w:rPr>
            </w:pPr>
            <w:r>
              <w:rPr>
                <w:rFonts w:ascii="Arial" w:cs="Arial" w:eastAsia="Arial" w:hAnsi="Arial"/>
                <w:sz w:val="16"/>
                <w:szCs w:val="16"/>
                <w:color w:val="3B3C43"/>
              </w:rPr>
              <w:t>11</w:t>
            </w:r>
          </w:p>
        </w:tc>
        <w:tc>
          <w:tcPr>
            <w:tcW w:w="1000" w:type="dxa"/>
            <w:vAlign w:val="bottom"/>
          </w:tcPr>
          <w:p>
            <w:pPr>
              <w:jc w:val="right"/>
              <w:ind w:right="239"/>
              <w:spacing w:after="0"/>
              <w:rPr>
                <w:sz w:val="20"/>
                <w:szCs w:val="20"/>
                <w:color w:val="auto"/>
              </w:rPr>
            </w:pPr>
            <w:r>
              <w:rPr>
                <w:rFonts w:ascii="Arial" w:cs="Arial" w:eastAsia="Arial" w:hAnsi="Arial"/>
                <w:sz w:val="16"/>
                <w:szCs w:val="16"/>
                <w:color w:val="3B3C43"/>
              </w:rPr>
              <w:t>8</w:t>
            </w:r>
          </w:p>
        </w:tc>
        <w:tc>
          <w:tcPr>
            <w:tcW w:w="900" w:type="dxa"/>
            <w:vAlign w:val="bottom"/>
          </w:tcPr>
          <w:p>
            <w:pPr>
              <w:jc w:val="right"/>
              <w:ind w:right="139"/>
              <w:spacing w:after="0"/>
              <w:rPr>
                <w:sz w:val="20"/>
                <w:szCs w:val="20"/>
                <w:color w:val="auto"/>
              </w:rPr>
            </w:pPr>
            <w:r>
              <w:rPr>
                <w:rFonts w:ascii="Arial" w:cs="Arial" w:eastAsia="Arial" w:hAnsi="Arial"/>
                <w:sz w:val="16"/>
                <w:szCs w:val="16"/>
                <w:color w:val="3B3C43"/>
              </w:rPr>
              <w:t>36%</w:t>
            </w:r>
          </w:p>
        </w:tc>
        <w:tc>
          <w:tcPr>
            <w:tcW w:w="620" w:type="dxa"/>
            <w:vAlign w:val="bottom"/>
          </w:tcPr>
          <w:p>
            <w:pPr>
              <w:jc w:val="right"/>
              <w:spacing w:after="0"/>
              <w:rPr>
                <w:sz w:val="20"/>
                <w:szCs w:val="20"/>
                <w:color w:val="auto"/>
              </w:rPr>
            </w:pPr>
            <w:r>
              <w:rPr>
                <w:rFonts w:ascii="Arial" w:cs="Arial" w:eastAsia="Arial" w:hAnsi="Arial"/>
                <w:sz w:val="16"/>
                <w:szCs w:val="16"/>
                <w:color w:val="3B3C43"/>
              </w:rPr>
              <w:t>38%</w:t>
            </w:r>
          </w:p>
        </w:tc>
      </w:tr>
      <w:tr>
        <w:trPr>
          <w:trHeight w:val="46"/>
        </w:trPr>
        <w:tc>
          <w:tcPr>
            <w:tcW w:w="4060" w:type="dxa"/>
            <w:vAlign w:val="bottom"/>
            <w:tcBorders>
              <w:bottom w:val="single" w:sz="8" w:color="E1E2E0"/>
            </w:tcBorders>
          </w:tcPr>
          <w:p>
            <w:pPr>
              <w:spacing w:after="0"/>
              <w:rPr>
                <w:sz w:val="4"/>
                <w:szCs w:val="4"/>
                <w:color w:val="auto"/>
              </w:rPr>
            </w:pPr>
          </w:p>
        </w:tc>
        <w:tc>
          <w:tcPr>
            <w:tcW w:w="880" w:type="dxa"/>
            <w:vAlign w:val="bottom"/>
            <w:tcBorders>
              <w:bottom w:val="single" w:sz="8" w:color="E1E2E0"/>
            </w:tcBorders>
          </w:tcPr>
          <w:p>
            <w:pPr>
              <w:spacing w:after="0"/>
              <w:rPr>
                <w:sz w:val="4"/>
                <w:szCs w:val="4"/>
                <w:color w:val="auto"/>
              </w:rPr>
            </w:pPr>
          </w:p>
        </w:tc>
        <w:tc>
          <w:tcPr>
            <w:tcW w:w="1000" w:type="dxa"/>
            <w:vAlign w:val="bottom"/>
            <w:tcBorders>
              <w:bottom w:val="single" w:sz="8" w:color="E1E2E0"/>
            </w:tcBorders>
          </w:tcPr>
          <w:p>
            <w:pPr>
              <w:spacing w:after="0"/>
              <w:rPr>
                <w:sz w:val="4"/>
                <w:szCs w:val="4"/>
                <w:color w:val="auto"/>
              </w:rPr>
            </w:pPr>
          </w:p>
        </w:tc>
        <w:tc>
          <w:tcPr>
            <w:tcW w:w="7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tcBorders>
          </w:tcPr>
          <w:p>
            <w:pPr>
              <w:spacing w:after="0"/>
              <w:rPr>
                <w:sz w:val="4"/>
                <w:szCs w:val="4"/>
                <w:color w:val="auto"/>
              </w:rPr>
            </w:pPr>
          </w:p>
        </w:tc>
        <w:tc>
          <w:tcPr>
            <w:tcW w:w="1080" w:type="dxa"/>
            <w:vAlign w:val="bottom"/>
            <w:tcBorders>
              <w:bottom w:val="single" w:sz="8" w:color="E1E2E0"/>
            </w:tcBorders>
          </w:tcPr>
          <w:p>
            <w:pPr>
              <w:spacing w:after="0"/>
              <w:rPr>
                <w:sz w:val="4"/>
                <w:szCs w:val="4"/>
                <w:color w:val="auto"/>
              </w:rPr>
            </w:pPr>
          </w:p>
        </w:tc>
        <w:tc>
          <w:tcPr>
            <w:tcW w:w="100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620" w:type="dxa"/>
            <w:vAlign w:val="bottom"/>
            <w:tcBorders>
              <w:bottom w:val="single" w:sz="8" w:color="E1E2E0"/>
            </w:tcBorders>
          </w:tcPr>
          <w:p>
            <w:pPr>
              <w:spacing w:after="0"/>
              <w:rPr>
                <w:sz w:val="4"/>
                <w:szCs w:val="4"/>
                <w:color w:val="auto"/>
              </w:rPr>
            </w:pPr>
          </w:p>
        </w:tc>
      </w:tr>
      <w:tr>
        <w:trPr>
          <w:trHeight w:val="244"/>
        </w:trPr>
        <w:tc>
          <w:tcPr>
            <w:tcW w:w="4060" w:type="dxa"/>
            <w:vAlign w:val="bottom"/>
          </w:tcPr>
          <w:p>
            <w:pPr>
              <w:ind w:left="60"/>
              <w:spacing w:after="0"/>
              <w:rPr>
                <w:sz w:val="20"/>
                <w:szCs w:val="20"/>
                <w:color w:val="auto"/>
              </w:rPr>
            </w:pPr>
            <w:r>
              <w:rPr>
                <w:rFonts w:ascii="Arial" w:cs="Arial" w:eastAsia="Arial" w:hAnsi="Arial"/>
                <w:sz w:val="16"/>
                <w:szCs w:val="16"/>
                <w:color w:val="3B3C43"/>
              </w:rPr>
              <w:t>Senior managers</w:t>
            </w:r>
          </w:p>
        </w:tc>
        <w:tc>
          <w:tcPr>
            <w:tcW w:w="880" w:type="dxa"/>
            <w:vAlign w:val="bottom"/>
          </w:tcPr>
          <w:p>
            <w:pPr>
              <w:jc w:val="right"/>
              <w:spacing w:after="0"/>
              <w:rPr>
                <w:sz w:val="20"/>
                <w:szCs w:val="20"/>
                <w:color w:val="auto"/>
              </w:rPr>
            </w:pPr>
            <w:r>
              <w:rPr>
                <w:rFonts w:ascii="Arial" w:cs="Arial" w:eastAsia="Arial" w:hAnsi="Arial"/>
                <w:sz w:val="16"/>
                <w:szCs w:val="16"/>
                <w:color w:val="3B3C43"/>
              </w:rPr>
              <w:t>84</w:t>
            </w:r>
          </w:p>
        </w:tc>
        <w:tc>
          <w:tcPr>
            <w:tcW w:w="1000" w:type="dxa"/>
            <w:vAlign w:val="bottom"/>
          </w:tcPr>
          <w:p>
            <w:pPr>
              <w:jc w:val="right"/>
              <w:ind w:right="39"/>
              <w:spacing w:after="0"/>
              <w:rPr>
                <w:sz w:val="20"/>
                <w:szCs w:val="20"/>
                <w:color w:val="auto"/>
              </w:rPr>
            </w:pPr>
            <w:r>
              <w:rPr>
                <w:rFonts w:ascii="Arial" w:cs="Arial" w:eastAsia="Arial" w:hAnsi="Arial"/>
                <w:sz w:val="16"/>
                <w:szCs w:val="16"/>
                <w:color w:val="3B3C43"/>
              </w:rPr>
              <w:t>92</w:t>
            </w:r>
          </w:p>
        </w:tc>
        <w:tc>
          <w:tcPr>
            <w:tcW w:w="700" w:type="dxa"/>
            <w:vAlign w:val="bottom"/>
          </w:tcPr>
          <w:p>
            <w:pPr>
              <w:jc w:val="right"/>
              <w:spacing w:after="0"/>
              <w:rPr>
                <w:sz w:val="20"/>
                <w:szCs w:val="20"/>
                <w:color w:val="auto"/>
              </w:rPr>
            </w:pPr>
            <w:r>
              <w:rPr>
                <w:rFonts w:ascii="Arial" w:cs="Arial" w:eastAsia="Arial" w:hAnsi="Arial"/>
                <w:sz w:val="16"/>
                <w:szCs w:val="16"/>
                <w:color w:val="3B3C43"/>
              </w:rPr>
              <w:t>24</w:t>
            </w:r>
          </w:p>
        </w:tc>
        <w:tc>
          <w:tcPr>
            <w:tcW w:w="1000" w:type="dxa"/>
            <w:vAlign w:val="bottom"/>
          </w:tcPr>
          <w:p>
            <w:pPr>
              <w:jc w:val="right"/>
              <w:ind w:right="39"/>
              <w:spacing w:after="0"/>
              <w:rPr>
                <w:sz w:val="20"/>
                <w:szCs w:val="20"/>
                <w:color w:val="auto"/>
              </w:rPr>
            </w:pPr>
            <w:r>
              <w:rPr>
                <w:rFonts w:ascii="Arial" w:cs="Arial" w:eastAsia="Arial" w:hAnsi="Arial"/>
                <w:sz w:val="16"/>
                <w:szCs w:val="16"/>
                <w:color w:val="3B3C43"/>
              </w:rPr>
              <w:t>19</w:t>
            </w:r>
          </w:p>
        </w:tc>
        <w:tc>
          <w:tcPr>
            <w:tcW w:w="1080" w:type="dxa"/>
            <w:vAlign w:val="bottom"/>
          </w:tcPr>
          <w:p>
            <w:pPr>
              <w:jc w:val="right"/>
              <w:ind w:right="119"/>
              <w:spacing w:after="0"/>
              <w:rPr>
                <w:sz w:val="20"/>
                <w:szCs w:val="20"/>
                <w:color w:val="auto"/>
              </w:rPr>
            </w:pPr>
            <w:r>
              <w:rPr>
                <w:rFonts w:ascii="Arial" w:cs="Arial" w:eastAsia="Arial" w:hAnsi="Arial"/>
                <w:sz w:val="16"/>
                <w:szCs w:val="16"/>
                <w:color w:val="3B3C43"/>
              </w:rPr>
              <w:t>108</w:t>
            </w:r>
          </w:p>
        </w:tc>
        <w:tc>
          <w:tcPr>
            <w:tcW w:w="1000" w:type="dxa"/>
            <w:vAlign w:val="bottom"/>
          </w:tcPr>
          <w:p>
            <w:pPr>
              <w:jc w:val="right"/>
              <w:ind w:right="239"/>
              <w:spacing w:after="0"/>
              <w:rPr>
                <w:sz w:val="20"/>
                <w:szCs w:val="20"/>
                <w:color w:val="auto"/>
              </w:rPr>
            </w:pPr>
            <w:r>
              <w:rPr>
                <w:rFonts w:ascii="Arial" w:cs="Arial" w:eastAsia="Arial" w:hAnsi="Arial"/>
                <w:sz w:val="16"/>
                <w:szCs w:val="16"/>
                <w:color w:val="3B3C43"/>
              </w:rPr>
              <w:t>111</w:t>
            </w:r>
          </w:p>
        </w:tc>
        <w:tc>
          <w:tcPr>
            <w:tcW w:w="900" w:type="dxa"/>
            <w:vAlign w:val="bottom"/>
          </w:tcPr>
          <w:p>
            <w:pPr>
              <w:jc w:val="right"/>
              <w:ind w:right="139"/>
              <w:spacing w:after="0"/>
              <w:rPr>
                <w:sz w:val="20"/>
                <w:szCs w:val="20"/>
                <w:color w:val="auto"/>
              </w:rPr>
            </w:pPr>
            <w:r>
              <w:rPr>
                <w:rFonts w:ascii="Arial" w:cs="Arial" w:eastAsia="Arial" w:hAnsi="Arial"/>
                <w:sz w:val="16"/>
                <w:szCs w:val="16"/>
                <w:color w:val="3B3C43"/>
              </w:rPr>
              <w:t>22%</w:t>
            </w:r>
          </w:p>
        </w:tc>
        <w:tc>
          <w:tcPr>
            <w:tcW w:w="620" w:type="dxa"/>
            <w:vAlign w:val="bottom"/>
          </w:tcPr>
          <w:p>
            <w:pPr>
              <w:jc w:val="right"/>
              <w:spacing w:after="0"/>
              <w:rPr>
                <w:sz w:val="20"/>
                <w:szCs w:val="20"/>
                <w:color w:val="auto"/>
              </w:rPr>
            </w:pPr>
            <w:r>
              <w:rPr>
                <w:rFonts w:ascii="Arial" w:cs="Arial" w:eastAsia="Arial" w:hAnsi="Arial"/>
                <w:sz w:val="16"/>
                <w:szCs w:val="16"/>
                <w:color w:val="3B3C43"/>
              </w:rPr>
              <w:t>19%</w:t>
            </w:r>
          </w:p>
        </w:tc>
      </w:tr>
      <w:tr>
        <w:trPr>
          <w:trHeight w:val="47"/>
        </w:trPr>
        <w:tc>
          <w:tcPr>
            <w:tcW w:w="4060" w:type="dxa"/>
            <w:vAlign w:val="bottom"/>
            <w:tcBorders>
              <w:bottom w:val="single" w:sz="8" w:color="E1E2E0"/>
            </w:tcBorders>
          </w:tcPr>
          <w:p>
            <w:pPr>
              <w:spacing w:after="0"/>
              <w:rPr>
                <w:sz w:val="4"/>
                <w:szCs w:val="4"/>
                <w:color w:val="auto"/>
              </w:rPr>
            </w:pPr>
          </w:p>
        </w:tc>
        <w:tc>
          <w:tcPr>
            <w:tcW w:w="880" w:type="dxa"/>
            <w:vAlign w:val="bottom"/>
            <w:tcBorders>
              <w:bottom w:val="single" w:sz="8" w:color="E1E2E0"/>
            </w:tcBorders>
          </w:tcPr>
          <w:p>
            <w:pPr>
              <w:spacing w:after="0"/>
              <w:rPr>
                <w:sz w:val="4"/>
                <w:szCs w:val="4"/>
                <w:color w:val="auto"/>
              </w:rPr>
            </w:pPr>
          </w:p>
        </w:tc>
        <w:tc>
          <w:tcPr>
            <w:tcW w:w="1000" w:type="dxa"/>
            <w:vAlign w:val="bottom"/>
            <w:tcBorders>
              <w:bottom w:val="single" w:sz="8" w:color="E1E2E0"/>
            </w:tcBorders>
          </w:tcPr>
          <w:p>
            <w:pPr>
              <w:spacing w:after="0"/>
              <w:rPr>
                <w:sz w:val="4"/>
                <w:szCs w:val="4"/>
                <w:color w:val="auto"/>
              </w:rPr>
            </w:pPr>
          </w:p>
        </w:tc>
        <w:tc>
          <w:tcPr>
            <w:tcW w:w="7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tcBorders>
          </w:tcPr>
          <w:p>
            <w:pPr>
              <w:spacing w:after="0"/>
              <w:rPr>
                <w:sz w:val="4"/>
                <w:szCs w:val="4"/>
                <w:color w:val="auto"/>
              </w:rPr>
            </w:pPr>
          </w:p>
        </w:tc>
        <w:tc>
          <w:tcPr>
            <w:tcW w:w="1080" w:type="dxa"/>
            <w:vAlign w:val="bottom"/>
            <w:tcBorders>
              <w:bottom w:val="single" w:sz="8" w:color="E1E2E0"/>
            </w:tcBorders>
          </w:tcPr>
          <w:p>
            <w:pPr>
              <w:spacing w:after="0"/>
              <w:rPr>
                <w:sz w:val="4"/>
                <w:szCs w:val="4"/>
                <w:color w:val="auto"/>
              </w:rPr>
            </w:pPr>
          </w:p>
        </w:tc>
        <w:tc>
          <w:tcPr>
            <w:tcW w:w="100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620" w:type="dxa"/>
            <w:vAlign w:val="bottom"/>
            <w:tcBorders>
              <w:bottom w:val="single" w:sz="8" w:color="E1E2E0"/>
            </w:tcBorders>
          </w:tcPr>
          <w:p>
            <w:pPr>
              <w:spacing w:after="0"/>
              <w:rPr>
                <w:sz w:val="4"/>
                <w:szCs w:val="4"/>
                <w:color w:val="auto"/>
              </w:rPr>
            </w:pPr>
          </w:p>
        </w:tc>
      </w:tr>
      <w:tr>
        <w:trPr>
          <w:trHeight w:val="244"/>
        </w:trPr>
        <w:tc>
          <w:tcPr>
            <w:tcW w:w="4060" w:type="dxa"/>
            <w:vAlign w:val="bottom"/>
          </w:tcPr>
          <w:p>
            <w:pPr>
              <w:ind w:left="60"/>
              <w:spacing w:after="0"/>
              <w:rPr>
                <w:sz w:val="20"/>
                <w:szCs w:val="20"/>
                <w:color w:val="auto"/>
              </w:rPr>
            </w:pPr>
            <w:r>
              <w:rPr>
                <w:rFonts w:ascii="Arial" w:cs="Arial" w:eastAsia="Arial" w:hAnsi="Arial"/>
                <w:sz w:val="16"/>
                <w:szCs w:val="16"/>
                <w:color w:val="3B3C43"/>
              </w:rPr>
              <w:t>Employees on payroll (overall)</w:t>
            </w:r>
          </w:p>
        </w:tc>
        <w:tc>
          <w:tcPr>
            <w:tcW w:w="880" w:type="dxa"/>
            <w:vAlign w:val="bottom"/>
          </w:tcPr>
          <w:p>
            <w:pPr>
              <w:jc w:val="right"/>
              <w:spacing w:after="0"/>
              <w:rPr>
                <w:sz w:val="20"/>
                <w:szCs w:val="20"/>
                <w:color w:val="auto"/>
              </w:rPr>
            </w:pPr>
            <w:r>
              <w:rPr>
                <w:rFonts w:ascii="Arial" w:cs="Arial" w:eastAsia="Arial" w:hAnsi="Arial"/>
                <w:sz w:val="16"/>
                <w:szCs w:val="16"/>
                <w:color w:val="3B3C43"/>
              </w:rPr>
              <w:t>28,760</w:t>
            </w:r>
          </w:p>
        </w:tc>
        <w:tc>
          <w:tcPr>
            <w:tcW w:w="1000" w:type="dxa"/>
            <w:vAlign w:val="bottom"/>
          </w:tcPr>
          <w:p>
            <w:pPr>
              <w:jc w:val="right"/>
              <w:ind w:right="39"/>
              <w:spacing w:after="0"/>
              <w:rPr>
                <w:sz w:val="20"/>
                <w:szCs w:val="20"/>
                <w:color w:val="auto"/>
              </w:rPr>
            </w:pPr>
            <w:r>
              <w:rPr>
                <w:rFonts w:ascii="Arial" w:cs="Arial" w:eastAsia="Arial" w:hAnsi="Arial"/>
                <w:sz w:val="16"/>
                <w:szCs w:val="16"/>
                <w:color w:val="3B3C43"/>
              </w:rPr>
              <w:t>26,948</w:t>
            </w:r>
          </w:p>
        </w:tc>
        <w:tc>
          <w:tcPr>
            <w:tcW w:w="700" w:type="dxa"/>
            <w:vAlign w:val="bottom"/>
          </w:tcPr>
          <w:p>
            <w:pPr>
              <w:jc w:val="right"/>
              <w:spacing w:after="0"/>
              <w:rPr>
                <w:sz w:val="20"/>
                <w:szCs w:val="20"/>
                <w:color w:val="auto"/>
              </w:rPr>
            </w:pPr>
            <w:r>
              <w:rPr>
                <w:rFonts w:ascii="Arial" w:cs="Arial" w:eastAsia="Arial" w:hAnsi="Arial"/>
                <w:sz w:val="16"/>
                <w:szCs w:val="16"/>
                <w:color w:val="3B3C43"/>
              </w:rPr>
              <w:t>8,407</w:t>
            </w:r>
          </w:p>
        </w:tc>
        <w:tc>
          <w:tcPr>
            <w:tcW w:w="1000" w:type="dxa"/>
            <w:vAlign w:val="bottom"/>
          </w:tcPr>
          <w:p>
            <w:pPr>
              <w:jc w:val="right"/>
              <w:ind w:right="39"/>
              <w:spacing w:after="0"/>
              <w:rPr>
                <w:sz w:val="20"/>
                <w:szCs w:val="20"/>
                <w:color w:val="auto"/>
              </w:rPr>
            </w:pPr>
            <w:r>
              <w:rPr>
                <w:rFonts w:ascii="Arial" w:cs="Arial" w:eastAsia="Arial" w:hAnsi="Arial"/>
                <w:sz w:val="16"/>
                <w:szCs w:val="16"/>
                <w:color w:val="3B3C43"/>
              </w:rPr>
              <w:t>8,135</w:t>
            </w:r>
          </w:p>
        </w:tc>
        <w:tc>
          <w:tcPr>
            <w:tcW w:w="1080" w:type="dxa"/>
            <w:vAlign w:val="bottom"/>
          </w:tcPr>
          <w:p>
            <w:pPr>
              <w:jc w:val="right"/>
              <w:ind w:right="119"/>
              <w:spacing w:after="0"/>
              <w:rPr>
                <w:sz w:val="20"/>
                <w:szCs w:val="20"/>
                <w:color w:val="auto"/>
              </w:rPr>
            </w:pPr>
            <w:r>
              <w:rPr>
                <w:rFonts w:ascii="Arial" w:cs="Arial" w:eastAsia="Arial" w:hAnsi="Arial"/>
                <w:sz w:val="16"/>
                <w:szCs w:val="16"/>
                <w:color w:val="3B3C43"/>
              </w:rPr>
              <w:t>37,167</w:t>
            </w:r>
          </w:p>
        </w:tc>
        <w:tc>
          <w:tcPr>
            <w:tcW w:w="1000" w:type="dxa"/>
            <w:vAlign w:val="bottom"/>
          </w:tcPr>
          <w:p>
            <w:pPr>
              <w:jc w:val="right"/>
              <w:ind w:right="239"/>
              <w:spacing w:after="0"/>
              <w:rPr>
                <w:sz w:val="20"/>
                <w:szCs w:val="20"/>
                <w:color w:val="auto"/>
              </w:rPr>
            </w:pPr>
            <w:r>
              <w:rPr>
                <w:rFonts w:ascii="Arial" w:cs="Arial" w:eastAsia="Arial" w:hAnsi="Arial"/>
                <w:sz w:val="16"/>
                <w:szCs w:val="16"/>
                <w:color w:val="3B3C43"/>
              </w:rPr>
              <w:t>35,083</w:t>
            </w:r>
          </w:p>
        </w:tc>
        <w:tc>
          <w:tcPr>
            <w:tcW w:w="900" w:type="dxa"/>
            <w:vAlign w:val="bottom"/>
          </w:tcPr>
          <w:p>
            <w:pPr>
              <w:jc w:val="right"/>
              <w:ind w:right="139"/>
              <w:spacing w:after="0"/>
              <w:rPr>
                <w:sz w:val="20"/>
                <w:szCs w:val="20"/>
                <w:color w:val="auto"/>
              </w:rPr>
            </w:pPr>
            <w:r>
              <w:rPr>
                <w:rFonts w:ascii="Arial" w:cs="Arial" w:eastAsia="Arial" w:hAnsi="Arial"/>
                <w:sz w:val="16"/>
                <w:szCs w:val="16"/>
                <w:color w:val="3B3C43"/>
              </w:rPr>
              <w:t>23%</w:t>
            </w:r>
          </w:p>
        </w:tc>
        <w:tc>
          <w:tcPr>
            <w:tcW w:w="620" w:type="dxa"/>
            <w:vAlign w:val="bottom"/>
          </w:tcPr>
          <w:p>
            <w:pPr>
              <w:jc w:val="right"/>
              <w:spacing w:after="0"/>
              <w:rPr>
                <w:sz w:val="20"/>
                <w:szCs w:val="20"/>
                <w:color w:val="auto"/>
              </w:rPr>
            </w:pPr>
            <w:r>
              <w:rPr>
                <w:rFonts w:ascii="Arial" w:cs="Arial" w:eastAsia="Arial" w:hAnsi="Arial"/>
                <w:sz w:val="16"/>
                <w:szCs w:val="16"/>
                <w:color w:val="3B3C43"/>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6640195</wp:posOffset>
            </wp:positionH>
            <wp:positionV relativeFrom="paragraph">
              <wp:posOffset>-741680</wp:posOffset>
            </wp:positionV>
            <wp:extent cx="889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-741680</wp:posOffset>
            </wp:positionV>
            <wp:extent cx="889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-741680</wp:posOffset>
            </wp:positionV>
            <wp:extent cx="889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-741680</wp:posOffset>
            </wp:positionV>
            <wp:extent cx="825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885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Promote women fairly and equally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134620</wp:posOffset>
            </wp:positionV>
            <wp:extent cx="6197600" cy="1551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9760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3B3C43"/>
        </w:rPr>
        <w:t>Continuous discussions around improving representation of women in the organization helps us promote women fairly and equally throughout their career development process within our Company. In 2020, our People and Culture team reviewed all senior management succession plans to ensure that female candidates were considered and included. As a result, 76% of our succession plans in 2020 included at least one woman, which exceeded our 2020 objective to increase representation of women in succession plans by 5%.</w:t>
      </w:r>
    </w:p>
    <w:p>
      <w:pPr>
        <w:spacing w:after="0" w:line="17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3B3C43"/>
        </w:rPr>
        <w:t>The representation of women executives in 2020 increased by 2% compared to 2019. The representation of women in senior managers dropped from 22% to 19% in 2020 compared to 2019, respectively. We are committed to improving this dimension and took necessary steps in strengthening our succession plans and graduate intake in 2020. We have also developed an inclusive leadership curriculum, which, along with our executives’ commitment and systemic changes to policy and talent standards, should help improve female representation in senior manager roles in the medium to long term.</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27</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Respecting the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120015</wp:posOffset>
            </wp:positionV>
            <wp:extent cx="6858000" cy="21856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0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3" w:lineRule="auto"/>
        <w:rPr>
          <w:sz w:val="20"/>
          <w:szCs w:val="20"/>
          <w:color w:val="auto"/>
        </w:rPr>
      </w:pPr>
      <w:r>
        <w:rPr>
          <w:rFonts w:ascii="Arial" w:cs="Arial" w:eastAsia="Arial" w:hAnsi="Arial"/>
          <w:sz w:val="16"/>
          <w:szCs w:val="16"/>
          <w:color w:val="3B3C43"/>
        </w:rPr>
        <w:t>Respecting the Environment is the third of our three sustainability pillars. We believe our environmental responsibility requires us to operate in a manner that minimizes the impact of our operations on the environment, develop sustainable solutions to reduce carbon emissions within our overall environmental footprint, and avoid any environmental incidents in our operations and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Environmental Governance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Sustainability is one our Foundational Beliefs. Respecting the Environment is one of the three pillars of our sustainability strategy, described above.</w:t>
      </w:r>
    </w:p>
    <w:p>
      <w:pPr>
        <w:spacing w:after="0" w:line="194"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3B3C43"/>
        </w:rPr>
        <w:t>As defined in our global QHSES policy, QHSES is managed as an integral part of our business, based on a genuine care and concern for people and the environment. We do not compromise on quality, safety, health, security, or environmental sustainability to achieve our financial, project, service, and manufacturing objectives. Our overall objectives regarding environmental responsibility are (i) to operate in a manner that minimizes the impact of our operations on the environment and develop sustainable solutions to reduce carbon emissions and our overall environmental footprint, and (ii) to avoid causing any environmental incidents.</w:t>
      </w:r>
    </w:p>
    <w:p>
      <w:pPr>
        <w:spacing w:after="0" w:line="17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3B3C43"/>
        </w:rPr>
        <w:t>We continue to commit resources and expertise to eliminate hazards, reduce risks, and prevent injury, ill health, and environmental pollution related to our activities through design, process improvement, and technologies.</w:t>
      </w:r>
    </w:p>
    <w:p>
      <w:pPr>
        <w:spacing w:after="0" w:line="16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3B3C43"/>
        </w:rPr>
        <w:t>A key element of our environmental management is our Global Environmental Management Standard, applicable to all our locations and projects globally. The standard and linked guidelines are an integral part of our global HSE management system. The standard and guidelines describe the minimum requirements and set the baseline for identifying potential environmental risk and opportunities, managing the environmental impact of our activities and projects during our business development, and improving our environmental performance. As part of our risk management process, environmental risks are regularly identified, monitored, and mitigated at every business level. The Company operates in a manner that minimizes the environmental impact of, and risks associated with, our activities, through effective environmental management standards that are implemented in an extended lifecycle context and perspective, fully in line with the latest ISO 14001 requirements and in compliance with all applicable marine environmental regulations. We seek to prevent and reduce our impact on the environment in accordance with legal requirements, ISO 14001 requirements, and international and internal standards. Environmental performance, including environmental incidents, rates, and risks, are consolidated monthly and reported to senior management.</w:t>
      </w:r>
    </w:p>
    <w:p>
      <w:pPr>
        <w:spacing w:after="0" w:line="182"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28</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Responsibility and Organization</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3B3C43"/>
        </w:rPr>
        <w:t>The Company is committed to operating in compliance with all applicable environmental regulations, laws, and international codes and standards in the countries in which we operate. As such, environmental management is the responsibility of everyone at TechnipFMC, starting with our Board of Directors and ESG Committee. Our ESG Committee advises and recommends to the Board appropriate ESG practices and initiatives and oversees the Company’s progress in implementing its ESG practices and programs. The effective implementation of environmental policy depends upon management’s commitment, the accountability of every entity, an ongoing dialog with key stakeholders, and a chain of responsibility that extends to the workforce of the Company.</w:t>
      </w:r>
    </w:p>
    <w:p>
      <w:pPr>
        <w:spacing w:after="0" w:line="176"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3B3C43"/>
        </w:rPr>
        <w:t>All entities and projects within the Company are managed by dedicated QHSES managers and directors, with a team of QHSES engineers and supervisors responsible for the application of the environmental rules in their respective areas to ensure that our environmental requirements are well implemented. Our Code of Business Conduct requires managers to inform employees, contractors, and suppliers of applicable environmental rules, procedures, and expected behaviors, and that people reporting to them receive the required environmental training.</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6"/>
          <w:szCs w:val="16"/>
          <w:color w:val="3B3C43"/>
        </w:rPr>
        <w:t>A specific EWG reports to the Corporate QHSES team and coordinates a network of environmental specialists from all regions and business units. The EWG sets environmental programs, supports the enhancement of environmental performance, and develops global environmental initiatives involving all our regions and projects.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Respecting the Environment -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14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6"/>
          <w:szCs w:val="16"/>
          <w:color w:val="3B3C43"/>
        </w:rPr>
        <w:t>Our Respecting the Environment objectives included the following:</w:t>
      </w:r>
    </w:p>
    <w:p>
      <w:pPr>
        <w:sectPr>
          <w:pgSz w:w="11900" w:h="16838" w:orient="portrait"/>
          <w:cols w:equalWidth="0" w:num="1">
            <w:col w:w="11240"/>
          </w:cols>
          <w:pgMar w:left="320" w:top="315" w:right="339" w:bottom="1440" w:gutter="0" w:footer="0" w:header="0"/>
        </w:sectPr>
      </w:pPr>
    </w:p>
    <w:p>
      <w:pPr>
        <w:spacing w:after="0" w:line="161" w:lineRule="exact"/>
        <w:rPr>
          <w:sz w:val="20"/>
          <w:szCs w:val="20"/>
          <w:color w:val="auto"/>
        </w:rPr>
      </w:pPr>
    </w:p>
    <w:p>
      <w:pPr>
        <w:ind w:left="280" w:hanging="218"/>
        <w:spacing w:after="0" w:line="266" w:lineRule="auto"/>
        <w:tabs>
          <w:tab w:leader="none" w:pos="269" w:val="left"/>
        </w:tabs>
        <w:numPr>
          <w:ilvl w:val="0"/>
          <w:numId w:val="42"/>
        </w:numPr>
        <w:rPr>
          <w:rFonts w:ascii="Arial" w:cs="Arial" w:eastAsia="Arial" w:hAnsi="Arial"/>
          <w:sz w:val="16"/>
          <w:szCs w:val="16"/>
          <w:color w:val="4B1F68"/>
        </w:rPr>
      </w:pPr>
      <w:r>
        <w:rPr>
          <w:rFonts w:ascii="Arial" w:cs="Arial" w:eastAsia="Arial" w:hAnsi="Arial"/>
          <w:sz w:val="16"/>
          <w:szCs w:val="16"/>
          <w:b w:val="1"/>
          <w:bCs w:val="1"/>
          <w:color w:val="3B3C43"/>
        </w:rPr>
        <w:t xml:space="preserve">Reduce the carbon footprint </w:t>
      </w:r>
      <w:r>
        <w:rPr>
          <w:rFonts w:ascii="Arial" w:cs="Arial" w:eastAsia="Arial" w:hAnsi="Arial"/>
          <w:sz w:val="16"/>
          <w:szCs w:val="16"/>
          <w:color w:val="3B3C43"/>
        </w:rPr>
        <w:t>of our facilities,</w:t>
      </w:r>
      <w:r>
        <w:rPr>
          <w:rFonts w:ascii="Arial" w:cs="Arial" w:eastAsia="Arial" w:hAnsi="Arial"/>
          <w:sz w:val="16"/>
          <w:szCs w:val="16"/>
          <w:b w:val="1"/>
          <w:bCs w:val="1"/>
          <w:color w:val="3B3C43"/>
        </w:rPr>
        <w:t xml:space="preserve"> </w:t>
      </w:r>
      <w:r>
        <w:rPr>
          <w:rFonts w:ascii="Arial" w:cs="Arial" w:eastAsia="Arial" w:hAnsi="Arial"/>
          <w:sz w:val="16"/>
          <w:szCs w:val="16"/>
          <w:color w:val="3B3C43"/>
        </w:rPr>
        <w:t>products, and solutions and reduce our greenhouse gas emissions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212" w:hanging="212"/>
        <w:spacing w:after="0" w:line="286" w:lineRule="auto"/>
        <w:tabs>
          <w:tab w:leader="none" w:pos="201" w:val="left"/>
        </w:tabs>
        <w:numPr>
          <w:ilvl w:val="0"/>
          <w:numId w:val="43"/>
        </w:numPr>
        <w:rPr>
          <w:rFonts w:ascii="Arial" w:cs="Arial" w:eastAsia="Arial" w:hAnsi="Arial"/>
          <w:sz w:val="16"/>
          <w:szCs w:val="16"/>
          <w:color w:val="4B1F68"/>
        </w:rPr>
      </w:pPr>
      <w:r>
        <w:rPr>
          <w:rFonts w:ascii="Arial" w:cs="Arial" w:eastAsia="Arial" w:hAnsi="Arial"/>
          <w:sz w:val="16"/>
          <w:szCs w:val="16"/>
          <w:b w:val="1"/>
          <w:bCs w:val="1"/>
          <w:color w:val="3B3C43"/>
        </w:rPr>
        <w:t>Provide the carbon footprint of all our deliverables to clients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220" w:right="380" w:hanging="220"/>
        <w:spacing w:after="0" w:line="259" w:lineRule="auto"/>
        <w:tabs>
          <w:tab w:leader="none" w:pos="209" w:val="left"/>
        </w:tabs>
        <w:numPr>
          <w:ilvl w:val="0"/>
          <w:numId w:val="44"/>
        </w:numPr>
        <w:rPr>
          <w:rFonts w:ascii="Arial" w:cs="Arial" w:eastAsia="Arial" w:hAnsi="Arial"/>
          <w:sz w:val="16"/>
          <w:szCs w:val="16"/>
          <w:color w:val="4B1F68"/>
        </w:rPr>
      </w:pPr>
      <w:r>
        <w:rPr>
          <w:rFonts w:ascii="Arial" w:cs="Arial" w:eastAsia="Arial" w:hAnsi="Arial"/>
          <w:sz w:val="16"/>
          <w:szCs w:val="16"/>
          <w:b w:val="1"/>
          <w:bCs w:val="1"/>
          <w:color w:val="3B3C43"/>
        </w:rPr>
        <w:t xml:space="preserve">Establish an internal carbon price </w:t>
      </w:r>
      <w:r>
        <w:rPr>
          <w:rFonts w:ascii="Arial" w:cs="Arial" w:eastAsia="Arial" w:hAnsi="Arial"/>
          <w:sz w:val="16"/>
          <w:szCs w:val="16"/>
          <w:color w:val="3B3C43"/>
        </w:rPr>
        <w:t>for the</w:t>
      </w:r>
      <w:r>
        <w:rPr>
          <w:rFonts w:ascii="Arial" w:cs="Arial" w:eastAsia="Arial" w:hAnsi="Arial"/>
          <w:sz w:val="16"/>
          <w:szCs w:val="16"/>
          <w:b w:val="1"/>
          <w:bCs w:val="1"/>
          <w:color w:val="3B3C43"/>
        </w:rPr>
        <w:t xml:space="preserve"> </w:t>
      </w:r>
      <w:r>
        <w:rPr>
          <w:rFonts w:ascii="Arial" w:cs="Arial" w:eastAsia="Arial" w:hAnsi="Arial"/>
          <w:sz w:val="16"/>
          <w:szCs w:val="16"/>
          <w:color w:val="3B3C43"/>
        </w:rPr>
        <w:t>entire Company, including projects and operations, to inform and impact investment decisions</w:t>
      </w:r>
    </w:p>
    <w:p>
      <w:pPr>
        <w:spacing w:after="0" w:line="200" w:lineRule="exact"/>
        <w:rPr>
          <w:sz w:val="20"/>
          <w:szCs w:val="20"/>
          <w:color w:val="auto"/>
        </w:rPr>
      </w:pPr>
    </w:p>
    <w:p>
      <w:pPr>
        <w:sectPr>
          <w:pgSz w:w="11900" w:h="16838" w:orient="portrait"/>
          <w:cols w:equalWidth="0" w:num="3">
            <w:col w:w="3560" w:space="228"/>
            <w:col w:w="3112" w:space="600"/>
            <w:col w:w="3740"/>
          </w:cols>
          <w:pgMar w:left="320" w:top="315" w:right="339" w:bottom="1440" w:gutter="0" w:footer="0" w:header="0"/>
          <w:type w:val="continuous"/>
        </w:sectPr>
      </w:pPr>
    </w:p>
    <w:p>
      <w:pPr>
        <w:spacing w:after="0" w:line="5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29</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Reduce our carbon footprint</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3B3C43"/>
        </w:rPr>
        <w:t>We have focused on reducing our greenhouse gas (“</w:t>
      </w:r>
      <w:r>
        <w:rPr>
          <w:rFonts w:ascii="Arial" w:cs="Arial" w:eastAsia="Arial" w:hAnsi="Arial"/>
          <w:sz w:val="16"/>
          <w:szCs w:val="16"/>
          <w:b w:val="1"/>
          <w:bCs w:val="1"/>
          <w:color w:val="3B3C43"/>
        </w:rPr>
        <w:t>GHG</w:t>
      </w:r>
      <w:r>
        <w:rPr>
          <w:rFonts w:ascii="Arial" w:cs="Arial" w:eastAsia="Arial" w:hAnsi="Arial"/>
          <w:sz w:val="16"/>
          <w:szCs w:val="16"/>
          <w:color w:val="3B3C43"/>
        </w:rPr>
        <w:t>”) emissions, with an objective of reducing our Scope 1 and Scope 2 emissions by 5% each year since 2017. In addition, we have set clear ambitions to enhance our technological and service skills to serve our clients and to encourage them to make carbon-conscious choices and to drive our capital expenditure and operating expenditure decisions with a structured internal carbon price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109220</wp:posOffset>
            </wp:positionV>
            <wp:extent cx="6858000" cy="34290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3B3C43"/>
        </w:rPr>
        <w:t>TechnipFMC is committed to reducing carbon emissions and its overall environmental footprint by developing new, innovative, and sustainable solutions in the oil and gas market. In 2018, the Company adopted a Global Greenhouse Gas Management standard to enhance the Company’s capabilities in GHG reduction in the Company’s business with focus on Scope 3 GHG emissions.</w:t>
      </w:r>
    </w:p>
    <w:p>
      <w:pPr>
        <w:spacing w:after="0" w:line="17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3B3C43"/>
        </w:rPr>
        <w:t>By December 31, 2020, approximately 80 carbon footprint studies had been completed, covering a review of Scope 1, Scope 2, and Scope 3 emissions in our supply chains in key countries.</w:t>
      </w:r>
    </w:p>
    <w:p>
      <w:pPr>
        <w:spacing w:after="0" w:line="16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3B3C43"/>
        </w:rPr>
        <w:t>Since 2018, total GHG emissions have decreased in line with Company objectives. In 2020, the total GHG Scope 1 and Scope 2 emissions were 427,003 tonnes of CO</w:t>
      </w:r>
      <w:r>
        <w:rPr>
          <w:rFonts w:ascii="Arial" w:cs="Arial" w:eastAsia="Arial" w:hAnsi="Arial"/>
          <w:sz w:val="13"/>
          <w:szCs w:val="13"/>
          <w:color w:val="3B3C43"/>
        </w:rPr>
        <w:t>2</w:t>
      </w:r>
      <w:r>
        <w:rPr>
          <w:rFonts w:ascii="Arial" w:cs="Arial" w:eastAsia="Arial" w:hAnsi="Arial"/>
          <w:sz w:val="16"/>
          <w:szCs w:val="16"/>
          <w:color w:val="3B3C43"/>
        </w:rPr>
        <w:t xml:space="preserve"> equivalent versus 469,955 tonnes of CO</w:t>
      </w:r>
      <w:r>
        <w:rPr>
          <w:rFonts w:ascii="Arial" w:cs="Arial" w:eastAsia="Arial" w:hAnsi="Arial"/>
          <w:sz w:val="13"/>
          <w:szCs w:val="13"/>
          <w:color w:val="3B3C43"/>
        </w:rPr>
        <w:t>2</w:t>
      </w:r>
      <w:r>
        <w:rPr>
          <w:rFonts w:ascii="Arial" w:cs="Arial" w:eastAsia="Arial" w:hAnsi="Arial"/>
          <w:sz w:val="16"/>
          <w:szCs w:val="16"/>
          <w:color w:val="3B3C43"/>
        </w:rPr>
        <w:t xml:space="preserve"> equivalent reported in 2019, representing a 9% annual reduction and a 37% overall reduction compared to our baseline year of 2017. The reduction in GHG is mainly linked to trends in our business activities and to our Energy Transition program.</w:t>
      </w:r>
    </w:p>
    <w:p>
      <w:pPr>
        <w:spacing w:after="0" w:line="174" w:lineRule="exact"/>
        <w:rPr>
          <w:sz w:val="20"/>
          <w:szCs w:val="20"/>
          <w:color w:val="auto"/>
        </w:rPr>
      </w:pPr>
    </w:p>
    <w:p>
      <w:pPr>
        <w:spacing w:after="0" w:line="200" w:lineRule="auto"/>
        <w:rPr>
          <w:sz w:val="20"/>
          <w:szCs w:val="20"/>
          <w:color w:val="auto"/>
        </w:rPr>
      </w:pPr>
      <w:r>
        <w:rPr>
          <w:rFonts w:ascii="Arial" w:cs="Arial" w:eastAsia="Arial" w:hAnsi="Arial"/>
          <w:sz w:val="16"/>
          <w:szCs w:val="16"/>
          <w:color w:val="3B3C43"/>
        </w:rPr>
        <w:t>In addition to our efforts in reducing our carbon emissions within our operations, TechnipFMC is also working to ensure our next generation of products are less carbon intensive. For example, our Subsea 2.0</w:t>
      </w:r>
      <w:r>
        <w:rPr>
          <w:rFonts w:ascii="Arial" w:cs="Arial" w:eastAsia="Arial" w:hAnsi="Arial"/>
          <w:sz w:val="29"/>
          <w:szCs w:val="29"/>
          <w:color w:val="3B3C43"/>
          <w:vertAlign w:val="superscript"/>
        </w:rPr>
        <w:t>TM</w:t>
      </w:r>
      <w:r>
        <w:rPr>
          <w:rFonts w:ascii="Arial" w:cs="Arial" w:eastAsia="Arial" w:hAnsi="Arial"/>
          <w:sz w:val="16"/>
          <w:szCs w:val="16"/>
          <w:color w:val="3B3C43"/>
        </w:rPr>
        <w:t xml:space="preserve"> design included a lifecycle GHG analysis that demonstrated how our innovations for the production of trees may allow up to a 46% reduction in our carbon footprint as compared to the previous design.</w:t>
      </w:r>
    </w:p>
    <w:p>
      <w:pPr>
        <w:spacing w:after="0" w:line="18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30</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274955</wp:posOffset>
            </wp:positionV>
            <wp:extent cx="6858000" cy="17227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3B3C43"/>
        </w:rPr>
        <w:t>Finally, the Carbon Footprint Training Program launched by the Company’s QHSES department for all business levels and projects in 2019 continued in 2020. By December 31, 2020, more than 40 training sessions for engineers and managers had been delivered in locations where we have a material presence. This program is focused on extending knowledge transfer, from the lifecycle perspective, and carbon footprint concepts to empower engineers in the implementation of a complete GHG analysis for all business lines and to increase managers’ competencies on the reduction of our carbon footprint across the organization.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GHG Emissions</w:t>
      </w:r>
    </w:p>
    <w:p>
      <w:pPr>
        <w:spacing w:after="0" w:line="25"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3B3C43"/>
        </w:rPr>
        <w:t>The table below describes the annual quantity of GHG emissions resulting from activities the Company is responsible for and has operational control over (including the combustion of fuel and the operation of any facility), measured in tonnes of CO</w:t>
      </w:r>
      <w:r>
        <w:rPr>
          <w:rFonts w:ascii="Arial" w:cs="Arial" w:eastAsia="Arial" w:hAnsi="Arial"/>
          <w:sz w:val="13"/>
          <w:szCs w:val="13"/>
          <w:color w:val="3B3C43"/>
        </w:rPr>
        <w:t>2</w:t>
      </w:r>
      <w:r>
        <w:rPr>
          <w:rFonts w:ascii="Arial" w:cs="Arial" w:eastAsia="Arial" w:hAnsi="Arial"/>
          <w:sz w:val="16"/>
          <w:szCs w:val="16"/>
          <w:color w:val="3B3C43"/>
        </w:rPr>
        <w:t xml:space="preserv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99060</wp:posOffset>
            </wp:positionV>
            <wp:extent cx="8890" cy="5657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56578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480" w:type="dxa"/>
            <w:vAlign w:val="bottom"/>
            <w:shd w:val="clear" w:color="auto" w:fill="4A1F67"/>
          </w:tcPr>
          <w:p>
            <w:pPr>
              <w:spacing w:after="0"/>
              <w:rPr>
                <w:sz w:val="24"/>
                <w:szCs w:val="24"/>
                <w:color w:val="auto"/>
              </w:rPr>
            </w:pPr>
          </w:p>
        </w:tc>
        <w:tc>
          <w:tcPr>
            <w:tcW w:w="2280" w:type="dxa"/>
            <w:vAlign w:val="bottom"/>
            <w:shd w:val="clear" w:color="auto" w:fill="4A1F67"/>
          </w:tcPr>
          <w:p>
            <w:pPr>
              <w:jc w:val="right"/>
              <w:ind w:right="139"/>
              <w:spacing w:after="0"/>
              <w:rPr>
                <w:sz w:val="20"/>
                <w:szCs w:val="20"/>
                <w:color w:val="auto"/>
              </w:rPr>
            </w:pPr>
            <w:r>
              <w:rPr>
                <w:rFonts w:ascii="Arial" w:cs="Arial" w:eastAsia="Arial" w:hAnsi="Arial"/>
                <w:sz w:val="16"/>
                <w:szCs w:val="16"/>
                <w:b w:val="1"/>
                <w:bCs w:val="1"/>
                <w:color w:val="FFFFFF"/>
              </w:rPr>
              <w:t>2018</w:t>
            </w:r>
          </w:p>
        </w:tc>
        <w:tc>
          <w:tcPr>
            <w:tcW w:w="1020" w:type="dxa"/>
            <w:vAlign w:val="bottom"/>
            <w:tcBorders>
              <w:right w:val="single" w:sz="8" w:color="4A1F67"/>
            </w:tcBorders>
            <w:shd w:val="clear" w:color="auto" w:fill="4A1F67"/>
          </w:tcPr>
          <w:p>
            <w:pPr>
              <w:spacing w:after="0"/>
              <w:rPr>
                <w:sz w:val="24"/>
                <w:szCs w:val="24"/>
                <w:color w:val="auto"/>
              </w:rPr>
            </w:pPr>
          </w:p>
        </w:tc>
        <w:tc>
          <w:tcPr>
            <w:tcW w:w="1800" w:type="dxa"/>
            <w:vAlign w:val="bottom"/>
            <w:shd w:val="clear" w:color="auto" w:fill="4A1F67"/>
          </w:tcPr>
          <w:p>
            <w:pPr>
              <w:jc w:val="right"/>
              <w:ind w:right="159"/>
              <w:spacing w:after="0"/>
              <w:rPr>
                <w:sz w:val="20"/>
                <w:szCs w:val="20"/>
                <w:color w:val="auto"/>
              </w:rPr>
            </w:pPr>
            <w:r>
              <w:rPr>
                <w:rFonts w:ascii="Arial" w:cs="Arial" w:eastAsia="Arial" w:hAnsi="Arial"/>
                <w:sz w:val="16"/>
                <w:szCs w:val="16"/>
                <w:b w:val="1"/>
                <w:bCs w:val="1"/>
                <w:color w:val="FFFFFF"/>
              </w:rPr>
              <w:t>2019</w:t>
            </w:r>
          </w:p>
        </w:tc>
        <w:tc>
          <w:tcPr>
            <w:tcW w:w="1000" w:type="dxa"/>
            <w:vAlign w:val="bottom"/>
            <w:tcBorders>
              <w:right w:val="single" w:sz="8" w:color="4A1F67"/>
            </w:tcBorders>
            <w:shd w:val="clear" w:color="auto" w:fill="4A1F67"/>
          </w:tcPr>
          <w:p>
            <w:pPr>
              <w:spacing w:after="0"/>
              <w:rPr>
                <w:sz w:val="24"/>
                <w:szCs w:val="24"/>
                <w:color w:val="auto"/>
              </w:rPr>
            </w:pPr>
          </w:p>
        </w:tc>
        <w:tc>
          <w:tcPr>
            <w:tcW w:w="1700" w:type="dxa"/>
            <w:vAlign w:val="bottom"/>
            <w:shd w:val="clear" w:color="auto" w:fill="4A1F67"/>
          </w:tcPr>
          <w:p>
            <w:pPr>
              <w:jc w:val="right"/>
              <w:ind w:right="119"/>
              <w:spacing w:after="0"/>
              <w:rPr>
                <w:sz w:val="20"/>
                <w:szCs w:val="20"/>
                <w:color w:val="auto"/>
              </w:rPr>
            </w:pPr>
            <w:r>
              <w:rPr>
                <w:rFonts w:ascii="Arial" w:cs="Arial" w:eastAsia="Arial" w:hAnsi="Arial"/>
                <w:sz w:val="16"/>
                <w:szCs w:val="16"/>
                <w:b w:val="1"/>
                <w:bCs w:val="1"/>
                <w:color w:val="FFFFFF"/>
              </w:rPr>
              <w:t>2020</w:t>
            </w:r>
          </w:p>
        </w:tc>
        <w:tc>
          <w:tcPr>
            <w:tcW w:w="960" w:type="dxa"/>
            <w:vAlign w:val="bottom"/>
            <w:shd w:val="clear" w:color="auto" w:fill="4A1F67"/>
          </w:tcPr>
          <w:p>
            <w:pPr>
              <w:spacing w:after="0"/>
              <w:rPr>
                <w:sz w:val="24"/>
                <w:szCs w:val="24"/>
                <w:color w:val="auto"/>
              </w:rPr>
            </w:pPr>
          </w:p>
        </w:tc>
      </w:tr>
      <w:tr>
        <w:trPr>
          <w:trHeight w:val="208"/>
        </w:trPr>
        <w:tc>
          <w:tcPr>
            <w:tcW w:w="248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Total GHG Emissions</w:t>
            </w:r>
          </w:p>
        </w:tc>
        <w:tc>
          <w:tcPr>
            <w:tcW w:w="2280" w:type="dxa"/>
            <w:vAlign w:val="bottom"/>
            <w:shd w:val="clear" w:color="auto" w:fill="4A1F67"/>
          </w:tcPr>
          <w:p>
            <w:pPr>
              <w:jc w:val="right"/>
              <w:ind w:right="259"/>
              <w:spacing w:after="0"/>
              <w:rPr>
                <w:sz w:val="20"/>
                <w:szCs w:val="20"/>
                <w:color w:val="auto"/>
              </w:rPr>
            </w:pPr>
            <w:r>
              <w:rPr>
                <w:rFonts w:ascii="Arial" w:cs="Arial" w:eastAsia="Arial" w:hAnsi="Arial"/>
                <w:sz w:val="16"/>
                <w:szCs w:val="16"/>
                <w:b w:val="1"/>
                <w:bCs w:val="1"/>
                <w:color w:val="FFFFFF"/>
              </w:rPr>
              <w:t>Direct</w:t>
            </w:r>
          </w:p>
        </w:tc>
        <w:tc>
          <w:tcPr>
            <w:tcW w:w="1020" w:type="dxa"/>
            <w:vAlign w:val="bottom"/>
            <w:tcBorders>
              <w:right w:val="single" w:sz="8" w:color="4A1F67"/>
            </w:tcBorders>
            <w:shd w:val="clear" w:color="auto" w:fill="4A1F67"/>
          </w:tcPr>
          <w:p>
            <w:pPr>
              <w:jc w:val="right"/>
              <w:ind w:right="39"/>
              <w:spacing w:after="0"/>
              <w:rPr>
                <w:sz w:val="20"/>
                <w:szCs w:val="20"/>
                <w:color w:val="auto"/>
              </w:rPr>
            </w:pPr>
            <w:r>
              <w:rPr>
                <w:rFonts w:ascii="Arial" w:cs="Arial" w:eastAsia="Arial" w:hAnsi="Arial"/>
                <w:sz w:val="16"/>
                <w:szCs w:val="16"/>
                <w:b w:val="1"/>
                <w:bCs w:val="1"/>
                <w:color w:val="FFFFFF"/>
              </w:rPr>
              <w:t>Indirect</w:t>
            </w:r>
          </w:p>
        </w:tc>
        <w:tc>
          <w:tcPr>
            <w:tcW w:w="1800" w:type="dxa"/>
            <w:vAlign w:val="bottom"/>
            <w:shd w:val="clear" w:color="auto" w:fill="4A1F67"/>
          </w:tcPr>
          <w:p>
            <w:pPr>
              <w:jc w:val="right"/>
              <w:ind w:right="359"/>
              <w:spacing w:after="0"/>
              <w:rPr>
                <w:sz w:val="20"/>
                <w:szCs w:val="20"/>
                <w:color w:val="auto"/>
              </w:rPr>
            </w:pPr>
            <w:r>
              <w:rPr>
                <w:rFonts w:ascii="Arial" w:cs="Arial" w:eastAsia="Arial" w:hAnsi="Arial"/>
                <w:sz w:val="16"/>
                <w:szCs w:val="16"/>
                <w:b w:val="1"/>
                <w:bCs w:val="1"/>
                <w:color w:val="FFFFFF"/>
              </w:rPr>
              <w:t>Direct</w:t>
            </w:r>
          </w:p>
        </w:tc>
        <w:tc>
          <w:tcPr>
            <w:tcW w:w="1000" w:type="dxa"/>
            <w:vAlign w:val="bottom"/>
            <w:tcBorders>
              <w:right w:val="single" w:sz="8" w:color="4A1F67"/>
            </w:tcBorders>
            <w:shd w:val="clear" w:color="auto" w:fill="4A1F67"/>
          </w:tcPr>
          <w:p>
            <w:pPr>
              <w:jc w:val="right"/>
              <w:ind w:right="19"/>
              <w:spacing w:after="0"/>
              <w:rPr>
                <w:sz w:val="20"/>
                <w:szCs w:val="20"/>
                <w:color w:val="auto"/>
              </w:rPr>
            </w:pPr>
            <w:r>
              <w:rPr>
                <w:rFonts w:ascii="Arial" w:cs="Arial" w:eastAsia="Arial" w:hAnsi="Arial"/>
                <w:sz w:val="16"/>
                <w:szCs w:val="16"/>
                <w:b w:val="1"/>
                <w:bCs w:val="1"/>
                <w:color w:val="FFFFFF"/>
              </w:rPr>
              <w:t>Indirect</w:t>
            </w:r>
          </w:p>
        </w:tc>
        <w:tc>
          <w:tcPr>
            <w:tcW w:w="1700" w:type="dxa"/>
            <w:vAlign w:val="bottom"/>
            <w:shd w:val="clear" w:color="auto" w:fill="4A1F67"/>
          </w:tcPr>
          <w:p>
            <w:pPr>
              <w:jc w:val="right"/>
              <w:ind w:right="379"/>
              <w:spacing w:after="0"/>
              <w:rPr>
                <w:sz w:val="20"/>
                <w:szCs w:val="20"/>
                <w:color w:val="auto"/>
              </w:rPr>
            </w:pPr>
            <w:r>
              <w:rPr>
                <w:rFonts w:ascii="Arial" w:cs="Arial" w:eastAsia="Arial" w:hAnsi="Arial"/>
                <w:sz w:val="16"/>
                <w:szCs w:val="16"/>
                <w:b w:val="1"/>
                <w:bCs w:val="1"/>
                <w:color w:val="FFFFFF"/>
              </w:rPr>
              <w:t>Direct</w:t>
            </w:r>
          </w:p>
        </w:tc>
        <w:tc>
          <w:tcPr>
            <w:tcW w:w="96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Indirect</w:t>
            </w:r>
          </w:p>
        </w:tc>
      </w:tr>
      <w:tr>
        <w:trPr>
          <w:trHeight w:val="189"/>
        </w:trPr>
        <w:tc>
          <w:tcPr>
            <w:tcW w:w="248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(in metric tonnes CO</w:t>
            </w:r>
            <w:r>
              <w:rPr>
                <w:rFonts w:ascii="Arial" w:cs="Arial" w:eastAsia="Arial" w:hAnsi="Arial"/>
                <w:sz w:val="13"/>
                <w:szCs w:val="13"/>
                <w:color w:val="FFFFFF"/>
              </w:rPr>
              <w:t>2</w:t>
            </w:r>
          </w:p>
        </w:tc>
        <w:tc>
          <w:tcPr>
            <w:tcW w:w="2280" w:type="dxa"/>
            <w:vAlign w:val="bottom"/>
            <w:shd w:val="clear" w:color="auto" w:fill="4A1F67"/>
          </w:tcPr>
          <w:p>
            <w:pPr>
              <w:jc w:val="right"/>
              <w:ind w:right="259"/>
              <w:spacing w:after="0"/>
              <w:rPr>
                <w:sz w:val="20"/>
                <w:szCs w:val="20"/>
                <w:color w:val="auto"/>
              </w:rPr>
            </w:pPr>
            <w:r>
              <w:rPr>
                <w:rFonts w:ascii="Arial" w:cs="Arial" w:eastAsia="Arial" w:hAnsi="Arial"/>
                <w:sz w:val="16"/>
                <w:szCs w:val="16"/>
                <w:b w:val="1"/>
                <w:bCs w:val="1"/>
                <w:color w:val="FFFFFF"/>
              </w:rPr>
              <w:t>emissions</w:t>
            </w:r>
          </w:p>
        </w:tc>
        <w:tc>
          <w:tcPr>
            <w:tcW w:w="1020" w:type="dxa"/>
            <w:vAlign w:val="bottom"/>
            <w:tcBorders>
              <w:right w:val="single" w:sz="8" w:color="4A1F67"/>
            </w:tcBorders>
            <w:shd w:val="clear" w:color="auto" w:fill="4A1F67"/>
          </w:tcPr>
          <w:p>
            <w:pPr>
              <w:jc w:val="right"/>
              <w:ind w:right="39"/>
              <w:spacing w:after="0"/>
              <w:rPr>
                <w:sz w:val="20"/>
                <w:szCs w:val="20"/>
                <w:color w:val="auto"/>
              </w:rPr>
            </w:pPr>
            <w:r>
              <w:rPr>
                <w:rFonts w:ascii="Arial" w:cs="Arial" w:eastAsia="Arial" w:hAnsi="Arial"/>
                <w:sz w:val="16"/>
                <w:szCs w:val="16"/>
                <w:b w:val="1"/>
                <w:bCs w:val="1"/>
                <w:color w:val="FFFFFF"/>
              </w:rPr>
              <w:t>emissions</w:t>
            </w:r>
          </w:p>
        </w:tc>
        <w:tc>
          <w:tcPr>
            <w:tcW w:w="1800" w:type="dxa"/>
            <w:vAlign w:val="bottom"/>
            <w:shd w:val="clear" w:color="auto" w:fill="4A1F67"/>
          </w:tcPr>
          <w:p>
            <w:pPr>
              <w:jc w:val="right"/>
              <w:ind w:right="359"/>
              <w:spacing w:after="0"/>
              <w:rPr>
                <w:sz w:val="20"/>
                <w:szCs w:val="20"/>
                <w:color w:val="auto"/>
              </w:rPr>
            </w:pPr>
            <w:r>
              <w:rPr>
                <w:rFonts w:ascii="Arial" w:cs="Arial" w:eastAsia="Arial" w:hAnsi="Arial"/>
                <w:sz w:val="16"/>
                <w:szCs w:val="16"/>
                <w:b w:val="1"/>
                <w:bCs w:val="1"/>
                <w:color w:val="FFFFFF"/>
              </w:rPr>
              <w:t>emissions</w:t>
            </w:r>
          </w:p>
        </w:tc>
        <w:tc>
          <w:tcPr>
            <w:tcW w:w="1000" w:type="dxa"/>
            <w:vAlign w:val="bottom"/>
            <w:tcBorders>
              <w:right w:val="single" w:sz="8" w:color="4A1F67"/>
            </w:tcBorders>
            <w:shd w:val="clear" w:color="auto" w:fill="4A1F67"/>
          </w:tcPr>
          <w:p>
            <w:pPr>
              <w:jc w:val="right"/>
              <w:ind w:right="19"/>
              <w:spacing w:after="0"/>
              <w:rPr>
                <w:sz w:val="20"/>
                <w:szCs w:val="20"/>
                <w:color w:val="auto"/>
              </w:rPr>
            </w:pPr>
            <w:r>
              <w:rPr>
                <w:rFonts w:ascii="Arial" w:cs="Arial" w:eastAsia="Arial" w:hAnsi="Arial"/>
                <w:sz w:val="16"/>
                <w:szCs w:val="16"/>
                <w:b w:val="1"/>
                <w:bCs w:val="1"/>
                <w:color w:val="FFFFFF"/>
              </w:rPr>
              <w:t>emissions</w:t>
            </w:r>
          </w:p>
        </w:tc>
        <w:tc>
          <w:tcPr>
            <w:tcW w:w="1700" w:type="dxa"/>
            <w:vAlign w:val="bottom"/>
            <w:shd w:val="clear" w:color="auto" w:fill="4A1F67"/>
          </w:tcPr>
          <w:p>
            <w:pPr>
              <w:jc w:val="right"/>
              <w:ind w:right="379"/>
              <w:spacing w:after="0"/>
              <w:rPr>
                <w:sz w:val="20"/>
                <w:szCs w:val="20"/>
                <w:color w:val="auto"/>
              </w:rPr>
            </w:pPr>
            <w:r>
              <w:rPr>
                <w:rFonts w:ascii="Arial" w:cs="Arial" w:eastAsia="Arial" w:hAnsi="Arial"/>
                <w:sz w:val="16"/>
                <w:szCs w:val="16"/>
                <w:b w:val="1"/>
                <w:bCs w:val="1"/>
                <w:color w:val="FFFFFF"/>
              </w:rPr>
              <w:t>emissions</w:t>
            </w:r>
          </w:p>
        </w:tc>
        <w:tc>
          <w:tcPr>
            <w:tcW w:w="96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emissions</w:t>
            </w:r>
          </w:p>
        </w:tc>
      </w:tr>
      <w:tr>
        <w:trPr>
          <w:trHeight w:val="216"/>
        </w:trPr>
        <w:tc>
          <w:tcPr>
            <w:tcW w:w="248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equivalent)</w:t>
            </w:r>
          </w:p>
        </w:tc>
        <w:tc>
          <w:tcPr>
            <w:tcW w:w="2280" w:type="dxa"/>
            <w:vAlign w:val="bottom"/>
            <w:shd w:val="clear" w:color="auto" w:fill="4A1F67"/>
          </w:tcPr>
          <w:p>
            <w:pPr>
              <w:jc w:val="right"/>
              <w:ind w:right="259"/>
              <w:spacing w:after="0"/>
              <w:rPr>
                <w:sz w:val="20"/>
                <w:szCs w:val="20"/>
                <w:color w:val="auto"/>
              </w:rPr>
            </w:pPr>
            <w:r>
              <w:rPr>
                <w:rFonts w:ascii="Arial" w:cs="Arial" w:eastAsia="Arial" w:hAnsi="Arial"/>
                <w:sz w:val="16"/>
                <w:szCs w:val="16"/>
                <w:b w:val="1"/>
                <w:bCs w:val="1"/>
                <w:color w:val="FFFFFF"/>
              </w:rPr>
              <w:t>Scope 1</w:t>
            </w:r>
          </w:p>
        </w:tc>
        <w:tc>
          <w:tcPr>
            <w:tcW w:w="1020" w:type="dxa"/>
            <w:vAlign w:val="bottom"/>
            <w:tcBorders>
              <w:right w:val="single" w:sz="8" w:color="4A1F67"/>
            </w:tcBorders>
            <w:shd w:val="clear" w:color="auto" w:fill="4A1F67"/>
          </w:tcPr>
          <w:p>
            <w:pPr>
              <w:jc w:val="right"/>
              <w:ind w:right="39"/>
              <w:spacing w:after="0"/>
              <w:rPr>
                <w:sz w:val="20"/>
                <w:szCs w:val="20"/>
                <w:color w:val="auto"/>
              </w:rPr>
            </w:pPr>
            <w:r>
              <w:rPr>
                <w:rFonts w:ascii="Arial" w:cs="Arial" w:eastAsia="Arial" w:hAnsi="Arial"/>
                <w:sz w:val="16"/>
                <w:szCs w:val="16"/>
                <w:b w:val="1"/>
                <w:bCs w:val="1"/>
                <w:color w:val="FFFFFF"/>
              </w:rPr>
              <w:t>Scope 2</w:t>
            </w:r>
          </w:p>
        </w:tc>
        <w:tc>
          <w:tcPr>
            <w:tcW w:w="1800" w:type="dxa"/>
            <w:vAlign w:val="bottom"/>
            <w:shd w:val="clear" w:color="auto" w:fill="4A1F67"/>
          </w:tcPr>
          <w:p>
            <w:pPr>
              <w:jc w:val="right"/>
              <w:ind w:right="359"/>
              <w:spacing w:after="0"/>
              <w:rPr>
                <w:sz w:val="20"/>
                <w:szCs w:val="20"/>
                <w:color w:val="auto"/>
              </w:rPr>
            </w:pPr>
            <w:r>
              <w:rPr>
                <w:rFonts w:ascii="Arial" w:cs="Arial" w:eastAsia="Arial" w:hAnsi="Arial"/>
                <w:sz w:val="16"/>
                <w:szCs w:val="16"/>
                <w:b w:val="1"/>
                <w:bCs w:val="1"/>
                <w:color w:val="FFFFFF"/>
              </w:rPr>
              <w:t>Scope 1</w:t>
            </w:r>
          </w:p>
        </w:tc>
        <w:tc>
          <w:tcPr>
            <w:tcW w:w="1000" w:type="dxa"/>
            <w:vAlign w:val="bottom"/>
            <w:tcBorders>
              <w:right w:val="single" w:sz="8" w:color="4A1F67"/>
            </w:tcBorders>
            <w:shd w:val="clear" w:color="auto" w:fill="4A1F67"/>
          </w:tcPr>
          <w:p>
            <w:pPr>
              <w:jc w:val="right"/>
              <w:ind w:right="19"/>
              <w:spacing w:after="0"/>
              <w:rPr>
                <w:sz w:val="20"/>
                <w:szCs w:val="20"/>
                <w:color w:val="auto"/>
              </w:rPr>
            </w:pPr>
            <w:r>
              <w:rPr>
                <w:rFonts w:ascii="Arial" w:cs="Arial" w:eastAsia="Arial" w:hAnsi="Arial"/>
                <w:sz w:val="16"/>
                <w:szCs w:val="16"/>
                <w:b w:val="1"/>
                <w:bCs w:val="1"/>
                <w:color w:val="FFFFFF"/>
              </w:rPr>
              <w:t>Scope 2</w:t>
            </w:r>
          </w:p>
        </w:tc>
        <w:tc>
          <w:tcPr>
            <w:tcW w:w="1700" w:type="dxa"/>
            <w:vAlign w:val="bottom"/>
            <w:shd w:val="clear" w:color="auto" w:fill="4A1F67"/>
          </w:tcPr>
          <w:p>
            <w:pPr>
              <w:jc w:val="right"/>
              <w:ind w:right="379"/>
              <w:spacing w:after="0"/>
              <w:rPr>
                <w:sz w:val="20"/>
                <w:szCs w:val="20"/>
                <w:color w:val="auto"/>
              </w:rPr>
            </w:pPr>
            <w:r>
              <w:rPr>
                <w:rFonts w:ascii="Arial" w:cs="Arial" w:eastAsia="Arial" w:hAnsi="Arial"/>
                <w:sz w:val="16"/>
                <w:szCs w:val="16"/>
                <w:b w:val="1"/>
                <w:bCs w:val="1"/>
                <w:color w:val="FFFFFF"/>
              </w:rPr>
              <w:t>Scope 1</w:t>
            </w:r>
          </w:p>
        </w:tc>
        <w:tc>
          <w:tcPr>
            <w:tcW w:w="96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Scope 2</w:t>
            </w:r>
          </w:p>
        </w:tc>
      </w:tr>
      <w:tr>
        <w:trPr>
          <w:trHeight w:val="251"/>
        </w:trPr>
        <w:tc>
          <w:tcPr>
            <w:tcW w:w="2480" w:type="dxa"/>
            <w:vAlign w:val="bottom"/>
          </w:tcPr>
          <w:p>
            <w:pPr>
              <w:ind w:left="100"/>
              <w:spacing w:after="0"/>
              <w:rPr>
                <w:sz w:val="20"/>
                <w:szCs w:val="20"/>
                <w:color w:val="auto"/>
              </w:rPr>
            </w:pPr>
            <w:r>
              <w:rPr>
                <w:rFonts w:ascii="Arial" w:cs="Arial" w:eastAsia="Arial" w:hAnsi="Arial"/>
                <w:sz w:val="16"/>
                <w:szCs w:val="16"/>
                <w:b w:val="1"/>
                <w:bCs w:val="1"/>
                <w:color w:val="3B3C43"/>
              </w:rPr>
              <w:t>Our Assets</w:t>
            </w:r>
          </w:p>
        </w:tc>
        <w:tc>
          <w:tcPr>
            <w:tcW w:w="2280" w:type="dxa"/>
            <w:vAlign w:val="bottom"/>
          </w:tcPr>
          <w:p>
            <w:pPr>
              <w:jc w:val="right"/>
              <w:ind w:right="259"/>
              <w:spacing w:after="0"/>
              <w:rPr>
                <w:sz w:val="20"/>
                <w:szCs w:val="20"/>
                <w:color w:val="auto"/>
              </w:rPr>
            </w:pPr>
            <w:r>
              <w:rPr>
                <w:rFonts w:ascii="Arial" w:cs="Arial" w:eastAsia="Arial" w:hAnsi="Arial"/>
                <w:sz w:val="16"/>
                <w:szCs w:val="16"/>
                <w:b w:val="1"/>
                <w:bCs w:val="1"/>
                <w:color w:val="3B3C43"/>
              </w:rPr>
              <w:t>254,535</w:t>
            </w:r>
          </w:p>
        </w:tc>
        <w:tc>
          <w:tcPr>
            <w:tcW w:w="1020" w:type="dxa"/>
            <w:vAlign w:val="bottom"/>
            <w:tcBorders>
              <w:right w:val="single" w:sz="8" w:color="B1B2B4"/>
            </w:tcBorders>
          </w:tcPr>
          <w:p>
            <w:pPr>
              <w:jc w:val="right"/>
              <w:ind w:right="39"/>
              <w:spacing w:after="0"/>
              <w:rPr>
                <w:sz w:val="20"/>
                <w:szCs w:val="20"/>
                <w:color w:val="auto"/>
              </w:rPr>
            </w:pPr>
            <w:r>
              <w:rPr>
                <w:rFonts w:ascii="Arial" w:cs="Arial" w:eastAsia="Arial" w:hAnsi="Arial"/>
                <w:sz w:val="16"/>
                <w:szCs w:val="16"/>
                <w:b w:val="1"/>
                <w:bCs w:val="1"/>
                <w:color w:val="3B3C43"/>
              </w:rPr>
              <w:t>60,401</w:t>
            </w:r>
          </w:p>
        </w:tc>
        <w:tc>
          <w:tcPr>
            <w:tcW w:w="1800" w:type="dxa"/>
            <w:vAlign w:val="bottom"/>
          </w:tcPr>
          <w:p>
            <w:pPr>
              <w:jc w:val="right"/>
              <w:ind w:right="359"/>
              <w:spacing w:after="0"/>
              <w:rPr>
                <w:sz w:val="20"/>
                <w:szCs w:val="20"/>
                <w:color w:val="auto"/>
              </w:rPr>
            </w:pPr>
            <w:r>
              <w:rPr>
                <w:rFonts w:ascii="Arial" w:cs="Arial" w:eastAsia="Arial" w:hAnsi="Arial"/>
                <w:sz w:val="16"/>
                <w:szCs w:val="16"/>
                <w:b w:val="1"/>
                <w:bCs w:val="1"/>
                <w:color w:val="3B3C43"/>
              </w:rPr>
              <w:t>283,545</w:t>
            </w:r>
          </w:p>
        </w:tc>
        <w:tc>
          <w:tcPr>
            <w:tcW w:w="1000" w:type="dxa"/>
            <w:vAlign w:val="bottom"/>
            <w:tcBorders>
              <w:right w:val="single" w:sz="8" w:color="B1B2B4"/>
            </w:tcBorders>
          </w:tcPr>
          <w:p>
            <w:pPr>
              <w:jc w:val="right"/>
              <w:ind w:right="19"/>
              <w:spacing w:after="0"/>
              <w:rPr>
                <w:sz w:val="20"/>
                <w:szCs w:val="20"/>
                <w:color w:val="auto"/>
              </w:rPr>
            </w:pPr>
            <w:r>
              <w:rPr>
                <w:rFonts w:ascii="Arial" w:cs="Arial" w:eastAsia="Arial" w:hAnsi="Arial"/>
                <w:sz w:val="16"/>
                <w:szCs w:val="16"/>
                <w:b w:val="1"/>
                <w:bCs w:val="1"/>
                <w:color w:val="3B3C43"/>
              </w:rPr>
              <w:t>39,932</w:t>
            </w: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3B3C43"/>
              </w:rPr>
              <w:t>278,628</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3B3C43"/>
              </w:rPr>
              <w:t>35,583</w:t>
            </w:r>
          </w:p>
        </w:tc>
      </w:tr>
      <w:tr>
        <w:trPr>
          <w:trHeight w:val="46"/>
        </w:trPr>
        <w:tc>
          <w:tcPr>
            <w:tcW w:w="248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1020" w:type="dxa"/>
            <w:vAlign w:val="bottom"/>
            <w:tcBorders>
              <w:bottom w:val="single" w:sz="8" w:color="E1E2E0"/>
              <w:right w:val="single" w:sz="8" w:color="B1B2B4"/>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right w:val="single" w:sz="8" w:color="B1B2B4"/>
            </w:tcBorders>
          </w:tcPr>
          <w:p>
            <w:pPr>
              <w:spacing w:after="0"/>
              <w:rPr>
                <w:sz w:val="4"/>
                <w:szCs w:val="4"/>
                <w:color w:val="auto"/>
              </w:rPr>
            </w:pPr>
          </w:p>
        </w:tc>
        <w:tc>
          <w:tcPr>
            <w:tcW w:w="1700" w:type="dxa"/>
            <w:vAlign w:val="bottom"/>
            <w:tcBorders>
              <w:bottom w:val="single" w:sz="8" w:color="E1E2E0"/>
            </w:tcBorders>
          </w:tcPr>
          <w:p>
            <w:pPr>
              <w:spacing w:after="0"/>
              <w:rPr>
                <w:sz w:val="4"/>
                <w:szCs w:val="4"/>
                <w:color w:val="auto"/>
              </w:rPr>
            </w:pPr>
          </w:p>
        </w:tc>
        <w:tc>
          <w:tcPr>
            <w:tcW w:w="960" w:type="dxa"/>
            <w:vAlign w:val="bottom"/>
            <w:tcBorders>
              <w:bottom w:val="single" w:sz="8" w:color="E1E2E0"/>
            </w:tcBorders>
          </w:tcPr>
          <w:p>
            <w:pPr>
              <w:spacing w:after="0"/>
              <w:rPr>
                <w:sz w:val="4"/>
                <w:szCs w:val="4"/>
                <w:color w:val="auto"/>
              </w:rPr>
            </w:pPr>
          </w:p>
        </w:tc>
      </w:tr>
      <w:tr>
        <w:trPr>
          <w:trHeight w:val="244"/>
        </w:trPr>
        <w:tc>
          <w:tcPr>
            <w:tcW w:w="2480" w:type="dxa"/>
            <w:vAlign w:val="bottom"/>
          </w:tcPr>
          <w:p>
            <w:pPr>
              <w:ind w:left="100"/>
              <w:spacing w:after="0"/>
              <w:rPr>
                <w:sz w:val="20"/>
                <w:szCs w:val="20"/>
                <w:color w:val="auto"/>
              </w:rPr>
            </w:pPr>
            <w:r>
              <w:rPr>
                <w:rFonts w:ascii="Arial" w:cs="Arial" w:eastAsia="Arial" w:hAnsi="Arial"/>
                <w:sz w:val="16"/>
                <w:szCs w:val="16"/>
                <w:i w:val="1"/>
                <w:iCs w:val="1"/>
                <w:color w:val="3B3C43"/>
              </w:rPr>
              <w:t>Industrial sites</w:t>
            </w:r>
          </w:p>
        </w:tc>
        <w:tc>
          <w:tcPr>
            <w:tcW w:w="2280" w:type="dxa"/>
            <w:vAlign w:val="bottom"/>
          </w:tcPr>
          <w:p>
            <w:pPr>
              <w:jc w:val="right"/>
              <w:ind w:right="259"/>
              <w:spacing w:after="0"/>
              <w:rPr>
                <w:sz w:val="20"/>
                <w:szCs w:val="20"/>
                <w:color w:val="auto"/>
              </w:rPr>
            </w:pPr>
            <w:r>
              <w:rPr>
                <w:rFonts w:ascii="Arial" w:cs="Arial" w:eastAsia="Arial" w:hAnsi="Arial"/>
                <w:sz w:val="16"/>
                <w:szCs w:val="16"/>
                <w:i w:val="1"/>
                <w:iCs w:val="1"/>
                <w:color w:val="3B3C43"/>
              </w:rPr>
              <w:t>10,968</w:t>
            </w:r>
          </w:p>
        </w:tc>
        <w:tc>
          <w:tcPr>
            <w:tcW w:w="1020" w:type="dxa"/>
            <w:vAlign w:val="bottom"/>
            <w:tcBorders>
              <w:right w:val="single" w:sz="8" w:color="B1B2B4"/>
            </w:tcBorders>
          </w:tcPr>
          <w:p>
            <w:pPr>
              <w:jc w:val="right"/>
              <w:ind w:right="39"/>
              <w:spacing w:after="0"/>
              <w:rPr>
                <w:sz w:val="20"/>
                <w:szCs w:val="20"/>
                <w:color w:val="auto"/>
              </w:rPr>
            </w:pPr>
            <w:r>
              <w:rPr>
                <w:rFonts w:ascii="Arial" w:cs="Arial" w:eastAsia="Arial" w:hAnsi="Arial"/>
                <w:sz w:val="16"/>
                <w:szCs w:val="16"/>
                <w:i w:val="1"/>
                <w:iCs w:val="1"/>
                <w:color w:val="3B3C43"/>
              </w:rPr>
              <w:t>40,778</w:t>
            </w:r>
          </w:p>
        </w:tc>
        <w:tc>
          <w:tcPr>
            <w:tcW w:w="1800" w:type="dxa"/>
            <w:vAlign w:val="bottom"/>
          </w:tcPr>
          <w:p>
            <w:pPr>
              <w:jc w:val="right"/>
              <w:ind w:right="359"/>
              <w:spacing w:after="0"/>
              <w:rPr>
                <w:sz w:val="20"/>
                <w:szCs w:val="20"/>
                <w:color w:val="auto"/>
              </w:rPr>
            </w:pPr>
            <w:r>
              <w:rPr>
                <w:rFonts w:ascii="Arial" w:cs="Arial" w:eastAsia="Arial" w:hAnsi="Arial"/>
                <w:sz w:val="16"/>
                <w:szCs w:val="16"/>
                <w:i w:val="1"/>
                <w:iCs w:val="1"/>
                <w:color w:val="3B3C43"/>
              </w:rPr>
              <w:t>9,701</w:t>
            </w:r>
          </w:p>
        </w:tc>
        <w:tc>
          <w:tcPr>
            <w:tcW w:w="1000" w:type="dxa"/>
            <w:vAlign w:val="bottom"/>
            <w:tcBorders>
              <w:right w:val="single" w:sz="8" w:color="B1B2B4"/>
            </w:tcBorders>
          </w:tcPr>
          <w:p>
            <w:pPr>
              <w:jc w:val="right"/>
              <w:ind w:right="19"/>
              <w:spacing w:after="0"/>
              <w:rPr>
                <w:sz w:val="20"/>
                <w:szCs w:val="20"/>
                <w:color w:val="auto"/>
              </w:rPr>
            </w:pPr>
            <w:r>
              <w:rPr>
                <w:rFonts w:ascii="Arial" w:cs="Arial" w:eastAsia="Arial" w:hAnsi="Arial"/>
                <w:sz w:val="16"/>
                <w:szCs w:val="16"/>
                <w:i w:val="1"/>
                <w:iCs w:val="1"/>
                <w:color w:val="3B3C43"/>
              </w:rPr>
              <w:t>21,375</w:t>
            </w:r>
          </w:p>
        </w:tc>
        <w:tc>
          <w:tcPr>
            <w:tcW w:w="1700" w:type="dxa"/>
            <w:vAlign w:val="bottom"/>
          </w:tcPr>
          <w:p>
            <w:pPr>
              <w:jc w:val="right"/>
              <w:ind w:right="379"/>
              <w:spacing w:after="0"/>
              <w:rPr>
                <w:sz w:val="20"/>
                <w:szCs w:val="20"/>
                <w:color w:val="auto"/>
              </w:rPr>
            </w:pPr>
            <w:r>
              <w:rPr>
                <w:rFonts w:ascii="Arial" w:cs="Arial" w:eastAsia="Arial" w:hAnsi="Arial"/>
                <w:sz w:val="16"/>
                <w:szCs w:val="16"/>
                <w:i w:val="1"/>
                <w:iCs w:val="1"/>
                <w:color w:val="3B3C43"/>
              </w:rPr>
              <w:t>10,641</w:t>
            </w:r>
          </w:p>
        </w:tc>
        <w:tc>
          <w:tcPr>
            <w:tcW w:w="960" w:type="dxa"/>
            <w:vAlign w:val="bottom"/>
          </w:tcPr>
          <w:p>
            <w:pPr>
              <w:jc w:val="right"/>
              <w:spacing w:after="0"/>
              <w:rPr>
                <w:sz w:val="20"/>
                <w:szCs w:val="20"/>
                <w:color w:val="auto"/>
              </w:rPr>
            </w:pPr>
            <w:r>
              <w:rPr>
                <w:rFonts w:ascii="Arial" w:cs="Arial" w:eastAsia="Arial" w:hAnsi="Arial"/>
                <w:sz w:val="16"/>
                <w:szCs w:val="16"/>
                <w:i w:val="1"/>
                <w:iCs w:val="1"/>
                <w:color w:val="3B3C43"/>
              </w:rPr>
              <w:t>15,712</w:t>
            </w:r>
          </w:p>
        </w:tc>
      </w:tr>
      <w:tr>
        <w:trPr>
          <w:trHeight w:val="46"/>
        </w:trPr>
        <w:tc>
          <w:tcPr>
            <w:tcW w:w="248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1020" w:type="dxa"/>
            <w:vAlign w:val="bottom"/>
            <w:tcBorders>
              <w:bottom w:val="single" w:sz="8" w:color="E1E2E0"/>
              <w:right w:val="single" w:sz="8" w:color="B1B2B4"/>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right w:val="single" w:sz="8" w:color="B1B2B4"/>
            </w:tcBorders>
          </w:tcPr>
          <w:p>
            <w:pPr>
              <w:spacing w:after="0"/>
              <w:rPr>
                <w:sz w:val="4"/>
                <w:szCs w:val="4"/>
                <w:color w:val="auto"/>
              </w:rPr>
            </w:pPr>
          </w:p>
        </w:tc>
        <w:tc>
          <w:tcPr>
            <w:tcW w:w="1700" w:type="dxa"/>
            <w:vAlign w:val="bottom"/>
            <w:tcBorders>
              <w:bottom w:val="single" w:sz="8" w:color="E1E2E0"/>
            </w:tcBorders>
          </w:tcPr>
          <w:p>
            <w:pPr>
              <w:spacing w:after="0"/>
              <w:rPr>
                <w:sz w:val="4"/>
                <w:szCs w:val="4"/>
                <w:color w:val="auto"/>
              </w:rPr>
            </w:pPr>
          </w:p>
        </w:tc>
        <w:tc>
          <w:tcPr>
            <w:tcW w:w="960" w:type="dxa"/>
            <w:vAlign w:val="bottom"/>
            <w:tcBorders>
              <w:bottom w:val="single" w:sz="8" w:color="E1E2E0"/>
            </w:tcBorders>
          </w:tcPr>
          <w:p>
            <w:pPr>
              <w:spacing w:after="0"/>
              <w:rPr>
                <w:sz w:val="4"/>
                <w:szCs w:val="4"/>
                <w:color w:val="auto"/>
              </w:rPr>
            </w:pPr>
          </w:p>
        </w:tc>
      </w:tr>
      <w:tr>
        <w:trPr>
          <w:trHeight w:val="244"/>
        </w:trPr>
        <w:tc>
          <w:tcPr>
            <w:tcW w:w="2480" w:type="dxa"/>
            <w:vAlign w:val="bottom"/>
          </w:tcPr>
          <w:p>
            <w:pPr>
              <w:ind w:left="100"/>
              <w:spacing w:after="0"/>
              <w:rPr>
                <w:sz w:val="20"/>
                <w:szCs w:val="20"/>
                <w:color w:val="auto"/>
              </w:rPr>
            </w:pPr>
            <w:r>
              <w:rPr>
                <w:rFonts w:ascii="Arial" w:cs="Arial" w:eastAsia="Arial" w:hAnsi="Arial"/>
                <w:sz w:val="16"/>
                <w:szCs w:val="16"/>
                <w:i w:val="1"/>
                <w:iCs w:val="1"/>
                <w:color w:val="3B3C43"/>
              </w:rPr>
              <w:t>Fleet</w:t>
            </w:r>
          </w:p>
        </w:tc>
        <w:tc>
          <w:tcPr>
            <w:tcW w:w="2280" w:type="dxa"/>
            <w:vAlign w:val="bottom"/>
          </w:tcPr>
          <w:p>
            <w:pPr>
              <w:jc w:val="right"/>
              <w:ind w:right="259"/>
              <w:spacing w:after="0"/>
              <w:rPr>
                <w:sz w:val="20"/>
                <w:szCs w:val="20"/>
                <w:color w:val="auto"/>
              </w:rPr>
            </w:pPr>
            <w:r>
              <w:rPr>
                <w:rFonts w:ascii="Arial" w:cs="Arial" w:eastAsia="Arial" w:hAnsi="Arial"/>
                <w:sz w:val="16"/>
                <w:szCs w:val="16"/>
                <w:i w:val="1"/>
                <w:iCs w:val="1"/>
                <w:color w:val="3B3C43"/>
              </w:rPr>
              <w:t>242,117</w:t>
            </w:r>
          </w:p>
        </w:tc>
        <w:tc>
          <w:tcPr>
            <w:tcW w:w="1020" w:type="dxa"/>
            <w:vAlign w:val="bottom"/>
            <w:tcBorders>
              <w:right w:val="single" w:sz="8" w:color="B1B2B4"/>
            </w:tcBorders>
          </w:tcPr>
          <w:p>
            <w:pPr>
              <w:jc w:val="right"/>
              <w:ind w:right="39"/>
              <w:spacing w:after="0"/>
              <w:rPr>
                <w:sz w:val="20"/>
                <w:szCs w:val="20"/>
                <w:color w:val="auto"/>
              </w:rPr>
            </w:pPr>
            <w:r>
              <w:rPr>
                <w:rFonts w:ascii="Arial" w:cs="Arial" w:eastAsia="Arial" w:hAnsi="Arial"/>
                <w:sz w:val="16"/>
                <w:szCs w:val="16"/>
                <w:i w:val="1"/>
                <w:iCs w:val="1"/>
                <w:color w:val="3B3C43"/>
              </w:rPr>
              <w:t>21</w:t>
            </w:r>
          </w:p>
        </w:tc>
        <w:tc>
          <w:tcPr>
            <w:tcW w:w="1800" w:type="dxa"/>
            <w:vAlign w:val="bottom"/>
          </w:tcPr>
          <w:p>
            <w:pPr>
              <w:jc w:val="right"/>
              <w:ind w:right="359"/>
              <w:spacing w:after="0"/>
              <w:rPr>
                <w:sz w:val="20"/>
                <w:szCs w:val="20"/>
                <w:color w:val="auto"/>
              </w:rPr>
            </w:pPr>
            <w:r>
              <w:rPr>
                <w:rFonts w:ascii="Arial" w:cs="Arial" w:eastAsia="Arial" w:hAnsi="Arial"/>
                <w:sz w:val="16"/>
                <w:szCs w:val="16"/>
                <w:i w:val="1"/>
                <w:iCs w:val="1"/>
                <w:color w:val="3B3C43"/>
              </w:rPr>
              <w:t>272292</w:t>
            </w:r>
          </w:p>
        </w:tc>
        <w:tc>
          <w:tcPr>
            <w:tcW w:w="1000" w:type="dxa"/>
            <w:vAlign w:val="bottom"/>
            <w:tcBorders>
              <w:right w:val="single" w:sz="8" w:color="B1B2B4"/>
            </w:tcBorders>
          </w:tcPr>
          <w:p>
            <w:pPr>
              <w:jc w:val="right"/>
              <w:ind w:right="19"/>
              <w:spacing w:after="0"/>
              <w:rPr>
                <w:sz w:val="20"/>
                <w:szCs w:val="20"/>
                <w:color w:val="auto"/>
              </w:rPr>
            </w:pPr>
            <w:r>
              <w:rPr>
                <w:rFonts w:ascii="Arial" w:cs="Arial" w:eastAsia="Arial" w:hAnsi="Arial"/>
                <w:sz w:val="16"/>
                <w:szCs w:val="16"/>
                <w:i w:val="1"/>
                <w:iCs w:val="1"/>
                <w:color w:val="3B3C43"/>
              </w:rPr>
              <w:t>0</w:t>
            </w:r>
          </w:p>
        </w:tc>
        <w:tc>
          <w:tcPr>
            <w:tcW w:w="1700" w:type="dxa"/>
            <w:vAlign w:val="bottom"/>
          </w:tcPr>
          <w:p>
            <w:pPr>
              <w:jc w:val="right"/>
              <w:ind w:right="379"/>
              <w:spacing w:after="0"/>
              <w:rPr>
                <w:sz w:val="20"/>
                <w:szCs w:val="20"/>
                <w:color w:val="auto"/>
              </w:rPr>
            </w:pPr>
            <w:r>
              <w:rPr>
                <w:rFonts w:ascii="Arial" w:cs="Arial" w:eastAsia="Arial" w:hAnsi="Arial"/>
                <w:sz w:val="16"/>
                <w:szCs w:val="16"/>
                <w:i w:val="1"/>
                <w:iCs w:val="1"/>
                <w:color w:val="3B3C43"/>
              </w:rPr>
              <w:t>266,471</w:t>
            </w:r>
          </w:p>
        </w:tc>
        <w:tc>
          <w:tcPr>
            <w:tcW w:w="960" w:type="dxa"/>
            <w:vAlign w:val="bottom"/>
          </w:tcPr>
          <w:p>
            <w:pPr>
              <w:jc w:val="right"/>
              <w:spacing w:after="0"/>
              <w:rPr>
                <w:sz w:val="20"/>
                <w:szCs w:val="20"/>
                <w:color w:val="auto"/>
              </w:rPr>
            </w:pPr>
            <w:r>
              <w:rPr>
                <w:rFonts w:ascii="Arial" w:cs="Arial" w:eastAsia="Arial" w:hAnsi="Arial"/>
                <w:sz w:val="16"/>
                <w:szCs w:val="16"/>
                <w:i w:val="1"/>
                <w:iCs w:val="1"/>
                <w:color w:val="3B3C43"/>
              </w:rPr>
              <w:t>–</w:t>
            </w:r>
          </w:p>
        </w:tc>
      </w:tr>
      <w:tr>
        <w:trPr>
          <w:trHeight w:val="47"/>
        </w:trPr>
        <w:tc>
          <w:tcPr>
            <w:tcW w:w="248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1020" w:type="dxa"/>
            <w:vAlign w:val="bottom"/>
            <w:tcBorders>
              <w:bottom w:val="single" w:sz="8" w:color="E1E2E0"/>
              <w:right w:val="single" w:sz="8" w:color="B1B2B4"/>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right w:val="single" w:sz="8" w:color="B1B2B4"/>
            </w:tcBorders>
          </w:tcPr>
          <w:p>
            <w:pPr>
              <w:spacing w:after="0"/>
              <w:rPr>
                <w:sz w:val="4"/>
                <w:szCs w:val="4"/>
                <w:color w:val="auto"/>
              </w:rPr>
            </w:pPr>
          </w:p>
        </w:tc>
        <w:tc>
          <w:tcPr>
            <w:tcW w:w="1700" w:type="dxa"/>
            <w:vAlign w:val="bottom"/>
            <w:tcBorders>
              <w:bottom w:val="single" w:sz="8" w:color="E1E2E0"/>
            </w:tcBorders>
          </w:tcPr>
          <w:p>
            <w:pPr>
              <w:spacing w:after="0"/>
              <w:rPr>
                <w:sz w:val="4"/>
                <w:szCs w:val="4"/>
                <w:color w:val="auto"/>
              </w:rPr>
            </w:pPr>
          </w:p>
        </w:tc>
        <w:tc>
          <w:tcPr>
            <w:tcW w:w="960" w:type="dxa"/>
            <w:vAlign w:val="bottom"/>
            <w:tcBorders>
              <w:bottom w:val="single" w:sz="8" w:color="E1E2E0"/>
            </w:tcBorders>
          </w:tcPr>
          <w:p>
            <w:pPr>
              <w:spacing w:after="0"/>
              <w:rPr>
                <w:sz w:val="4"/>
                <w:szCs w:val="4"/>
                <w:color w:val="auto"/>
              </w:rPr>
            </w:pPr>
          </w:p>
        </w:tc>
      </w:tr>
      <w:tr>
        <w:trPr>
          <w:trHeight w:val="244"/>
        </w:trPr>
        <w:tc>
          <w:tcPr>
            <w:tcW w:w="2480" w:type="dxa"/>
            <w:vAlign w:val="bottom"/>
          </w:tcPr>
          <w:p>
            <w:pPr>
              <w:ind w:left="100"/>
              <w:spacing w:after="0"/>
              <w:rPr>
                <w:sz w:val="20"/>
                <w:szCs w:val="20"/>
                <w:color w:val="auto"/>
              </w:rPr>
            </w:pPr>
            <w:r>
              <w:rPr>
                <w:rFonts w:ascii="Arial" w:cs="Arial" w:eastAsia="Arial" w:hAnsi="Arial"/>
                <w:sz w:val="16"/>
                <w:szCs w:val="16"/>
                <w:i w:val="1"/>
                <w:iCs w:val="1"/>
                <w:color w:val="3B3C43"/>
              </w:rPr>
              <w:t>Offices</w:t>
            </w:r>
          </w:p>
        </w:tc>
        <w:tc>
          <w:tcPr>
            <w:tcW w:w="2280" w:type="dxa"/>
            <w:vAlign w:val="bottom"/>
          </w:tcPr>
          <w:p>
            <w:pPr>
              <w:jc w:val="right"/>
              <w:ind w:right="259"/>
              <w:spacing w:after="0"/>
              <w:rPr>
                <w:sz w:val="20"/>
                <w:szCs w:val="20"/>
                <w:color w:val="auto"/>
              </w:rPr>
            </w:pPr>
            <w:r>
              <w:rPr>
                <w:rFonts w:ascii="Arial" w:cs="Arial" w:eastAsia="Arial" w:hAnsi="Arial"/>
                <w:sz w:val="16"/>
                <w:szCs w:val="16"/>
                <w:i w:val="1"/>
                <w:iCs w:val="1"/>
                <w:color w:val="3B3C43"/>
              </w:rPr>
              <w:t>1,450</w:t>
            </w:r>
          </w:p>
        </w:tc>
        <w:tc>
          <w:tcPr>
            <w:tcW w:w="1020" w:type="dxa"/>
            <w:vAlign w:val="bottom"/>
            <w:tcBorders>
              <w:right w:val="single" w:sz="8" w:color="B1B2B4"/>
            </w:tcBorders>
          </w:tcPr>
          <w:p>
            <w:pPr>
              <w:jc w:val="right"/>
              <w:ind w:right="39"/>
              <w:spacing w:after="0"/>
              <w:rPr>
                <w:sz w:val="20"/>
                <w:szCs w:val="20"/>
                <w:color w:val="auto"/>
              </w:rPr>
            </w:pPr>
            <w:r>
              <w:rPr>
                <w:rFonts w:ascii="Arial" w:cs="Arial" w:eastAsia="Arial" w:hAnsi="Arial"/>
                <w:sz w:val="16"/>
                <w:szCs w:val="16"/>
                <w:i w:val="1"/>
                <w:iCs w:val="1"/>
                <w:color w:val="3B3C43"/>
              </w:rPr>
              <w:t>19,602</w:t>
            </w:r>
          </w:p>
        </w:tc>
        <w:tc>
          <w:tcPr>
            <w:tcW w:w="1800" w:type="dxa"/>
            <w:vAlign w:val="bottom"/>
          </w:tcPr>
          <w:p>
            <w:pPr>
              <w:jc w:val="right"/>
              <w:ind w:right="359"/>
              <w:spacing w:after="0"/>
              <w:rPr>
                <w:sz w:val="20"/>
                <w:szCs w:val="20"/>
                <w:color w:val="auto"/>
              </w:rPr>
            </w:pPr>
            <w:r>
              <w:rPr>
                <w:rFonts w:ascii="Arial" w:cs="Arial" w:eastAsia="Arial" w:hAnsi="Arial"/>
                <w:sz w:val="16"/>
                <w:szCs w:val="16"/>
                <w:i w:val="1"/>
                <w:iCs w:val="1"/>
                <w:color w:val="3B3C43"/>
              </w:rPr>
              <w:t>1,551</w:t>
            </w:r>
          </w:p>
        </w:tc>
        <w:tc>
          <w:tcPr>
            <w:tcW w:w="1000" w:type="dxa"/>
            <w:vAlign w:val="bottom"/>
            <w:tcBorders>
              <w:right w:val="single" w:sz="8" w:color="B1B2B4"/>
            </w:tcBorders>
          </w:tcPr>
          <w:p>
            <w:pPr>
              <w:jc w:val="right"/>
              <w:ind w:right="19"/>
              <w:spacing w:after="0"/>
              <w:rPr>
                <w:sz w:val="20"/>
                <w:szCs w:val="20"/>
                <w:color w:val="auto"/>
              </w:rPr>
            </w:pPr>
            <w:r>
              <w:rPr>
                <w:rFonts w:ascii="Arial" w:cs="Arial" w:eastAsia="Arial" w:hAnsi="Arial"/>
                <w:sz w:val="16"/>
                <w:szCs w:val="16"/>
                <w:i w:val="1"/>
                <w:iCs w:val="1"/>
                <w:color w:val="3B3C43"/>
              </w:rPr>
              <w:t>18,558</w:t>
            </w:r>
          </w:p>
        </w:tc>
        <w:tc>
          <w:tcPr>
            <w:tcW w:w="1700" w:type="dxa"/>
            <w:vAlign w:val="bottom"/>
          </w:tcPr>
          <w:p>
            <w:pPr>
              <w:jc w:val="right"/>
              <w:ind w:right="379"/>
              <w:spacing w:after="0"/>
              <w:rPr>
                <w:sz w:val="20"/>
                <w:szCs w:val="20"/>
                <w:color w:val="auto"/>
              </w:rPr>
            </w:pPr>
            <w:r>
              <w:rPr>
                <w:rFonts w:ascii="Arial" w:cs="Arial" w:eastAsia="Arial" w:hAnsi="Arial"/>
                <w:sz w:val="16"/>
                <w:szCs w:val="16"/>
                <w:i w:val="1"/>
                <w:iCs w:val="1"/>
                <w:color w:val="3B3C43"/>
              </w:rPr>
              <w:t>1,516</w:t>
            </w:r>
          </w:p>
        </w:tc>
        <w:tc>
          <w:tcPr>
            <w:tcW w:w="960" w:type="dxa"/>
            <w:vAlign w:val="bottom"/>
          </w:tcPr>
          <w:p>
            <w:pPr>
              <w:jc w:val="right"/>
              <w:spacing w:after="0"/>
              <w:rPr>
                <w:sz w:val="20"/>
                <w:szCs w:val="20"/>
                <w:color w:val="auto"/>
              </w:rPr>
            </w:pPr>
            <w:r>
              <w:rPr>
                <w:rFonts w:ascii="Arial" w:cs="Arial" w:eastAsia="Arial" w:hAnsi="Arial"/>
                <w:sz w:val="16"/>
                <w:szCs w:val="16"/>
                <w:i w:val="1"/>
                <w:iCs w:val="1"/>
                <w:color w:val="3B3C43"/>
              </w:rPr>
              <w:t>19,871</w:t>
            </w:r>
          </w:p>
        </w:tc>
      </w:tr>
      <w:tr>
        <w:trPr>
          <w:trHeight w:val="47"/>
        </w:trPr>
        <w:tc>
          <w:tcPr>
            <w:tcW w:w="248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1020" w:type="dxa"/>
            <w:vAlign w:val="bottom"/>
            <w:tcBorders>
              <w:bottom w:val="single" w:sz="8" w:color="E1E2E0"/>
              <w:right w:val="single" w:sz="8" w:color="B1B2B4"/>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right w:val="single" w:sz="8" w:color="B1B2B4"/>
            </w:tcBorders>
          </w:tcPr>
          <w:p>
            <w:pPr>
              <w:spacing w:after="0"/>
              <w:rPr>
                <w:sz w:val="4"/>
                <w:szCs w:val="4"/>
                <w:color w:val="auto"/>
              </w:rPr>
            </w:pPr>
          </w:p>
        </w:tc>
        <w:tc>
          <w:tcPr>
            <w:tcW w:w="1700" w:type="dxa"/>
            <w:vAlign w:val="bottom"/>
            <w:tcBorders>
              <w:bottom w:val="single" w:sz="8" w:color="E1E2E0"/>
            </w:tcBorders>
          </w:tcPr>
          <w:p>
            <w:pPr>
              <w:spacing w:after="0"/>
              <w:rPr>
                <w:sz w:val="4"/>
                <w:szCs w:val="4"/>
                <w:color w:val="auto"/>
              </w:rPr>
            </w:pPr>
          </w:p>
        </w:tc>
        <w:tc>
          <w:tcPr>
            <w:tcW w:w="960" w:type="dxa"/>
            <w:vAlign w:val="bottom"/>
            <w:tcBorders>
              <w:bottom w:val="single" w:sz="8" w:color="E1E2E0"/>
            </w:tcBorders>
          </w:tcPr>
          <w:p>
            <w:pPr>
              <w:spacing w:after="0"/>
              <w:rPr>
                <w:sz w:val="4"/>
                <w:szCs w:val="4"/>
                <w:color w:val="auto"/>
              </w:rPr>
            </w:pPr>
          </w:p>
        </w:tc>
      </w:tr>
      <w:tr>
        <w:trPr>
          <w:trHeight w:val="244"/>
        </w:trPr>
        <w:tc>
          <w:tcPr>
            <w:tcW w:w="2480" w:type="dxa"/>
            <w:vAlign w:val="bottom"/>
          </w:tcPr>
          <w:p>
            <w:pPr>
              <w:ind w:left="100"/>
              <w:spacing w:after="0"/>
              <w:rPr>
                <w:sz w:val="20"/>
                <w:szCs w:val="20"/>
                <w:color w:val="auto"/>
              </w:rPr>
            </w:pPr>
            <w:r>
              <w:rPr>
                <w:rFonts w:ascii="Arial" w:cs="Arial" w:eastAsia="Arial" w:hAnsi="Arial"/>
                <w:sz w:val="16"/>
                <w:szCs w:val="16"/>
                <w:b w:val="1"/>
                <w:bCs w:val="1"/>
                <w:color w:val="3B3C43"/>
              </w:rPr>
              <w:t>Our Projects</w:t>
            </w:r>
          </w:p>
        </w:tc>
        <w:tc>
          <w:tcPr>
            <w:tcW w:w="2280" w:type="dxa"/>
            <w:vAlign w:val="bottom"/>
          </w:tcPr>
          <w:p>
            <w:pPr>
              <w:jc w:val="right"/>
              <w:ind w:right="259"/>
              <w:spacing w:after="0"/>
              <w:rPr>
                <w:sz w:val="20"/>
                <w:szCs w:val="20"/>
                <w:color w:val="auto"/>
              </w:rPr>
            </w:pPr>
            <w:r>
              <w:rPr>
                <w:rFonts w:ascii="Arial" w:cs="Arial" w:eastAsia="Arial" w:hAnsi="Arial"/>
                <w:sz w:val="16"/>
                <w:szCs w:val="16"/>
                <w:b w:val="1"/>
                <w:bCs w:val="1"/>
                <w:color w:val="3B3C43"/>
              </w:rPr>
              <w:t>319,523</w:t>
            </w:r>
          </w:p>
        </w:tc>
        <w:tc>
          <w:tcPr>
            <w:tcW w:w="1020" w:type="dxa"/>
            <w:vAlign w:val="bottom"/>
            <w:tcBorders>
              <w:right w:val="single" w:sz="8" w:color="B1B2B4"/>
            </w:tcBorders>
          </w:tcPr>
          <w:p>
            <w:pPr>
              <w:jc w:val="right"/>
              <w:ind w:right="39"/>
              <w:spacing w:after="0"/>
              <w:rPr>
                <w:sz w:val="20"/>
                <w:szCs w:val="20"/>
                <w:color w:val="auto"/>
              </w:rPr>
            </w:pPr>
            <w:r>
              <w:rPr>
                <w:rFonts w:ascii="Arial" w:cs="Arial" w:eastAsia="Arial" w:hAnsi="Arial"/>
                <w:sz w:val="16"/>
                <w:szCs w:val="16"/>
                <w:b w:val="1"/>
                <w:bCs w:val="1"/>
                <w:color w:val="3B3C43"/>
              </w:rPr>
              <w:t>9,010</w:t>
            </w:r>
          </w:p>
        </w:tc>
        <w:tc>
          <w:tcPr>
            <w:tcW w:w="1800" w:type="dxa"/>
            <w:vAlign w:val="bottom"/>
          </w:tcPr>
          <w:p>
            <w:pPr>
              <w:jc w:val="right"/>
              <w:ind w:right="359"/>
              <w:spacing w:after="0"/>
              <w:rPr>
                <w:sz w:val="20"/>
                <w:szCs w:val="20"/>
                <w:color w:val="auto"/>
              </w:rPr>
            </w:pPr>
            <w:r>
              <w:rPr>
                <w:rFonts w:ascii="Arial" w:cs="Arial" w:eastAsia="Arial" w:hAnsi="Arial"/>
                <w:sz w:val="16"/>
                <w:szCs w:val="16"/>
                <w:b w:val="1"/>
                <w:bCs w:val="1"/>
                <w:color w:val="3B3C43"/>
              </w:rPr>
              <w:t>132,572</w:t>
            </w:r>
          </w:p>
        </w:tc>
        <w:tc>
          <w:tcPr>
            <w:tcW w:w="1000" w:type="dxa"/>
            <w:vAlign w:val="bottom"/>
            <w:tcBorders>
              <w:right w:val="single" w:sz="8" w:color="B1B2B4"/>
            </w:tcBorders>
          </w:tcPr>
          <w:p>
            <w:pPr>
              <w:jc w:val="right"/>
              <w:ind w:right="19"/>
              <w:spacing w:after="0"/>
              <w:rPr>
                <w:sz w:val="20"/>
                <w:szCs w:val="20"/>
                <w:color w:val="auto"/>
              </w:rPr>
            </w:pPr>
            <w:r>
              <w:rPr>
                <w:rFonts w:ascii="Arial" w:cs="Arial" w:eastAsia="Arial" w:hAnsi="Arial"/>
                <w:sz w:val="16"/>
                <w:szCs w:val="16"/>
                <w:b w:val="1"/>
                <w:bCs w:val="1"/>
                <w:color w:val="3B3C43"/>
              </w:rPr>
              <w:t>13,906</w:t>
            </w: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3B3C43"/>
              </w:rPr>
              <w:t>68,188</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3B3C43"/>
              </w:rPr>
              <w:t>44,604</w:t>
            </w:r>
          </w:p>
        </w:tc>
      </w:tr>
      <w:tr>
        <w:trPr>
          <w:trHeight w:val="251"/>
        </w:trPr>
        <w:tc>
          <w:tcPr>
            <w:tcW w:w="2480" w:type="dxa"/>
            <w:vAlign w:val="bottom"/>
          </w:tcPr>
          <w:p>
            <w:pPr>
              <w:ind w:left="100"/>
              <w:spacing w:after="0"/>
              <w:rPr>
                <w:sz w:val="20"/>
                <w:szCs w:val="20"/>
                <w:color w:val="auto"/>
              </w:rPr>
            </w:pPr>
            <w:r>
              <w:rPr>
                <w:rFonts w:ascii="Arial" w:cs="Arial" w:eastAsia="Arial" w:hAnsi="Arial"/>
                <w:sz w:val="16"/>
                <w:szCs w:val="16"/>
                <w:color w:val="3B3C43"/>
              </w:rPr>
              <w:t>including  Construction  sites</w:t>
            </w:r>
          </w:p>
        </w:tc>
        <w:tc>
          <w:tcPr>
            <w:tcW w:w="2280" w:type="dxa"/>
            <w:vAlign w:val="bottom"/>
          </w:tcPr>
          <w:p>
            <w:pPr>
              <w:jc w:val="right"/>
              <w:ind w:right="1839"/>
              <w:spacing w:after="0"/>
              <w:rPr>
                <w:sz w:val="20"/>
                <w:szCs w:val="20"/>
                <w:color w:val="auto"/>
              </w:rPr>
            </w:pPr>
            <w:r>
              <w:rPr>
                <w:rFonts w:ascii="Arial" w:cs="Arial" w:eastAsia="Arial" w:hAnsi="Arial"/>
                <w:sz w:val="16"/>
                <w:szCs w:val="16"/>
                <w:color w:val="3B3C43"/>
              </w:rPr>
              <w:t>and</w:t>
            </w:r>
          </w:p>
        </w:tc>
        <w:tc>
          <w:tcPr>
            <w:tcW w:w="1020" w:type="dxa"/>
            <w:vAlign w:val="bottom"/>
            <w:tcBorders>
              <w:right w:val="single" w:sz="8" w:color="B1B2B4"/>
            </w:tcBorders>
          </w:tcPr>
          <w:p>
            <w:pPr>
              <w:spacing w:after="0"/>
              <w:rPr>
                <w:sz w:val="21"/>
                <w:szCs w:val="21"/>
                <w:color w:val="auto"/>
              </w:rPr>
            </w:pPr>
          </w:p>
        </w:tc>
        <w:tc>
          <w:tcPr>
            <w:tcW w:w="1800" w:type="dxa"/>
            <w:vAlign w:val="bottom"/>
          </w:tcPr>
          <w:p>
            <w:pPr>
              <w:spacing w:after="0"/>
              <w:rPr>
                <w:sz w:val="21"/>
                <w:szCs w:val="21"/>
                <w:color w:val="auto"/>
              </w:rPr>
            </w:pPr>
          </w:p>
        </w:tc>
        <w:tc>
          <w:tcPr>
            <w:tcW w:w="1000" w:type="dxa"/>
            <w:vAlign w:val="bottom"/>
            <w:tcBorders>
              <w:right w:val="single" w:sz="8" w:color="B1B2B4"/>
            </w:tcBorders>
          </w:tcPr>
          <w:p>
            <w:pPr>
              <w:spacing w:after="0"/>
              <w:rPr>
                <w:sz w:val="21"/>
                <w:szCs w:val="21"/>
                <w:color w:val="auto"/>
              </w:rPr>
            </w:pPr>
          </w:p>
        </w:tc>
        <w:tc>
          <w:tcPr>
            <w:tcW w:w="17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195"/>
        </w:trPr>
        <w:tc>
          <w:tcPr>
            <w:tcW w:w="2480" w:type="dxa"/>
            <w:vAlign w:val="bottom"/>
          </w:tcPr>
          <w:p>
            <w:pPr>
              <w:ind w:left="100"/>
              <w:spacing w:after="0"/>
              <w:rPr>
                <w:sz w:val="20"/>
                <w:szCs w:val="20"/>
                <w:color w:val="auto"/>
              </w:rPr>
            </w:pPr>
            <w:r>
              <w:rPr>
                <w:rFonts w:ascii="Arial" w:cs="Arial" w:eastAsia="Arial" w:hAnsi="Arial"/>
                <w:sz w:val="16"/>
                <w:szCs w:val="16"/>
                <w:color w:val="3B3C43"/>
              </w:rPr>
              <w:t>Yards/Bases:</w:t>
            </w:r>
          </w:p>
        </w:tc>
        <w:tc>
          <w:tcPr>
            <w:tcW w:w="2280" w:type="dxa"/>
            <w:vAlign w:val="bottom"/>
          </w:tcPr>
          <w:p>
            <w:pPr>
              <w:spacing w:after="0"/>
              <w:rPr>
                <w:sz w:val="16"/>
                <w:szCs w:val="16"/>
                <w:color w:val="auto"/>
              </w:rPr>
            </w:pPr>
          </w:p>
        </w:tc>
        <w:tc>
          <w:tcPr>
            <w:tcW w:w="1020" w:type="dxa"/>
            <w:vAlign w:val="bottom"/>
            <w:tcBorders>
              <w:right w:val="single" w:sz="8" w:color="B1B2B4"/>
            </w:tcBorders>
          </w:tcPr>
          <w:p>
            <w:pPr>
              <w:spacing w:after="0"/>
              <w:rPr>
                <w:sz w:val="16"/>
                <w:szCs w:val="16"/>
                <w:color w:val="auto"/>
              </w:rPr>
            </w:pPr>
          </w:p>
        </w:tc>
        <w:tc>
          <w:tcPr>
            <w:tcW w:w="1800" w:type="dxa"/>
            <w:vAlign w:val="bottom"/>
          </w:tcPr>
          <w:p>
            <w:pPr>
              <w:spacing w:after="0"/>
              <w:rPr>
                <w:sz w:val="16"/>
                <w:szCs w:val="16"/>
                <w:color w:val="auto"/>
              </w:rPr>
            </w:pPr>
          </w:p>
        </w:tc>
        <w:tc>
          <w:tcPr>
            <w:tcW w:w="1000" w:type="dxa"/>
            <w:vAlign w:val="bottom"/>
            <w:tcBorders>
              <w:right w:val="single" w:sz="8" w:color="B1B2B4"/>
            </w:tcBorders>
          </w:tcPr>
          <w:p>
            <w:pPr>
              <w:spacing w:after="0"/>
              <w:rPr>
                <w:sz w:val="16"/>
                <w:szCs w:val="16"/>
                <w:color w:val="auto"/>
              </w:rPr>
            </w:pPr>
          </w:p>
        </w:tc>
        <w:tc>
          <w:tcPr>
            <w:tcW w:w="17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47"/>
        </w:trPr>
        <w:tc>
          <w:tcPr>
            <w:tcW w:w="248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1020" w:type="dxa"/>
            <w:vAlign w:val="bottom"/>
            <w:tcBorders>
              <w:bottom w:val="single" w:sz="8" w:color="E1E2E0"/>
              <w:right w:val="single" w:sz="8" w:color="B1B2B4"/>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right w:val="single" w:sz="8" w:color="B1B2B4"/>
            </w:tcBorders>
          </w:tcPr>
          <w:p>
            <w:pPr>
              <w:spacing w:after="0"/>
              <w:rPr>
                <w:sz w:val="4"/>
                <w:szCs w:val="4"/>
                <w:color w:val="auto"/>
              </w:rPr>
            </w:pPr>
          </w:p>
        </w:tc>
        <w:tc>
          <w:tcPr>
            <w:tcW w:w="1700" w:type="dxa"/>
            <w:vAlign w:val="bottom"/>
            <w:tcBorders>
              <w:bottom w:val="single" w:sz="8" w:color="E1E2E0"/>
            </w:tcBorders>
          </w:tcPr>
          <w:p>
            <w:pPr>
              <w:spacing w:after="0"/>
              <w:rPr>
                <w:sz w:val="4"/>
                <w:szCs w:val="4"/>
                <w:color w:val="auto"/>
              </w:rPr>
            </w:pPr>
          </w:p>
        </w:tc>
        <w:tc>
          <w:tcPr>
            <w:tcW w:w="960" w:type="dxa"/>
            <w:vAlign w:val="bottom"/>
            <w:tcBorders>
              <w:bottom w:val="single" w:sz="8" w:color="E1E2E0"/>
            </w:tcBorders>
          </w:tcPr>
          <w:p>
            <w:pPr>
              <w:spacing w:after="0"/>
              <w:rPr>
                <w:sz w:val="4"/>
                <w:szCs w:val="4"/>
                <w:color w:val="auto"/>
              </w:rPr>
            </w:pPr>
          </w:p>
        </w:tc>
      </w:tr>
      <w:tr>
        <w:trPr>
          <w:trHeight w:val="244"/>
        </w:trPr>
        <w:tc>
          <w:tcPr>
            <w:tcW w:w="2480" w:type="dxa"/>
            <w:vAlign w:val="bottom"/>
          </w:tcPr>
          <w:p>
            <w:pPr>
              <w:ind w:left="100"/>
              <w:spacing w:after="0"/>
              <w:rPr>
                <w:sz w:val="20"/>
                <w:szCs w:val="20"/>
                <w:color w:val="auto"/>
              </w:rPr>
            </w:pPr>
            <w:r>
              <w:rPr>
                <w:rFonts w:ascii="Arial" w:cs="Arial" w:eastAsia="Arial" w:hAnsi="Arial"/>
                <w:sz w:val="16"/>
                <w:szCs w:val="16"/>
                <w:i w:val="1"/>
                <w:iCs w:val="1"/>
                <w:color w:val="3B3C43"/>
              </w:rPr>
              <w:t>Onshore/Offshore</w:t>
            </w:r>
          </w:p>
        </w:tc>
        <w:tc>
          <w:tcPr>
            <w:tcW w:w="2280" w:type="dxa"/>
            <w:vAlign w:val="bottom"/>
          </w:tcPr>
          <w:p>
            <w:pPr>
              <w:jc w:val="right"/>
              <w:ind w:right="259"/>
              <w:spacing w:after="0"/>
              <w:rPr>
                <w:sz w:val="20"/>
                <w:szCs w:val="20"/>
                <w:color w:val="auto"/>
              </w:rPr>
            </w:pPr>
            <w:r>
              <w:rPr>
                <w:rFonts w:ascii="Arial" w:cs="Arial" w:eastAsia="Arial" w:hAnsi="Arial"/>
                <w:sz w:val="16"/>
                <w:szCs w:val="16"/>
                <w:i w:val="1"/>
                <w:iCs w:val="1"/>
                <w:color w:val="3B3C43"/>
              </w:rPr>
              <w:t>284,055</w:t>
            </w:r>
          </w:p>
        </w:tc>
        <w:tc>
          <w:tcPr>
            <w:tcW w:w="1020" w:type="dxa"/>
            <w:vAlign w:val="bottom"/>
            <w:tcBorders>
              <w:right w:val="single" w:sz="8" w:color="B1B2B4"/>
            </w:tcBorders>
          </w:tcPr>
          <w:p>
            <w:pPr>
              <w:jc w:val="right"/>
              <w:ind w:right="39"/>
              <w:spacing w:after="0"/>
              <w:rPr>
                <w:sz w:val="20"/>
                <w:szCs w:val="20"/>
                <w:color w:val="auto"/>
              </w:rPr>
            </w:pPr>
            <w:r>
              <w:rPr>
                <w:rFonts w:ascii="Arial" w:cs="Arial" w:eastAsia="Arial" w:hAnsi="Arial"/>
                <w:sz w:val="16"/>
                <w:szCs w:val="16"/>
                <w:i w:val="1"/>
                <w:iCs w:val="1"/>
                <w:color w:val="3B3C43"/>
              </w:rPr>
              <w:t>3,898</w:t>
            </w:r>
          </w:p>
        </w:tc>
        <w:tc>
          <w:tcPr>
            <w:tcW w:w="1800" w:type="dxa"/>
            <w:vAlign w:val="bottom"/>
          </w:tcPr>
          <w:p>
            <w:pPr>
              <w:jc w:val="right"/>
              <w:ind w:right="359"/>
              <w:spacing w:after="0"/>
              <w:rPr>
                <w:sz w:val="20"/>
                <w:szCs w:val="20"/>
                <w:color w:val="auto"/>
              </w:rPr>
            </w:pPr>
            <w:r>
              <w:rPr>
                <w:rFonts w:ascii="Arial" w:cs="Arial" w:eastAsia="Arial" w:hAnsi="Arial"/>
                <w:sz w:val="16"/>
                <w:szCs w:val="16"/>
                <w:i w:val="1"/>
                <w:iCs w:val="1"/>
                <w:color w:val="3B3C43"/>
              </w:rPr>
              <w:t>51,780</w:t>
            </w:r>
          </w:p>
        </w:tc>
        <w:tc>
          <w:tcPr>
            <w:tcW w:w="1000" w:type="dxa"/>
            <w:vAlign w:val="bottom"/>
            <w:tcBorders>
              <w:right w:val="single" w:sz="8" w:color="B1B2B4"/>
            </w:tcBorders>
          </w:tcPr>
          <w:p>
            <w:pPr>
              <w:jc w:val="right"/>
              <w:ind w:right="19"/>
              <w:spacing w:after="0"/>
              <w:rPr>
                <w:sz w:val="20"/>
                <w:szCs w:val="20"/>
                <w:color w:val="auto"/>
              </w:rPr>
            </w:pPr>
            <w:r>
              <w:rPr>
                <w:rFonts w:ascii="Arial" w:cs="Arial" w:eastAsia="Arial" w:hAnsi="Arial"/>
                <w:sz w:val="16"/>
                <w:szCs w:val="16"/>
                <w:i w:val="1"/>
                <w:iCs w:val="1"/>
                <w:color w:val="3B3C43"/>
              </w:rPr>
              <w:t>9,128</w:t>
            </w:r>
          </w:p>
        </w:tc>
        <w:tc>
          <w:tcPr>
            <w:tcW w:w="1700" w:type="dxa"/>
            <w:vAlign w:val="bottom"/>
          </w:tcPr>
          <w:p>
            <w:pPr>
              <w:jc w:val="right"/>
              <w:ind w:right="379"/>
              <w:spacing w:after="0"/>
              <w:rPr>
                <w:sz w:val="20"/>
                <w:szCs w:val="20"/>
                <w:color w:val="auto"/>
              </w:rPr>
            </w:pPr>
            <w:r>
              <w:rPr>
                <w:rFonts w:ascii="Arial" w:cs="Arial" w:eastAsia="Arial" w:hAnsi="Arial"/>
                <w:sz w:val="16"/>
                <w:szCs w:val="16"/>
                <w:i w:val="1"/>
                <w:iCs w:val="1"/>
                <w:color w:val="3B3C43"/>
              </w:rPr>
              <w:t>24,491</w:t>
            </w:r>
          </w:p>
        </w:tc>
        <w:tc>
          <w:tcPr>
            <w:tcW w:w="960" w:type="dxa"/>
            <w:vAlign w:val="bottom"/>
          </w:tcPr>
          <w:p>
            <w:pPr>
              <w:jc w:val="right"/>
              <w:spacing w:after="0"/>
              <w:rPr>
                <w:sz w:val="20"/>
                <w:szCs w:val="20"/>
                <w:color w:val="auto"/>
              </w:rPr>
            </w:pPr>
            <w:r>
              <w:rPr>
                <w:rFonts w:ascii="Arial" w:cs="Arial" w:eastAsia="Arial" w:hAnsi="Arial"/>
                <w:sz w:val="16"/>
                <w:szCs w:val="16"/>
                <w:i w:val="1"/>
                <w:iCs w:val="1"/>
                <w:color w:val="3B3C43"/>
              </w:rPr>
              <w:t>42,110</w:t>
            </w:r>
          </w:p>
        </w:tc>
      </w:tr>
      <w:tr>
        <w:trPr>
          <w:trHeight w:val="47"/>
        </w:trPr>
        <w:tc>
          <w:tcPr>
            <w:tcW w:w="248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1020" w:type="dxa"/>
            <w:vAlign w:val="bottom"/>
            <w:tcBorders>
              <w:bottom w:val="single" w:sz="8" w:color="E1E2E0"/>
              <w:right w:val="single" w:sz="8" w:color="B1B2B4"/>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right w:val="single" w:sz="8" w:color="B1B2B4"/>
            </w:tcBorders>
          </w:tcPr>
          <w:p>
            <w:pPr>
              <w:spacing w:after="0"/>
              <w:rPr>
                <w:sz w:val="4"/>
                <w:szCs w:val="4"/>
                <w:color w:val="auto"/>
              </w:rPr>
            </w:pPr>
          </w:p>
        </w:tc>
        <w:tc>
          <w:tcPr>
            <w:tcW w:w="1700" w:type="dxa"/>
            <w:vAlign w:val="bottom"/>
            <w:tcBorders>
              <w:bottom w:val="single" w:sz="8" w:color="E1E2E0"/>
            </w:tcBorders>
          </w:tcPr>
          <w:p>
            <w:pPr>
              <w:spacing w:after="0"/>
              <w:rPr>
                <w:sz w:val="4"/>
                <w:szCs w:val="4"/>
                <w:color w:val="auto"/>
              </w:rPr>
            </w:pPr>
          </w:p>
        </w:tc>
        <w:tc>
          <w:tcPr>
            <w:tcW w:w="960" w:type="dxa"/>
            <w:vAlign w:val="bottom"/>
            <w:tcBorders>
              <w:bottom w:val="single" w:sz="8" w:color="E1E2E0"/>
            </w:tcBorders>
          </w:tcPr>
          <w:p>
            <w:pPr>
              <w:spacing w:after="0"/>
              <w:rPr>
                <w:sz w:val="4"/>
                <w:szCs w:val="4"/>
                <w:color w:val="auto"/>
              </w:rPr>
            </w:pPr>
          </w:p>
        </w:tc>
      </w:tr>
      <w:tr>
        <w:trPr>
          <w:trHeight w:val="244"/>
        </w:trPr>
        <w:tc>
          <w:tcPr>
            <w:tcW w:w="2480" w:type="dxa"/>
            <w:vAlign w:val="bottom"/>
          </w:tcPr>
          <w:p>
            <w:pPr>
              <w:ind w:left="100"/>
              <w:spacing w:after="0"/>
              <w:rPr>
                <w:sz w:val="20"/>
                <w:szCs w:val="20"/>
                <w:color w:val="auto"/>
              </w:rPr>
            </w:pPr>
            <w:r>
              <w:rPr>
                <w:rFonts w:ascii="Arial" w:cs="Arial" w:eastAsia="Arial" w:hAnsi="Arial"/>
                <w:sz w:val="16"/>
                <w:szCs w:val="16"/>
                <w:i w:val="1"/>
                <w:iCs w:val="1"/>
                <w:color w:val="3B3C43"/>
              </w:rPr>
              <w:t>Subsea</w:t>
            </w:r>
          </w:p>
        </w:tc>
        <w:tc>
          <w:tcPr>
            <w:tcW w:w="2280" w:type="dxa"/>
            <w:vAlign w:val="bottom"/>
          </w:tcPr>
          <w:p>
            <w:pPr>
              <w:jc w:val="right"/>
              <w:ind w:right="259"/>
              <w:spacing w:after="0"/>
              <w:rPr>
                <w:sz w:val="20"/>
                <w:szCs w:val="20"/>
                <w:color w:val="auto"/>
              </w:rPr>
            </w:pPr>
            <w:r>
              <w:rPr>
                <w:rFonts w:ascii="Arial" w:cs="Arial" w:eastAsia="Arial" w:hAnsi="Arial"/>
                <w:sz w:val="16"/>
                <w:szCs w:val="16"/>
                <w:i w:val="1"/>
                <w:iCs w:val="1"/>
                <w:color w:val="3B3C43"/>
              </w:rPr>
              <w:t>29,658</w:t>
            </w:r>
          </w:p>
        </w:tc>
        <w:tc>
          <w:tcPr>
            <w:tcW w:w="1020" w:type="dxa"/>
            <w:vAlign w:val="bottom"/>
            <w:tcBorders>
              <w:right w:val="single" w:sz="8" w:color="B1B2B4"/>
            </w:tcBorders>
          </w:tcPr>
          <w:p>
            <w:pPr>
              <w:jc w:val="right"/>
              <w:ind w:right="39"/>
              <w:spacing w:after="0"/>
              <w:rPr>
                <w:sz w:val="20"/>
                <w:szCs w:val="20"/>
                <w:color w:val="auto"/>
              </w:rPr>
            </w:pPr>
            <w:r>
              <w:rPr>
                <w:rFonts w:ascii="Arial" w:cs="Arial" w:eastAsia="Arial" w:hAnsi="Arial"/>
                <w:sz w:val="16"/>
                <w:szCs w:val="16"/>
                <w:i w:val="1"/>
                <w:iCs w:val="1"/>
                <w:color w:val="3B3C43"/>
              </w:rPr>
              <w:t>2,840</w:t>
            </w:r>
          </w:p>
        </w:tc>
        <w:tc>
          <w:tcPr>
            <w:tcW w:w="1800" w:type="dxa"/>
            <w:vAlign w:val="bottom"/>
          </w:tcPr>
          <w:p>
            <w:pPr>
              <w:jc w:val="right"/>
              <w:ind w:right="359"/>
              <w:spacing w:after="0"/>
              <w:rPr>
                <w:sz w:val="20"/>
                <w:szCs w:val="20"/>
                <w:color w:val="auto"/>
              </w:rPr>
            </w:pPr>
            <w:r>
              <w:rPr>
                <w:rFonts w:ascii="Arial" w:cs="Arial" w:eastAsia="Arial" w:hAnsi="Arial"/>
                <w:sz w:val="16"/>
                <w:szCs w:val="16"/>
                <w:i w:val="1"/>
                <w:iCs w:val="1"/>
                <w:color w:val="3B3C43"/>
              </w:rPr>
              <w:t>76,023</w:t>
            </w:r>
          </w:p>
        </w:tc>
        <w:tc>
          <w:tcPr>
            <w:tcW w:w="1000" w:type="dxa"/>
            <w:vAlign w:val="bottom"/>
            <w:tcBorders>
              <w:right w:val="single" w:sz="8" w:color="B1B2B4"/>
            </w:tcBorders>
          </w:tcPr>
          <w:p>
            <w:pPr>
              <w:jc w:val="right"/>
              <w:ind w:right="19"/>
              <w:spacing w:after="0"/>
              <w:rPr>
                <w:sz w:val="20"/>
                <w:szCs w:val="20"/>
                <w:color w:val="auto"/>
              </w:rPr>
            </w:pPr>
            <w:r>
              <w:rPr>
                <w:rFonts w:ascii="Arial" w:cs="Arial" w:eastAsia="Arial" w:hAnsi="Arial"/>
                <w:sz w:val="16"/>
                <w:szCs w:val="16"/>
                <w:i w:val="1"/>
                <w:iCs w:val="1"/>
                <w:color w:val="3B3C43"/>
              </w:rPr>
              <w:t>2,873</w:t>
            </w:r>
          </w:p>
        </w:tc>
        <w:tc>
          <w:tcPr>
            <w:tcW w:w="1700" w:type="dxa"/>
            <w:vAlign w:val="bottom"/>
          </w:tcPr>
          <w:p>
            <w:pPr>
              <w:jc w:val="right"/>
              <w:ind w:right="379"/>
              <w:spacing w:after="0"/>
              <w:rPr>
                <w:sz w:val="20"/>
                <w:szCs w:val="20"/>
                <w:color w:val="auto"/>
              </w:rPr>
            </w:pPr>
            <w:r>
              <w:rPr>
                <w:rFonts w:ascii="Arial" w:cs="Arial" w:eastAsia="Arial" w:hAnsi="Arial"/>
                <w:sz w:val="16"/>
                <w:szCs w:val="16"/>
                <w:i w:val="1"/>
                <w:iCs w:val="1"/>
                <w:color w:val="3B3C43"/>
              </w:rPr>
              <w:t>37,477</w:t>
            </w:r>
          </w:p>
        </w:tc>
        <w:tc>
          <w:tcPr>
            <w:tcW w:w="960" w:type="dxa"/>
            <w:vAlign w:val="bottom"/>
          </w:tcPr>
          <w:p>
            <w:pPr>
              <w:jc w:val="right"/>
              <w:spacing w:after="0"/>
              <w:rPr>
                <w:sz w:val="20"/>
                <w:szCs w:val="20"/>
                <w:color w:val="auto"/>
              </w:rPr>
            </w:pPr>
            <w:r>
              <w:rPr>
                <w:rFonts w:ascii="Arial" w:cs="Arial" w:eastAsia="Arial" w:hAnsi="Arial"/>
                <w:sz w:val="16"/>
                <w:szCs w:val="16"/>
                <w:i w:val="1"/>
                <w:iCs w:val="1"/>
                <w:color w:val="3B3C43"/>
              </w:rPr>
              <w:t>1,736</w:t>
            </w:r>
          </w:p>
        </w:tc>
      </w:tr>
      <w:tr>
        <w:trPr>
          <w:trHeight w:val="46"/>
        </w:trPr>
        <w:tc>
          <w:tcPr>
            <w:tcW w:w="248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1020" w:type="dxa"/>
            <w:vAlign w:val="bottom"/>
            <w:tcBorders>
              <w:bottom w:val="single" w:sz="8" w:color="E1E2E0"/>
              <w:right w:val="single" w:sz="8" w:color="B1B2B4"/>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right w:val="single" w:sz="8" w:color="B1B2B4"/>
            </w:tcBorders>
          </w:tcPr>
          <w:p>
            <w:pPr>
              <w:spacing w:after="0"/>
              <w:rPr>
                <w:sz w:val="4"/>
                <w:szCs w:val="4"/>
                <w:color w:val="auto"/>
              </w:rPr>
            </w:pPr>
          </w:p>
        </w:tc>
        <w:tc>
          <w:tcPr>
            <w:tcW w:w="1700" w:type="dxa"/>
            <w:vAlign w:val="bottom"/>
            <w:tcBorders>
              <w:bottom w:val="single" w:sz="8" w:color="E1E2E0"/>
            </w:tcBorders>
          </w:tcPr>
          <w:p>
            <w:pPr>
              <w:spacing w:after="0"/>
              <w:rPr>
                <w:sz w:val="4"/>
                <w:szCs w:val="4"/>
                <w:color w:val="auto"/>
              </w:rPr>
            </w:pPr>
          </w:p>
        </w:tc>
        <w:tc>
          <w:tcPr>
            <w:tcW w:w="960" w:type="dxa"/>
            <w:vAlign w:val="bottom"/>
            <w:tcBorders>
              <w:bottom w:val="single" w:sz="8" w:color="E1E2E0"/>
            </w:tcBorders>
          </w:tcPr>
          <w:p>
            <w:pPr>
              <w:spacing w:after="0"/>
              <w:rPr>
                <w:sz w:val="4"/>
                <w:szCs w:val="4"/>
                <w:color w:val="auto"/>
              </w:rPr>
            </w:pPr>
          </w:p>
        </w:tc>
      </w:tr>
      <w:tr>
        <w:trPr>
          <w:trHeight w:val="244"/>
        </w:trPr>
        <w:tc>
          <w:tcPr>
            <w:tcW w:w="2480" w:type="dxa"/>
            <w:vAlign w:val="bottom"/>
          </w:tcPr>
          <w:p>
            <w:pPr>
              <w:ind w:left="100"/>
              <w:spacing w:after="0"/>
              <w:rPr>
                <w:sz w:val="20"/>
                <w:szCs w:val="20"/>
                <w:color w:val="auto"/>
              </w:rPr>
            </w:pPr>
            <w:r>
              <w:rPr>
                <w:rFonts w:ascii="Arial" w:cs="Arial" w:eastAsia="Arial" w:hAnsi="Arial"/>
                <w:sz w:val="16"/>
                <w:szCs w:val="16"/>
                <w:i w:val="1"/>
                <w:iCs w:val="1"/>
                <w:color w:val="3B3C43"/>
              </w:rPr>
              <w:t>Other</w:t>
            </w:r>
          </w:p>
        </w:tc>
        <w:tc>
          <w:tcPr>
            <w:tcW w:w="2280" w:type="dxa"/>
            <w:vAlign w:val="bottom"/>
          </w:tcPr>
          <w:p>
            <w:pPr>
              <w:jc w:val="right"/>
              <w:ind w:right="259"/>
              <w:spacing w:after="0"/>
              <w:rPr>
                <w:sz w:val="20"/>
                <w:szCs w:val="20"/>
                <w:color w:val="auto"/>
              </w:rPr>
            </w:pPr>
            <w:r>
              <w:rPr>
                <w:rFonts w:ascii="Arial" w:cs="Arial" w:eastAsia="Arial" w:hAnsi="Arial"/>
                <w:sz w:val="16"/>
                <w:szCs w:val="16"/>
                <w:i w:val="1"/>
                <w:iCs w:val="1"/>
                <w:color w:val="3B3C43"/>
              </w:rPr>
              <w:t>5,810</w:t>
            </w:r>
          </w:p>
        </w:tc>
        <w:tc>
          <w:tcPr>
            <w:tcW w:w="1020" w:type="dxa"/>
            <w:vAlign w:val="bottom"/>
            <w:tcBorders>
              <w:right w:val="single" w:sz="8" w:color="B1B2B4"/>
            </w:tcBorders>
          </w:tcPr>
          <w:p>
            <w:pPr>
              <w:jc w:val="right"/>
              <w:ind w:right="39"/>
              <w:spacing w:after="0"/>
              <w:rPr>
                <w:sz w:val="20"/>
                <w:szCs w:val="20"/>
                <w:color w:val="auto"/>
              </w:rPr>
            </w:pPr>
            <w:r>
              <w:rPr>
                <w:rFonts w:ascii="Arial" w:cs="Arial" w:eastAsia="Arial" w:hAnsi="Arial"/>
                <w:sz w:val="16"/>
                <w:szCs w:val="16"/>
                <w:i w:val="1"/>
                <w:iCs w:val="1"/>
                <w:color w:val="3B3C43"/>
              </w:rPr>
              <w:t>2,272</w:t>
            </w:r>
          </w:p>
        </w:tc>
        <w:tc>
          <w:tcPr>
            <w:tcW w:w="1800" w:type="dxa"/>
            <w:vAlign w:val="bottom"/>
          </w:tcPr>
          <w:p>
            <w:pPr>
              <w:jc w:val="right"/>
              <w:ind w:right="359"/>
              <w:spacing w:after="0"/>
              <w:rPr>
                <w:sz w:val="20"/>
                <w:szCs w:val="20"/>
                <w:color w:val="auto"/>
              </w:rPr>
            </w:pPr>
            <w:r>
              <w:rPr>
                <w:rFonts w:ascii="Arial" w:cs="Arial" w:eastAsia="Arial" w:hAnsi="Arial"/>
                <w:sz w:val="16"/>
                <w:szCs w:val="16"/>
                <w:i w:val="1"/>
                <w:iCs w:val="1"/>
                <w:color w:val="3B3C43"/>
              </w:rPr>
              <w:t>4,769</w:t>
            </w:r>
          </w:p>
        </w:tc>
        <w:tc>
          <w:tcPr>
            <w:tcW w:w="1000" w:type="dxa"/>
            <w:vAlign w:val="bottom"/>
            <w:tcBorders>
              <w:right w:val="single" w:sz="8" w:color="B1B2B4"/>
            </w:tcBorders>
          </w:tcPr>
          <w:p>
            <w:pPr>
              <w:jc w:val="right"/>
              <w:ind w:right="19"/>
              <w:spacing w:after="0"/>
              <w:rPr>
                <w:sz w:val="20"/>
                <w:szCs w:val="20"/>
                <w:color w:val="auto"/>
              </w:rPr>
            </w:pPr>
            <w:r>
              <w:rPr>
                <w:rFonts w:ascii="Arial" w:cs="Arial" w:eastAsia="Arial" w:hAnsi="Arial"/>
                <w:sz w:val="16"/>
                <w:szCs w:val="16"/>
                <w:i w:val="1"/>
                <w:iCs w:val="1"/>
                <w:color w:val="3B3C43"/>
              </w:rPr>
              <w:t>1,905</w:t>
            </w:r>
          </w:p>
        </w:tc>
        <w:tc>
          <w:tcPr>
            <w:tcW w:w="1700" w:type="dxa"/>
            <w:vAlign w:val="bottom"/>
          </w:tcPr>
          <w:p>
            <w:pPr>
              <w:jc w:val="right"/>
              <w:ind w:right="379"/>
              <w:spacing w:after="0"/>
              <w:rPr>
                <w:sz w:val="20"/>
                <w:szCs w:val="20"/>
                <w:color w:val="auto"/>
              </w:rPr>
            </w:pPr>
            <w:r>
              <w:rPr>
                <w:rFonts w:ascii="Arial" w:cs="Arial" w:eastAsia="Arial" w:hAnsi="Arial"/>
                <w:sz w:val="16"/>
                <w:szCs w:val="16"/>
                <w:i w:val="1"/>
                <w:iCs w:val="1"/>
                <w:color w:val="3B3C43"/>
              </w:rPr>
              <w:t>6,220</w:t>
            </w:r>
          </w:p>
        </w:tc>
        <w:tc>
          <w:tcPr>
            <w:tcW w:w="960" w:type="dxa"/>
            <w:vAlign w:val="bottom"/>
          </w:tcPr>
          <w:p>
            <w:pPr>
              <w:jc w:val="right"/>
              <w:spacing w:after="0"/>
              <w:rPr>
                <w:sz w:val="20"/>
                <w:szCs w:val="20"/>
                <w:color w:val="auto"/>
              </w:rPr>
            </w:pPr>
            <w:r>
              <w:rPr>
                <w:rFonts w:ascii="Arial" w:cs="Arial" w:eastAsia="Arial" w:hAnsi="Arial"/>
                <w:sz w:val="16"/>
                <w:szCs w:val="16"/>
                <w:i w:val="1"/>
                <w:iCs w:val="1"/>
                <w:color w:val="3B3C43"/>
              </w:rPr>
              <w:t>759</w:t>
            </w:r>
          </w:p>
        </w:tc>
      </w:tr>
      <w:tr>
        <w:trPr>
          <w:trHeight w:val="46"/>
        </w:trPr>
        <w:tc>
          <w:tcPr>
            <w:tcW w:w="248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1020" w:type="dxa"/>
            <w:vAlign w:val="bottom"/>
            <w:tcBorders>
              <w:bottom w:val="single" w:sz="8" w:color="E1E2E0"/>
              <w:right w:val="single" w:sz="8" w:color="B1B2B4"/>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right w:val="single" w:sz="8" w:color="B1B2B4"/>
            </w:tcBorders>
          </w:tcPr>
          <w:p>
            <w:pPr>
              <w:spacing w:after="0"/>
              <w:rPr>
                <w:sz w:val="4"/>
                <w:szCs w:val="4"/>
                <w:color w:val="auto"/>
              </w:rPr>
            </w:pPr>
          </w:p>
        </w:tc>
        <w:tc>
          <w:tcPr>
            <w:tcW w:w="1700" w:type="dxa"/>
            <w:vAlign w:val="bottom"/>
            <w:tcBorders>
              <w:bottom w:val="single" w:sz="8" w:color="E1E2E0"/>
            </w:tcBorders>
          </w:tcPr>
          <w:p>
            <w:pPr>
              <w:spacing w:after="0"/>
              <w:rPr>
                <w:sz w:val="4"/>
                <w:szCs w:val="4"/>
                <w:color w:val="auto"/>
              </w:rPr>
            </w:pPr>
          </w:p>
        </w:tc>
        <w:tc>
          <w:tcPr>
            <w:tcW w:w="960" w:type="dxa"/>
            <w:vAlign w:val="bottom"/>
            <w:tcBorders>
              <w:bottom w:val="single" w:sz="8" w:color="E1E2E0"/>
            </w:tcBorders>
          </w:tcPr>
          <w:p>
            <w:pPr>
              <w:spacing w:after="0"/>
              <w:rPr>
                <w:sz w:val="4"/>
                <w:szCs w:val="4"/>
                <w:color w:val="auto"/>
              </w:rPr>
            </w:pPr>
          </w:p>
        </w:tc>
      </w:tr>
      <w:tr>
        <w:trPr>
          <w:trHeight w:val="244"/>
        </w:trPr>
        <w:tc>
          <w:tcPr>
            <w:tcW w:w="2480" w:type="dxa"/>
            <w:vAlign w:val="bottom"/>
          </w:tcPr>
          <w:p>
            <w:pPr>
              <w:ind w:left="100"/>
              <w:spacing w:after="0"/>
              <w:rPr>
                <w:sz w:val="20"/>
                <w:szCs w:val="20"/>
                <w:color w:val="auto"/>
              </w:rPr>
            </w:pPr>
            <w:r>
              <w:rPr>
                <w:rFonts w:ascii="Arial" w:cs="Arial" w:eastAsia="Arial" w:hAnsi="Arial"/>
                <w:sz w:val="16"/>
                <w:szCs w:val="16"/>
                <w:b w:val="1"/>
                <w:bCs w:val="1"/>
                <w:color w:val="3B3C43"/>
              </w:rPr>
              <w:t>GHG Emissions by Scope</w:t>
            </w:r>
          </w:p>
        </w:tc>
        <w:tc>
          <w:tcPr>
            <w:tcW w:w="2280" w:type="dxa"/>
            <w:vAlign w:val="bottom"/>
          </w:tcPr>
          <w:p>
            <w:pPr>
              <w:jc w:val="right"/>
              <w:ind w:right="259"/>
              <w:spacing w:after="0"/>
              <w:rPr>
                <w:sz w:val="20"/>
                <w:szCs w:val="20"/>
                <w:color w:val="auto"/>
              </w:rPr>
            </w:pPr>
            <w:r>
              <w:rPr>
                <w:rFonts w:ascii="Arial" w:cs="Arial" w:eastAsia="Arial" w:hAnsi="Arial"/>
                <w:sz w:val="16"/>
                <w:szCs w:val="16"/>
                <w:b w:val="1"/>
                <w:bCs w:val="1"/>
                <w:color w:val="3B3C43"/>
              </w:rPr>
              <w:t>574,058</w:t>
            </w:r>
          </w:p>
        </w:tc>
        <w:tc>
          <w:tcPr>
            <w:tcW w:w="1020" w:type="dxa"/>
            <w:vAlign w:val="bottom"/>
            <w:tcBorders>
              <w:right w:val="single" w:sz="8" w:color="B1B2B4"/>
            </w:tcBorders>
          </w:tcPr>
          <w:p>
            <w:pPr>
              <w:jc w:val="right"/>
              <w:ind w:right="39"/>
              <w:spacing w:after="0"/>
              <w:rPr>
                <w:sz w:val="20"/>
                <w:szCs w:val="20"/>
                <w:color w:val="auto"/>
              </w:rPr>
            </w:pPr>
            <w:r>
              <w:rPr>
                <w:rFonts w:ascii="Arial" w:cs="Arial" w:eastAsia="Arial" w:hAnsi="Arial"/>
                <w:sz w:val="16"/>
                <w:szCs w:val="16"/>
                <w:b w:val="1"/>
                <w:bCs w:val="1"/>
                <w:color w:val="3B3C43"/>
              </w:rPr>
              <w:t>69,411</w:t>
            </w:r>
          </w:p>
        </w:tc>
        <w:tc>
          <w:tcPr>
            <w:tcW w:w="1800" w:type="dxa"/>
            <w:vAlign w:val="bottom"/>
          </w:tcPr>
          <w:p>
            <w:pPr>
              <w:jc w:val="right"/>
              <w:ind w:right="359"/>
              <w:spacing w:after="0"/>
              <w:rPr>
                <w:sz w:val="20"/>
                <w:szCs w:val="20"/>
                <w:color w:val="auto"/>
              </w:rPr>
            </w:pPr>
            <w:r>
              <w:rPr>
                <w:rFonts w:ascii="Arial" w:cs="Arial" w:eastAsia="Arial" w:hAnsi="Arial"/>
                <w:sz w:val="16"/>
                <w:szCs w:val="16"/>
                <w:b w:val="1"/>
                <w:bCs w:val="1"/>
                <w:color w:val="3B3C43"/>
              </w:rPr>
              <w:t>416,117</w:t>
            </w:r>
          </w:p>
        </w:tc>
        <w:tc>
          <w:tcPr>
            <w:tcW w:w="1000" w:type="dxa"/>
            <w:vAlign w:val="bottom"/>
            <w:tcBorders>
              <w:right w:val="single" w:sz="8" w:color="B1B2B4"/>
            </w:tcBorders>
          </w:tcPr>
          <w:p>
            <w:pPr>
              <w:jc w:val="right"/>
              <w:ind w:right="19"/>
              <w:spacing w:after="0"/>
              <w:rPr>
                <w:sz w:val="20"/>
                <w:szCs w:val="20"/>
                <w:color w:val="auto"/>
              </w:rPr>
            </w:pPr>
            <w:r>
              <w:rPr>
                <w:rFonts w:ascii="Arial" w:cs="Arial" w:eastAsia="Arial" w:hAnsi="Arial"/>
                <w:sz w:val="16"/>
                <w:szCs w:val="16"/>
                <w:b w:val="1"/>
                <w:bCs w:val="1"/>
                <w:color w:val="3B3C43"/>
              </w:rPr>
              <w:t>53,838</w:t>
            </w: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3B3C43"/>
              </w:rPr>
              <w:t>346,816</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3B3C43"/>
              </w:rPr>
              <w:t>80,187</w:t>
            </w:r>
          </w:p>
        </w:tc>
      </w:tr>
      <w:tr>
        <w:trPr>
          <w:trHeight w:val="47"/>
        </w:trPr>
        <w:tc>
          <w:tcPr>
            <w:tcW w:w="248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1020" w:type="dxa"/>
            <w:vAlign w:val="bottom"/>
            <w:tcBorders>
              <w:bottom w:val="single" w:sz="8" w:color="E1E2E0"/>
              <w:right w:val="single" w:sz="8" w:color="B1B2B4"/>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right w:val="single" w:sz="8" w:color="B1B2B4"/>
            </w:tcBorders>
          </w:tcPr>
          <w:p>
            <w:pPr>
              <w:spacing w:after="0"/>
              <w:rPr>
                <w:sz w:val="4"/>
                <w:szCs w:val="4"/>
                <w:color w:val="auto"/>
              </w:rPr>
            </w:pPr>
          </w:p>
        </w:tc>
        <w:tc>
          <w:tcPr>
            <w:tcW w:w="1700" w:type="dxa"/>
            <w:vAlign w:val="bottom"/>
            <w:tcBorders>
              <w:bottom w:val="single" w:sz="8" w:color="E1E2E0"/>
            </w:tcBorders>
          </w:tcPr>
          <w:p>
            <w:pPr>
              <w:spacing w:after="0"/>
              <w:rPr>
                <w:sz w:val="4"/>
                <w:szCs w:val="4"/>
                <w:color w:val="auto"/>
              </w:rPr>
            </w:pPr>
          </w:p>
        </w:tc>
        <w:tc>
          <w:tcPr>
            <w:tcW w:w="960" w:type="dxa"/>
            <w:vAlign w:val="bottom"/>
            <w:tcBorders>
              <w:bottom w:val="single" w:sz="8" w:color="E1E2E0"/>
            </w:tcBorders>
          </w:tcPr>
          <w:p>
            <w:pPr>
              <w:spacing w:after="0"/>
              <w:rPr>
                <w:sz w:val="4"/>
                <w:szCs w:val="4"/>
                <w:color w:val="auto"/>
              </w:rPr>
            </w:pPr>
          </w:p>
        </w:tc>
      </w:tr>
      <w:tr>
        <w:trPr>
          <w:trHeight w:val="244"/>
        </w:trPr>
        <w:tc>
          <w:tcPr>
            <w:tcW w:w="2480" w:type="dxa"/>
            <w:vAlign w:val="bottom"/>
          </w:tcPr>
          <w:p>
            <w:pPr>
              <w:ind w:left="100"/>
              <w:spacing w:after="0"/>
              <w:rPr>
                <w:sz w:val="20"/>
                <w:szCs w:val="20"/>
                <w:color w:val="auto"/>
              </w:rPr>
            </w:pPr>
            <w:r>
              <w:rPr>
                <w:rFonts w:ascii="Arial" w:cs="Arial" w:eastAsia="Arial" w:hAnsi="Arial"/>
                <w:sz w:val="16"/>
                <w:szCs w:val="16"/>
                <w:b w:val="1"/>
                <w:bCs w:val="1"/>
                <w:color w:val="3B3C43"/>
              </w:rPr>
              <w:t>Total GHG Emissions</w:t>
            </w:r>
          </w:p>
        </w:tc>
        <w:tc>
          <w:tcPr>
            <w:tcW w:w="2280" w:type="dxa"/>
            <w:vAlign w:val="bottom"/>
          </w:tcPr>
          <w:p>
            <w:pPr>
              <w:jc w:val="right"/>
              <w:ind w:right="39"/>
              <w:spacing w:after="0"/>
              <w:rPr>
                <w:sz w:val="20"/>
                <w:szCs w:val="20"/>
                <w:color w:val="auto"/>
              </w:rPr>
            </w:pPr>
            <w:r>
              <w:rPr>
                <w:rFonts w:ascii="Arial" w:cs="Arial" w:eastAsia="Arial" w:hAnsi="Arial"/>
                <w:sz w:val="16"/>
                <w:szCs w:val="16"/>
                <w:b w:val="1"/>
                <w:bCs w:val="1"/>
                <w:color w:val="3B3C43"/>
              </w:rPr>
              <w:t>643,469</w:t>
            </w:r>
          </w:p>
        </w:tc>
        <w:tc>
          <w:tcPr>
            <w:tcW w:w="1020" w:type="dxa"/>
            <w:vAlign w:val="bottom"/>
            <w:tcBorders>
              <w:right w:val="single" w:sz="8" w:color="B1B2B4"/>
            </w:tcBorders>
          </w:tcPr>
          <w:p>
            <w:pPr>
              <w:spacing w:after="0"/>
              <w:rPr>
                <w:sz w:val="21"/>
                <w:szCs w:val="21"/>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b w:val="1"/>
                <w:bCs w:val="1"/>
                <w:color w:val="3B3C43"/>
              </w:rPr>
              <w:t>469,955</w:t>
            </w:r>
          </w:p>
        </w:tc>
        <w:tc>
          <w:tcPr>
            <w:tcW w:w="1000" w:type="dxa"/>
            <w:vAlign w:val="bottom"/>
            <w:tcBorders>
              <w:right w:val="single" w:sz="8" w:color="B1B2B4"/>
            </w:tcBorders>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3B3C43"/>
              </w:rPr>
              <w:t>427,003</w:t>
            </w:r>
          </w:p>
        </w:tc>
        <w:tc>
          <w:tcPr>
            <w:tcW w:w="960" w:type="dxa"/>
            <w:vAlign w:val="bottom"/>
          </w:tcPr>
          <w:p>
            <w:pPr>
              <w:spacing w:after="0"/>
              <w:rPr>
                <w:sz w:val="21"/>
                <w:szCs w:val="21"/>
                <w:color w:val="auto"/>
              </w:rPr>
            </w:pPr>
          </w:p>
        </w:tc>
      </w:tr>
      <w:tr>
        <w:trPr>
          <w:trHeight w:val="47"/>
        </w:trPr>
        <w:tc>
          <w:tcPr>
            <w:tcW w:w="248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1020" w:type="dxa"/>
            <w:vAlign w:val="bottom"/>
            <w:tcBorders>
              <w:bottom w:val="single" w:sz="8" w:color="E1E2E0"/>
              <w:right w:val="single" w:sz="8" w:color="B1B2B4"/>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000" w:type="dxa"/>
            <w:vAlign w:val="bottom"/>
            <w:tcBorders>
              <w:bottom w:val="single" w:sz="8" w:color="E1E2E0"/>
              <w:right w:val="single" w:sz="8" w:color="B1B2B4"/>
            </w:tcBorders>
          </w:tcPr>
          <w:p>
            <w:pPr>
              <w:spacing w:after="0"/>
              <w:rPr>
                <w:sz w:val="4"/>
                <w:szCs w:val="4"/>
                <w:color w:val="auto"/>
              </w:rPr>
            </w:pPr>
          </w:p>
        </w:tc>
        <w:tc>
          <w:tcPr>
            <w:tcW w:w="1700" w:type="dxa"/>
            <w:vAlign w:val="bottom"/>
            <w:tcBorders>
              <w:bottom w:val="single" w:sz="8" w:color="E1E2E0"/>
            </w:tcBorders>
          </w:tcPr>
          <w:p>
            <w:pPr>
              <w:spacing w:after="0"/>
              <w:rPr>
                <w:sz w:val="4"/>
                <w:szCs w:val="4"/>
                <w:color w:val="auto"/>
              </w:rPr>
            </w:pPr>
          </w:p>
        </w:tc>
        <w:tc>
          <w:tcPr>
            <w:tcW w:w="960" w:type="dxa"/>
            <w:vAlign w:val="bottom"/>
            <w:tcBorders>
              <w:bottom w:val="single" w:sz="8" w:color="E1E2E0"/>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-2630805</wp:posOffset>
            </wp:positionV>
            <wp:extent cx="8255" cy="3771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3771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-2630805</wp:posOffset>
            </wp:positionV>
            <wp:extent cx="8890" cy="3771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3771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-2630805</wp:posOffset>
            </wp:positionV>
            <wp:extent cx="8255" cy="3771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3771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-2630805</wp:posOffset>
            </wp:positionV>
            <wp:extent cx="8890" cy="3771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3771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-2630805</wp:posOffset>
            </wp:positionV>
            <wp:extent cx="8890" cy="3771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377190"/>
                    </a:xfrm>
                    <a:prstGeom prst="rect">
                      <a:avLst/>
                    </a:prstGeom>
                    <a:noFill/>
                  </pic:spPr>
                </pic:pic>
              </a:graphicData>
            </a:graphic>
          </wp:anchor>
        </w:drawing>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31</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3B3C43"/>
        </w:rPr>
        <w:t>2% of the Company’s annual GHG emissions resulting from activities the Company is responsible for and has operational control over (including the combustion of fuel and the operation of any facility) for the year ended December 31, 2020 related to energy consumed in the United Kingdom and offshore area.</w:t>
      </w:r>
    </w:p>
    <w:p>
      <w:pPr>
        <w:spacing w:after="0" w:line="17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3B3C43"/>
        </w:rPr>
        <w:t>To ease yearly comparison and trend analysis, industrial sites, offices, and fleet are presented under Our Assets, as they are TechnipFMC’s permanent sites fully owned and operationally managed. Construction sites and Yards/Bases are aggregated under Our Projects and presented separately as they are usually temporary sites that are not owned by TechnipFMC but operationally managed during the construction phase. They are subject to variations from year to year, depending on the number and type of ongoing projects and the type of construction activities (e.g., early site work, civil work, construction, pre-commissioning, commissioning, or start-up).</w:t>
      </w:r>
    </w:p>
    <w:p>
      <w:pPr>
        <w:spacing w:after="0" w:line="17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3B3C43"/>
        </w:rPr>
        <w:t>Within Our Projects, Scope 1, direct emissions, and Scope 2, indirect emissions, decreased by 23% compared to 2019 due to reduced onshore and offshore construction and yard activities dedicated to major engineering, procurement, and construction (“</w:t>
      </w:r>
      <w:r>
        <w:rPr>
          <w:rFonts w:ascii="Arial" w:cs="Arial" w:eastAsia="Arial" w:hAnsi="Arial"/>
          <w:sz w:val="16"/>
          <w:szCs w:val="16"/>
          <w:b w:val="1"/>
          <w:bCs w:val="1"/>
          <w:color w:val="3B3C43"/>
        </w:rPr>
        <w:t>EPC</w:t>
      </w:r>
      <w:r>
        <w:rPr>
          <w:rFonts w:ascii="Arial" w:cs="Arial" w:eastAsia="Arial" w:hAnsi="Arial"/>
          <w:sz w:val="16"/>
          <w:szCs w:val="16"/>
          <w:color w:val="3B3C43"/>
        </w:rPr>
        <w:t>”) activities.</w:t>
      </w:r>
    </w:p>
    <w:p>
      <w:pPr>
        <w:spacing w:after="0" w:line="16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3B3C43"/>
        </w:rPr>
        <w:t>For Company assets, our Energy Transition program in place in different countries contributed to saving 4,661 tonnes of CO</w:t>
      </w:r>
      <w:r>
        <w:rPr>
          <w:rFonts w:ascii="Arial" w:cs="Arial" w:eastAsia="Arial" w:hAnsi="Arial"/>
          <w:sz w:val="13"/>
          <w:szCs w:val="13"/>
          <w:color w:val="3B3C43"/>
        </w:rPr>
        <w:t>2</w:t>
      </w:r>
      <w:r>
        <w:rPr>
          <w:rFonts w:ascii="Arial" w:cs="Arial" w:eastAsia="Arial" w:hAnsi="Arial"/>
          <w:sz w:val="16"/>
          <w:szCs w:val="16"/>
          <w:color w:val="3B3C43"/>
        </w:rPr>
        <w:t xml:space="preserve"> equivalent by using renewable energy in offices and manufacturing areas.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3B3C43"/>
        </w:rPr>
        <w:t>The annual quantity of emissions from the purchase of electricity, heat, steam, or cooling by the Company for its own use is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121920</wp:posOffset>
            </wp:positionV>
            <wp:extent cx="8255" cy="4286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42862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121920</wp:posOffset>
            </wp:positionV>
            <wp:extent cx="8890" cy="4286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42862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121920</wp:posOffset>
            </wp:positionV>
            <wp:extent cx="8255" cy="4286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42862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Total GHG emissions from the purchase of electricity, heat,</w:t>
            </w:r>
          </w:p>
        </w:tc>
        <w:tc>
          <w:tcPr>
            <w:tcW w:w="2340" w:type="dxa"/>
            <w:vAlign w:val="bottom"/>
            <w:shd w:val="clear" w:color="auto" w:fill="4A1F67"/>
          </w:tcPr>
          <w:p>
            <w:pPr>
              <w:jc w:val="right"/>
              <w:ind w:right="559"/>
              <w:spacing w:after="0"/>
              <w:rPr>
                <w:sz w:val="20"/>
                <w:szCs w:val="20"/>
                <w:color w:val="auto"/>
              </w:rPr>
            </w:pPr>
            <w:r>
              <w:rPr>
                <w:rFonts w:ascii="Arial" w:cs="Arial" w:eastAsia="Arial" w:hAnsi="Arial"/>
                <w:sz w:val="16"/>
                <w:szCs w:val="16"/>
                <w:b w:val="1"/>
                <w:bCs w:val="1"/>
                <w:color w:val="FFFFFF"/>
              </w:rPr>
              <w:t>2018</w:t>
            </w:r>
          </w:p>
        </w:tc>
        <w:tc>
          <w:tcPr>
            <w:tcW w:w="1800" w:type="dxa"/>
            <w:vAlign w:val="bottom"/>
            <w:shd w:val="clear" w:color="auto" w:fill="4A1F67"/>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24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2020</w:t>
            </w:r>
          </w:p>
        </w:tc>
      </w:tr>
      <w:tr>
        <w:trPr>
          <w:trHeight w:val="189"/>
        </w:trPr>
        <w:tc>
          <w:tcPr>
            <w:tcW w:w="586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steam, or cooling by the Company for its own use</w:t>
            </w:r>
          </w:p>
        </w:tc>
        <w:tc>
          <w:tcPr>
            <w:tcW w:w="2340" w:type="dxa"/>
            <w:vAlign w:val="bottom"/>
            <w:shd w:val="clear" w:color="auto" w:fill="4A1F67"/>
          </w:tcPr>
          <w:p>
            <w:pPr>
              <w:spacing w:after="0"/>
              <w:rPr>
                <w:sz w:val="16"/>
                <w:szCs w:val="16"/>
                <w:color w:val="auto"/>
              </w:rPr>
            </w:pPr>
          </w:p>
        </w:tc>
        <w:tc>
          <w:tcPr>
            <w:tcW w:w="1800" w:type="dxa"/>
            <w:vAlign w:val="bottom"/>
            <w:shd w:val="clear" w:color="auto" w:fill="4A1F67"/>
          </w:tcPr>
          <w:p>
            <w:pPr>
              <w:spacing w:after="0"/>
              <w:rPr>
                <w:sz w:val="16"/>
                <w:szCs w:val="16"/>
                <w:color w:val="auto"/>
              </w:rPr>
            </w:pPr>
          </w:p>
        </w:tc>
        <w:tc>
          <w:tcPr>
            <w:tcW w:w="1240" w:type="dxa"/>
            <w:vAlign w:val="bottom"/>
            <w:shd w:val="clear" w:color="auto" w:fill="4A1F67"/>
          </w:tcPr>
          <w:p>
            <w:pPr>
              <w:spacing w:after="0"/>
              <w:rPr>
                <w:sz w:val="16"/>
                <w:szCs w:val="16"/>
                <w:color w:val="auto"/>
              </w:rPr>
            </w:pPr>
          </w:p>
        </w:tc>
      </w:tr>
      <w:tr>
        <w:trPr>
          <w:trHeight w:val="241"/>
        </w:trPr>
        <w:tc>
          <w:tcPr>
            <w:tcW w:w="5860" w:type="dxa"/>
            <w:vAlign w:val="bottom"/>
            <w:tcBorders>
              <w:bottom w:val="single" w:sz="8" w:color="4A1F67"/>
            </w:tcBorders>
            <w:shd w:val="clear" w:color="auto" w:fill="4A1F67"/>
          </w:tcPr>
          <w:p>
            <w:pPr>
              <w:ind w:left="100"/>
              <w:spacing w:after="0"/>
              <w:rPr>
                <w:sz w:val="20"/>
                <w:szCs w:val="20"/>
                <w:color w:val="auto"/>
              </w:rPr>
            </w:pPr>
            <w:r>
              <w:rPr>
                <w:rFonts w:ascii="Arial" w:cs="Arial" w:eastAsia="Arial" w:hAnsi="Arial"/>
                <w:sz w:val="16"/>
                <w:szCs w:val="16"/>
                <w:b w:val="1"/>
                <w:bCs w:val="1"/>
                <w:color w:val="FFFFFF"/>
              </w:rPr>
              <w:t>(in metric tonnes CO</w:t>
            </w:r>
            <w:r>
              <w:rPr>
                <w:rFonts w:ascii="Arial" w:cs="Arial" w:eastAsia="Arial" w:hAnsi="Arial"/>
                <w:sz w:val="13"/>
                <w:szCs w:val="13"/>
                <w:color w:val="FFFFFF"/>
              </w:rPr>
              <w:t>2</w:t>
            </w:r>
            <w:r>
              <w:rPr>
                <w:rFonts w:ascii="Arial" w:cs="Arial" w:eastAsia="Arial" w:hAnsi="Arial"/>
                <w:sz w:val="16"/>
                <w:szCs w:val="16"/>
                <w:b w:val="1"/>
                <w:bCs w:val="1"/>
                <w:color w:val="FFFFFF"/>
              </w:rPr>
              <w:t xml:space="preserve"> equivalent):</w:t>
            </w:r>
          </w:p>
        </w:tc>
        <w:tc>
          <w:tcPr>
            <w:tcW w:w="2340" w:type="dxa"/>
            <w:vAlign w:val="bottom"/>
            <w:tcBorders>
              <w:bottom w:val="single" w:sz="8" w:color="4A1F67"/>
            </w:tcBorders>
            <w:shd w:val="clear" w:color="auto" w:fill="4A1F67"/>
          </w:tcPr>
          <w:p>
            <w:pPr>
              <w:spacing w:after="0"/>
              <w:rPr>
                <w:sz w:val="20"/>
                <w:szCs w:val="20"/>
                <w:color w:val="auto"/>
              </w:rPr>
            </w:pPr>
          </w:p>
        </w:tc>
        <w:tc>
          <w:tcPr>
            <w:tcW w:w="1800" w:type="dxa"/>
            <w:vAlign w:val="bottom"/>
            <w:tcBorders>
              <w:bottom w:val="single" w:sz="8" w:color="4A1F67"/>
            </w:tcBorders>
            <w:shd w:val="clear" w:color="auto" w:fill="4A1F67"/>
          </w:tcPr>
          <w:p>
            <w:pPr>
              <w:spacing w:after="0"/>
              <w:rPr>
                <w:sz w:val="20"/>
                <w:szCs w:val="20"/>
                <w:color w:val="auto"/>
              </w:rPr>
            </w:pPr>
          </w:p>
        </w:tc>
        <w:tc>
          <w:tcPr>
            <w:tcW w:w="1240" w:type="dxa"/>
            <w:vAlign w:val="bottom"/>
            <w:tcBorders>
              <w:bottom w:val="single" w:sz="8" w:color="4A1F67"/>
            </w:tcBorders>
            <w:shd w:val="clear" w:color="auto" w:fill="4A1F67"/>
          </w:tcPr>
          <w:p>
            <w:pPr>
              <w:spacing w:after="0"/>
              <w:rPr>
                <w:sz w:val="20"/>
                <w:szCs w:val="20"/>
                <w:color w:val="auto"/>
              </w:rPr>
            </w:pPr>
          </w:p>
        </w:tc>
      </w:tr>
      <w:tr>
        <w:trPr>
          <w:trHeight w:val="251"/>
        </w:trPr>
        <w:tc>
          <w:tcPr>
            <w:tcW w:w="5860" w:type="dxa"/>
            <w:vAlign w:val="bottom"/>
          </w:tcPr>
          <w:p>
            <w:pPr>
              <w:ind w:left="100"/>
              <w:spacing w:after="0"/>
              <w:rPr>
                <w:sz w:val="20"/>
                <w:szCs w:val="20"/>
                <w:color w:val="auto"/>
              </w:rPr>
            </w:pPr>
            <w:r>
              <w:rPr>
                <w:rFonts w:ascii="Arial" w:cs="Arial" w:eastAsia="Arial" w:hAnsi="Arial"/>
                <w:sz w:val="16"/>
                <w:szCs w:val="16"/>
                <w:color w:val="3B3C43"/>
              </w:rPr>
              <w:t>Electricity</w:t>
            </w:r>
          </w:p>
        </w:tc>
        <w:tc>
          <w:tcPr>
            <w:tcW w:w="2340" w:type="dxa"/>
            <w:vAlign w:val="bottom"/>
          </w:tcPr>
          <w:p>
            <w:pPr>
              <w:jc w:val="right"/>
              <w:ind w:right="559"/>
              <w:spacing w:after="0"/>
              <w:rPr>
                <w:sz w:val="20"/>
                <w:szCs w:val="20"/>
                <w:color w:val="auto"/>
              </w:rPr>
            </w:pPr>
            <w:r>
              <w:rPr>
                <w:rFonts w:ascii="Arial" w:cs="Arial" w:eastAsia="Arial" w:hAnsi="Arial"/>
                <w:sz w:val="16"/>
                <w:szCs w:val="16"/>
                <w:color w:val="3B3C43"/>
              </w:rPr>
              <w:t>69,304</w:t>
            </w:r>
          </w:p>
        </w:tc>
        <w:tc>
          <w:tcPr>
            <w:tcW w:w="1800" w:type="dxa"/>
            <w:vAlign w:val="bottom"/>
          </w:tcPr>
          <w:p>
            <w:pPr>
              <w:jc w:val="right"/>
              <w:ind w:right="559"/>
              <w:spacing w:after="0"/>
              <w:rPr>
                <w:sz w:val="20"/>
                <w:szCs w:val="20"/>
                <w:color w:val="auto"/>
              </w:rPr>
            </w:pPr>
            <w:r>
              <w:rPr>
                <w:rFonts w:ascii="Arial" w:cs="Arial" w:eastAsia="Arial" w:hAnsi="Arial"/>
                <w:sz w:val="16"/>
                <w:szCs w:val="16"/>
                <w:color w:val="3B3C43"/>
              </w:rPr>
              <w:t>53,725</w:t>
            </w:r>
          </w:p>
        </w:tc>
        <w:tc>
          <w:tcPr>
            <w:tcW w:w="1240" w:type="dxa"/>
            <w:vAlign w:val="bottom"/>
          </w:tcPr>
          <w:p>
            <w:pPr>
              <w:jc w:val="right"/>
              <w:spacing w:after="0"/>
              <w:rPr>
                <w:sz w:val="20"/>
                <w:szCs w:val="20"/>
                <w:color w:val="auto"/>
              </w:rPr>
            </w:pPr>
            <w:r>
              <w:rPr>
                <w:rFonts w:ascii="Arial" w:cs="Arial" w:eastAsia="Arial" w:hAnsi="Arial"/>
                <w:sz w:val="16"/>
                <w:szCs w:val="16"/>
                <w:color w:val="3B3C43"/>
              </w:rPr>
              <w:t>80,059</w:t>
            </w:r>
          </w:p>
        </w:tc>
      </w:tr>
      <w:tr>
        <w:trPr>
          <w:trHeight w:val="46"/>
        </w:trPr>
        <w:tc>
          <w:tcPr>
            <w:tcW w:w="5860" w:type="dxa"/>
            <w:vAlign w:val="bottom"/>
            <w:tcBorders>
              <w:bottom w:val="single" w:sz="8" w:color="E1E2E0"/>
            </w:tcBorders>
          </w:tcPr>
          <w:p>
            <w:pPr>
              <w:spacing w:after="0"/>
              <w:rPr>
                <w:sz w:val="4"/>
                <w:szCs w:val="4"/>
                <w:color w:val="auto"/>
              </w:rPr>
            </w:pPr>
          </w:p>
        </w:tc>
        <w:tc>
          <w:tcPr>
            <w:tcW w:w="2340" w:type="dxa"/>
            <w:vAlign w:val="bottom"/>
            <w:tcBorders>
              <w:bottom w:val="single" w:sz="8" w:color="E1E2E0"/>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240" w:type="dxa"/>
            <w:vAlign w:val="bottom"/>
            <w:tcBorders>
              <w:bottom w:val="single" w:sz="8" w:color="E1E2E0"/>
            </w:tcBorders>
          </w:tcPr>
          <w:p>
            <w:pPr>
              <w:spacing w:after="0"/>
              <w:rPr>
                <w:sz w:val="4"/>
                <w:szCs w:val="4"/>
                <w:color w:val="auto"/>
              </w:rPr>
            </w:pPr>
          </w:p>
        </w:tc>
      </w:tr>
      <w:tr>
        <w:trPr>
          <w:trHeight w:val="244"/>
        </w:trPr>
        <w:tc>
          <w:tcPr>
            <w:tcW w:w="5860" w:type="dxa"/>
            <w:vAlign w:val="bottom"/>
          </w:tcPr>
          <w:p>
            <w:pPr>
              <w:ind w:left="100"/>
              <w:spacing w:after="0"/>
              <w:rPr>
                <w:sz w:val="20"/>
                <w:szCs w:val="20"/>
                <w:color w:val="auto"/>
              </w:rPr>
            </w:pPr>
            <w:r>
              <w:rPr>
                <w:rFonts w:ascii="Arial" w:cs="Arial" w:eastAsia="Arial" w:hAnsi="Arial"/>
                <w:sz w:val="16"/>
                <w:szCs w:val="16"/>
                <w:color w:val="3B3C43"/>
              </w:rPr>
              <w:t>Heat</w:t>
            </w:r>
          </w:p>
        </w:tc>
        <w:tc>
          <w:tcPr>
            <w:tcW w:w="2340" w:type="dxa"/>
            <w:vAlign w:val="bottom"/>
          </w:tcPr>
          <w:p>
            <w:pPr>
              <w:jc w:val="right"/>
              <w:ind w:right="559"/>
              <w:spacing w:after="0"/>
              <w:rPr>
                <w:sz w:val="20"/>
                <w:szCs w:val="20"/>
                <w:color w:val="auto"/>
              </w:rPr>
            </w:pPr>
            <w:r>
              <w:rPr>
                <w:rFonts w:ascii="Arial" w:cs="Arial" w:eastAsia="Arial" w:hAnsi="Arial"/>
                <w:sz w:val="16"/>
                <w:szCs w:val="16"/>
                <w:color w:val="3B3C43"/>
              </w:rPr>
              <w:t>87</w:t>
            </w:r>
          </w:p>
        </w:tc>
        <w:tc>
          <w:tcPr>
            <w:tcW w:w="1800" w:type="dxa"/>
            <w:vAlign w:val="bottom"/>
          </w:tcPr>
          <w:p>
            <w:pPr>
              <w:jc w:val="right"/>
              <w:ind w:right="559"/>
              <w:spacing w:after="0"/>
              <w:rPr>
                <w:sz w:val="20"/>
                <w:szCs w:val="20"/>
                <w:color w:val="auto"/>
              </w:rPr>
            </w:pPr>
            <w:r>
              <w:rPr>
                <w:rFonts w:ascii="Arial" w:cs="Arial" w:eastAsia="Arial" w:hAnsi="Arial"/>
                <w:sz w:val="16"/>
                <w:szCs w:val="16"/>
                <w:color w:val="3B3C43"/>
              </w:rPr>
              <w:t>0</w:t>
            </w:r>
          </w:p>
        </w:tc>
        <w:tc>
          <w:tcPr>
            <w:tcW w:w="124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47"/>
        </w:trPr>
        <w:tc>
          <w:tcPr>
            <w:tcW w:w="5860" w:type="dxa"/>
            <w:vAlign w:val="bottom"/>
            <w:tcBorders>
              <w:bottom w:val="single" w:sz="8" w:color="E1E2E0"/>
            </w:tcBorders>
          </w:tcPr>
          <w:p>
            <w:pPr>
              <w:spacing w:after="0"/>
              <w:rPr>
                <w:sz w:val="4"/>
                <w:szCs w:val="4"/>
                <w:color w:val="auto"/>
              </w:rPr>
            </w:pPr>
          </w:p>
        </w:tc>
        <w:tc>
          <w:tcPr>
            <w:tcW w:w="2340" w:type="dxa"/>
            <w:vAlign w:val="bottom"/>
            <w:tcBorders>
              <w:bottom w:val="single" w:sz="8" w:color="E1E2E0"/>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240" w:type="dxa"/>
            <w:vAlign w:val="bottom"/>
            <w:tcBorders>
              <w:bottom w:val="single" w:sz="8" w:color="E1E2E0"/>
            </w:tcBorders>
          </w:tcPr>
          <w:p>
            <w:pPr>
              <w:spacing w:after="0"/>
              <w:rPr>
                <w:sz w:val="4"/>
                <w:szCs w:val="4"/>
                <w:color w:val="auto"/>
              </w:rPr>
            </w:pPr>
          </w:p>
        </w:tc>
      </w:tr>
      <w:tr>
        <w:trPr>
          <w:trHeight w:val="244"/>
        </w:trPr>
        <w:tc>
          <w:tcPr>
            <w:tcW w:w="5860" w:type="dxa"/>
            <w:vAlign w:val="bottom"/>
          </w:tcPr>
          <w:p>
            <w:pPr>
              <w:ind w:left="100"/>
              <w:spacing w:after="0"/>
              <w:rPr>
                <w:sz w:val="20"/>
                <w:szCs w:val="20"/>
                <w:color w:val="auto"/>
              </w:rPr>
            </w:pPr>
            <w:r>
              <w:rPr>
                <w:rFonts w:ascii="Arial" w:cs="Arial" w:eastAsia="Arial" w:hAnsi="Arial"/>
                <w:sz w:val="16"/>
                <w:szCs w:val="16"/>
                <w:color w:val="3B3C43"/>
              </w:rPr>
              <w:t>Steam</w:t>
            </w:r>
          </w:p>
        </w:tc>
        <w:tc>
          <w:tcPr>
            <w:tcW w:w="2340" w:type="dxa"/>
            <w:vAlign w:val="bottom"/>
          </w:tcPr>
          <w:p>
            <w:pPr>
              <w:jc w:val="right"/>
              <w:ind w:right="559"/>
              <w:spacing w:after="0"/>
              <w:rPr>
                <w:sz w:val="20"/>
                <w:szCs w:val="20"/>
                <w:color w:val="auto"/>
              </w:rPr>
            </w:pPr>
            <w:r>
              <w:rPr>
                <w:rFonts w:ascii="Arial" w:cs="Arial" w:eastAsia="Arial" w:hAnsi="Arial"/>
                <w:sz w:val="16"/>
                <w:szCs w:val="16"/>
                <w:color w:val="3B3C43"/>
              </w:rPr>
              <w:t>0</w:t>
            </w:r>
          </w:p>
        </w:tc>
        <w:tc>
          <w:tcPr>
            <w:tcW w:w="1800" w:type="dxa"/>
            <w:vAlign w:val="bottom"/>
          </w:tcPr>
          <w:p>
            <w:pPr>
              <w:jc w:val="right"/>
              <w:ind w:right="559"/>
              <w:spacing w:after="0"/>
              <w:rPr>
                <w:sz w:val="20"/>
                <w:szCs w:val="20"/>
                <w:color w:val="auto"/>
              </w:rPr>
            </w:pPr>
            <w:r>
              <w:rPr>
                <w:rFonts w:ascii="Arial" w:cs="Arial" w:eastAsia="Arial" w:hAnsi="Arial"/>
                <w:sz w:val="16"/>
                <w:szCs w:val="16"/>
                <w:color w:val="3B3C43"/>
              </w:rPr>
              <w:t>0</w:t>
            </w:r>
          </w:p>
        </w:tc>
        <w:tc>
          <w:tcPr>
            <w:tcW w:w="124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46"/>
        </w:trPr>
        <w:tc>
          <w:tcPr>
            <w:tcW w:w="5860" w:type="dxa"/>
            <w:vAlign w:val="bottom"/>
            <w:tcBorders>
              <w:bottom w:val="single" w:sz="8" w:color="E1E2E0"/>
            </w:tcBorders>
          </w:tcPr>
          <w:p>
            <w:pPr>
              <w:spacing w:after="0"/>
              <w:rPr>
                <w:sz w:val="4"/>
                <w:szCs w:val="4"/>
                <w:color w:val="auto"/>
              </w:rPr>
            </w:pPr>
          </w:p>
        </w:tc>
        <w:tc>
          <w:tcPr>
            <w:tcW w:w="2340" w:type="dxa"/>
            <w:vAlign w:val="bottom"/>
            <w:tcBorders>
              <w:bottom w:val="single" w:sz="8" w:color="E1E2E0"/>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240" w:type="dxa"/>
            <w:vAlign w:val="bottom"/>
            <w:tcBorders>
              <w:bottom w:val="single" w:sz="8" w:color="E1E2E0"/>
            </w:tcBorders>
          </w:tcPr>
          <w:p>
            <w:pPr>
              <w:spacing w:after="0"/>
              <w:rPr>
                <w:sz w:val="4"/>
                <w:szCs w:val="4"/>
                <w:color w:val="auto"/>
              </w:rPr>
            </w:pPr>
          </w:p>
        </w:tc>
      </w:tr>
      <w:tr>
        <w:trPr>
          <w:trHeight w:val="244"/>
        </w:trPr>
        <w:tc>
          <w:tcPr>
            <w:tcW w:w="5860" w:type="dxa"/>
            <w:vAlign w:val="bottom"/>
          </w:tcPr>
          <w:p>
            <w:pPr>
              <w:ind w:left="100"/>
              <w:spacing w:after="0"/>
              <w:rPr>
                <w:sz w:val="20"/>
                <w:szCs w:val="20"/>
                <w:color w:val="auto"/>
              </w:rPr>
            </w:pPr>
            <w:r>
              <w:rPr>
                <w:rFonts w:ascii="Arial" w:cs="Arial" w:eastAsia="Arial" w:hAnsi="Arial"/>
                <w:sz w:val="16"/>
                <w:szCs w:val="16"/>
                <w:color w:val="3B3C43"/>
              </w:rPr>
              <w:t>Cooling</w:t>
            </w:r>
          </w:p>
        </w:tc>
        <w:tc>
          <w:tcPr>
            <w:tcW w:w="2340" w:type="dxa"/>
            <w:vAlign w:val="bottom"/>
          </w:tcPr>
          <w:p>
            <w:pPr>
              <w:jc w:val="right"/>
              <w:ind w:right="559"/>
              <w:spacing w:after="0"/>
              <w:rPr>
                <w:sz w:val="20"/>
                <w:szCs w:val="20"/>
                <w:color w:val="auto"/>
              </w:rPr>
            </w:pPr>
            <w:r>
              <w:rPr>
                <w:rFonts w:ascii="Arial" w:cs="Arial" w:eastAsia="Arial" w:hAnsi="Arial"/>
                <w:sz w:val="16"/>
                <w:szCs w:val="16"/>
                <w:color w:val="3B3C43"/>
              </w:rPr>
              <w:t>20</w:t>
            </w:r>
          </w:p>
        </w:tc>
        <w:tc>
          <w:tcPr>
            <w:tcW w:w="1800" w:type="dxa"/>
            <w:vAlign w:val="bottom"/>
          </w:tcPr>
          <w:p>
            <w:pPr>
              <w:jc w:val="right"/>
              <w:ind w:right="559"/>
              <w:spacing w:after="0"/>
              <w:rPr>
                <w:sz w:val="20"/>
                <w:szCs w:val="20"/>
                <w:color w:val="auto"/>
              </w:rPr>
            </w:pPr>
            <w:r>
              <w:rPr>
                <w:rFonts w:ascii="Arial" w:cs="Arial" w:eastAsia="Arial" w:hAnsi="Arial"/>
                <w:sz w:val="16"/>
                <w:szCs w:val="16"/>
                <w:color w:val="3B3C43"/>
              </w:rPr>
              <w:t>113</w:t>
            </w:r>
          </w:p>
        </w:tc>
        <w:tc>
          <w:tcPr>
            <w:tcW w:w="1240" w:type="dxa"/>
            <w:vAlign w:val="bottom"/>
          </w:tcPr>
          <w:p>
            <w:pPr>
              <w:jc w:val="right"/>
              <w:spacing w:after="0"/>
              <w:rPr>
                <w:sz w:val="20"/>
                <w:szCs w:val="20"/>
                <w:color w:val="auto"/>
              </w:rPr>
            </w:pPr>
            <w:r>
              <w:rPr>
                <w:rFonts w:ascii="Arial" w:cs="Arial" w:eastAsia="Arial" w:hAnsi="Arial"/>
                <w:sz w:val="16"/>
                <w:szCs w:val="16"/>
                <w:color w:val="3B3C43"/>
              </w:rPr>
              <w:t>128</w:t>
            </w:r>
          </w:p>
        </w:tc>
      </w:tr>
      <w:tr>
        <w:trPr>
          <w:trHeight w:val="47"/>
        </w:trPr>
        <w:tc>
          <w:tcPr>
            <w:tcW w:w="5860" w:type="dxa"/>
            <w:vAlign w:val="bottom"/>
            <w:tcBorders>
              <w:bottom w:val="single" w:sz="8" w:color="E1E2E0"/>
            </w:tcBorders>
          </w:tcPr>
          <w:p>
            <w:pPr>
              <w:spacing w:after="0"/>
              <w:rPr>
                <w:sz w:val="4"/>
                <w:szCs w:val="4"/>
                <w:color w:val="auto"/>
              </w:rPr>
            </w:pPr>
          </w:p>
        </w:tc>
        <w:tc>
          <w:tcPr>
            <w:tcW w:w="2340" w:type="dxa"/>
            <w:vAlign w:val="bottom"/>
            <w:tcBorders>
              <w:bottom w:val="single" w:sz="8" w:color="E1E2E0"/>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240" w:type="dxa"/>
            <w:vAlign w:val="bottom"/>
            <w:tcBorders>
              <w:bottom w:val="single" w:sz="8" w:color="E1E2E0"/>
            </w:tcBorders>
          </w:tcPr>
          <w:p>
            <w:pPr>
              <w:spacing w:after="0"/>
              <w:rPr>
                <w:sz w:val="4"/>
                <w:szCs w:val="4"/>
                <w:color w:val="auto"/>
              </w:rPr>
            </w:pPr>
          </w:p>
        </w:tc>
      </w:tr>
      <w:tr>
        <w:trPr>
          <w:trHeight w:val="244"/>
        </w:trPr>
        <w:tc>
          <w:tcPr>
            <w:tcW w:w="5860" w:type="dxa"/>
            <w:vAlign w:val="bottom"/>
          </w:tcPr>
          <w:p>
            <w:pPr>
              <w:ind w:left="100"/>
              <w:spacing w:after="0"/>
              <w:rPr>
                <w:sz w:val="20"/>
                <w:szCs w:val="20"/>
                <w:color w:val="auto"/>
              </w:rPr>
            </w:pPr>
            <w:r>
              <w:rPr>
                <w:rFonts w:ascii="Arial" w:cs="Arial" w:eastAsia="Arial" w:hAnsi="Arial"/>
                <w:sz w:val="16"/>
                <w:szCs w:val="16"/>
                <w:b w:val="1"/>
                <w:bCs w:val="1"/>
                <w:color w:val="3B3C43"/>
              </w:rPr>
              <w:t>Total Emissions</w:t>
            </w:r>
          </w:p>
        </w:tc>
        <w:tc>
          <w:tcPr>
            <w:tcW w:w="2340" w:type="dxa"/>
            <w:vAlign w:val="bottom"/>
          </w:tcPr>
          <w:p>
            <w:pPr>
              <w:jc w:val="right"/>
              <w:ind w:right="559"/>
              <w:spacing w:after="0"/>
              <w:rPr>
                <w:sz w:val="20"/>
                <w:szCs w:val="20"/>
                <w:color w:val="auto"/>
              </w:rPr>
            </w:pPr>
            <w:r>
              <w:rPr>
                <w:rFonts w:ascii="Arial" w:cs="Arial" w:eastAsia="Arial" w:hAnsi="Arial"/>
                <w:sz w:val="16"/>
                <w:szCs w:val="16"/>
                <w:b w:val="1"/>
                <w:bCs w:val="1"/>
                <w:color w:val="3B3C43"/>
              </w:rPr>
              <w:t>69,411</w:t>
            </w:r>
          </w:p>
        </w:tc>
        <w:tc>
          <w:tcPr>
            <w:tcW w:w="1800" w:type="dxa"/>
            <w:vAlign w:val="bottom"/>
          </w:tcPr>
          <w:p>
            <w:pPr>
              <w:jc w:val="right"/>
              <w:ind w:right="559"/>
              <w:spacing w:after="0"/>
              <w:rPr>
                <w:sz w:val="20"/>
                <w:szCs w:val="20"/>
                <w:color w:val="auto"/>
              </w:rPr>
            </w:pPr>
            <w:r>
              <w:rPr>
                <w:rFonts w:ascii="Arial" w:cs="Arial" w:eastAsia="Arial" w:hAnsi="Arial"/>
                <w:sz w:val="16"/>
                <w:szCs w:val="16"/>
                <w:b w:val="1"/>
                <w:bCs w:val="1"/>
                <w:color w:val="3B3C43"/>
              </w:rPr>
              <w:t>53,838</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3B3C43"/>
              </w:rPr>
              <w:t>80,187</w:t>
            </w:r>
          </w:p>
        </w:tc>
      </w:tr>
      <w:tr>
        <w:trPr>
          <w:trHeight w:val="46"/>
        </w:trPr>
        <w:tc>
          <w:tcPr>
            <w:tcW w:w="5860" w:type="dxa"/>
            <w:vAlign w:val="bottom"/>
            <w:tcBorders>
              <w:bottom w:val="single" w:sz="8" w:color="E1E2E0"/>
            </w:tcBorders>
          </w:tcPr>
          <w:p>
            <w:pPr>
              <w:spacing w:after="0"/>
              <w:rPr>
                <w:sz w:val="4"/>
                <w:szCs w:val="4"/>
                <w:color w:val="auto"/>
              </w:rPr>
            </w:pPr>
          </w:p>
        </w:tc>
        <w:tc>
          <w:tcPr>
            <w:tcW w:w="2340" w:type="dxa"/>
            <w:vAlign w:val="bottom"/>
            <w:tcBorders>
              <w:bottom w:val="single" w:sz="8" w:color="E1E2E0"/>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240" w:type="dxa"/>
            <w:vAlign w:val="bottom"/>
            <w:tcBorders>
              <w:bottom w:val="single" w:sz="8" w:color="E1E2E0"/>
            </w:tcBorders>
          </w:tcPr>
          <w:p>
            <w:pPr>
              <w:spacing w:after="0"/>
              <w:rPr>
                <w:sz w:val="4"/>
                <w:szCs w:val="4"/>
                <w:color w:val="auto"/>
              </w:rPr>
            </w:pPr>
          </w:p>
        </w:tc>
      </w:tr>
    </w:tbl>
    <w:p>
      <w:pPr>
        <w:spacing w:after="0" w:line="24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3B3C43"/>
        </w:rPr>
        <w:t>5% of the Company’s annual GHG emissions of electricity, heat, steam, or cooling by the Company for its own use for the year ended December 31, 2020 related to energy consumed in the United Kingdom and offshore area.</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GHG Emissions Intensity</w:t>
      </w:r>
    </w:p>
    <w:p>
      <w:pPr>
        <w:spacing w:after="0" w:line="25" w:lineRule="exact"/>
        <w:rPr>
          <w:sz w:val="20"/>
          <w:szCs w:val="20"/>
          <w:color w:val="auto"/>
        </w:rPr>
      </w:pPr>
    </w:p>
    <w:p>
      <w:pPr>
        <w:ind w:right="640"/>
        <w:spacing w:after="0" w:line="253" w:lineRule="auto"/>
        <w:rPr>
          <w:sz w:val="20"/>
          <w:szCs w:val="20"/>
          <w:color w:val="auto"/>
        </w:rPr>
      </w:pPr>
      <w:r>
        <w:rPr>
          <w:rFonts w:ascii="Arial" w:cs="Arial" w:eastAsia="Arial" w:hAnsi="Arial"/>
          <w:sz w:val="16"/>
          <w:szCs w:val="16"/>
          <w:color w:val="3B3C43"/>
        </w:rPr>
        <w:t>The Company’s GHG emissions intensity factor is calculated by dividing total Scope 1 and Scope 2 emissions by the environmental hours worked (corresponding to sites that contributed to environmental data reporting). Hours worked has been acknowledged as being most representative of the Company’s overall activity and is frequently used in HSE standards in the industry.</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100" w:type="dxa"/>
            <w:vAlign w:val="bottom"/>
            <w:tcBorders>
              <w:left w:val="single" w:sz="8" w:color="auto"/>
              <w:bottom w:val="single" w:sz="8" w:color="4A1F67"/>
            </w:tcBorders>
            <w:shd w:val="clear" w:color="auto" w:fill="4A1F67"/>
          </w:tcPr>
          <w:p>
            <w:pPr>
              <w:ind w:left="80"/>
              <w:spacing w:after="0"/>
              <w:rPr>
                <w:sz w:val="20"/>
                <w:szCs w:val="20"/>
                <w:color w:val="auto"/>
              </w:rPr>
            </w:pPr>
            <w:r>
              <w:rPr>
                <w:rFonts w:ascii="Arial" w:cs="Arial" w:eastAsia="Arial" w:hAnsi="Arial"/>
                <w:sz w:val="16"/>
                <w:szCs w:val="16"/>
                <w:b w:val="1"/>
                <w:bCs w:val="1"/>
                <w:color w:val="FFFFFF"/>
              </w:rPr>
              <w:t>(in kg eq. CO</w:t>
            </w:r>
            <w:r>
              <w:rPr>
                <w:rFonts w:ascii="Arial" w:cs="Arial" w:eastAsia="Arial" w:hAnsi="Arial"/>
                <w:sz w:val="13"/>
                <w:szCs w:val="13"/>
                <w:color w:val="FFFFFF"/>
              </w:rPr>
              <w:t>2</w:t>
            </w:r>
            <w:r>
              <w:rPr>
                <w:rFonts w:ascii="Arial" w:cs="Arial" w:eastAsia="Arial" w:hAnsi="Arial"/>
                <w:sz w:val="16"/>
                <w:szCs w:val="16"/>
                <w:b w:val="1"/>
                <w:bCs w:val="1"/>
                <w:color w:val="FFFFFF"/>
              </w:rPr>
              <w:t>/hours worked)</w:t>
            </w:r>
          </w:p>
        </w:tc>
        <w:tc>
          <w:tcPr>
            <w:tcW w:w="3200" w:type="dxa"/>
            <w:vAlign w:val="bottom"/>
            <w:tcBorders>
              <w:bottom w:val="single" w:sz="8" w:color="4A1F67"/>
            </w:tcBorders>
            <w:shd w:val="clear" w:color="auto" w:fill="4A1F67"/>
          </w:tcPr>
          <w:p>
            <w:pPr>
              <w:jc w:val="right"/>
              <w:ind w:right="979"/>
              <w:spacing w:after="0"/>
              <w:rPr>
                <w:sz w:val="20"/>
                <w:szCs w:val="20"/>
                <w:color w:val="auto"/>
              </w:rPr>
            </w:pPr>
            <w:r>
              <w:rPr>
                <w:rFonts w:ascii="Arial" w:cs="Arial" w:eastAsia="Arial" w:hAnsi="Arial"/>
                <w:sz w:val="16"/>
                <w:szCs w:val="16"/>
                <w:b w:val="1"/>
                <w:bCs w:val="1"/>
                <w:color w:val="FFFFFF"/>
              </w:rPr>
              <w:t>2018</w:t>
            </w:r>
          </w:p>
        </w:tc>
        <w:tc>
          <w:tcPr>
            <w:tcW w:w="2460" w:type="dxa"/>
            <w:vAlign w:val="bottom"/>
            <w:tcBorders>
              <w:bottom w:val="single" w:sz="8" w:color="4A1F67"/>
            </w:tcBorders>
            <w:shd w:val="clear" w:color="auto" w:fill="4A1F67"/>
          </w:tcPr>
          <w:p>
            <w:pPr>
              <w:jc w:val="right"/>
              <w:ind w:right="959"/>
              <w:spacing w:after="0"/>
              <w:rPr>
                <w:sz w:val="20"/>
                <w:szCs w:val="20"/>
                <w:color w:val="auto"/>
              </w:rPr>
            </w:pPr>
            <w:r>
              <w:rPr>
                <w:rFonts w:ascii="Arial" w:cs="Arial" w:eastAsia="Arial" w:hAnsi="Arial"/>
                <w:sz w:val="16"/>
                <w:szCs w:val="16"/>
                <w:b w:val="1"/>
                <w:bCs w:val="1"/>
                <w:color w:val="FFFFFF"/>
              </w:rPr>
              <w:t>2019</w:t>
            </w:r>
          </w:p>
        </w:tc>
        <w:tc>
          <w:tcPr>
            <w:tcW w:w="1480" w:type="dxa"/>
            <w:vAlign w:val="bottom"/>
            <w:tcBorders>
              <w:bottom w:val="single" w:sz="8" w:color="4A1F67"/>
              <w:right w:val="single" w:sz="8" w:color="auto"/>
            </w:tcBorders>
            <w:shd w:val="clear" w:color="auto" w:fill="4A1F67"/>
          </w:tcPr>
          <w:p>
            <w:pPr>
              <w:jc w:val="right"/>
              <w:spacing w:after="0"/>
              <w:rPr>
                <w:sz w:val="20"/>
                <w:szCs w:val="20"/>
                <w:color w:val="auto"/>
              </w:rPr>
            </w:pPr>
            <w:r>
              <w:rPr>
                <w:rFonts w:ascii="Arial" w:cs="Arial" w:eastAsia="Arial" w:hAnsi="Arial"/>
                <w:sz w:val="16"/>
                <w:szCs w:val="16"/>
                <w:b w:val="1"/>
                <w:bCs w:val="1"/>
                <w:color w:val="FFFFFF"/>
              </w:rPr>
              <w:t>2020</w:t>
            </w:r>
          </w:p>
        </w:tc>
      </w:tr>
      <w:tr>
        <w:trPr>
          <w:trHeight w:val="250"/>
        </w:trPr>
        <w:tc>
          <w:tcPr>
            <w:tcW w:w="4100" w:type="dxa"/>
            <w:vAlign w:val="bottom"/>
          </w:tcPr>
          <w:p>
            <w:pPr>
              <w:ind w:left="60"/>
              <w:spacing w:after="0"/>
              <w:rPr>
                <w:sz w:val="20"/>
                <w:szCs w:val="20"/>
                <w:color w:val="auto"/>
              </w:rPr>
            </w:pPr>
            <w:r>
              <w:rPr>
                <w:rFonts w:ascii="Arial" w:cs="Arial" w:eastAsia="Arial" w:hAnsi="Arial"/>
                <w:sz w:val="16"/>
                <w:szCs w:val="16"/>
                <w:color w:val="3B3C43"/>
              </w:rPr>
              <w:t>Total GHG Emissions Intensity</w:t>
            </w:r>
          </w:p>
        </w:tc>
        <w:tc>
          <w:tcPr>
            <w:tcW w:w="3200" w:type="dxa"/>
            <w:vAlign w:val="bottom"/>
          </w:tcPr>
          <w:p>
            <w:pPr>
              <w:jc w:val="right"/>
              <w:ind w:right="979"/>
              <w:spacing w:after="0"/>
              <w:rPr>
                <w:sz w:val="20"/>
                <w:szCs w:val="20"/>
                <w:color w:val="auto"/>
              </w:rPr>
            </w:pPr>
            <w:r>
              <w:rPr>
                <w:rFonts w:ascii="Arial" w:cs="Arial" w:eastAsia="Arial" w:hAnsi="Arial"/>
                <w:sz w:val="16"/>
                <w:szCs w:val="16"/>
                <w:color w:val="3B3C43"/>
              </w:rPr>
              <w:t>4.07</w:t>
            </w:r>
          </w:p>
        </w:tc>
        <w:tc>
          <w:tcPr>
            <w:tcW w:w="2460" w:type="dxa"/>
            <w:vAlign w:val="bottom"/>
          </w:tcPr>
          <w:p>
            <w:pPr>
              <w:jc w:val="right"/>
              <w:ind w:right="959"/>
              <w:spacing w:after="0"/>
              <w:rPr>
                <w:sz w:val="20"/>
                <w:szCs w:val="20"/>
                <w:color w:val="auto"/>
              </w:rPr>
            </w:pPr>
            <w:r>
              <w:rPr>
                <w:rFonts w:ascii="Arial" w:cs="Arial" w:eastAsia="Arial" w:hAnsi="Arial"/>
                <w:sz w:val="16"/>
                <w:szCs w:val="16"/>
                <w:color w:val="3B3C43"/>
              </w:rPr>
              <w:t>2.99</w:t>
            </w:r>
          </w:p>
        </w:tc>
        <w:tc>
          <w:tcPr>
            <w:tcW w:w="1480" w:type="dxa"/>
            <w:vAlign w:val="bottom"/>
          </w:tcPr>
          <w:p>
            <w:pPr>
              <w:jc w:val="right"/>
              <w:spacing w:after="0"/>
              <w:rPr>
                <w:sz w:val="20"/>
                <w:szCs w:val="20"/>
                <w:color w:val="auto"/>
              </w:rPr>
            </w:pPr>
            <w:r>
              <w:rPr>
                <w:rFonts w:ascii="Arial" w:cs="Arial" w:eastAsia="Arial" w:hAnsi="Arial"/>
                <w:sz w:val="16"/>
                <w:szCs w:val="16"/>
                <w:color w:val="3B3C43"/>
              </w:rPr>
              <w:t>2.40</w:t>
            </w:r>
          </w:p>
        </w:tc>
      </w:tr>
      <w:tr>
        <w:trPr>
          <w:trHeight w:val="47"/>
        </w:trPr>
        <w:tc>
          <w:tcPr>
            <w:tcW w:w="4100" w:type="dxa"/>
            <w:vAlign w:val="bottom"/>
            <w:tcBorders>
              <w:bottom w:val="single" w:sz="8" w:color="E1E2E0"/>
            </w:tcBorders>
          </w:tcPr>
          <w:p>
            <w:pPr>
              <w:spacing w:after="0"/>
              <w:rPr>
                <w:sz w:val="4"/>
                <w:szCs w:val="4"/>
                <w:color w:val="auto"/>
              </w:rPr>
            </w:pPr>
          </w:p>
        </w:tc>
        <w:tc>
          <w:tcPr>
            <w:tcW w:w="3200" w:type="dxa"/>
            <w:vAlign w:val="bottom"/>
            <w:tcBorders>
              <w:bottom w:val="single" w:sz="8" w:color="E1E2E0"/>
            </w:tcBorders>
          </w:tcPr>
          <w:p>
            <w:pPr>
              <w:spacing w:after="0"/>
              <w:rPr>
                <w:sz w:val="4"/>
                <w:szCs w:val="4"/>
                <w:color w:val="auto"/>
              </w:rPr>
            </w:pPr>
          </w:p>
        </w:tc>
        <w:tc>
          <w:tcPr>
            <w:tcW w:w="2460" w:type="dxa"/>
            <w:vAlign w:val="bottom"/>
            <w:tcBorders>
              <w:bottom w:val="single" w:sz="8" w:color="E1E2E0"/>
            </w:tcBorders>
          </w:tcPr>
          <w:p>
            <w:pPr>
              <w:spacing w:after="0"/>
              <w:rPr>
                <w:sz w:val="4"/>
                <w:szCs w:val="4"/>
                <w:color w:val="auto"/>
              </w:rPr>
            </w:pPr>
          </w:p>
        </w:tc>
        <w:tc>
          <w:tcPr>
            <w:tcW w:w="1480" w:type="dxa"/>
            <w:vAlign w:val="bottom"/>
            <w:tcBorders>
              <w:bottom w:val="single" w:sz="8" w:color="E1E2E0"/>
            </w:tcBorders>
          </w:tcPr>
          <w:p>
            <w:pPr>
              <w:spacing w:after="0"/>
              <w:rPr>
                <w:sz w:val="4"/>
                <w:szCs w:val="4"/>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32</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Energy Consumption</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B3C43"/>
        </w:rPr>
        <w:t>The aggregate of (i) the annual energy consumed from activities for which the Company is responsible (including the combustion of fuel and the operation of any facility) and (ii) the annual quantity of energy consumed resulting from the purchase of electricity, heat, steam, or cooling by the Company for its own use for the year ended December 31, 2020 was 1,624 GwH, of which 2% related to energy consumed in the United Kingdom and offshore area.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Methodology</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3B3C43"/>
        </w:rPr>
        <w:t>Environmental data is collected through our QHSES reporting system, Synergi, a global, integrated software solution. Each of the Company’s reporting entities is required to consolidate and record its environmental data in Synergi every month. This data reflects the environmental performance of entities involved in the offices, construction sites, yards and spoolbases, manufacturing, and fleet operations when we own or manage the site in question and when we are responsible for managing the work.</w:t>
      </w:r>
    </w:p>
    <w:p>
      <w:pPr>
        <w:spacing w:after="0" w:line="17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3B3C43"/>
        </w:rPr>
        <w:t>Environmental data is aggregated for the analysis in Asset and Projects categories: industrial sites, fleet, and offices are consolidated as Our Assets since these three categories represent TechnipFMC’s permanent sites (owned or leased) under full operational control, while the EPC Construction sites and Yards/Bases are not all owned sites but are all under the operational control and responsibility of the Company for short- to medium-term periods (less than five years).</w:t>
      </w:r>
    </w:p>
    <w:p>
      <w:pPr>
        <w:spacing w:after="0" w:line="17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3B3C43"/>
        </w:rPr>
        <w:t>The reporting period is the financial year ending December 31, 2020. Figures for environmental indicators have been extracted from the Company reporting tool.</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3B3C43"/>
        </w:rPr>
        <w:t>To calculate Scope 1 and Scope 2 GHG emissions, sites’ registered electricity consumption and fuel consumption are converted using emission factors from the IPCC Guidelines for National Greenhouse Gas Inventories, 2006 and from CAIT v8.0, 2011. Emission factors differ depending on fuel type, method of generating electricity, and country. The reporting tool calculates the resulting CO</w:t>
      </w:r>
      <w:r>
        <w:rPr>
          <w:rFonts w:ascii="Arial" w:cs="Arial" w:eastAsia="Arial" w:hAnsi="Arial"/>
          <w:sz w:val="13"/>
          <w:szCs w:val="13"/>
          <w:color w:val="3B3C43"/>
        </w:rPr>
        <w:t>2</w:t>
      </w:r>
      <w:r>
        <w:rPr>
          <w:rFonts w:ascii="Arial" w:cs="Arial" w:eastAsia="Arial" w:hAnsi="Arial"/>
          <w:sz w:val="16"/>
          <w:szCs w:val="16"/>
          <w:color w:val="3B3C43"/>
        </w:rPr>
        <w:t xml:space="preserve">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112395</wp:posOffset>
            </wp:positionV>
            <wp:extent cx="6858000" cy="13373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0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Provide the carbon footprint to our clients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3B3C43"/>
        </w:rPr>
        <w:t>Our second Respecting the Environment objective aims to provide the carbon footprint of all our deliverables to clients through conceptual studies to help introduce our clients to new, low-carbon options in the early stages of projects and highlight the carbon footprint differences between each concept as early as possible. In 2019, carbon footprint calculation modules were developed and were implemented in our Technip Energies and Subsea conceptual studies.</w:t>
      </w:r>
    </w:p>
    <w:p>
      <w:pPr>
        <w:spacing w:after="0" w:line="174"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3B3C43"/>
        </w:rPr>
        <w:t>In 2020, we launched proprietary Carbon Assessment Tools to enable the business to better understand how much carbon a facility or operation might produce. Our consultants offer proprietary Carbon Assessment Tools that provide a comparative carbon footprint of various design alternatives to support concept selection. In 2020, nine carbon footprint studies were performed in conceptual phase providing carbon-conscious solutions to our clients.</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33</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Internal carbon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134620</wp:posOffset>
            </wp:positionV>
            <wp:extent cx="6858000" cy="13284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0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3B3C43"/>
        </w:rPr>
        <w:t>In 2019, TechnipFMC began developing a mechanism to establish an internal carbon price for the Company, focused on our assets, which should be implemented as part of the future Company’s investment decisions for capital expenditures. We followed the highest international standards on this topic, and, in 2019, we formed a business-integrated Internal Carbon Price Workgroup with the participation of our QHSES, EWG, Strategy, Finance, and Sustainability experts.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6"/>
          <w:szCs w:val="16"/>
          <w:color w:val="3B3C43"/>
        </w:rPr>
        <w:t>The purpose of the workgroup was to assess the potential impact of an internal carbon price on TechnipFMC’s capital expenditures. A case study was performed and several internal carbon price methodologies were applied. The case study emphasized the improvement of the Company’s cumulative cash flow, internal rate of return, and the reduction of the payback period, and valorized the most sustainable solutions in terms of carbon emission reduction.</w:t>
      </w:r>
    </w:p>
    <w:p>
      <w:pPr>
        <w:spacing w:after="0" w:line="174"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3B3C43"/>
        </w:rPr>
        <w:t>As a result, in 2020, we further progressed with the development of a process to assess which capital investments take into account our internal carbon price, and we have also established a financial model for obtaining capital investment metrics. We defined an Internal Carbon Price and added related elements into our investment decision policy.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2020 Other Environmental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-127635</wp:posOffset>
            </wp:positionV>
            <wp:extent cx="2571750" cy="3574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1750" cy="357441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Single-Use Plastics Elimination</w:t>
      </w:r>
    </w:p>
    <w:p>
      <w:pPr>
        <w:spacing w:after="0" w:line="25" w:lineRule="exact"/>
        <w:rPr>
          <w:sz w:val="20"/>
          <w:szCs w:val="20"/>
          <w:color w:val="auto"/>
        </w:rPr>
      </w:pPr>
    </w:p>
    <w:p>
      <w:pPr>
        <w:ind w:right="4860"/>
        <w:spacing w:after="0" w:line="249" w:lineRule="auto"/>
        <w:rPr>
          <w:sz w:val="20"/>
          <w:szCs w:val="20"/>
          <w:color w:val="auto"/>
        </w:rPr>
      </w:pPr>
      <w:r>
        <w:rPr>
          <w:rFonts w:ascii="Arial" w:cs="Arial" w:eastAsia="Arial" w:hAnsi="Arial"/>
          <w:sz w:val="16"/>
          <w:szCs w:val="16"/>
          <w:color w:val="3B3C43"/>
        </w:rPr>
        <w:t>TechnipFMC has also joined global initiatives for the protection of the oceans from plastics pollution. Plastics are recognized as valuable resources, and the Company is committed to reducing its use of single-use plastics in day- to-day working activities. A Single-Use Plastics Elimination (“</w:t>
      </w:r>
      <w:r>
        <w:rPr>
          <w:rFonts w:ascii="Arial" w:cs="Arial" w:eastAsia="Arial" w:hAnsi="Arial"/>
          <w:sz w:val="16"/>
          <w:szCs w:val="16"/>
          <w:b w:val="1"/>
          <w:bCs w:val="1"/>
          <w:color w:val="3B3C43"/>
        </w:rPr>
        <w:t>SUPE</w:t>
      </w:r>
      <w:r>
        <w:rPr>
          <w:rFonts w:ascii="Arial" w:cs="Arial" w:eastAsia="Arial" w:hAnsi="Arial"/>
          <w:sz w:val="16"/>
          <w:szCs w:val="16"/>
          <w:color w:val="3B3C43"/>
        </w:rPr>
        <w:t>”) project was launched in 2018 in 52 locations, comprising 28% of Company locations, and in the fleet with the aim of eliminating single-use plastics or substituting them with more sustainable and reusable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34</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4B1F68"/>
        </w:rPr>
        <w:t>TechnipFMC Proxy Statement 2021</w:t>
      </w:r>
    </w:p>
    <w:p>
      <w:pPr>
        <w:sectPr>
          <w:pgSz w:w="11900" w:h="16838" w:orient="portrait"/>
          <w:cols w:equalWidth="0" w:num="1">
            <w:col w:w="11240"/>
          </w:cols>
          <w:pgMar w:left="320" w:top="315"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right="1000"/>
        <w:spacing w:after="0" w:line="260" w:lineRule="auto"/>
        <w:rPr>
          <w:sz w:val="20"/>
          <w:szCs w:val="20"/>
          <w:color w:val="auto"/>
        </w:rPr>
      </w:pPr>
      <w:r>
        <w:rPr>
          <w:rFonts w:ascii="Arial" w:cs="Arial" w:eastAsia="Arial" w:hAnsi="Arial"/>
          <w:sz w:val="16"/>
          <w:szCs w:val="16"/>
          <w:color w:val="3B3C43"/>
        </w:rPr>
        <w:t>In 2018, the SUPE project saved approximately 167,000 plastic bottles and 2.3 million plastic cups.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Single-Use Plastics Elimination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134620</wp:posOffset>
            </wp:positionV>
            <wp:extent cx="3000375" cy="258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00375" cy="2580005"/>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6660" w:space="720"/>
            <w:col w:w="3860"/>
          </w:cols>
          <w:pgMar w:left="320" w:top="315" w:right="339" w:bottom="1440" w:gutter="0" w:footer="0" w:header="0"/>
          <w:type w:val="continuous"/>
        </w:sectPr>
      </w:pPr>
    </w:p>
    <w:p>
      <w:pPr>
        <w:ind w:right="5320"/>
        <w:spacing w:after="0" w:line="253" w:lineRule="auto"/>
        <w:rPr>
          <w:sz w:val="20"/>
          <w:szCs w:val="20"/>
          <w:color w:val="auto"/>
        </w:rPr>
      </w:pPr>
      <w:r>
        <w:rPr>
          <w:rFonts w:ascii="Arial" w:cs="Arial" w:eastAsia="Arial" w:hAnsi="Arial"/>
          <w:sz w:val="16"/>
          <w:szCs w:val="16"/>
          <w:color w:val="3B3C43"/>
        </w:rPr>
        <w:t>In 2019, the SUPE project was extended to more than 40 countries. Approximately 139 locations, comprising 76% of the Company, and more than 30 vessels and projects completed the elimination of single-use plastic bottles and cups in 2019.</w:t>
      </w:r>
    </w:p>
    <w:p>
      <w:pPr>
        <w:spacing w:after="0" w:line="174" w:lineRule="exact"/>
        <w:rPr>
          <w:sz w:val="20"/>
          <w:szCs w:val="20"/>
          <w:color w:val="auto"/>
        </w:rPr>
      </w:pPr>
    </w:p>
    <w:p>
      <w:pPr>
        <w:jc w:val="both"/>
        <w:ind w:right="5440"/>
        <w:spacing w:after="0" w:line="253" w:lineRule="auto"/>
        <w:rPr>
          <w:sz w:val="20"/>
          <w:szCs w:val="20"/>
          <w:color w:val="auto"/>
        </w:rPr>
      </w:pPr>
      <w:r>
        <w:rPr>
          <w:rFonts w:ascii="Arial" w:cs="Arial" w:eastAsia="Arial" w:hAnsi="Arial"/>
          <w:sz w:val="16"/>
          <w:szCs w:val="16"/>
          <w:color w:val="3B3C43"/>
        </w:rPr>
        <w:t>In 2020, we reduced plastics in our assets from 1,500 tonnes to 700 tonnes, with more than 86% of the Company participating in the SUPE project, encompassing approximately 159 locations.</w:t>
      </w:r>
    </w:p>
    <w:p>
      <w:pPr>
        <w:sectPr>
          <w:pgSz w:w="11900" w:h="16838" w:orient="portrait"/>
          <w:cols w:equalWidth="0" w:num="1">
            <w:col w:w="11240"/>
          </w:cols>
          <w:pgMar w:left="320" w:top="3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Environmental Certifications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134620</wp:posOffset>
            </wp:positionV>
            <wp:extent cx="6858000" cy="13290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0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20"/>
        <w:spacing w:after="0" w:line="253" w:lineRule="auto"/>
        <w:rPr>
          <w:sz w:val="20"/>
          <w:szCs w:val="20"/>
          <w:color w:val="auto"/>
        </w:rPr>
      </w:pPr>
      <w:r>
        <w:rPr>
          <w:rFonts w:ascii="Arial" w:cs="Arial" w:eastAsia="Arial" w:hAnsi="Arial"/>
          <w:sz w:val="16"/>
          <w:szCs w:val="16"/>
          <w:color w:val="3B3C43"/>
        </w:rPr>
        <w:t>Despite operating in a complex industry, we are committed to successfully managing our environmental impacts. We measure our environmental performance and seek to operate through effective environmental management standards that are implemented in an extended lifecycle context and perspective.</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The Company maintains a policy of seeking to implement environmental certification ISO 14001 where practicable. To meet this commitment, TechnipFMC has implemented an environmental management framework. By December 31, 2020, 74 entities were ISO 14001 certified, including all head offices and managed projects, industrial sites, and the Company fleet. For each of these entities, the environmental management system was verified and certified by an independent third party.</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35</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Corporate Responsibility and Sustainability 2021-2023</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Environmental, Social, and Governance</w:t>
      </w:r>
    </w:p>
    <w:p>
      <w:pPr>
        <w:spacing w:after="0" w:line="1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3B3C43"/>
        </w:rPr>
        <w:t>The industry as a whole is focused on ESG issues. For TechnipFMC, our approach to ESG will be measured and will have one clear goal: To drive real and sustainable change that favorably impacts our Company, our industry, and our communities.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3B3C43"/>
        </w:rPr>
        <w:t>These are some of the actions we are undertaking:</w:t>
      </w:r>
    </w:p>
    <w:p>
      <w:pPr>
        <w:spacing w:after="0" w:line="194" w:lineRule="exact"/>
        <w:rPr>
          <w:sz w:val="20"/>
          <w:szCs w:val="20"/>
          <w:color w:val="auto"/>
        </w:rPr>
      </w:pPr>
    </w:p>
    <w:p>
      <w:pPr>
        <w:ind w:left="500" w:right="460" w:hanging="317"/>
        <w:spacing w:after="0" w:line="253" w:lineRule="auto"/>
        <w:tabs>
          <w:tab w:leader="none" w:pos="500" w:val="left"/>
        </w:tabs>
        <w:numPr>
          <w:ilvl w:val="0"/>
          <w:numId w:val="45"/>
        </w:numPr>
        <w:rPr>
          <w:rFonts w:ascii="Arial" w:cs="Arial" w:eastAsia="Arial" w:hAnsi="Arial"/>
          <w:sz w:val="16"/>
          <w:szCs w:val="16"/>
          <w:color w:val="4B1F68"/>
        </w:rPr>
      </w:pPr>
      <w:r>
        <w:rPr>
          <w:rFonts w:ascii="Arial" w:cs="Arial" w:eastAsia="Arial" w:hAnsi="Arial"/>
          <w:sz w:val="16"/>
          <w:szCs w:val="16"/>
          <w:color w:val="3B3C43"/>
        </w:rPr>
        <w:t>In June 2020, the Company expanded its commitment to diversity across our organization. As a result, we adopted an Inclusion and Diversity objective, which includes not only gender but also underrepresented minorities, including those differentiated by religion, sexual orientation, and disability. This focus empowers our people to be the difference through inclusion and embracing the value of diversity.</w:t>
      </w:r>
    </w:p>
    <w:p>
      <w:pPr>
        <w:spacing w:after="0" w:line="174" w:lineRule="exact"/>
        <w:rPr>
          <w:rFonts w:ascii="Arial" w:cs="Arial" w:eastAsia="Arial" w:hAnsi="Arial"/>
          <w:sz w:val="16"/>
          <w:szCs w:val="16"/>
          <w:color w:val="4B1F68"/>
        </w:rPr>
      </w:pPr>
    </w:p>
    <w:p>
      <w:pPr>
        <w:ind w:left="500" w:hanging="317"/>
        <w:spacing w:after="0"/>
        <w:tabs>
          <w:tab w:leader="none" w:pos="500" w:val="left"/>
        </w:tabs>
        <w:numPr>
          <w:ilvl w:val="0"/>
          <w:numId w:val="45"/>
        </w:numPr>
        <w:rPr>
          <w:rFonts w:ascii="Arial" w:cs="Arial" w:eastAsia="Arial" w:hAnsi="Arial"/>
          <w:sz w:val="16"/>
          <w:szCs w:val="16"/>
          <w:color w:val="4B1F68"/>
        </w:rPr>
      </w:pPr>
      <w:r>
        <w:rPr>
          <w:rFonts w:ascii="Arial" w:cs="Arial" w:eastAsia="Arial" w:hAnsi="Arial"/>
          <w:sz w:val="16"/>
          <w:szCs w:val="16"/>
          <w:color w:val="3B3C43"/>
        </w:rPr>
        <w:t>In November 2020, we made our 50 by 30 commitment. This is our roadmap to reduce CO</w:t>
      </w:r>
      <w:r>
        <w:rPr>
          <w:rFonts w:ascii="Arial" w:cs="Arial" w:eastAsia="Arial" w:hAnsi="Arial"/>
          <w:sz w:val="13"/>
          <w:szCs w:val="13"/>
          <w:color w:val="3B3C43"/>
        </w:rPr>
        <w:t>2</w:t>
      </w:r>
      <w:r>
        <w:rPr>
          <w:rFonts w:ascii="Arial" w:cs="Arial" w:eastAsia="Arial" w:hAnsi="Arial"/>
          <w:sz w:val="16"/>
          <w:szCs w:val="16"/>
          <w:color w:val="3B3C43"/>
        </w:rPr>
        <w:t xml:space="preserve"> emissions under Scopes 1 and 2 by 50% by 2030.</w:t>
      </w:r>
    </w:p>
    <w:p>
      <w:pPr>
        <w:spacing w:after="0" w:line="194" w:lineRule="exact"/>
        <w:rPr>
          <w:rFonts w:ascii="Arial" w:cs="Arial" w:eastAsia="Arial" w:hAnsi="Arial"/>
          <w:sz w:val="16"/>
          <w:szCs w:val="16"/>
          <w:color w:val="4B1F68"/>
        </w:rPr>
      </w:pPr>
    </w:p>
    <w:p>
      <w:pPr>
        <w:ind w:left="500" w:right="100" w:hanging="317"/>
        <w:spacing w:after="0" w:line="260" w:lineRule="auto"/>
        <w:tabs>
          <w:tab w:leader="none" w:pos="500" w:val="left"/>
        </w:tabs>
        <w:numPr>
          <w:ilvl w:val="0"/>
          <w:numId w:val="45"/>
        </w:numPr>
        <w:rPr>
          <w:rFonts w:ascii="Arial" w:cs="Arial" w:eastAsia="Arial" w:hAnsi="Arial"/>
          <w:sz w:val="16"/>
          <w:szCs w:val="16"/>
          <w:color w:val="4B1F68"/>
        </w:rPr>
      </w:pPr>
      <w:r>
        <w:rPr>
          <w:rFonts w:ascii="Arial" w:cs="Arial" w:eastAsia="Arial" w:hAnsi="Arial"/>
          <w:sz w:val="16"/>
          <w:szCs w:val="16"/>
          <w:color w:val="3B3C43"/>
        </w:rPr>
        <w:t>At the same time, we defined our ESG Strategy for 2021-2023 and the way we will track our performance using a three-year scorecard, which will be updated annually. This improved transparency and accountability will help us deliver tangible results in the short term.</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2021-2023 ESG Strategy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Environment: We will play our role in reducing carbon footprint from the upstream oil and gas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134620</wp:posOffset>
            </wp:positionV>
            <wp:extent cx="2571750" cy="5918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17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shd w:val="clear" w:color="auto" w:fill="4A1F67"/>
          </w:tcPr>
          <w:p>
            <w:pPr>
              <w:spacing w:after="0"/>
              <w:rPr>
                <w:sz w:val="14"/>
                <w:szCs w:val="14"/>
                <w:color w:val="auto"/>
              </w:rPr>
            </w:pPr>
          </w:p>
        </w:tc>
        <w:tc>
          <w:tcPr>
            <w:tcW w:w="3580" w:type="dxa"/>
            <w:vAlign w:val="bottom"/>
            <w:shd w:val="clear" w:color="auto" w:fill="4A1F67"/>
          </w:tcPr>
          <w:p>
            <w:pPr>
              <w:spacing w:after="0"/>
              <w:rPr>
                <w:sz w:val="14"/>
                <w:szCs w:val="14"/>
                <w:color w:val="auto"/>
              </w:rPr>
            </w:pPr>
          </w:p>
        </w:tc>
        <w:tc>
          <w:tcPr>
            <w:tcW w:w="460" w:type="dxa"/>
            <w:vAlign w:val="bottom"/>
            <w:shd w:val="clear" w:color="auto" w:fill="4A1F67"/>
          </w:tcPr>
          <w:p>
            <w:pPr>
              <w:spacing w:after="0"/>
              <w:rPr>
                <w:sz w:val="14"/>
                <w:szCs w:val="14"/>
                <w:color w:val="auto"/>
              </w:rPr>
            </w:pPr>
          </w:p>
        </w:tc>
        <w:tc>
          <w:tcPr>
            <w:tcW w:w="3200" w:type="dxa"/>
            <w:vAlign w:val="bottom"/>
            <w:shd w:val="clear" w:color="auto" w:fill="4A1F67"/>
          </w:tcPr>
          <w:p>
            <w:pPr>
              <w:spacing w:after="0"/>
              <w:rPr>
                <w:sz w:val="14"/>
                <w:szCs w:val="14"/>
                <w:color w:val="auto"/>
              </w:rPr>
            </w:pPr>
          </w:p>
        </w:tc>
        <w:tc>
          <w:tcPr>
            <w:tcW w:w="500" w:type="dxa"/>
            <w:vAlign w:val="bottom"/>
            <w:shd w:val="clear" w:color="auto" w:fill="4A1F67"/>
          </w:tcPr>
          <w:p>
            <w:pPr>
              <w:spacing w:after="0"/>
              <w:rPr>
                <w:sz w:val="14"/>
                <w:szCs w:val="14"/>
                <w:color w:val="auto"/>
              </w:rPr>
            </w:pPr>
          </w:p>
        </w:tc>
        <w:tc>
          <w:tcPr>
            <w:tcW w:w="3140" w:type="dxa"/>
            <w:vAlign w:val="bottom"/>
            <w:shd w:val="clear" w:color="auto" w:fill="4A1F67"/>
          </w:tcPr>
          <w:p>
            <w:pPr>
              <w:spacing w:after="0"/>
              <w:rPr>
                <w:sz w:val="14"/>
                <w:szCs w:val="14"/>
                <w:color w:val="auto"/>
              </w:rPr>
            </w:pPr>
          </w:p>
        </w:tc>
      </w:tr>
      <w:tr>
        <w:trPr>
          <w:trHeight w:val="291"/>
        </w:trPr>
        <w:tc>
          <w:tcPr>
            <w:tcW w:w="3940" w:type="dxa"/>
            <w:vAlign w:val="bottom"/>
            <w:tcBorders>
              <w:bottom w:val="single" w:sz="8" w:color="6A6D72"/>
            </w:tcBorders>
            <w:gridSpan w:val="2"/>
            <w:shd w:val="clear" w:color="auto" w:fill="6A6D72"/>
          </w:tcPr>
          <w:p>
            <w:pPr>
              <w:ind w:left="140"/>
              <w:spacing w:after="0"/>
              <w:rPr>
                <w:sz w:val="20"/>
                <w:szCs w:val="20"/>
                <w:color w:val="auto"/>
              </w:rPr>
            </w:pPr>
            <w:r>
              <w:rPr>
                <w:rFonts w:ascii="Arial" w:cs="Arial" w:eastAsia="Arial" w:hAnsi="Arial"/>
                <w:sz w:val="16"/>
                <w:szCs w:val="16"/>
                <w:b w:val="1"/>
                <w:bCs w:val="1"/>
                <w:color w:val="FFFFFF"/>
              </w:rPr>
              <w:t>Our carbon footprint</w:t>
            </w:r>
          </w:p>
        </w:tc>
        <w:tc>
          <w:tcPr>
            <w:tcW w:w="3660" w:type="dxa"/>
            <w:vAlign w:val="bottom"/>
            <w:tcBorders>
              <w:bottom w:val="single" w:sz="8" w:color="6A6D72"/>
            </w:tcBorders>
            <w:gridSpan w:val="2"/>
            <w:shd w:val="clear" w:color="auto" w:fill="6A6D72"/>
          </w:tcPr>
          <w:p>
            <w:pPr>
              <w:ind w:left="240"/>
              <w:spacing w:after="0"/>
              <w:rPr>
                <w:sz w:val="20"/>
                <w:szCs w:val="20"/>
                <w:color w:val="auto"/>
              </w:rPr>
            </w:pPr>
            <w:r>
              <w:rPr>
                <w:rFonts w:ascii="Arial" w:cs="Arial" w:eastAsia="Arial" w:hAnsi="Arial"/>
                <w:sz w:val="16"/>
                <w:szCs w:val="16"/>
                <w:b w:val="1"/>
                <w:bCs w:val="1"/>
                <w:color w:val="FFFFFF"/>
              </w:rPr>
              <w:t>Our clients’ carbon footprint</w:t>
            </w:r>
          </w:p>
        </w:tc>
        <w:tc>
          <w:tcPr>
            <w:tcW w:w="3640" w:type="dxa"/>
            <w:vAlign w:val="bottom"/>
            <w:tcBorders>
              <w:bottom w:val="single" w:sz="8" w:color="6A6D72"/>
            </w:tcBorders>
            <w:gridSpan w:val="2"/>
            <w:shd w:val="clear" w:color="auto" w:fill="6A6D72"/>
          </w:tcPr>
          <w:p>
            <w:pPr>
              <w:ind w:left="280"/>
              <w:spacing w:after="0"/>
              <w:rPr>
                <w:sz w:val="20"/>
                <w:szCs w:val="20"/>
                <w:color w:val="auto"/>
              </w:rPr>
            </w:pPr>
            <w:r>
              <w:rPr>
                <w:rFonts w:ascii="Arial" w:cs="Arial" w:eastAsia="Arial" w:hAnsi="Arial"/>
                <w:sz w:val="16"/>
                <w:szCs w:val="16"/>
                <w:b w:val="1"/>
                <w:bCs w:val="1"/>
                <w:color w:val="FFFFFF"/>
              </w:rPr>
              <w:t>Waste management</w:t>
            </w:r>
          </w:p>
        </w:tc>
      </w:tr>
      <w:tr>
        <w:trPr>
          <w:trHeight w:val="238"/>
        </w:trPr>
        <w:tc>
          <w:tcPr>
            <w:tcW w:w="360" w:type="dxa"/>
            <w:vAlign w:val="bottom"/>
            <w:shd w:val="clear" w:color="auto" w:fill="00ADE9"/>
          </w:tcPr>
          <w:p>
            <w:pPr>
              <w:ind w:left="140"/>
              <w:spacing w:after="0"/>
              <w:rPr>
                <w:sz w:val="20"/>
                <w:szCs w:val="20"/>
                <w:color w:val="auto"/>
              </w:rPr>
            </w:pPr>
            <w:r>
              <w:rPr>
                <w:rFonts w:ascii="Arial" w:cs="Arial" w:eastAsia="Arial" w:hAnsi="Arial"/>
                <w:sz w:val="16"/>
                <w:szCs w:val="16"/>
                <w:color w:val="FFFFFF"/>
              </w:rPr>
              <w:t>►</w:t>
            </w:r>
          </w:p>
        </w:tc>
        <w:tc>
          <w:tcPr>
            <w:tcW w:w="358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Targeting 50% reduction of CO</w:t>
            </w:r>
            <w:r>
              <w:rPr>
                <w:rFonts w:ascii="Arial" w:cs="Arial" w:eastAsia="Arial" w:hAnsi="Arial"/>
                <w:sz w:val="13"/>
                <w:szCs w:val="13"/>
                <w:color w:val="FFFFFF"/>
              </w:rPr>
              <w:t>2</w:t>
            </w:r>
            <w:r>
              <w:rPr>
                <w:rFonts w:ascii="Arial" w:cs="Arial" w:eastAsia="Arial" w:hAnsi="Arial"/>
                <w:sz w:val="16"/>
                <w:szCs w:val="16"/>
                <w:b w:val="1"/>
                <w:bCs w:val="1"/>
                <w:color w:val="FFFFFF"/>
              </w:rPr>
              <w:t xml:space="preserve"> by 2030</w:t>
            </w:r>
          </w:p>
        </w:tc>
        <w:tc>
          <w:tcPr>
            <w:tcW w:w="460" w:type="dxa"/>
            <w:vAlign w:val="bottom"/>
            <w:shd w:val="clear" w:color="auto" w:fill="00ADE9"/>
          </w:tcPr>
          <w:p>
            <w:pPr>
              <w:ind w:left="240"/>
              <w:spacing w:after="0"/>
              <w:rPr>
                <w:sz w:val="20"/>
                <w:szCs w:val="20"/>
                <w:color w:val="auto"/>
              </w:rPr>
            </w:pPr>
            <w:r>
              <w:rPr>
                <w:rFonts w:ascii="Arial" w:cs="Arial" w:eastAsia="Arial" w:hAnsi="Arial"/>
                <w:sz w:val="16"/>
                <w:szCs w:val="16"/>
                <w:color w:val="FFFFFF"/>
              </w:rPr>
              <w:t>►</w:t>
            </w:r>
          </w:p>
        </w:tc>
        <w:tc>
          <w:tcPr>
            <w:tcW w:w="320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33% of order intake linked to lower</w:t>
            </w:r>
          </w:p>
        </w:tc>
        <w:tc>
          <w:tcPr>
            <w:tcW w:w="500" w:type="dxa"/>
            <w:vAlign w:val="bottom"/>
            <w:shd w:val="clear" w:color="auto" w:fill="00ADE9"/>
          </w:tcPr>
          <w:p>
            <w:pPr>
              <w:ind w:left="280"/>
              <w:spacing w:after="0"/>
              <w:rPr>
                <w:sz w:val="20"/>
                <w:szCs w:val="20"/>
                <w:color w:val="auto"/>
              </w:rPr>
            </w:pPr>
            <w:r>
              <w:rPr>
                <w:rFonts w:ascii="Arial" w:cs="Arial" w:eastAsia="Arial" w:hAnsi="Arial"/>
                <w:sz w:val="16"/>
                <w:szCs w:val="16"/>
                <w:color w:val="FFFFFF"/>
              </w:rPr>
              <w:t>►</w:t>
            </w:r>
          </w:p>
        </w:tc>
        <w:tc>
          <w:tcPr>
            <w:tcW w:w="314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10% of waste from our assets and</w:t>
            </w:r>
          </w:p>
        </w:tc>
      </w:tr>
      <w:tr>
        <w:trPr>
          <w:trHeight w:val="215"/>
        </w:trPr>
        <w:tc>
          <w:tcPr>
            <w:tcW w:w="360" w:type="dxa"/>
            <w:vAlign w:val="bottom"/>
            <w:shd w:val="clear" w:color="auto" w:fill="00ADE9"/>
          </w:tcPr>
          <w:p>
            <w:pPr>
              <w:spacing w:after="0"/>
              <w:rPr>
                <w:sz w:val="18"/>
                <w:szCs w:val="18"/>
                <w:color w:val="auto"/>
              </w:rPr>
            </w:pPr>
          </w:p>
        </w:tc>
        <w:tc>
          <w:tcPr>
            <w:tcW w:w="358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(Scope 1 and 2)</w:t>
            </w:r>
          </w:p>
        </w:tc>
        <w:tc>
          <w:tcPr>
            <w:tcW w:w="460" w:type="dxa"/>
            <w:vAlign w:val="bottom"/>
            <w:shd w:val="clear" w:color="auto" w:fill="00ADE9"/>
          </w:tcPr>
          <w:p>
            <w:pPr>
              <w:spacing w:after="0"/>
              <w:rPr>
                <w:sz w:val="18"/>
                <w:szCs w:val="18"/>
                <w:color w:val="auto"/>
              </w:rPr>
            </w:pPr>
          </w:p>
        </w:tc>
        <w:tc>
          <w:tcPr>
            <w:tcW w:w="320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carbon intensity offerings</w:t>
            </w:r>
          </w:p>
        </w:tc>
        <w:tc>
          <w:tcPr>
            <w:tcW w:w="500" w:type="dxa"/>
            <w:vAlign w:val="bottom"/>
            <w:shd w:val="clear" w:color="auto" w:fill="00ADE9"/>
          </w:tcPr>
          <w:p>
            <w:pPr>
              <w:spacing w:after="0"/>
              <w:rPr>
                <w:sz w:val="18"/>
                <w:szCs w:val="18"/>
                <w:color w:val="auto"/>
              </w:rPr>
            </w:pPr>
          </w:p>
        </w:tc>
        <w:tc>
          <w:tcPr>
            <w:tcW w:w="314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projects is recycled and reused</w:t>
            </w:r>
          </w:p>
        </w:tc>
      </w:tr>
      <w:tr>
        <w:trPr>
          <w:trHeight w:val="352"/>
        </w:trPr>
        <w:tc>
          <w:tcPr>
            <w:tcW w:w="360" w:type="dxa"/>
            <w:vAlign w:val="bottom"/>
            <w:shd w:val="clear" w:color="auto" w:fill="00ADE9"/>
          </w:tcPr>
          <w:p>
            <w:pPr>
              <w:ind w:left="140"/>
              <w:spacing w:after="0"/>
              <w:rPr>
                <w:sz w:val="20"/>
                <w:szCs w:val="20"/>
                <w:color w:val="auto"/>
              </w:rPr>
            </w:pPr>
            <w:r>
              <w:rPr>
                <w:rFonts w:ascii="Arial" w:cs="Arial" w:eastAsia="Arial" w:hAnsi="Arial"/>
                <w:sz w:val="16"/>
                <w:szCs w:val="16"/>
                <w:color w:val="FFFFFF"/>
              </w:rPr>
              <w:t>►</w:t>
            </w:r>
          </w:p>
        </w:tc>
        <w:tc>
          <w:tcPr>
            <w:tcW w:w="358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Establish Scope 3 reduction targets</w:t>
            </w:r>
          </w:p>
        </w:tc>
        <w:tc>
          <w:tcPr>
            <w:tcW w:w="460" w:type="dxa"/>
            <w:vAlign w:val="bottom"/>
            <w:shd w:val="clear" w:color="auto" w:fill="00ADE9"/>
          </w:tcPr>
          <w:p>
            <w:pPr>
              <w:ind w:left="240"/>
              <w:spacing w:after="0"/>
              <w:rPr>
                <w:sz w:val="20"/>
                <w:szCs w:val="20"/>
                <w:color w:val="auto"/>
              </w:rPr>
            </w:pPr>
            <w:r>
              <w:rPr>
                <w:rFonts w:ascii="Arial" w:cs="Arial" w:eastAsia="Arial" w:hAnsi="Arial"/>
                <w:sz w:val="16"/>
                <w:szCs w:val="16"/>
                <w:color w:val="FFFFFF"/>
              </w:rPr>
              <w:t>►</w:t>
            </w:r>
          </w:p>
        </w:tc>
        <w:tc>
          <w:tcPr>
            <w:tcW w:w="320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Establish target reduction in carbon</w:t>
            </w:r>
          </w:p>
        </w:tc>
        <w:tc>
          <w:tcPr>
            <w:tcW w:w="500" w:type="dxa"/>
            <w:vAlign w:val="bottom"/>
            <w:shd w:val="clear" w:color="auto" w:fill="00ADE9"/>
          </w:tcPr>
          <w:p>
            <w:pPr>
              <w:ind w:left="280"/>
              <w:spacing w:after="0"/>
              <w:rPr>
                <w:sz w:val="20"/>
                <w:szCs w:val="20"/>
                <w:color w:val="auto"/>
              </w:rPr>
            </w:pPr>
            <w:r>
              <w:rPr>
                <w:rFonts w:ascii="Arial" w:cs="Arial" w:eastAsia="Arial" w:hAnsi="Arial"/>
                <w:sz w:val="16"/>
                <w:szCs w:val="16"/>
                <w:color w:val="FFFFFF"/>
              </w:rPr>
              <w:t>►</w:t>
            </w:r>
          </w:p>
        </w:tc>
        <w:tc>
          <w:tcPr>
            <w:tcW w:w="314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10% reduction of water consumption</w:t>
            </w:r>
          </w:p>
        </w:tc>
      </w:tr>
      <w:tr>
        <w:trPr>
          <w:trHeight w:val="207"/>
        </w:trPr>
        <w:tc>
          <w:tcPr>
            <w:tcW w:w="360" w:type="dxa"/>
            <w:vAlign w:val="bottom"/>
            <w:shd w:val="clear" w:color="auto" w:fill="00ADE9"/>
          </w:tcPr>
          <w:p>
            <w:pPr>
              <w:spacing w:after="0"/>
              <w:rPr>
                <w:sz w:val="18"/>
                <w:szCs w:val="18"/>
                <w:color w:val="auto"/>
              </w:rPr>
            </w:pPr>
          </w:p>
        </w:tc>
        <w:tc>
          <w:tcPr>
            <w:tcW w:w="3580" w:type="dxa"/>
            <w:vAlign w:val="bottom"/>
            <w:shd w:val="clear" w:color="auto" w:fill="00ADE9"/>
          </w:tcPr>
          <w:p>
            <w:pPr>
              <w:spacing w:after="0"/>
              <w:rPr>
                <w:sz w:val="18"/>
                <w:szCs w:val="18"/>
                <w:color w:val="auto"/>
              </w:rPr>
            </w:pPr>
          </w:p>
        </w:tc>
        <w:tc>
          <w:tcPr>
            <w:tcW w:w="460" w:type="dxa"/>
            <w:vAlign w:val="bottom"/>
            <w:shd w:val="clear" w:color="auto" w:fill="00ADE9"/>
          </w:tcPr>
          <w:p>
            <w:pPr>
              <w:spacing w:after="0"/>
              <w:rPr>
                <w:sz w:val="18"/>
                <w:szCs w:val="18"/>
                <w:color w:val="auto"/>
              </w:rPr>
            </w:pPr>
          </w:p>
        </w:tc>
        <w:tc>
          <w:tcPr>
            <w:tcW w:w="320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intensity for our clients’ offerings-</w:t>
            </w:r>
          </w:p>
        </w:tc>
        <w:tc>
          <w:tcPr>
            <w:tcW w:w="500" w:type="dxa"/>
            <w:vAlign w:val="bottom"/>
            <w:shd w:val="clear" w:color="auto" w:fill="00ADE9"/>
          </w:tcPr>
          <w:p>
            <w:pPr>
              <w:spacing w:after="0"/>
              <w:rPr>
                <w:sz w:val="18"/>
                <w:szCs w:val="18"/>
                <w:color w:val="auto"/>
              </w:rPr>
            </w:pPr>
          </w:p>
        </w:tc>
        <w:tc>
          <w:tcPr>
            <w:tcW w:w="3140" w:type="dxa"/>
            <w:vAlign w:val="bottom"/>
            <w:shd w:val="clear" w:color="auto" w:fill="00ADE9"/>
          </w:tcPr>
          <w:p>
            <w:pPr>
              <w:spacing w:after="0"/>
              <w:rPr>
                <w:sz w:val="18"/>
                <w:szCs w:val="18"/>
                <w:color w:val="auto"/>
              </w:rPr>
            </w:pPr>
          </w:p>
        </w:tc>
      </w:tr>
      <w:tr>
        <w:trPr>
          <w:trHeight w:val="215"/>
        </w:trPr>
        <w:tc>
          <w:tcPr>
            <w:tcW w:w="360" w:type="dxa"/>
            <w:vAlign w:val="bottom"/>
            <w:shd w:val="clear" w:color="auto" w:fill="00ADE9"/>
          </w:tcPr>
          <w:p>
            <w:pPr>
              <w:spacing w:after="0"/>
              <w:rPr>
                <w:sz w:val="18"/>
                <w:szCs w:val="18"/>
                <w:color w:val="auto"/>
              </w:rPr>
            </w:pPr>
          </w:p>
        </w:tc>
        <w:tc>
          <w:tcPr>
            <w:tcW w:w="3580" w:type="dxa"/>
            <w:vAlign w:val="bottom"/>
            <w:shd w:val="clear" w:color="auto" w:fill="00ADE9"/>
          </w:tcPr>
          <w:p>
            <w:pPr>
              <w:spacing w:after="0"/>
              <w:rPr>
                <w:sz w:val="18"/>
                <w:szCs w:val="18"/>
                <w:color w:val="auto"/>
              </w:rPr>
            </w:pPr>
          </w:p>
        </w:tc>
        <w:tc>
          <w:tcPr>
            <w:tcW w:w="460" w:type="dxa"/>
            <w:vAlign w:val="bottom"/>
            <w:shd w:val="clear" w:color="auto" w:fill="00ADE9"/>
          </w:tcPr>
          <w:p>
            <w:pPr>
              <w:spacing w:after="0"/>
              <w:rPr>
                <w:sz w:val="18"/>
                <w:szCs w:val="18"/>
                <w:color w:val="auto"/>
              </w:rPr>
            </w:pPr>
          </w:p>
        </w:tc>
        <w:tc>
          <w:tcPr>
            <w:tcW w:w="320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establish baseline in 2020</w:t>
            </w:r>
          </w:p>
        </w:tc>
        <w:tc>
          <w:tcPr>
            <w:tcW w:w="500" w:type="dxa"/>
            <w:vAlign w:val="bottom"/>
            <w:shd w:val="clear" w:color="auto" w:fill="00ADE9"/>
          </w:tcPr>
          <w:p>
            <w:pPr>
              <w:spacing w:after="0"/>
              <w:rPr>
                <w:sz w:val="18"/>
                <w:szCs w:val="18"/>
                <w:color w:val="auto"/>
              </w:rPr>
            </w:pPr>
          </w:p>
        </w:tc>
        <w:tc>
          <w:tcPr>
            <w:tcW w:w="3140" w:type="dxa"/>
            <w:vAlign w:val="bottom"/>
            <w:shd w:val="clear" w:color="auto" w:fill="00ADE9"/>
          </w:tcPr>
          <w:p>
            <w:pPr>
              <w:spacing w:after="0"/>
              <w:rPr>
                <w:sz w:val="18"/>
                <w:szCs w:val="18"/>
                <w:color w:val="auto"/>
              </w:rPr>
            </w:pPr>
          </w:p>
        </w:tc>
      </w:tr>
      <w:tr>
        <w:trPr>
          <w:trHeight w:val="217"/>
        </w:trPr>
        <w:tc>
          <w:tcPr>
            <w:tcW w:w="360" w:type="dxa"/>
            <w:vAlign w:val="bottom"/>
            <w:shd w:val="clear" w:color="auto" w:fill="00ADE9"/>
          </w:tcPr>
          <w:p>
            <w:pPr>
              <w:spacing w:after="0"/>
              <w:rPr>
                <w:sz w:val="18"/>
                <w:szCs w:val="18"/>
                <w:color w:val="auto"/>
              </w:rPr>
            </w:pPr>
          </w:p>
        </w:tc>
        <w:tc>
          <w:tcPr>
            <w:tcW w:w="3580" w:type="dxa"/>
            <w:vAlign w:val="bottom"/>
            <w:shd w:val="clear" w:color="auto" w:fill="00ADE9"/>
          </w:tcPr>
          <w:p>
            <w:pPr>
              <w:spacing w:after="0"/>
              <w:rPr>
                <w:sz w:val="18"/>
                <w:szCs w:val="18"/>
                <w:color w:val="auto"/>
              </w:rPr>
            </w:pPr>
          </w:p>
        </w:tc>
        <w:tc>
          <w:tcPr>
            <w:tcW w:w="460" w:type="dxa"/>
            <w:vAlign w:val="bottom"/>
            <w:shd w:val="clear" w:color="auto" w:fill="00ADE9"/>
          </w:tcPr>
          <w:p>
            <w:pPr>
              <w:spacing w:after="0"/>
              <w:rPr>
                <w:sz w:val="18"/>
                <w:szCs w:val="18"/>
                <w:color w:val="auto"/>
              </w:rPr>
            </w:pPr>
          </w:p>
        </w:tc>
        <w:tc>
          <w:tcPr>
            <w:tcW w:w="3200" w:type="dxa"/>
            <w:vAlign w:val="bottom"/>
            <w:shd w:val="clear" w:color="auto" w:fill="00ADE9"/>
          </w:tcPr>
          <w:p>
            <w:pPr>
              <w:spacing w:after="0"/>
              <w:rPr>
                <w:sz w:val="18"/>
                <w:szCs w:val="18"/>
                <w:color w:val="auto"/>
              </w:rPr>
            </w:pPr>
          </w:p>
        </w:tc>
        <w:tc>
          <w:tcPr>
            <w:tcW w:w="500" w:type="dxa"/>
            <w:vAlign w:val="bottom"/>
            <w:shd w:val="clear" w:color="auto" w:fill="00ADE9"/>
          </w:tcPr>
          <w:p>
            <w:pPr>
              <w:spacing w:after="0"/>
              <w:rPr>
                <w:sz w:val="18"/>
                <w:szCs w:val="18"/>
                <w:color w:val="auto"/>
              </w:rPr>
            </w:pPr>
          </w:p>
        </w:tc>
        <w:tc>
          <w:tcPr>
            <w:tcW w:w="3140" w:type="dxa"/>
            <w:vAlign w:val="bottom"/>
            <w:shd w:val="clear" w:color="auto" w:fill="00ADE9"/>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1144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225" w:lineRule="exact"/>
        <w:rPr>
          <w:sz w:val="20"/>
          <w:szCs w:val="20"/>
          <w:color w:val="auto"/>
        </w:rPr>
      </w:pPr>
    </w:p>
    <w:p>
      <w:pPr>
        <w:ind w:left="500" w:right="240" w:hanging="317"/>
        <w:spacing w:after="0" w:line="253" w:lineRule="auto"/>
        <w:tabs>
          <w:tab w:leader="none" w:pos="500" w:val="left"/>
        </w:tabs>
        <w:numPr>
          <w:ilvl w:val="0"/>
          <w:numId w:val="46"/>
        </w:numPr>
        <w:rPr>
          <w:rFonts w:ascii="Arial" w:cs="Arial" w:eastAsia="Arial" w:hAnsi="Arial"/>
          <w:sz w:val="16"/>
          <w:szCs w:val="16"/>
          <w:color w:val="4B1F68"/>
        </w:rPr>
      </w:pPr>
      <w:r>
        <w:rPr>
          <w:rFonts w:ascii="Arial" w:cs="Arial" w:eastAsia="Arial" w:hAnsi="Arial"/>
          <w:sz w:val="16"/>
          <w:szCs w:val="16"/>
          <w:color w:val="3B3C43"/>
        </w:rPr>
        <w:t>50 by 30 sets out our Scope 1 and 2 CO</w:t>
      </w:r>
      <w:r>
        <w:rPr>
          <w:rFonts w:ascii="Arial" w:cs="Arial" w:eastAsia="Arial" w:hAnsi="Arial"/>
          <w:sz w:val="13"/>
          <w:szCs w:val="13"/>
          <w:color w:val="3B3C43"/>
        </w:rPr>
        <w:t>2</w:t>
      </w:r>
      <w:r>
        <w:rPr>
          <w:rFonts w:ascii="Arial" w:cs="Arial" w:eastAsia="Arial" w:hAnsi="Arial"/>
          <w:sz w:val="16"/>
          <w:szCs w:val="16"/>
          <w:color w:val="3B3C43"/>
        </w:rPr>
        <w:t xml:space="preserve"> reduction targets (covering fuel combustion, Company vehicles, fugitive emissions, as well as purchased electricity, heat, and steam). By 2023, we will establish our Scope 3 targets (covering purchased goods and services, business travel, employee commuting, waste disposal, use of sold products, transportation and distribution, investments, and leased assets and franchises).</w:t>
      </w:r>
    </w:p>
    <w:p>
      <w:pPr>
        <w:spacing w:after="0" w:line="174" w:lineRule="exact"/>
        <w:rPr>
          <w:rFonts w:ascii="Arial" w:cs="Arial" w:eastAsia="Arial" w:hAnsi="Arial"/>
          <w:sz w:val="16"/>
          <w:szCs w:val="16"/>
          <w:color w:val="4B1F68"/>
        </w:rPr>
      </w:pPr>
    </w:p>
    <w:p>
      <w:pPr>
        <w:ind w:left="500" w:right="160" w:hanging="317"/>
        <w:spacing w:after="0" w:line="260" w:lineRule="auto"/>
        <w:tabs>
          <w:tab w:leader="none" w:pos="500" w:val="left"/>
        </w:tabs>
        <w:numPr>
          <w:ilvl w:val="0"/>
          <w:numId w:val="46"/>
        </w:numPr>
        <w:rPr>
          <w:rFonts w:ascii="Arial" w:cs="Arial" w:eastAsia="Arial" w:hAnsi="Arial"/>
          <w:sz w:val="16"/>
          <w:szCs w:val="16"/>
          <w:color w:val="4B1F68"/>
        </w:rPr>
      </w:pPr>
      <w:r>
        <w:rPr>
          <w:rFonts w:ascii="Arial" w:cs="Arial" w:eastAsia="Arial" w:hAnsi="Arial"/>
          <w:sz w:val="16"/>
          <w:szCs w:val="16"/>
          <w:color w:val="3B3C43"/>
        </w:rPr>
        <w:t>We will help reduce our clients’ carbon footprint. We want 33% of our orders to be linked to lower carbon intensity offerings and will establish carbon reduction targets for our clients, baselined to 2020.</w:t>
      </w:r>
    </w:p>
    <w:p>
      <w:pPr>
        <w:spacing w:after="0" w:line="168" w:lineRule="exact"/>
        <w:rPr>
          <w:rFonts w:ascii="Arial" w:cs="Arial" w:eastAsia="Arial" w:hAnsi="Arial"/>
          <w:sz w:val="16"/>
          <w:szCs w:val="16"/>
          <w:color w:val="4B1F68"/>
        </w:rPr>
      </w:pPr>
    </w:p>
    <w:p>
      <w:pPr>
        <w:ind w:left="500" w:right="400" w:hanging="317"/>
        <w:spacing w:after="0" w:line="260" w:lineRule="auto"/>
        <w:tabs>
          <w:tab w:leader="none" w:pos="500" w:val="left"/>
        </w:tabs>
        <w:numPr>
          <w:ilvl w:val="0"/>
          <w:numId w:val="46"/>
        </w:numPr>
        <w:rPr>
          <w:rFonts w:ascii="Arial" w:cs="Arial" w:eastAsia="Arial" w:hAnsi="Arial"/>
          <w:sz w:val="16"/>
          <w:szCs w:val="16"/>
          <w:color w:val="4B1F68"/>
        </w:rPr>
      </w:pPr>
      <w:r>
        <w:rPr>
          <w:rFonts w:ascii="Arial" w:cs="Arial" w:eastAsia="Arial" w:hAnsi="Arial"/>
          <w:sz w:val="16"/>
          <w:szCs w:val="16"/>
          <w:color w:val="3B3C43"/>
        </w:rPr>
        <w:t>We will waste less. We will cut water consumption by 10% and reduce waste from our assets and projects by 10%, with a focus on recycling and reuse.</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36</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Social: We will drive sustainable change in the communities where we live and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134620</wp:posOffset>
            </wp:positionV>
            <wp:extent cx="2571750" cy="6083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7175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shd w:val="clear" w:color="auto" w:fill="4A1F67"/>
          </w:tcPr>
          <w:p>
            <w:pPr>
              <w:spacing w:after="0"/>
              <w:rPr>
                <w:sz w:val="14"/>
                <w:szCs w:val="14"/>
                <w:color w:val="auto"/>
              </w:rPr>
            </w:pPr>
          </w:p>
        </w:tc>
        <w:tc>
          <w:tcPr>
            <w:tcW w:w="3580" w:type="dxa"/>
            <w:vAlign w:val="bottom"/>
            <w:shd w:val="clear" w:color="auto" w:fill="4A1F67"/>
          </w:tcPr>
          <w:p>
            <w:pPr>
              <w:spacing w:after="0"/>
              <w:rPr>
                <w:sz w:val="14"/>
                <w:szCs w:val="14"/>
                <w:color w:val="auto"/>
              </w:rPr>
            </w:pPr>
          </w:p>
        </w:tc>
        <w:tc>
          <w:tcPr>
            <w:tcW w:w="460" w:type="dxa"/>
            <w:vAlign w:val="bottom"/>
            <w:shd w:val="clear" w:color="auto" w:fill="4A1F67"/>
          </w:tcPr>
          <w:p>
            <w:pPr>
              <w:spacing w:after="0"/>
              <w:rPr>
                <w:sz w:val="14"/>
                <w:szCs w:val="14"/>
                <w:color w:val="auto"/>
              </w:rPr>
            </w:pPr>
          </w:p>
        </w:tc>
        <w:tc>
          <w:tcPr>
            <w:tcW w:w="3140" w:type="dxa"/>
            <w:vAlign w:val="bottom"/>
            <w:shd w:val="clear" w:color="auto" w:fill="4A1F67"/>
          </w:tcPr>
          <w:p>
            <w:pPr>
              <w:spacing w:after="0"/>
              <w:rPr>
                <w:sz w:val="14"/>
                <w:szCs w:val="14"/>
                <w:color w:val="auto"/>
              </w:rPr>
            </w:pPr>
          </w:p>
        </w:tc>
        <w:tc>
          <w:tcPr>
            <w:tcW w:w="500" w:type="dxa"/>
            <w:vAlign w:val="bottom"/>
            <w:shd w:val="clear" w:color="auto" w:fill="4A1F67"/>
          </w:tcPr>
          <w:p>
            <w:pPr>
              <w:spacing w:after="0"/>
              <w:rPr>
                <w:sz w:val="14"/>
                <w:szCs w:val="14"/>
                <w:color w:val="auto"/>
              </w:rPr>
            </w:pPr>
          </w:p>
        </w:tc>
        <w:tc>
          <w:tcPr>
            <w:tcW w:w="3200" w:type="dxa"/>
            <w:vAlign w:val="bottom"/>
            <w:shd w:val="clear" w:color="auto" w:fill="4A1F67"/>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3940" w:type="dxa"/>
            <w:vAlign w:val="bottom"/>
            <w:tcBorders>
              <w:bottom w:val="single" w:sz="8" w:color="6A6D72"/>
            </w:tcBorders>
            <w:gridSpan w:val="2"/>
            <w:shd w:val="clear" w:color="auto" w:fill="6A6D72"/>
          </w:tcPr>
          <w:p>
            <w:pPr>
              <w:ind w:left="140"/>
              <w:spacing w:after="0"/>
              <w:rPr>
                <w:sz w:val="20"/>
                <w:szCs w:val="20"/>
                <w:color w:val="auto"/>
              </w:rPr>
            </w:pPr>
            <w:r>
              <w:rPr>
                <w:rFonts w:ascii="Arial" w:cs="Arial" w:eastAsia="Arial" w:hAnsi="Arial"/>
                <w:sz w:val="16"/>
                <w:szCs w:val="16"/>
                <w:b w:val="1"/>
                <w:bCs w:val="1"/>
                <w:color w:val="FFFFFF"/>
              </w:rPr>
              <w:t>Awareness and culture</w:t>
            </w:r>
          </w:p>
        </w:tc>
        <w:tc>
          <w:tcPr>
            <w:tcW w:w="3600" w:type="dxa"/>
            <w:vAlign w:val="bottom"/>
            <w:tcBorders>
              <w:bottom w:val="single" w:sz="8" w:color="6A6D72"/>
            </w:tcBorders>
            <w:gridSpan w:val="2"/>
            <w:shd w:val="clear" w:color="auto" w:fill="6A6D72"/>
          </w:tcPr>
          <w:p>
            <w:pPr>
              <w:ind w:left="240"/>
              <w:spacing w:after="0"/>
              <w:rPr>
                <w:sz w:val="20"/>
                <w:szCs w:val="20"/>
                <w:color w:val="auto"/>
              </w:rPr>
            </w:pPr>
            <w:r>
              <w:rPr>
                <w:rFonts w:ascii="Arial" w:cs="Arial" w:eastAsia="Arial" w:hAnsi="Arial"/>
                <w:sz w:val="16"/>
                <w:szCs w:val="16"/>
                <w:b w:val="1"/>
                <w:bCs w:val="1"/>
                <w:color w:val="FFFFFF"/>
              </w:rPr>
              <w:t>Fair representation</w:t>
            </w:r>
          </w:p>
        </w:tc>
        <w:tc>
          <w:tcPr>
            <w:tcW w:w="3700" w:type="dxa"/>
            <w:vAlign w:val="bottom"/>
            <w:tcBorders>
              <w:bottom w:val="single" w:sz="8" w:color="6A6D72"/>
            </w:tcBorders>
            <w:gridSpan w:val="2"/>
            <w:shd w:val="clear" w:color="auto" w:fill="6A6D72"/>
          </w:tcPr>
          <w:p>
            <w:pPr>
              <w:ind w:left="280"/>
              <w:spacing w:after="0"/>
              <w:rPr>
                <w:sz w:val="20"/>
                <w:szCs w:val="20"/>
                <w:color w:val="auto"/>
              </w:rPr>
            </w:pPr>
            <w:r>
              <w:rPr>
                <w:rFonts w:ascii="Arial" w:cs="Arial" w:eastAsia="Arial" w:hAnsi="Arial"/>
                <w:sz w:val="16"/>
                <w:szCs w:val="16"/>
                <w:b w:val="1"/>
                <w:bCs w:val="1"/>
                <w:color w:val="FFFFFF"/>
              </w:rPr>
              <w:t>Community</w:t>
            </w:r>
          </w:p>
        </w:tc>
        <w:tc>
          <w:tcPr>
            <w:tcW w:w="0" w:type="dxa"/>
            <w:vAlign w:val="bottom"/>
          </w:tcPr>
          <w:p>
            <w:pPr>
              <w:spacing w:after="0"/>
              <w:rPr>
                <w:sz w:val="1"/>
                <w:szCs w:val="1"/>
                <w:color w:val="auto"/>
              </w:rPr>
            </w:pPr>
          </w:p>
        </w:tc>
      </w:tr>
      <w:tr>
        <w:trPr>
          <w:trHeight w:val="238"/>
        </w:trPr>
        <w:tc>
          <w:tcPr>
            <w:tcW w:w="360" w:type="dxa"/>
            <w:vAlign w:val="bottom"/>
            <w:shd w:val="clear" w:color="auto" w:fill="00ADE9"/>
          </w:tcPr>
          <w:p>
            <w:pPr>
              <w:ind w:left="140"/>
              <w:spacing w:after="0"/>
              <w:rPr>
                <w:sz w:val="20"/>
                <w:szCs w:val="20"/>
                <w:color w:val="auto"/>
              </w:rPr>
            </w:pPr>
            <w:r>
              <w:rPr>
                <w:rFonts w:ascii="Arial" w:cs="Arial" w:eastAsia="Arial" w:hAnsi="Arial"/>
                <w:sz w:val="16"/>
                <w:szCs w:val="16"/>
                <w:color w:val="FFFFFF"/>
              </w:rPr>
              <w:t>►</w:t>
            </w:r>
          </w:p>
        </w:tc>
        <w:tc>
          <w:tcPr>
            <w:tcW w:w="358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100% of all senior managers trained in</w:t>
            </w:r>
          </w:p>
        </w:tc>
        <w:tc>
          <w:tcPr>
            <w:tcW w:w="460" w:type="dxa"/>
            <w:vAlign w:val="bottom"/>
            <w:shd w:val="clear" w:color="auto" w:fill="00ADE9"/>
          </w:tcPr>
          <w:p>
            <w:pPr>
              <w:ind w:left="240"/>
              <w:spacing w:after="0"/>
              <w:rPr>
                <w:sz w:val="20"/>
                <w:szCs w:val="20"/>
                <w:color w:val="auto"/>
              </w:rPr>
            </w:pPr>
            <w:r>
              <w:rPr>
                <w:rFonts w:ascii="Arial" w:cs="Arial" w:eastAsia="Arial" w:hAnsi="Arial"/>
                <w:sz w:val="16"/>
                <w:szCs w:val="16"/>
                <w:color w:val="FFFFFF"/>
              </w:rPr>
              <w:t>►</w:t>
            </w:r>
          </w:p>
        </w:tc>
        <w:tc>
          <w:tcPr>
            <w:tcW w:w="314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45% of graduates hired are women</w:t>
            </w:r>
          </w:p>
        </w:tc>
        <w:tc>
          <w:tcPr>
            <w:tcW w:w="500" w:type="dxa"/>
            <w:vAlign w:val="bottom"/>
            <w:shd w:val="clear" w:color="auto" w:fill="00ADE9"/>
          </w:tcPr>
          <w:p>
            <w:pPr>
              <w:ind w:left="280"/>
              <w:spacing w:after="0"/>
              <w:rPr>
                <w:sz w:val="20"/>
                <w:szCs w:val="20"/>
                <w:color w:val="auto"/>
              </w:rPr>
            </w:pPr>
            <w:r>
              <w:rPr>
                <w:rFonts w:ascii="Arial" w:cs="Arial" w:eastAsia="Arial" w:hAnsi="Arial"/>
                <w:sz w:val="16"/>
                <w:szCs w:val="16"/>
                <w:color w:val="FFFFFF"/>
              </w:rPr>
              <w:t>►</w:t>
            </w:r>
          </w:p>
        </w:tc>
        <w:tc>
          <w:tcPr>
            <w:tcW w:w="320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Increase the number of global STEM</w:t>
            </w:r>
          </w:p>
        </w:tc>
        <w:tc>
          <w:tcPr>
            <w:tcW w:w="0" w:type="dxa"/>
            <w:vAlign w:val="bottom"/>
          </w:tcPr>
          <w:p>
            <w:pPr>
              <w:spacing w:after="0"/>
              <w:rPr>
                <w:sz w:val="1"/>
                <w:szCs w:val="1"/>
                <w:color w:val="auto"/>
              </w:rPr>
            </w:pPr>
          </w:p>
        </w:tc>
      </w:tr>
      <w:tr>
        <w:trPr>
          <w:trHeight w:val="215"/>
        </w:trPr>
        <w:tc>
          <w:tcPr>
            <w:tcW w:w="360" w:type="dxa"/>
            <w:vAlign w:val="bottom"/>
            <w:shd w:val="clear" w:color="auto" w:fill="00ADE9"/>
          </w:tcPr>
          <w:p>
            <w:pPr>
              <w:spacing w:after="0"/>
              <w:rPr>
                <w:sz w:val="18"/>
                <w:szCs w:val="18"/>
                <w:color w:val="auto"/>
              </w:rPr>
            </w:pPr>
          </w:p>
        </w:tc>
        <w:tc>
          <w:tcPr>
            <w:tcW w:w="358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inclusive leadership learning</w:t>
            </w:r>
          </w:p>
        </w:tc>
        <w:tc>
          <w:tcPr>
            <w:tcW w:w="460" w:type="dxa"/>
            <w:vAlign w:val="bottom"/>
            <w:vMerge w:val="restart"/>
            <w:shd w:val="clear" w:color="auto" w:fill="00ADE9"/>
          </w:tcPr>
          <w:p>
            <w:pPr>
              <w:ind w:left="240"/>
              <w:spacing w:after="0"/>
              <w:rPr>
                <w:sz w:val="20"/>
                <w:szCs w:val="20"/>
                <w:color w:val="auto"/>
              </w:rPr>
            </w:pPr>
            <w:r>
              <w:rPr>
                <w:rFonts w:ascii="Arial" w:cs="Arial" w:eastAsia="Arial" w:hAnsi="Arial"/>
                <w:sz w:val="16"/>
                <w:szCs w:val="16"/>
                <w:color w:val="FFFFFF"/>
              </w:rPr>
              <w:t>►</w:t>
            </w:r>
          </w:p>
        </w:tc>
        <w:tc>
          <w:tcPr>
            <w:tcW w:w="3140" w:type="dxa"/>
            <w:vAlign w:val="bottom"/>
            <w:vMerge w:val="restart"/>
            <w:shd w:val="clear" w:color="auto" w:fill="00ADE9"/>
          </w:tcPr>
          <w:p>
            <w:pPr>
              <w:spacing w:after="0"/>
              <w:rPr>
                <w:sz w:val="20"/>
                <w:szCs w:val="20"/>
                <w:color w:val="auto"/>
              </w:rPr>
            </w:pPr>
            <w:r>
              <w:rPr>
                <w:rFonts w:ascii="Arial" w:cs="Arial" w:eastAsia="Arial" w:hAnsi="Arial"/>
                <w:sz w:val="16"/>
                <w:szCs w:val="16"/>
                <w:b w:val="1"/>
                <w:bCs w:val="1"/>
                <w:color w:val="FFFFFF"/>
              </w:rPr>
              <w:t>20% improvement in under-represented</w:t>
            </w:r>
          </w:p>
        </w:tc>
        <w:tc>
          <w:tcPr>
            <w:tcW w:w="500" w:type="dxa"/>
            <w:vAlign w:val="bottom"/>
            <w:shd w:val="clear" w:color="auto" w:fill="00ADE9"/>
          </w:tcPr>
          <w:p>
            <w:pPr>
              <w:spacing w:after="0"/>
              <w:rPr>
                <w:sz w:val="18"/>
                <w:szCs w:val="18"/>
                <w:color w:val="auto"/>
              </w:rPr>
            </w:pPr>
          </w:p>
        </w:tc>
        <w:tc>
          <w:tcPr>
            <w:tcW w:w="320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initiatives by 20%</w:t>
            </w:r>
          </w:p>
        </w:tc>
        <w:tc>
          <w:tcPr>
            <w:tcW w:w="0" w:type="dxa"/>
            <w:vAlign w:val="bottom"/>
          </w:tcPr>
          <w:p>
            <w:pPr>
              <w:spacing w:after="0"/>
              <w:rPr>
                <w:sz w:val="1"/>
                <w:szCs w:val="1"/>
                <w:color w:val="auto"/>
              </w:rPr>
            </w:pPr>
          </w:p>
        </w:tc>
      </w:tr>
      <w:tr>
        <w:trPr>
          <w:trHeight w:val="163"/>
        </w:trPr>
        <w:tc>
          <w:tcPr>
            <w:tcW w:w="360" w:type="dxa"/>
            <w:vAlign w:val="bottom"/>
            <w:shd w:val="clear" w:color="auto" w:fill="00ADE9"/>
          </w:tcPr>
          <w:p>
            <w:pPr>
              <w:spacing w:after="0"/>
              <w:rPr>
                <w:sz w:val="14"/>
                <w:szCs w:val="14"/>
                <w:color w:val="auto"/>
              </w:rPr>
            </w:pPr>
          </w:p>
        </w:tc>
        <w:tc>
          <w:tcPr>
            <w:tcW w:w="3580" w:type="dxa"/>
            <w:vAlign w:val="bottom"/>
            <w:shd w:val="clear" w:color="auto" w:fill="00ADE9"/>
          </w:tcPr>
          <w:p>
            <w:pPr>
              <w:spacing w:after="0"/>
              <w:rPr>
                <w:sz w:val="14"/>
                <w:szCs w:val="14"/>
                <w:color w:val="auto"/>
              </w:rPr>
            </w:pPr>
          </w:p>
        </w:tc>
        <w:tc>
          <w:tcPr>
            <w:tcW w:w="460" w:type="dxa"/>
            <w:vAlign w:val="bottom"/>
            <w:vMerge w:val="continue"/>
            <w:shd w:val="clear" w:color="auto" w:fill="00ADE9"/>
          </w:tcPr>
          <w:p>
            <w:pPr>
              <w:spacing w:after="0"/>
              <w:rPr>
                <w:sz w:val="14"/>
                <w:szCs w:val="14"/>
                <w:color w:val="auto"/>
              </w:rPr>
            </w:pPr>
          </w:p>
        </w:tc>
        <w:tc>
          <w:tcPr>
            <w:tcW w:w="3140" w:type="dxa"/>
            <w:vAlign w:val="bottom"/>
            <w:vMerge w:val="continue"/>
            <w:shd w:val="clear" w:color="auto" w:fill="00ADE9"/>
          </w:tcPr>
          <w:p>
            <w:pPr>
              <w:spacing w:after="0"/>
              <w:rPr>
                <w:sz w:val="14"/>
                <w:szCs w:val="14"/>
                <w:color w:val="auto"/>
              </w:rPr>
            </w:pPr>
          </w:p>
        </w:tc>
        <w:tc>
          <w:tcPr>
            <w:tcW w:w="500" w:type="dxa"/>
            <w:vAlign w:val="bottom"/>
            <w:shd w:val="clear" w:color="auto" w:fill="00ADE9"/>
          </w:tcPr>
          <w:p>
            <w:pPr>
              <w:spacing w:after="0"/>
              <w:rPr>
                <w:sz w:val="14"/>
                <w:szCs w:val="14"/>
                <w:color w:val="auto"/>
              </w:rPr>
            </w:pPr>
          </w:p>
        </w:tc>
        <w:tc>
          <w:tcPr>
            <w:tcW w:w="3200" w:type="dxa"/>
            <w:vAlign w:val="bottom"/>
            <w:shd w:val="clear" w:color="auto" w:fill="00ADE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00ADE9"/>
          </w:tcPr>
          <w:p>
            <w:pPr>
              <w:ind w:left="140"/>
              <w:spacing w:after="0"/>
              <w:rPr>
                <w:sz w:val="20"/>
                <w:szCs w:val="20"/>
                <w:color w:val="auto"/>
              </w:rPr>
            </w:pPr>
            <w:r>
              <w:rPr>
                <w:rFonts w:ascii="Arial" w:cs="Arial" w:eastAsia="Arial" w:hAnsi="Arial"/>
                <w:sz w:val="16"/>
                <w:szCs w:val="16"/>
                <w:color w:val="FFFFFF"/>
              </w:rPr>
              <w:t>►</w:t>
            </w:r>
          </w:p>
        </w:tc>
        <w:tc>
          <w:tcPr>
            <w:tcW w:w="358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Inclusion &amp; Diversity lens applied to employee</w:t>
            </w:r>
          </w:p>
        </w:tc>
        <w:tc>
          <w:tcPr>
            <w:tcW w:w="460" w:type="dxa"/>
            <w:vAlign w:val="bottom"/>
            <w:shd w:val="clear" w:color="auto" w:fill="00ADE9"/>
          </w:tcPr>
          <w:p>
            <w:pPr>
              <w:spacing w:after="0"/>
              <w:rPr>
                <w:sz w:val="16"/>
                <w:szCs w:val="16"/>
                <w:color w:val="auto"/>
              </w:rPr>
            </w:pPr>
          </w:p>
        </w:tc>
        <w:tc>
          <w:tcPr>
            <w:tcW w:w="314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populations in senior management</w:t>
            </w:r>
          </w:p>
        </w:tc>
        <w:tc>
          <w:tcPr>
            <w:tcW w:w="500" w:type="dxa"/>
            <w:vAlign w:val="bottom"/>
            <w:shd w:val="clear" w:color="auto" w:fill="00ADE9"/>
          </w:tcPr>
          <w:p>
            <w:pPr>
              <w:ind w:left="280"/>
              <w:spacing w:after="0"/>
              <w:rPr>
                <w:sz w:val="20"/>
                <w:szCs w:val="20"/>
                <w:color w:val="auto"/>
              </w:rPr>
            </w:pPr>
            <w:r>
              <w:rPr>
                <w:rFonts w:ascii="Arial" w:cs="Arial" w:eastAsia="Arial" w:hAnsi="Arial"/>
                <w:sz w:val="16"/>
                <w:szCs w:val="16"/>
                <w:color w:val="FFFFFF"/>
              </w:rPr>
              <w:t>►</w:t>
            </w:r>
          </w:p>
        </w:tc>
        <w:tc>
          <w:tcPr>
            <w:tcW w:w="320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Increase the number of employees</w:t>
            </w:r>
          </w:p>
        </w:tc>
        <w:tc>
          <w:tcPr>
            <w:tcW w:w="0" w:type="dxa"/>
            <w:vAlign w:val="bottom"/>
          </w:tcPr>
          <w:p>
            <w:pPr>
              <w:spacing w:after="0"/>
              <w:rPr>
                <w:sz w:val="1"/>
                <w:szCs w:val="1"/>
                <w:color w:val="auto"/>
              </w:rPr>
            </w:pPr>
          </w:p>
        </w:tc>
      </w:tr>
      <w:tr>
        <w:trPr>
          <w:trHeight w:val="207"/>
        </w:trPr>
        <w:tc>
          <w:tcPr>
            <w:tcW w:w="360" w:type="dxa"/>
            <w:vAlign w:val="bottom"/>
            <w:shd w:val="clear" w:color="auto" w:fill="00ADE9"/>
          </w:tcPr>
          <w:p>
            <w:pPr>
              <w:spacing w:after="0"/>
              <w:rPr>
                <w:sz w:val="18"/>
                <w:szCs w:val="18"/>
                <w:color w:val="auto"/>
              </w:rPr>
            </w:pPr>
          </w:p>
        </w:tc>
        <w:tc>
          <w:tcPr>
            <w:tcW w:w="358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benefits and policies</w:t>
            </w:r>
          </w:p>
        </w:tc>
        <w:tc>
          <w:tcPr>
            <w:tcW w:w="460" w:type="dxa"/>
            <w:vAlign w:val="bottom"/>
            <w:shd w:val="clear" w:color="auto" w:fill="00ADE9"/>
          </w:tcPr>
          <w:p>
            <w:pPr>
              <w:spacing w:after="0"/>
              <w:rPr>
                <w:sz w:val="18"/>
                <w:szCs w:val="18"/>
                <w:color w:val="auto"/>
              </w:rPr>
            </w:pPr>
          </w:p>
        </w:tc>
        <w:tc>
          <w:tcPr>
            <w:tcW w:w="3140" w:type="dxa"/>
            <w:vAlign w:val="bottom"/>
            <w:shd w:val="clear" w:color="auto" w:fill="00ADE9"/>
          </w:tcPr>
          <w:p>
            <w:pPr>
              <w:spacing w:after="0"/>
              <w:rPr>
                <w:sz w:val="18"/>
                <w:szCs w:val="18"/>
                <w:color w:val="auto"/>
              </w:rPr>
            </w:pPr>
          </w:p>
        </w:tc>
        <w:tc>
          <w:tcPr>
            <w:tcW w:w="500" w:type="dxa"/>
            <w:vAlign w:val="bottom"/>
            <w:shd w:val="clear" w:color="auto" w:fill="00ADE9"/>
          </w:tcPr>
          <w:p>
            <w:pPr>
              <w:spacing w:after="0"/>
              <w:rPr>
                <w:sz w:val="18"/>
                <w:szCs w:val="18"/>
                <w:color w:val="auto"/>
              </w:rPr>
            </w:pPr>
          </w:p>
        </w:tc>
        <w:tc>
          <w:tcPr>
            <w:tcW w:w="320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engaged globally in volunteering by</w:t>
            </w:r>
          </w:p>
        </w:tc>
        <w:tc>
          <w:tcPr>
            <w:tcW w:w="0" w:type="dxa"/>
            <w:vAlign w:val="bottom"/>
          </w:tcPr>
          <w:p>
            <w:pPr>
              <w:spacing w:after="0"/>
              <w:rPr>
                <w:sz w:val="1"/>
                <w:szCs w:val="1"/>
                <w:color w:val="auto"/>
              </w:rPr>
            </w:pPr>
          </w:p>
        </w:tc>
      </w:tr>
      <w:tr>
        <w:trPr>
          <w:trHeight w:val="189"/>
        </w:trPr>
        <w:tc>
          <w:tcPr>
            <w:tcW w:w="360" w:type="dxa"/>
            <w:vAlign w:val="bottom"/>
            <w:shd w:val="clear" w:color="auto" w:fill="00ADE9"/>
          </w:tcPr>
          <w:p>
            <w:pPr>
              <w:spacing w:after="0"/>
              <w:rPr>
                <w:sz w:val="16"/>
                <w:szCs w:val="16"/>
                <w:color w:val="auto"/>
              </w:rPr>
            </w:pPr>
          </w:p>
        </w:tc>
        <w:tc>
          <w:tcPr>
            <w:tcW w:w="3580" w:type="dxa"/>
            <w:vAlign w:val="bottom"/>
            <w:shd w:val="clear" w:color="auto" w:fill="00ADE9"/>
          </w:tcPr>
          <w:p>
            <w:pPr>
              <w:spacing w:after="0"/>
              <w:rPr>
                <w:sz w:val="16"/>
                <w:szCs w:val="16"/>
                <w:color w:val="auto"/>
              </w:rPr>
            </w:pPr>
          </w:p>
        </w:tc>
        <w:tc>
          <w:tcPr>
            <w:tcW w:w="460" w:type="dxa"/>
            <w:vAlign w:val="bottom"/>
            <w:shd w:val="clear" w:color="auto" w:fill="00ADE9"/>
          </w:tcPr>
          <w:p>
            <w:pPr>
              <w:spacing w:after="0"/>
              <w:rPr>
                <w:sz w:val="16"/>
                <w:szCs w:val="16"/>
                <w:color w:val="auto"/>
              </w:rPr>
            </w:pPr>
          </w:p>
        </w:tc>
        <w:tc>
          <w:tcPr>
            <w:tcW w:w="3140" w:type="dxa"/>
            <w:vAlign w:val="bottom"/>
            <w:shd w:val="clear" w:color="auto" w:fill="00ADE9"/>
          </w:tcPr>
          <w:p>
            <w:pPr>
              <w:spacing w:after="0"/>
              <w:rPr>
                <w:sz w:val="16"/>
                <w:szCs w:val="16"/>
                <w:color w:val="auto"/>
              </w:rPr>
            </w:pPr>
          </w:p>
        </w:tc>
        <w:tc>
          <w:tcPr>
            <w:tcW w:w="500" w:type="dxa"/>
            <w:vAlign w:val="bottom"/>
            <w:shd w:val="clear" w:color="auto" w:fill="00ADE9"/>
          </w:tcPr>
          <w:p>
            <w:pPr>
              <w:spacing w:after="0"/>
              <w:rPr>
                <w:sz w:val="16"/>
                <w:szCs w:val="16"/>
                <w:color w:val="auto"/>
              </w:rPr>
            </w:pPr>
          </w:p>
        </w:tc>
        <w:tc>
          <w:tcPr>
            <w:tcW w:w="320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20%</w:t>
            </w:r>
          </w:p>
        </w:tc>
        <w:tc>
          <w:tcPr>
            <w:tcW w:w="0" w:type="dxa"/>
            <w:vAlign w:val="bottom"/>
          </w:tcPr>
          <w:p>
            <w:pPr>
              <w:spacing w:after="0"/>
              <w:rPr>
                <w:sz w:val="1"/>
                <w:szCs w:val="1"/>
                <w:color w:val="auto"/>
              </w:rPr>
            </w:pPr>
          </w:p>
        </w:tc>
      </w:tr>
      <w:tr>
        <w:trPr>
          <w:trHeight w:val="243"/>
        </w:trPr>
        <w:tc>
          <w:tcPr>
            <w:tcW w:w="360" w:type="dxa"/>
            <w:vAlign w:val="bottom"/>
            <w:shd w:val="clear" w:color="auto" w:fill="00ADE9"/>
          </w:tcPr>
          <w:p>
            <w:pPr>
              <w:spacing w:after="0"/>
              <w:rPr>
                <w:sz w:val="21"/>
                <w:szCs w:val="21"/>
                <w:color w:val="auto"/>
              </w:rPr>
            </w:pPr>
          </w:p>
        </w:tc>
        <w:tc>
          <w:tcPr>
            <w:tcW w:w="3580" w:type="dxa"/>
            <w:vAlign w:val="bottom"/>
            <w:shd w:val="clear" w:color="auto" w:fill="00ADE9"/>
          </w:tcPr>
          <w:p>
            <w:pPr>
              <w:spacing w:after="0"/>
              <w:rPr>
                <w:sz w:val="21"/>
                <w:szCs w:val="21"/>
                <w:color w:val="auto"/>
              </w:rPr>
            </w:pPr>
          </w:p>
        </w:tc>
        <w:tc>
          <w:tcPr>
            <w:tcW w:w="460" w:type="dxa"/>
            <w:vAlign w:val="bottom"/>
            <w:shd w:val="clear" w:color="auto" w:fill="00ADE9"/>
          </w:tcPr>
          <w:p>
            <w:pPr>
              <w:spacing w:after="0"/>
              <w:rPr>
                <w:sz w:val="21"/>
                <w:szCs w:val="21"/>
                <w:color w:val="auto"/>
              </w:rPr>
            </w:pPr>
          </w:p>
        </w:tc>
        <w:tc>
          <w:tcPr>
            <w:tcW w:w="3140" w:type="dxa"/>
            <w:vAlign w:val="bottom"/>
            <w:shd w:val="clear" w:color="auto" w:fill="00ADE9"/>
          </w:tcPr>
          <w:p>
            <w:pPr>
              <w:spacing w:after="0"/>
              <w:rPr>
                <w:sz w:val="21"/>
                <w:szCs w:val="21"/>
                <w:color w:val="auto"/>
              </w:rPr>
            </w:pPr>
          </w:p>
        </w:tc>
        <w:tc>
          <w:tcPr>
            <w:tcW w:w="500" w:type="dxa"/>
            <w:vAlign w:val="bottom"/>
            <w:shd w:val="clear" w:color="auto" w:fill="00ADE9"/>
          </w:tcPr>
          <w:p>
            <w:pPr>
              <w:spacing w:after="0"/>
              <w:rPr>
                <w:sz w:val="21"/>
                <w:szCs w:val="21"/>
                <w:color w:val="auto"/>
              </w:rPr>
            </w:pPr>
          </w:p>
        </w:tc>
        <w:tc>
          <w:tcPr>
            <w:tcW w:w="3200" w:type="dxa"/>
            <w:vAlign w:val="bottom"/>
            <w:shd w:val="clear" w:color="auto" w:fill="00ADE9"/>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1144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225" w:lineRule="exact"/>
        <w:rPr>
          <w:sz w:val="20"/>
          <w:szCs w:val="20"/>
          <w:color w:val="auto"/>
        </w:rPr>
      </w:pPr>
    </w:p>
    <w:p>
      <w:pPr>
        <w:ind w:left="500" w:right="480" w:hanging="317"/>
        <w:spacing w:after="0" w:line="260" w:lineRule="auto"/>
        <w:tabs>
          <w:tab w:leader="none" w:pos="500" w:val="left"/>
        </w:tabs>
        <w:numPr>
          <w:ilvl w:val="0"/>
          <w:numId w:val="47"/>
        </w:numPr>
        <w:rPr>
          <w:rFonts w:ascii="Arial" w:cs="Arial" w:eastAsia="Arial" w:hAnsi="Arial"/>
          <w:sz w:val="16"/>
          <w:szCs w:val="16"/>
          <w:color w:val="4B1F68"/>
        </w:rPr>
      </w:pPr>
      <w:r>
        <w:rPr>
          <w:rFonts w:ascii="Arial" w:cs="Arial" w:eastAsia="Arial" w:hAnsi="Arial"/>
          <w:sz w:val="16"/>
          <w:szCs w:val="16"/>
          <w:color w:val="3B3C43"/>
        </w:rPr>
        <w:t>All senior managers will go through inclusive leadership learning, and we will apply an inclusion and diversity lens to our employee benefits and policies.</w:t>
      </w:r>
    </w:p>
    <w:p>
      <w:pPr>
        <w:spacing w:after="0" w:line="168" w:lineRule="exact"/>
        <w:rPr>
          <w:rFonts w:ascii="Arial" w:cs="Arial" w:eastAsia="Arial" w:hAnsi="Arial"/>
          <w:sz w:val="16"/>
          <w:szCs w:val="16"/>
          <w:color w:val="4B1F68"/>
        </w:rPr>
      </w:pPr>
    </w:p>
    <w:p>
      <w:pPr>
        <w:ind w:left="500" w:right="800" w:hanging="317"/>
        <w:spacing w:after="0" w:line="260" w:lineRule="auto"/>
        <w:tabs>
          <w:tab w:leader="none" w:pos="500" w:val="left"/>
        </w:tabs>
        <w:numPr>
          <w:ilvl w:val="0"/>
          <w:numId w:val="47"/>
        </w:numPr>
        <w:rPr>
          <w:rFonts w:ascii="Arial" w:cs="Arial" w:eastAsia="Arial" w:hAnsi="Arial"/>
          <w:sz w:val="16"/>
          <w:szCs w:val="16"/>
          <w:color w:val="4B1F68"/>
        </w:rPr>
      </w:pPr>
      <w:r>
        <w:rPr>
          <w:rFonts w:ascii="Arial" w:cs="Arial" w:eastAsia="Arial" w:hAnsi="Arial"/>
          <w:sz w:val="16"/>
          <w:szCs w:val="16"/>
          <w:color w:val="3B3C43"/>
        </w:rPr>
        <w:t>We will underline the importance of fair representation. We will increase the number of people from underrepresented populations in senior management by 20%, while women will make up 45% of graduates hired.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Governance: How we do business is as important as why we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134620</wp:posOffset>
            </wp:positionV>
            <wp:extent cx="2571750" cy="6083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shd w:val="clear" w:color="auto" w:fill="4A1F67"/>
          </w:tcPr>
          <w:p>
            <w:pPr>
              <w:spacing w:after="0"/>
              <w:rPr>
                <w:sz w:val="14"/>
                <w:szCs w:val="14"/>
                <w:color w:val="auto"/>
              </w:rPr>
            </w:pPr>
          </w:p>
        </w:tc>
        <w:tc>
          <w:tcPr>
            <w:tcW w:w="3580" w:type="dxa"/>
            <w:vAlign w:val="bottom"/>
            <w:shd w:val="clear" w:color="auto" w:fill="4A1F67"/>
          </w:tcPr>
          <w:p>
            <w:pPr>
              <w:spacing w:after="0"/>
              <w:rPr>
                <w:sz w:val="14"/>
                <w:szCs w:val="14"/>
                <w:color w:val="auto"/>
              </w:rPr>
            </w:pPr>
          </w:p>
        </w:tc>
        <w:tc>
          <w:tcPr>
            <w:tcW w:w="460" w:type="dxa"/>
            <w:vAlign w:val="bottom"/>
            <w:shd w:val="clear" w:color="auto" w:fill="4A1F67"/>
          </w:tcPr>
          <w:p>
            <w:pPr>
              <w:spacing w:after="0"/>
              <w:rPr>
                <w:sz w:val="14"/>
                <w:szCs w:val="14"/>
                <w:color w:val="auto"/>
              </w:rPr>
            </w:pPr>
          </w:p>
        </w:tc>
        <w:tc>
          <w:tcPr>
            <w:tcW w:w="3120" w:type="dxa"/>
            <w:vAlign w:val="bottom"/>
            <w:shd w:val="clear" w:color="auto" w:fill="4A1F67"/>
          </w:tcPr>
          <w:p>
            <w:pPr>
              <w:spacing w:after="0"/>
              <w:rPr>
                <w:sz w:val="14"/>
                <w:szCs w:val="14"/>
                <w:color w:val="auto"/>
              </w:rPr>
            </w:pPr>
          </w:p>
        </w:tc>
        <w:tc>
          <w:tcPr>
            <w:tcW w:w="480" w:type="dxa"/>
            <w:vAlign w:val="bottom"/>
            <w:shd w:val="clear" w:color="auto" w:fill="4A1F67"/>
          </w:tcPr>
          <w:p>
            <w:pPr>
              <w:spacing w:after="0"/>
              <w:rPr>
                <w:sz w:val="14"/>
                <w:szCs w:val="14"/>
                <w:color w:val="auto"/>
              </w:rPr>
            </w:pPr>
          </w:p>
        </w:tc>
        <w:tc>
          <w:tcPr>
            <w:tcW w:w="3140" w:type="dxa"/>
            <w:vAlign w:val="bottom"/>
            <w:shd w:val="clear" w:color="auto" w:fill="4A1F67"/>
          </w:tcPr>
          <w:p>
            <w:pPr>
              <w:spacing w:after="0"/>
              <w:rPr>
                <w:sz w:val="14"/>
                <w:szCs w:val="14"/>
                <w:color w:val="auto"/>
              </w:rPr>
            </w:pPr>
          </w:p>
        </w:tc>
        <w:tc>
          <w:tcPr>
            <w:tcW w:w="100" w:type="dxa"/>
            <w:vAlign w:val="bottom"/>
            <w:shd w:val="clear" w:color="auto" w:fill="4A1F67"/>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3940" w:type="dxa"/>
            <w:vAlign w:val="bottom"/>
            <w:tcBorders>
              <w:bottom w:val="single" w:sz="8" w:color="6A6D72"/>
            </w:tcBorders>
            <w:gridSpan w:val="2"/>
            <w:shd w:val="clear" w:color="auto" w:fill="6A6D72"/>
          </w:tcPr>
          <w:p>
            <w:pPr>
              <w:ind w:left="140"/>
              <w:spacing w:after="0"/>
              <w:rPr>
                <w:sz w:val="20"/>
                <w:szCs w:val="20"/>
                <w:color w:val="auto"/>
              </w:rPr>
            </w:pPr>
            <w:r>
              <w:rPr>
                <w:rFonts w:ascii="Arial" w:cs="Arial" w:eastAsia="Arial" w:hAnsi="Arial"/>
                <w:sz w:val="16"/>
                <w:szCs w:val="16"/>
                <w:b w:val="1"/>
                <w:bCs w:val="1"/>
                <w:color w:val="FFFFFF"/>
              </w:rPr>
              <w:t>Leadership in HSE</w:t>
            </w:r>
          </w:p>
        </w:tc>
        <w:tc>
          <w:tcPr>
            <w:tcW w:w="3580" w:type="dxa"/>
            <w:vAlign w:val="bottom"/>
            <w:tcBorders>
              <w:bottom w:val="single" w:sz="8" w:color="6A6D72"/>
            </w:tcBorders>
            <w:gridSpan w:val="2"/>
            <w:shd w:val="clear" w:color="auto" w:fill="6A6D72"/>
          </w:tcPr>
          <w:p>
            <w:pPr>
              <w:ind w:left="240"/>
              <w:spacing w:after="0"/>
              <w:rPr>
                <w:sz w:val="20"/>
                <w:szCs w:val="20"/>
                <w:color w:val="auto"/>
              </w:rPr>
            </w:pPr>
            <w:r>
              <w:rPr>
                <w:rFonts w:ascii="Arial" w:cs="Arial" w:eastAsia="Arial" w:hAnsi="Arial"/>
                <w:sz w:val="16"/>
                <w:szCs w:val="16"/>
                <w:b w:val="1"/>
                <w:bCs w:val="1"/>
                <w:color w:val="FFFFFF"/>
              </w:rPr>
              <w:t>Responsible business behavior</w:t>
            </w:r>
          </w:p>
        </w:tc>
        <w:tc>
          <w:tcPr>
            <w:tcW w:w="3720" w:type="dxa"/>
            <w:vAlign w:val="bottom"/>
            <w:tcBorders>
              <w:bottom w:val="single" w:sz="8" w:color="6A6D72"/>
            </w:tcBorders>
            <w:gridSpan w:val="3"/>
            <w:shd w:val="clear" w:color="auto" w:fill="6A6D72"/>
          </w:tcPr>
          <w:p>
            <w:pPr>
              <w:ind w:left="260"/>
              <w:spacing w:after="0"/>
              <w:rPr>
                <w:sz w:val="20"/>
                <w:szCs w:val="20"/>
                <w:color w:val="auto"/>
              </w:rPr>
            </w:pPr>
            <w:r>
              <w:rPr>
                <w:rFonts w:ascii="Arial" w:cs="Arial" w:eastAsia="Arial" w:hAnsi="Arial"/>
                <w:sz w:val="16"/>
                <w:szCs w:val="16"/>
                <w:b w:val="1"/>
                <w:bCs w:val="1"/>
                <w:color w:val="FFFFFF"/>
              </w:rPr>
              <w:t>Responsible business behavior</w:t>
            </w:r>
          </w:p>
        </w:tc>
        <w:tc>
          <w:tcPr>
            <w:tcW w:w="0" w:type="dxa"/>
            <w:vAlign w:val="bottom"/>
          </w:tcPr>
          <w:p>
            <w:pPr>
              <w:spacing w:after="0"/>
              <w:rPr>
                <w:sz w:val="1"/>
                <w:szCs w:val="1"/>
                <w:color w:val="auto"/>
              </w:rPr>
            </w:pPr>
          </w:p>
        </w:tc>
      </w:tr>
      <w:tr>
        <w:trPr>
          <w:trHeight w:val="238"/>
        </w:trPr>
        <w:tc>
          <w:tcPr>
            <w:tcW w:w="360" w:type="dxa"/>
            <w:vAlign w:val="bottom"/>
            <w:shd w:val="clear" w:color="auto" w:fill="00ADE9"/>
          </w:tcPr>
          <w:p>
            <w:pPr>
              <w:ind w:left="140"/>
              <w:spacing w:after="0"/>
              <w:rPr>
                <w:sz w:val="20"/>
                <w:szCs w:val="20"/>
                <w:color w:val="auto"/>
              </w:rPr>
            </w:pPr>
            <w:r>
              <w:rPr>
                <w:rFonts w:ascii="Arial" w:cs="Arial" w:eastAsia="Arial" w:hAnsi="Arial"/>
                <w:sz w:val="16"/>
                <w:szCs w:val="16"/>
                <w:color w:val="FFFFFF"/>
              </w:rPr>
              <w:t>►</w:t>
            </w:r>
          </w:p>
        </w:tc>
        <w:tc>
          <w:tcPr>
            <w:tcW w:w="358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Continued implementation of SIF prevention</w:t>
            </w:r>
          </w:p>
        </w:tc>
        <w:tc>
          <w:tcPr>
            <w:tcW w:w="460" w:type="dxa"/>
            <w:vAlign w:val="bottom"/>
            <w:shd w:val="clear" w:color="auto" w:fill="00ADE9"/>
          </w:tcPr>
          <w:p>
            <w:pPr>
              <w:ind w:left="240"/>
              <w:spacing w:after="0"/>
              <w:rPr>
                <w:sz w:val="20"/>
                <w:szCs w:val="20"/>
                <w:color w:val="auto"/>
              </w:rPr>
            </w:pPr>
            <w:r>
              <w:rPr>
                <w:rFonts w:ascii="Arial" w:cs="Arial" w:eastAsia="Arial" w:hAnsi="Arial"/>
                <w:sz w:val="16"/>
                <w:szCs w:val="16"/>
                <w:color w:val="FFFFFF"/>
              </w:rPr>
              <w:t>►</w:t>
            </w:r>
          </w:p>
        </w:tc>
        <w:tc>
          <w:tcPr>
            <w:tcW w:w="312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Implement third-party risk management</w:t>
            </w:r>
          </w:p>
        </w:tc>
        <w:tc>
          <w:tcPr>
            <w:tcW w:w="480" w:type="dxa"/>
            <w:vAlign w:val="bottom"/>
            <w:shd w:val="clear" w:color="auto" w:fill="00ADE9"/>
          </w:tcPr>
          <w:p>
            <w:pPr>
              <w:ind w:left="260"/>
              <w:spacing w:after="0"/>
              <w:rPr>
                <w:sz w:val="20"/>
                <w:szCs w:val="20"/>
                <w:color w:val="auto"/>
              </w:rPr>
            </w:pPr>
            <w:r>
              <w:rPr>
                <w:rFonts w:ascii="Arial" w:cs="Arial" w:eastAsia="Arial" w:hAnsi="Arial"/>
                <w:sz w:val="16"/>
                <w:szCs w:val="16"/>
                <w:color w:val="FFFFFF"/>
              </w:rPr>
              <w:t>►</w:t>
            </w:r>
          </w:p>
        </w:tc>
        <w:tc>
          <w:tcPr>
            <w:tcW w:w="314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Define remuneration of leadership and</w:t>
            </w:r>
          </w:p>
        </w:tc>
        <w:tc>
          <w:tcPr>
            <w:tcW w:w="100" w:type="dxa"/>
            <w:vAlign w:val="bottom"/>
            <w:shd w:val="clear" w:color="auto" w:fill="00ADE9"/>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00ADE9"/>
          </w:tcPr>
          <w:p>
            <w:pPr>
              <w:spacing w:after="0"/>
              <w:rPr>
                <w:sz w:val="16"/>
                <w:szCs w:val="16"/>
                <w:color w:val="auto"/>
              </w:rPr>
            </w:pPr>
          </w:p>
        </w:tc>
        <w:tc>
          <w:tcPr>
            <w:tcW w:w="358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projects, with goal of reaching 400 projects</w:t>
            </w:r>
          </w:p>
        </w:tc>
        <w:tc>
          <w:tcPr>
            <w:tcW w:w="460" w:type="dxa"/>
            <w:vAlign w:val="bottom"/>
            <w:shd w:val="clear" w:color="auto" w:fill="00ADE9"/>
          </w:tcPr>
          <w:p>
            <w:pPr>
              <w:spacing w:after="0"/>
              <w:rPr>
                <w:sz w:val="16"/>
                <w:szCs w:val="16"/>
                <w:color w:val="auto"/>
              </w:rPr>
            </w:pPr>
          </w:p>
        </w:tc>
        <w:tc>
          <w:tcPr>
            <w:tcW w:w="312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program, with focus on human rights</w:t>
            </w:r>
          </w:p>
        </w:tc>
        <w:tc>
          <w:tcPr>
            <w:tcW w:w="480" w:type="dxa"/>
            <w:vAlign w:val="bottom"/>
            <w:shd w:val="clear" w:color="auto" w:fill="00ADE9"/>
          </w:tcPr>
          <w:p>
            <w:pPr>
              <w:spacing w:after="0"/>
              <w:rPr>
                <w:sz w:val="16"/>
                <w:szCs w:val="16"/>
                <w:color w:val="auto"/>
              </w:rPr>
            </w:pPr>
          </w:p>
        </w:tc>
        <w:tc>
          <w:tcPr>
            <w:tcW w:w="314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senior managers to include linkage to</w:t>
            </w:r>
          </w:p>
        </w:tc>
        <w:tc>
          <w:tcPr>
            <w:tcW w:w="100" w:type="dxa"/>
            <w:vAlign w:val="bottom"/>
            <w:shd w:val="clear" w:color="auto" w:fill="00ADE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00ADE9"/>
          </w:tcPr>
          <w:p>
            <w:pPr>
              <w:spacing w:after="0"/>
              <w:rPr>
                <w:sz w:val="16"/>
                <w:szCs w:val="16"/>
                <w:color w:val="auto"/>
              </w:rPr>
            </w:pPr>
          </w:p>
        </w:tc>
        <w:tc>
          <w:tcPr>
            <w:tcW w:w="3580" w:type="dxa"/>
            <w:vAlign w:val="bottom"/>
            <w:shd w:val="clear" w:color="auto" w:fill="00ADE9"/>
          </w:tcPr>
          <w:p>
            <w:pPr>
              <w:spacing w:after="0"/>
              <w:rPr>
                <w:sz w:val="16"/>
                <w:szCs w:val="16"/>
                <w:color w:val="auto"/>
              </w:rPr>
            </w:pPr>
          </w:p>
        </w:tc>
        <w:tc>
          <w:tcPr>
            <w:tcW w:w="460" w:type="dxa"/>
            <w:vAlign w:val="bottom"/>
            <w:shd w:val="clear" w:color="auto" w:fill="00ADE9"/>
          </w:tcPr>
          <w:p>
            <w:pPr>
              <w:spacing w:after="0"/>
              <w:rPr>
                <w:sz w:val="16"/>
                <w:szCs w:val="16"/>
                <w:color w:val="auto"/>
              </w:rPr>
            </w:pPr>
          </w:p>
        </w:tc>
        <w:tc>
          <w:tcPr>
            <w:tcW w:w="312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due diligence and audits, on 100% of</w:t>
            </w:r>
          </w:p>
        </w:tc>
        <w:tc>
          <w:tcPr>
            <w:tcW w:w="480" w:type="dxa"/>
            <w:vAlign w:val="bottom"/>
            <w:shd w:val="clear" w:color="auto" w:fill="00ADE9"/>
          </w:tcPr>
          <w:p>
            <w:pPr>
              <w:spacing w:after="0"/>
              <w:rPr>
                <w:sz w:val="16"/>
                <w:szCs w:val="16"/>
                <w:color w:val="auto"/>
              </w:rPr>
            </w:pPr>
          </w:p>
        </w:tc>
        <w:tc>
          <w:tcPr>
            <w:tcW w:w="314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net carbon footprint</w:t>
            </w:r>
          </w:p>
        </w:tc>
        <w:tc>
          <w:tcPr>
            <w:tcW w:w="100" w:type="dxa"/>
            <w:vAlign w:val="bottom"/>
            <w:shd w:val="clear" w:color="auto" w:fill="00ADE9"/>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0" w:type="dxa"/>
            <w:vAlign w:val="bottom"/>
            <w:shd w:val="clear" w:color="auto" w:fill="00ADE9"/>
          </w:tcPr>
          <w:p>
            <w:pPr>
              <w:ind w:left="140"/>
              <w:spacing w:after="0"/>
              <w:rPr>
                <w:sz w:val="20"/>
                <w:szCs w:val="20"/>
                <w:color w:val="auto"/>
              </w:rPr>
            </w:pPr>
            <w:r>
              <w:rPr>
                <w:rFonts w:ascii="Arial" w:cs="Arial" w:eastAsia="Arial" w:hAnsi="Arial"/>
                <w:sz w:val="16"/>
                <w:szCs w:val="16"/>
                <w:color w:val="FFFFFF"/>
              </w:rPr>
              <w:t>►</w:t>
            </w:r>
          </w:p>
        </w:tc>
        <w:tc>
          <w:tcPr>
            <w:tcW w:w="358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Industry advocate for IOGP Lifesaving Rules</w:t>
            </w:r>
          </w:p>
        </w:tc>
        <w:tc>
          <w:tcPr>
            <w:tcW w:w="460" w:type="dxa"/>
            <w:vAlign w:val="bottom"/>
            <w:shd w:val="clear" w:color="auto" w:fill="00ADE9"/>
          </w:tcPr>
          <w:p>
            <w:pPr>
              <w:spacing w:after="0"/>
              <w:rPr>
                <w:sz w:val="18"/>
                <w:szCs w:val="18"/>
                <w:color w:val="auto"/>
              </w:rPr>
            </w:pPr>
          </w:p>
        </w:tc>
        <w:tc>
          <w:tcPr>
            <w:tcW w:w="312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high-risk suppliers</w:t>
            </w:r>
          </w:p>
        </w:tc>
        <w:tc>
          <w:tcPr>
            <w:tcW w:w="480" w:type="dxa"/>
            <w:vAlign w:val="bottom"/>
            <w:vMerge w:val="restart"/>
            <w:shd w:val="clear" w:color="auto" w:fill="00ADE9"/>
          </w:tcPr>
          <w:p>
            <w:pPr>
              <w:ind w:left="260"/>
              <w:spacing w:after="0"/>
              <w:rPr>
                <w:sz w:val="20"/>
                <w:szCs w:val="20"/>
                <w:color w:val="auto"/>
              </w:rPr>
            </w:pPr>
            <w:r>
              <w:rPr>
                <w:rFonts w:ascii="Arial" w:cs="Arial" w:eastAsia="Arial" w:hAnsi="Arial"/>
                <w:sz w:val="16"/>
                <w:szCs w:val="16"/>
                <w:color w:val="FFFFFF"/>
              </w:rPr>
              <w:t>►</w:t>
            </w:r>
          </w:p>
        </w:tc>
        <w:tc>
          <w:tcPr>
            <w:tcW w:w="3140" w:type="dxa"/>
            <w:vAlign w:val="bottom"/>
            <w:vMerge w:val="restart"/>
            <w:shd w:val="clear" w:color="auto" w:fill="00ADE9"/>
          </w:tcPr>
          <w:p>
            <w:pPr>
              <w:spacing w:after="0"/>
              <w:rPr>
                <w:sz w:val="20"/>
                <w:szCs w:val="20"/>
                <w:color w:val="auto"/>
              </w:rPr>
            </w:pPr>
            <w:r>
              <w:rPr>
                <w:rFonts w:ascii="Arial" w:cs="Arial" w:eastAsia="Arial" w:hAnsi="Arial"/>
                <w:sz w:val="16"/>
                <w:szCs w:val="16"/>
                <w:b w:val="1"/>
                <w:bCs w:val="1"/>
                <w:color w:val="FFFFFF"/>
              </w:rPr>
              <w:t>Governance model established and</w:t>
            </w:r>
          </w:p>
        </w:tc>
        <w:tc>
          <w:tcPr>
            <w:tcW w:w="100" w:type="dxa"/>
            <w:vAlign w:val="bottom"/>
            <w:shd w:val="clear" w:color="auto" w:fill="00ADE9"/>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0" w:type="dxa"/>
            <w:vAlign w:val="bottom"/>
            <w:shd w:val="clear" w:color="auto" w:fill="00ADE9"/>
          </w:tcPr>
          <w:p>
            <w:pPr>
              <w:spacing w:after="0"/>
              <w:rPr>
                <w:sz w:val="15"/>
                <w:szCs w:val="15"/>
                <w:color w:val="auto"/>
              </w:rPr>
            </w:pPr>
          </w:p>
        </w:tc>
        <w:tc>
          <w:tcPr>
            <w:tcW w:w="3580" w:type="dxa"/>
            <w:vAlign w:val="bottom"/>
            <w:shd w:val="clear" w:color="auto" w:fill="00ADE9"/>
          </w:tcPr>
          <w:p>
            <w:pPr>
              <w:spacing w:after="0"/>
              <w:rPr>
                <w:sz w:val="15"/>
                <w:szCs w:val="15"/>
                <w:color w:val="auto"/>
              </w:rPr>
            </w:pPr>
          </w:p>
        </w:tc>
        <w:tc>
          <w:tcPr>
            <w:tcW w:w="460" w:type="dxa"/>
            <w:vAlign w:val="bottom"/>
            <w:shd w:val="clear" w:color="auto" w:fill="00ADE9"/>
          </w:tcPr>
          <w:p>
            <w:pPr>
              <w:spacing w:after="0"/>
              <w:rPr>
                <w:sz w:val="15"/>
                <w:szCs w:val="15"/>
                <w:color w:val="auto"/>
              </w:rPr>
            </w:pPr>
          </w:p>
        </w:tc>
        <w:tc>
          <w:tcPr>
            <w:tcW w:w="3120" w:type="dxa"/>
            <w:vAlign w:val="bottom"/>
            <w:shd w:val="clear" w:color="auto" w:fill="00ADE9"/>
          </w:tcPr>
          <w:p>
            <w:pPr>
              <w:spacing w:after="0"/>
              <w:rPr>
                <w:sz w:val="15"/>
                <w:szCs w:val="15"/>
                <w:color w:val="auto"/>
              </w:rPr>
            </w:pPr>
          </w:p>
        </w:tc>
        <w:tc>
          <w:tcPr>
            <w:tcW w:w="480" w:type="dxa"/>
            <w:vAlign w:val="bottom"/>
            <w:vMerge w:val="continue"/>
            <w:shd w:val="clear" w:color="auto" w:fill="00ADE9"/>
          </w:tcPr>
          <w:p>
            <w:pPr>
              <w:spacing w:after="0"/>
              <w:rPr>
                <w:sz w:val="15"/>
                <w:szCs w:val="15"/>
                <w:color w:val="auto"/>
              </w:rPr>
            </w:pPr>
          </w:p>
        </w:tc>
        <w:tc>
          <w:tcPr>
            <w:tcW w:w="3140" w:type="dxa"/>
            <w:vAlign w:val="bottom"/>
            <w:vMerge w:val="continue"/>
            <w:shd w:val="clear" w:color="auto" w:fill="00ADE9"/>
          </w:tcPr>
          <w:p>
            <w:pPr>
              <w:spacing w:after="0"/>
              <w:rPr>
                <w:sz w:val="15"/>
                <w:szCs w:val="15"/>
                <w:color w:val="auto"/>
              </w:rPr>
            </w:pPr>
          </w:p>
        </w:tc>
        <w:tc>
          <w:tcPr>
            <w:tcW w:w="100" w:type="dxa"/>
            <w:vAlign w:val="bottom"/>
            <w:shd w:val="clear" w:color="auto" w:fill="00ADE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 w:type="dxa"/>
            <w:vAlign w:val="bottom"/>
            <w:shd w:val="clear" w:color="auto" w:fill="00ADE9"/>
          </w:tcPr>
          <w:p>
            <w:pPr>
              <w:spacing w:after="0"/>
              <w:rPr>
                <w:sz w:val="14"/>
                <w:szCs w:val="14"/>
                <w:color w:val="auto"/>
              </w:rPr>
            </w:pPr>
          </w:p>
        </w:tc>
        <w:tc>
          <w:tcPr>
            <w:tcW w:w="3580" w:type="dxa"/>
            <w:vAlign w:val="bottom"/>
            <w:shd w:val="clear" w:color="auto" w:fill="00ADE9"/>
          </w:tcPr>
          <w:p>
            <w:pPr>
              <w:spacing w:after="0"/>
              <w:rPr>
                <w:sz w:val="14"/>
                <w:szCs w:val="14"/>
                <w:color w:val="auto"/>
              </w:rPr>
            </w:pPr>
          </w:p>
        </w:tc>
        <w:tc>
          <w:tcPr>
            <w:tcW w:w="460" w:type="dxa"/>
            <w:vAlign w:val="bottom"/>
            <w:shd w:val="clear" w:color="auto" w:fill="00ADE9"/>
          </w:tcPr>
          <w:p>
            <w:pPr>
              <w:ind w:left="240"/>
              <w:spacing w:after="0" w:line="171" w:lineRule="exact"/>
              <w:rPr>
                <w:sz w:val="20"/>
                <w:szCs w:val="20"/>
                <w:color w:val="auto"/>
              </w:rPr>
            </w:pPr>
            <w:r>
              <w:rPr>
                <w:rFonts w:ascii="Arial" w:cs="Arial" w:eastAsia="Arial" w:hAnsi="Arial"/>
                <w:sz w:val="16"/>
                <w:szCs w:val="16"/>
                <w:color w:val="FFFFFF"/>
              </w:rPr>
              <w:t>►</w:t>
            </w:r>
          </w:p>
        </w:tc>
        <w:tc>
          <w:tcPr>
            <w:tcW w:w="3120" w:type="dxa"/>
            <w:vAlign w:val="bottom"/>
            <w:shd w:val="clear" w:color="auto" w:fill="00ADE9"/>
          </w:tcPr>
          <w:p>
            <w:pPr>
              <w:spacing w:after="0" w:line="171" w:lineRule="exact"/>
              <w:rPr>
                <w:sz w:val="20"/>
                <w:szCs w:val="20"/>
                <w:color w:val="auto"/>
              </w:rPr>
            </w:pPr>
            <w:r>
              <w:rPr>
                <w:rFonts w:ascii="Arial" w:cs="Arial" w:eastAsia="Arial" w:hAnsi="Arial"/>
                <w:sz w:val="16"/>
                <w:szCs w:val="16"/>
                <w:b w:val="1"/>
                <w:bCs w:val="1"/>
                <w:color w:val="FFFFFF"/>
              </w:rPr>
              <w:t>Yearly ethics and compliance training</w:t>
            </w:r>
          </w:p>
        </w:tc>
        <w:tc>
          <w:tcPr>
            <w:tcW w:w="480" w:type="dxa"/>
            <w:vAlign w:val="bottom"/>
            <w:shd w:val="clear" w:color="auto" w:fill="00ADE9"/>
          </w:tcPr>
          <w:p>
            <w:pPr>
              <w:spacing w:after="0"/>
              <w:rPr>
                <w:sz w:val="14"/>
                <w:szCs w:val="14"/>
                <w:color w:val="auto"/>
              </w:rPr>
            </w:pPr>
          </w:p>
        </w:tc>
        <w:tc>
          <w:tcPr>
            <w:tcW w:w="3140" w:type="dxa"/>
            <w:vAlign w:val="bottom"/>
            <w:shd w:val="clear" w:color="auto" w:fill="00ADE9"/>
          </w:tcPr>
          <w:p>
            <w:pPr>
              <w:spacing w:after="0" w:line="171" w:lineRule="exact"/>
              <w:rPr>
                <w:sz w:val="20"/>
                <w:szCs w:val="20"/>
                <w:color w:val="auto"/>
              </w:rPr>
            </w:pPr>
            <w:r>
              <w:rPr>
                <w:rFonts w:ascii="Arial" w:cs="Arial" w:eastAsia="Arial" w:hAnsi="Arial"/>
                <w:sz w:val="16"/>
                <w:szCs w:val="16"/>
                <w:b w:val="1"/>
                <w:bCs w:val="1"/>
                <w:color w:val="FFFFFF"/>
              </w:rPr>
              <w:t>reviewed with Board ESG committee</w:t>
            </w:r>
          </w:p>
        </w:tc>
        <w:tc>
          <w:tcPr>
            <w:tcW w:w="100" w:type="dxa"/>
            <w:vAlign w:val="bottom"/>
            <w:shd w:val="clear" w:color="auto" w:fill="00ADE9"/>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00ADE9"/>
          </w:tcPr>
          <w:p>
            <w:pPr>
              <w:spacing w:after="0"/>
              <w:rPr>
                <w:sz w:val="18"/>
                <w:szCs w:val="18"/>
                <w:color w:val="auto"/>
              </w:rPr>
            </w:pPr>
          </w:p>
        </w:tc>
        <w:tc>
          <w:tcPr>
            <w:tcW w:w="3580" w:type="dxa"/>
            <w:vAlign w:val="bottom"/>
            <w:shd w:val="clear" w:color="auto" w:fill="00ADE9"/>
          </w:tcPr>
          <w:p>
            <w:pPr>
              <w:spacing w:after="0"/>
              <w:rPr>
                <w:sz w:val="18"/>
                <w:szCs w:val="18"/>
                <w:color w:val="auto"/>
              </w:rPr>
            </w:pPr>
          </w:p>
        </w:tc>
        <w:tc>
          <w:tcPr>
            <w:tcW w:w="460" w:type="dxa"/>
            <w:vAlign w:val="bottom"/>
            <w:shd w:val="clear" w:color="auto" w:fill="00ADE9"/>
          </w:tcPr>
          <w:p>
            <w:pPr>
              <w:spacing w:after="0"/>
              <w:rPr>
                <w:sz w:val="18"/>
                <w:szCs w:val="18"/>
                <w:color w:val="auto"/>
              </w:rPr>
            </w:pPr>
          </w:p>
        </w:tc>
        <w:tc>
          <w:tcPr>
            <w:tcW w:w="3120" w:type="dxa"/>
            <w:vAlign w:val="bottom"/>
            <w:shd w:val="clear" w:color="auto" w:fill="00ADE9"/>
          </w:tcPr>
          <w:p>
            <w:pPr>
              <w:spacing w:after="0"/>
              <w:rPr>
                <w:sz w:val="20"/>
                <w:szCs w:val="20"/>
                <w:color w:val="auto"/>
              </w:rPr>
            </w:pPr>
            <w:r>
              <w:rPr>
                <w:rFonts w:ascii="Arial" w:cs="Arial" w:eastAsia="Arial" w:hAnsi="Arial"/>
                <w:sz w:val="16"/>
                <w:szCs w:val="16"/>
                <w:b w:val="1"/>
                <w:bCs w:val="1"/>
                <w:color w:val="FFFFFF"/>
              </w:rPr>
              <w:t>for all managerial levels</w:t>
            </w:r>
          </w:p>
        </w:tc>
        <w:tc>
          <w:tcPr>
            <w:tcW w:w="480" w:type="dxa"/>
            <w:vAlign w:val="bottom"/>
            <w:shd w:val="clear" w:color="auto" w:fill="00ADE9"/>
          </w:tcPr>
          <w:p>
            <w:pPr>
              <w:spacing w:after="0"/>
              <w:rPr>
                <w:sz w:val="18"/>
                <w:szCs w:val="18"/>
                <w:color w:val="auto"/>
              </w:rPr>
            </w:pPr>
          </w:p>
        </w:tc>
        <w:tc>
          <w:tcPr>
            <w:tcW w:w="3140" w:type="dxa"/>
            <w:vAlign w:val="bottom"/>
            <w:shd w:val="clear" w:color="auto" w:fill="00ADE9"/>
          </w:tcPr>
          <w:p>
            <w:pPr>
              <w:spacing w:after="0"/>
              <w:rPr>
                <w:sz w:val="18"/>
                <w:szCs w:val="18"/>
                <w:color w:val="auto"/>
              </w:rPr>
            </w:pPr>
          </w:p>
        </w:tc>
        <w:tc>
          <w:tcPr>
            <w:tcW w:w="100" w:type="dxa"/>
            <w:vAlign w:val="bottom"/>
            <w:shd w:val="clear" w:color="auto" w:fill="00ADE9"/>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0" w:type="dxa"/>
            <w:vAlign w:val="bottom"/>
            <w:shd w:val="clear" w:color="auto" w:fill="00ADE9"/>
          </w:tcPr>
          <w:p>
            <w:pPr>
              <w:spacing w:after="0"/>
              <w:rPr>
                <w:sz w:val="21"/>
                <w:szCs w:val="21"/>
                <w:color w:val="auto"/>
              </w:rPr>
            </w:pPr>
          </w:p>
        </w:tc>
        <w:tc>
          <w:tcPr>
            <w:tcW w:w="3580" w:type="dxa"/>
            <w:vAlign w:val="bottom"/>
            <w:shd w:val="clear" w:color="auto" w:fill="00ADE9"/>
          </w:tcPr>
          <w:p>
            <w:pPr>
              <w:spacing w:after="0"/>
              <w:rPr>
                <w:sz w:val="21"/>
                <w:szCs w:val="21"/>
                <w:color w:val="auto"/>
              </w:rPr>
            </w:pPr>
          </w:p>
        </w:tc>
        <w:tc>
          <w:tcPr>
            <w:tcW w:w="460" w:type="dxa"/>
            <w:vAlign w:val="bottom"/>
            <w:shd w:val="clear" w:color="auto" w:fill="00ADE9"/>
          </w:tcPr>
          <w:p>
            <w:pPr>
              <w:spacing w:after="0"/>
              <w:rPr>
                <w:sz w:val="21"/>
                <w:szCs w:val="21"/>
                <w:color w:val="auto"/>
              </w:rPr>
            </w:pPr>
          </w:p>
        </w:tc>
        <w:tc>
          <w:tcPr>
            <w:tcW w:w="3120" w:type="dxa"/>
            <w:vAlign w:val="bottom"/>
            <w:shd w:val="clear" w:color="auto" w:fill="00ADE9"/>
          </w:tcPr>
          <w:p>
            <w:pPr>
              <w:spacing w:after="0"/>
              <w:rPr>
                <w:sz w:val="21"/>
                <w:szCs w:val="21"/>
                <w:color w:val="auto"/>
              </w:rPr>
            </w:pPr>
          </w:p>
        </w:tc>
        <w:tc>
          <w:tcPr>
            <w:tcW w:w="480" w:type="dxa"/>
            <w:vAlign w:val="bottom"/>
            <w:shd w:val="clear" w:color="auto" w:fill="00ADE9"/>
          </w:tcPr>
          <w:p>
            <w:pPr>
              <w:spacing w:after="0"/>
              <w:rPr>
                <w:sz w:val="21"/>
                <w:szCs w:val="21"/>
                <w:color w:val="auto"/>
              </w:rPr>
            </w:pPr>
          </w:p>
        </w:tc>
        <w:tc>
          <w:tcPr>
            <w:tcW w:w="3140" w:type="dxa"/>
            <w:vAlign w:val="bottom"/>
            <w:shd w:val="clear" w:color="auto" w:fill="00ADE9"/>
          </w:tcPr>
          <w:p>
            <w:pPr>
              <w:spacing w:after="0"/>
              <w:rPr>
                <w:sz w:val="21"/>
                <w:szCs w:val="21"/>
                <w:color w:val="auto"/>
              </w:rPr>
            </w:pPr>
          </w:p>
        </w:tc>
        <w:tc>
          <w:tcPr>
            <w:tcW w:w="100" w:type="dxa"/>
            <w:vAlign w:val="bottom"/>
            <w:shd w:val="clear" w:color="auto" w:fill="00ADE9"/>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2344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3B3C43"/>
        </w:rPr>
        <w:t>We never compromise on safety and we are committed to raising the bar on workers’ welfare.</w:t>
      </w:r>
    </w:p>
    <w:p>
      <w:pPr>
        <w:spacing w:after="0" w:line="194" w:lineRule="exact"/>
        <w:rPr>
          <w:sz w:val="20"/>
          <w:szCs w:val="20"/>
          <w:color w:val="auto"/>
        </w:rPr>
      </w:pPr>
    </w:p>
    <w:p>
      <w:pPr>
        <w:ind w:left="500" w:right="80" w:hanging="317"/>
        <w:spacing w:after="0" w:line="260" w:lineRule="auto"/>
        <w:tabs>
          <w:tab w:leader="none" w:pos="500" w:val="left"/>
        </w:tabs>
        <w:numPr>
          <w:ilvl w:val="0"/>
          <w:numId w:val="48"/>
        </w:numPr>
        <w:rPr>
          <w:rFonts w:ascii="Arial" w:cs="Arial" w:eastAsia="Arial" w:hAnsi="Arial"/>
          <w:sz w:val="16"/>
          <w:szCs w:val="16"/>
          <w:color w:val="4B1F68"/>
        </w:rPr>
      </w:pPr>
      <w:r>
        <w:rPr>
          <w:rFonts w:ascii="Arial" w:cs="Arial" w:eastAsia="Arial" w:hAnsi="Arial"/>
          <w:sz w:val="16"/>
          <w:szCs w:val="16"/>
          <w:color w:val="3B3C43"/>
        </w:rPr>
        <w:t>We will implement 400 SIF (Serious Injuries and Fatalities) Prevention projects. We will also be an industry advocate for the International Association of Oil &amp; Gas Producers Lifesaving Rules.</w:t>
      </w:r>
    </w:p>
    <w:p>
      <w:pPr>
        <w:spacing w:after="0" w:line="168" w:lineRule="exact"/>
        <w:rPr>
          <w:rFonts w:ascii="Arial" w:cs="Arial" w:eastAsia="Arial" w:hAnsi="Arial"/>
          <w:sz w:val="16"/>
          <w:szCs w:val="16"/>
          <w:color w:val="4B1F68"/>
        </w:rPr>
      </w:pPr>
    </w:p>
    <w:p>
      <w:pPr>
        <w:ind w:left="500" w:right="160" w:hanging="317"/>
        <w:spacing w:after="0" w:line="260" w:lineRule="auto"/>
        <w:tabs>
          <w:tab w:leader="none" w:pos="500" w:val="left"/>
        </w:tabs>
        <w:numPr>
          <w:ilvl w:val="0"/>
          <w:numId w:val="48"/>
        </w:numPr>
        <w:rPr>
          <w:rFonts w:ascii="Arial" w:cs="Arial" w:eastAsia="Arial" w:hAnsi="Arial"/>
          <w:sz w:val="16"/>
          <w:szCs w:val="16"/>
          <w:color w:val="4B1F68"/>
        </w:rPr>
      </w:pPr>
      <w:r>
        <w:rPr>
          <w:rFonts w:ascii="Arial" w:cs="Arial" w:eastAsia="Arial" w:hAnsi="Arial"/>
          <w:sz w:val="16"/>
          <w:szCs w:val="16"/>
          <w:color w:val="3B3C43"/>
        </w:rPr>
        <w:t>Our decisions have ethical dimensions. Managers will continue to receive yearly ethics and compliance training, and we will audit high-risk suppliers for their human rights practices.</w:t>
      </w:r>
    </w:p>
    <w:p>
      <w:pPr>
        <w:spacing w:after="0" w:line="168" w:lineRule="exact"/>
        <w:rPr>
          <w:rFonts w:ascii="Arial" w:cs="Arial" w:eastAsia="Arial" w:hAnsi="Arial"/>
          <w:sz w:val="16"/>
          <w:szCs w:val="16"/>
          <w:color w:val="4B1F68"/>
        </w:rPr>
      </w:pPr>
    </w:p>
    <w:p>
      <w:pPr>
        <w:ind w:left="500" w:right="80" w:hanging="317"/>
        <w:spacing w:after="0" w:line="260" w:lineRule="auto"/>
        <w:tabs>
          <w:tab w:leader="none" w:pos="500" w:val="left"/>
        </w:tabs>
        <w:numPr>
          <w:ilvl w:val="0"/>
          <w:numId w:val="48"/>
        </w:numPr>
        <w:rPr>
          <w:rFonts w:ascii="Arial" w:cs="Arial" w:eastAsia="Arial" w:hAnsi="Arial"/>
          <w:sz w:val="16"/>
          <w:szCs w:val="16"/>
          <w:color w:val="4B1F68"/>
        </w:rPr>
      </w:pPr>
      <w:r>
        <w:rPr>
          <w:rFonts w:ascii="Arial" w:cs="Arial" w:eastAsia="Arial" w:hAnsi="Arial"/>
          <w:sz w:val="16"/>
          <w:szCs w:val="16"/>
          <w:color w:val="3B3C43"/>
        </w:rPr>
        <w:t>Our leaders and senior managers’ compensation will be linked to our net carbon footprint, and our governance model will be reviewed by the Board’s ESG Committee.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Beyond the scorecard</w:t>
      </w:r>
    </w:p>
    <w:p>
      <w:pPr>
        <w:spacing w:after="0" w:line="21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3B3C43"/>
        </w:rPr>
        <w:t>Beyond the defined the ESG scorecard, we will continue to make a difference in the communities where we live and work and to support their efforts through initiatives such as iVolunteer.</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37</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67"/>
          <w:szCs w:val="67"/>
          <w:color w:val="4B1F68"/>
        </w:rPr>
        <w:t>Corporate Governance</w:t>
      </w:r>
    </w:p>
    <w:p>
      <w:pPr>
        <w:spacing w:after="0" w:line="17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3B3C43"/>
        </w:rPr>
        <w:t>The Board believes that the purpose of corporate governance is to facilitate effective oversight and management of the Company to maximize shareholder value in a manner consistent with our vision statement, purpose, core values, Foundational Beliefs, Code of Business Conduct, and all applicable legal requirements.</w:t>
      </w:r>
    </w:p>
    <w:p>
      <w:pPr>
        <w:spacing w:after="0" w:line="17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3B3C43"/>
        </w:rPr>
        <w:t>The Board provides accountability, objectivity, perspective, judgment, and, in some cases, specific industry or technical knowledge or experience. In carrying out its responsibilities to our shareholders, the fundamental role of the Board is to ensure continuity of leadership; the implementation, understanding, and pursuit of a sound strategy for the success of our Company; and the availability of financial and management resources and the implementation of control systems to carry out that strategy.</w:t>
      </w:r>
    </w:p>
    <w:p>
      <w:pPr>
        <w:spacing w:after="0" w:line="398" w:lineRule="exact"/>
        <w:rPr>
          <w:sz w:val="20"/>
          <w:szCs w:val="20"/>
          <w:color w:val="auto"/>
        </w:rPr>
      </w:pPr>
    </w:p>
    <w:p>
      <w:pPr>
        <w:spacing w:after="0"/>
        <w:rPr>
          <w:sz w:val="20"/>
          <w:szCs w:val="20"/>
          <w:color w:val="auto"/>
        </w:rPr>
      </w:pPr>
      <w:r>
        <w:rPr>
          <w:rFonts w:ascii="Arial" w:cs="Arial" w:eastAsia="Arial" w:hAnsi="Arial"/>
          <w:sz w:val="38"/>
          <w:szCs w:val="38"/>
          <w:color w:val="4B1F68"/>
        </w:rPr>
        <w:t>Governance Guidelines and Key Board Practices</w:t>
      </w:r>
    </w:p>
    <w:p>
      <w:pPr>
        <w:spacing w:after="0" w:line="49" w:lineRule="exact"/>
        <w:rPr>
          <w:sz w:val="20"/>
          <w:szCs w:val="20"/>
          <w:color w:val="auto"/>
        </w:rPr>
      </w:pPr>
    </w:p>
    <w:p>
      <w:pPr>
        <w:spacing w:after="0" w:line="254" w:lineRule="auto"/>
        <w:rPr>
          <w:sz w:val="20"/>
          <w:szCs w:val="20"/>
          <w:color w:val="auto"/>
        </w:rPr>
      </w:pPr>
      <w:r>
        <w:rPr>
          <w:rFonts w:ascii="Arial" w:cs="Arial" w:eastAsia="Arial" w:hAnsi="Arial"/>
          <w:sz w:val="16"/>
          <w:szCs w:val="16"/>
          <w:color w:val="3B3C43"/>
        </w:rPr>
        <w:t>Our Corporate Governance Guidelines (“</w:t>
      </w:r>
      <w:r>
        <w:rPr>
          <w:rFonts w:ascii="Arial" w:cs="Arial" w:eastAsia="Arial" w:hAnsi="Arial"/>
          <w:sz w:val="16"/>
          <w:szCs w:val="16"/>
          <w:b w:val="1"/>
          <w:bCs w:val="1"/>
          <w:color w:val="3B3C43"/>
        </w:rPr>
        <w:t>Governance Guidelines</w:t>
      </w:r>
      <w:r>
        <w:rPr>
          <w:rFonts w:ascii="Arial" w:cs="Arial" w:eastAsia="Arial" w:hAnsi="Arial"/>
          <w:sz w:val="16"/>
          <w:szCs w:val="16"/>
          <w:color w:val="3B3C43"/>
        </w:rPr>
        <w:t>”) contain general principles and practices regarding the function of the Board and its committees. The Governance Guidelines establish a framework to guide the Board in its oversight responsibilities in a manner that is independent of management and aligned with the interests of our shareholders. The Board reviews these governance practices, the laws of England and Wales under which we are incorporated, the U.K. Disclosure Guidance and Transparency Rules, the regulations, directives, and decisions of the European Union, the rules and listing standards of the NYSE and Euronext, and the regulations of the SEC, as well as best practices recognized by governance authorities, to benchmark the standards under which it operates.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Key Elements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48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58" w:lineRule="exact"/>
        <w:rPr>
          <w:sz w:val="20"/>
          <w:szCs w:val="20"/>
          <w:color w:val="auto"/>
        </w:rPr>
      </w:pPr>
    </w:p>
    <w:p>
      <w:pPr>
        <w:ind w:left="380" w:right="240" w:hanging="318"/>
        <w:spacing w:after="0" w:line="245" w:lineRule="auto"/>
        <w:tabs>
          <w:tab w:leader="none" w:pos="380" w:val="left"/>
        </w:tabs>
        <w:numPr>
          <w:ilvl w:val="0"/>
          <w:numId w:val="49"/>
        </w:numPr>
        <w:rPr>
          <w:rFonts w:ascii="Arial" w:cs="Arial" w:eastAsia="Arial" w:hAnsi="Arial"/>
          <w:sz w:val="18"/>
          <w:szCs w:val="18"/>
          <w:color w:val="4B1F68"/>
        </w:rPr>
      </w:pPr>
      <w:r>
        <w:rPr>
          <w:rFonts w:ascii="Arial" w:cs="Arial" w:eastAsia="Arial" w:hAnsi="Arial"/>
          <w:sz w:val="18"/>
          <w:szCs w:val="18"/>
          <w:i w:val="1"/>
          <w:iCs w:val="1"/>
          <w:color w:val="3B3C43"/>
        </w:rPr>
        <w:t xml:space="preserve">Composition of the Board. </w:t>
      </w:r>
      <w:r>
        <w:rPr>
          <w:rFonts w:ascii="Arial" w:cs="Arial" w:eastAsia="Arial" w:hAnsi="Arial"/>
          <w:sz w:val="18"/>
          <w:szCs w:val="18"/>
          <w:color w:val="3B3C43"/>
        </w:rPr>
        <w:t>Our Board seeks to attract professionals who are not only qualified under the governance rules pertinent to</w:t>
      </w:r>
      <w:r>
        <w:rPr>
          <w:rFonts w:ascii="Arial" w:cs="Arial" w:eastAsia="Arial" w:hAnsi="Arial"/>
          <w:sz w:val="18"/>
          <w:szCs w:val="18"/>
          <w:i w:val="1"/>
          <w:iCs w:val="1"/>
          <w:color w:val="3B3C43"/>
        </w:rPr>
        <w:t xml:space="preserve"> </w:t>
      </w:r>
      <w:r>
        <w:rPr>
          <w:rFonts w:ascii="Arial" w:cs="Arial" w:eastAsia="Arial" w:hAnsi="Arial"/>
          <w:sz w:val="18"/>
          <w:szCs w:val="18"/>
          <w:color w:val="3B3C43"/>
        </w:rPr>
        <w:t>our Company but also bring diversity of thought and experience. Our ESG Committee considers multiple factors when determining whether a candidate is qualified to serve on our Board in order to achieve a balance between fresh perspectives and the deep knowledge and experience of our more tenured directors. As such, our ESG Committee often considers a candidate’s:</w:t>
      </w:r>
    </w:p>
    <w:p>
      <w:pPr>
        <w:spacing w:after="0" w:line="228" w:lineRule="exact"/>
        <w:rPr>
          <w:rFonts w:ascii="Arial" w:cs="Arial" w:eastAsia="Arial" w:hAnsi="Arial"/>
          <w:sz w:val="18"/>
          <w:szCs w:val="18"/>
          <w:color w:val="4B1F68"/>
        </w:rPr>
      </w:pPr>
    </w:p>
    <w:p>
      <w:pPr>
        <w:ind w:left="660" w:right="20" w:hanging="4"/>
        <w:spacing w:after="0" w:line="260" w:lineRule="auto"/>
        <w:tabs>
          <w:tab w:leader="none" w:pos="952" w:val="left"/>
        </w:tabs>
        <w:numPr>
          <w:ilvl w:val="2"/>
          <w:numId w:val="49"/>
        </w:numPr>
        <w:rPr>
          <w:rFonts w:ascii="Arial" w:cs="Arial" w:eastAsia="Arial" w:hAnsi="Arial"/>
          <w:sz w:val="16"/>
          <w:szCs w:val="16"/>
          <w:color w:val="3B3C43"/>
        </w:rPr>
      </w:pPr>
      <w:r>
        <w:rPr>
          <w:rFonts w:ascii="Arial" w:cs="Arial" w:eastAsia="Arial" w:hAnsi="Arial"/>
          <w:sz w:val="16"/>
          <w:szCs w:val="16"/>
          <w:color w:val="3B3C43"/>
        </w:rPr>
        <w:t>Experience in corporate management, as a board member of another publicly held company, and in finance and accounting and/or compensation practices</w:t>
      </w:r>
    </w:p>
    <w:p>
      <w:pPr>
        <w:spacing w:after="0" w:line="33" w:lineRule="exact"/>
        <w:rPr>
          <w:rFonts w:ascii="Arial" w:cs="Arial" w:eastAsia="Arial" w:hAnsi="Arial"/>
          <w:sz w:val="16"/>
          <w:szCs w:val="16"/>
          <w:color w:val="3B3C43"/>
        </w:rPr>
      </w:pPr>
    </w:p>
    <w:p>
      <w:pPr>
        <w:ind w:left="900" w:hanging="244"/>
        <w:spacing w:after="0"/>
        <w:tabs>
          <w:tab w:leader="none" w:pos="900" w:val="left"/>
        </w:tabs>
        <w:numPr>
          <w:ilvl w:val="2"/>
          <w:numId w:val="49"/>
        </w:numPr>
        <w:rPr>
          <w:rFonts w:ascii="Arial" w:cs="Arial" w:eastAsia="Arial" w:hAnsi="Arial"/>
          <w:sz w:val="16"/>
          <w:szCs w:val="16"/>
          <w:color w:val="3B3C43"/>
        </w:rPr>
      </w:pPr>
      <w:r>
        <w:rPr>
          <w:rFonts w:ascii="Arial" w:cs="Arial" w:eastAsia="Arial" w:hAnsi="Arial"/>
          <w:sz w:val="16"/>
          <w:szCs w:val="16"/>
          <w:color w:val="3B3C43"/>
        </w:rPr>
        <w:t>Professional and academic experience relevant to our industry</w:t>
      </w:r>
    </w:p>
    <w:p>
      <w:pPr>
        <w:spacing w:after="0" w:line="59" w:lineRule="exact"/>
        <w:rPr>
          <w:rFonts w:ascii="Arial" w:cs="Arial" w:eastAsia="Arial" w:hAnsi="Arial"/>
          <w:sz w:val="16"/>
          <w:szCs w:val="16"/>
          <w:color w:val="3B3C43"/>
        </w:rPr>
      </w:pPr>
    </w:p>
    <w:p>
      <w:pPr>
        <w:ind w:left="900" w:hanging="244"/>
        <w:spacing w:after="0"/>
        <w:tabs>
          <w:tab w:leader="none" w:pos="900" w:val="left"/>
        </w:tabs>
        <w:numPr>
          <w:ilvl w:val="2"/>
          <w:numId w:val="49"/>
        </w:numPr>
        <w:rPr>
          <w:rFonts w:ascii="Arial" w:cs="Arial" w:eastAsia="Arial" w:hAnsi="Arial"/>
          <w:sz w:val="16"/>
          <w:szCs w:val="16"/>
          <w:color w:val="3B3C43"/>
        </w:rPr>
      </w:pPr>
      <w:r>
        <w:rPr>
          <w:rFonts w:ascii="Arial" w:cs="Arial" w:eastAsia="Arial" w:hAnsi="Arial"/>
          <w:sz w:val="16"/>
          <w:szCs w:val="16"/>
          <w:color w:val="3B3C43"/>
        </w:rPr>
        <w:t>Leadership skills</w:t>
      </w:r>
    </w:p>
    <w:p>
      <w:pPr>
        <w:spacing w:after="0" w:line="59" w:lineRule="exact"/>
        <w:rPr>
          <w:rFonts w:ascii="Arial" w:cs="Arial" w:eastAsia="Arial" w:hAnsi="Arial"/>
          <w:sz w:val="16"/>
          <w:szCs w:val="16"/>
          <w:color w:val="3B3C43"/>
        </w:rPr>
      </w:pPr>
    </w:p>
    <w:p>
      <w:pPr>
        <w:ind w:left="900" w:hanging="244"/>
        <w:spacing w:after="0"/>
        <w:tabs>
          <w:tab w:leader="none" w:pos="900" w:val="left"/>
        </w:tabs>
        <w:numPr>
          <w:ilvl w:val="2"/>
          <w:numId w:val="49"/>
        </w:numPr>
        <w:rPr>
          <w:rFonts w:ascii="Arial" w:cs="Arial" w:eastAsia="Arial" w:hAnsi="Arial"/>
          <w:sz w:val="16"/>
          <w:szCs w:val="16"/>
          <w:color w:val="3B3C43"/>
        </w:rPr>
      </w:pPr>
      <w:r>
        <w:rPr>
          <w:rFonts w:ascii="Arial" w:cs="Arial" w:eastAsia="Arial" w:hAnsi="Arial"/>
          <w:sz w:val="16"/>
          <w:szCs w:val="16"/>
          <w:color w:val="3B3C43"/>
        </w:rPr>
        <w:t>Cultural perspective and diversity of thought</w:t>
      </w:r>
    </w:p>
    <w:p>
      <w:pPr>
        <w:spacing w:after="0" w:line="59" w:lineRule="exact"/>
        <w:rPr>
          <w:rFonts w:ascii="Arial" w:cs="Arial" w:eastAsia="Arial" w:hAnsi="Arial"/>
          <w:sz w:val="16"/>
          <w:szCs w:val="16"/>
          <w:color w:val="3B3C43"/>
        </w:rPr>
      </w:pPr>
    </w:p>
    <w:p>
      <w:pPr>
        <w:ind w:left="900" w:hanging="244"/>
        <w:spacing w:after="0"/>
        <w:tabs>
          <w:tab w:leader="none" w:pos="900" w:val="left"/>
        </w:tabs>
        <w:numPr>
          <w:ilvl w:val="2"/>
          <w:numId w:val="49"/>
        </w:numPr>
        <w:rPr>
          <w:rFonts w:ascii="Arial" w:cs="Arial" w:eastAsia="Arial" w:hAnsi="Arial"/>
          <w:sz w:val="16"/>
          <w:szCs w:val="16"/>
          <w:color w:val="3B3C43"/>
        </w:rPr>
      </w:pPr>
      <w:r>
        <w:rPr>
          <w:rFonts w:ascii="Arial" w:cs="Arial" w:eastAsia="Arial" w:hAnsi="Arial"/>
          <w:sz w:val="16"/>
          <w:szCs w:val="16"/>
          <w:color w:val="3B3C43"/>
        </w:rPr>
        <w:t>Ability to commit the time required for service on our Board</w:t>
      </w:r>
    </w:p>
    <w:p>
      <w:pPr>
        <w:spacing w:after="0" w:line="232" w:lineRule="exact"/>
        <w:rPr>
          <w:rFonts w:ascii="Arial" w:cs="Arial" w:eastAsia="Arial" w:hAnsi="Arial"/>
          <w:sz w:val="16"/>
          <w:szCs w:val="16"/>
          <w:color w:val="3B3C43"/>
        </w:rPr>
      </w:pPr>
    </w:p>
    <w:p>
      <w:pPr>
        <w:ind w:left="420" w:hanging="322"/>
        <w:spacing w:after="0" w:line="255" w:lineRule="auto"/>
        <w:tabs>
          <w:tab w:leader="none" w:pos="420" w:val="left"/>
        </w:tabs>
        <w:numPr>
          <w:ilvl w:val="1"/>
          <w:numId w:val="49"/>
        </w:numPr>
        <w:rPr>
          <w:rFonts w:ascii="Arial" w:cs="Arial" w:eastAsia="Arial" w:hAnsi="Arial"/>
          <w:sz w:val="16"/>
          <w:szCs w:val="16"/>
          <w:color w:val="4B1F68"/>
        </w:rPr>
      </w:pPr>
      <w:r>
        <w:rPr>
          <w:rFonts w:ascii="Arial" w:cs="Arial" w:eastAsia="Arial" w:hAnsi="Arial"/>
          <w:sz w:val="16"/>
          <w:szCs w:val="16"/>
          <w:i w:val="1"/>
          <w:iCs w:val="1"/>
          <w:color w:val="auto"/>
        </w:rPr>
        <w:t xml:space="preserve">Board and Committee Evaluations. </w:t>
      </w:r>
      <w:r>
        <w:rPr>
          <w:rFonts w:ascii="Arial" w:cs="Arial" w:eastAsia="Arial" w:hAnsi="Arial"/>
          <w:sz w:val="16"/>
          <w:szCs w:val="16"/>
          <w:color w:val="auto"/>
        </w:rPr>
        <w:t>Each year our directors complete a self-evaluation to determine whether the Board and its committees are</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functioning effectively. Additionally, each of the Audit, Compensation, and ESG Committees conducts a separate evaluation of its own performance and the adequacy of its charter. These evaluations include an assessment of the diversity of talents, expertise, and occupational and personal backgrounds of the Board members. The ESG Committee receives comments from all directors and reports the results of the evaluations annually to the Board, as well as recommendations for improvements in the overall performance of the Board and its committees.</w:t>
      </w:r>
    </w:p>
    <w:p>
      <w:pPr>
        <w:spacing w:after="0" w:line="210" w:lineRule="exact"/>
        <w:rPr>
          <w:rFonts w:ascii="Arial" w:cs="Arial" w:eastAsia="Arial" w:hAnsi="Arial"/>
          <w:sz w:val="16"/>
          <w:szCs w:val="16"/>
          <w:color w:val="4B1F68"/>
        </w:rPr>
      </w:pPr>
    </w:p>
    <w:p>
      <w:pPr>
        <w:ind w:left="420" w:right="480" w:hanging="322"/>
        <w:spacing w:after="0" w:line="281" w:lineRule="auto"/>
        <w:tabs>
          <w:tab w:leader="none" w:pos="420" w:val="left"/>
        </w:tabs>
        <w:numPr>
          <w:ilvl w:val="1"/>
          <w:numId w:val="49"/>
        </w:numPr>
        <w:rPr>
          <w:rFonts w:ascii="Arial" w:cs="Arial" w:eastAsia="Arial" w:hAnsi="Arial"/>
          <w:sz w:val="16"/>
          <w:szCs w:val="16"/>
          <w:color w:val="4B1F68"/>
        </w:rPr>
      </w:pPr>
      <w:r>
        <w:rPr>
          <w:rFonts w:ascii="Arial" w:cs="Arial" w:eastAsia="Arial" w:hAnsi="Arial"/>
          <w:sz w:val="16"/>
          <w:szCs w:val="16"/>
          <w:i w:val="1"/>
          <w:iCs w:val="1"/>
          <w:color w:val="3B3C43"/>
        </w:rPr>
        <w:t xml:space="preserve">New Director Orientation and Continuing Education. </w:t>
      </w:r>
      <w:r>
        <w:rPr>
          <w:rFonts w:ascii="Arial" w:cs="Arial" w:eastAsia="Arial" w:hAnsi="Arial"/>
          <w:sz w:val="16"/>
          <w:szCs w:val="16"/>
          <w:color w:val="3B3C43"/>
        </w:rPr>
        <w:t>An orientation program has been developed for new non-executive directors, which includes</w:t>
      </w:r>
      <w:r>
        <w:rPr>
          <w:rFonts w:ascii="Arial" w:cs="Arial" w:eastAsia="Arial" w:hAnsi="Arial"/>
          <w:sz w:val="16"/>
          <w:szCs w:val="16"/>
          <w:i w:val="1"/>
          <w:iCs w:val="1"/>
          <w:color w:val="3B3C43"/>
        </w:rPr>
        <w:t xml:space="preserve"> </w:t>
      </w:r>
      <w:r>
        <w:rPr>
          <w:rFonts w:ascii="Arial" w:cs="Arial" w:eastAsia="Arial" w:hAnsi="Arial"/>
          <w:sz w:val="16"/>
          <w:szCs w:val="16"/>
          <w:color w:val="3B3C43"/>
        </w:rPr>
        <w:t>written materials and meetings with our executive officers. The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-2047240</wp:posOffset>
            </wp:positionV>
            <wp:extent cx="7132320" cy="2040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r>
    </w:p>
    <w:p>
      <w:pPr>
        <w:spacing w:after="0" w:line="162"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38</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left="340" w:right="940"/>
        <w:spacing w:after="0" w:line="246" w:lineRule="auto"/>
        <w:rPr>
          <w:sz w:val="20"/>
          <w:szCs w:val="20"/>
          <w:color w:val="auto"/>
        </w:rPr>
      </w:pPr>
      <w:r>
        <w:rPr>
          <w:rFonts w:ascii="Arial" w:cs="Arial" w:eastAsia="Arial" w:hAnsi="Arial"/>
          <w:sz w:val="16"/>
          <w:szCs w:val="16"/>
          <w:color w:val="3B3C43"/>
        </w:rPr>
        <w:t>program is designed to provide general information about our Board and its committees; a review of director duties and responsibilities; and comprehensive information about our industry, operations, strategies, and challenges.</w:t>
      </w:r>
    </w:p>
    <w:p>
      <w:pPr>
        <w:spacing w:after="0" w:line="1" w:lineRule="exact"/>
        <w:rPr>
          <w:sz w:val="20"/>
          <w:szCs w:val="20"/>
          <w:color w:val="auto"/>
        </w:rPr>
      </w:pPr>
    </w:p>
    <w:p>
      <w:pPr>
        <w:ind w:left="340" w:right="80"/>
        <w:spacing w:after="0" w:line="260" w:lineRule="auto"/>
        <w:rPr>
          <w:sz w:val="20"/>
          <w:szCs w:val="20"/>
          <w:color w:val="auto"/>
        </w:rPr>
      </w:pPr>
      <w:r>
        <w:rPr>
          <w:rFonts w:ascii="Arial" w:cs="Arial" w:eastAsia="Arial" w:hAnsi="Arial"/>
          <w:sz w:val="16"/>
          <w:szCs w:val="16"/>
          <w:color w:val="3B3C43"/>
        </w:rPr>
        <w:t>The Board believes that ongoing education is important for maintaining an effective Board. Accordingly, our Board encourages directors to participate in ongoing education, and reimburses directors for expenses incurred in connection with such education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6343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159" w:lineRule="exact"/>
        <w:rPr>
          <w:sz w:val="20"/>
          <w:szCs w:val="20"/>
          <w:color w:val="auto"/>
        </w:rPr>
      </w:pPr>
    </w:p>
    <w:p>
      <w:pPr>
        <w:ind w:left="340" w:right="100" w:hanging="332"/>
        <w:spacing w:after="0" w:line="255" w:lineRule="auto"/>
        <w:tabs>
          <w:tab w:leader="none" w:pos="340" w:val="left"/>
        </w:tabs>
        <w:numPr>
          <w:ilvl w:val="0"/>
          <w:numId w:val="50"/>
        </w:numPr>
        <w:rPr>
          <w:rFonts w:ascii="Arial" w:cs="Arial" w:eastAsia="Arial" w:hAnsi="Arial"/>
          <w:sz w:val="16"/>
          <w:szCs w:val="16"/>
          <w:color w:val="4B1F68"/>
        </w:rPr>
      </w:pPr>
      <w:r>
        <w:rPr>
          <w:rFonts w:ascii="Arial" w:cs="Arial" w:eastAsia="Arial" w:hAnsi="Arial"/>
          <w:sz w:val="16"/>
          <w:szCs w:val="16"/>
          <w:i w:val="1"/>
          <w:iCs w:val="1"/>
          <w:color w:val="3B3C43"/>
        </w:rPr>
        <w:t xml:space="preserve">Retirement Policy. </w:t>
      </w:r>
      <w:r>
        <w:rPr>
          <w:rFonts w:ascii="Arial" w:cs="Arial" w:eastAsia="Arial" w:hAnsi="Arial"/>
          <w:sz w:val="16"/>
          <w:szCs w:val="16"/>
          <w:color w:val="3B3C43"/>
        </w:rPr>
        <w:t>As further described in our Governance Guidelines, a non-executive director whose birth date occurs prior to July 1st must retire at</w:t>
      </w:r>
      <w:r>
        <w:rPr>
          <w:rFonts w:ascii="Arial" w:cs="Arial" w:eastAsia="Arial" w:hAnsi="Arial"/>
          <w:sz w:val="16"/>
          <w:szCs w:val="16"/>
          <w:i w:val="1"/>
          <w:iCs w:val="1"/>
          <w:color w:val="3B3C43"/>
        </w:rPr>
        <w:t xml:space="preserve"> </w:t>
      </w:r>
      <w:r>
        <w:rPr>
          <w:rFonts w:ascii="Arial" w:cs="Arial" w:eastAsia="Arial" w:hAnsi="Arial"/>
          <w:sz w:val="16"/>
          <w:szCs w:val="16"/>
          <w:color w:val="3B3C43"/>
        </w:rPr>
        <w:t>the annual general meeting of shareholders of the Company during the year of such director’s 72nd birthday, and a non-executive director whose birth date occurs on or after July 1st must retire at the annual general meeting of shareholders of the Company the year following such director’s 72nd birthday. Our Board may waive this policy on a case-by-case basis on the recommendation of the ESG Committee if it deems a waiver to be in the best interests of the Company and its shareholders.</w:t>
      </w:r>
    </w:p>
    <w:p>
      <w:pPr>
        <w:spacing w:after="0" w:line="210" w:lineRule="exact"/>
        <w:rPr>
          <w:rFonts w:ascii="Arial" w:cs="Arial" w:eastAsia="Arial" w:hAnsi="Arial"/>
          <w:sz w:val="16"/>
          <w:szCs w:val="16"/>
          <w:color w:val="4B1F68"/>
        </w:rPr>
      </w:pPr>
    </w:p>
    <w:p>
      <w:pPr>
        <w:ind w:left="340" w:right="240" w:hanging="332"/>
        <w:spacing w:after="0" w:line="281" w:lineRule="auto"/>
        <w:tabs>
          <w:tab w:leader="none" w:pos="340" w:val="left"/>
        </w:tabs>
        <w:numPr>
          <w:ilvl w:val="0"/>
          <w:numId w:val="50"/>
        </w:numPr>
        <w:rPr>
          <w:rFonts w:ascii="Arial" w:cs="Arial" w:eastAsia="Arial" w:hAnsi="Arial"/>
          <w:sz w:val="16"/>
          <w:szCs w:val="16"/>
          <w:color w:val="4B1F68"/>
        </w:rPr>
      </w:pPr>
      <w:r>
        <w:rPr>
          <w:rFonts w:ascii="Arial" w:cs="Arial" w:eastAsia="Arial" w:hAnsi="Arial"/>
          <w:sz w:val="16"/>
          <w:szCs w:val="16"/>
          <w:i w:val="1"/>
          <w:iCs w:val="1"/>
          <w:color w:val="3B3C43"/>
        </w:rPr>
        <w:t xml:space="preserve">Director Share Ownership Requirements. </w:t>
      </w:r>
      <w:r>
        <w:rPr>
          <w:rFonts w:ascii="Arial" w:cs="Arial" w:eastAsia="Arial" w:hAnsi="Arial"/>
          <w:sz w:val="16"/>
          <w:szCs w:val="16"/>
          <w:color w:val="3B3C43"/>
        </w:rPr>
        <w:t>Within five years following initial election to the Board, directors are required to own Ordinary Shares with a</w:t>
      </w:r>
      <w:r>
        <w:rPr>
          <w:rFonts w:ascii="Arial" w:cs="Arial" w:eastAsia="Arial" w:hAnsi="Arial"/>
          <w:sz w:val="16"/>
          <w:szCs w:val="16"/>
          <w:i w:val="1"/>
          <w:iCs w:val="1"/>
          <w:color w:val="3B3C43"/>
        </w:rPr>
        <w:t xml:space="preserve"> </w:t>
      </w:r>
      <w:r>
        <w:rPr>
          <w:rFonts w:ascii="Arial" w:cs="Arial" w:eastAsia="Arial" w:hAnsi="Arial"/>
          <w:sz w:val="16"/>
          <w:szCs w:val="16"/>
          <w:color w:val="3B3C43"/>
        </w:rPr>
        <w:t>value equal to or more than five times the Company’s annual cash retainer paid to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274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38"/>
          <w:szCs w:val="38"/>
          <w:color w:val="4B1F68"/>
        </w:rPr>
        <w:t>Shareholder Engagement</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The Company annually seeks feedback through engagement with shareholders, and we continued this practice in 2020. Our relationship and ongoing dialogue with our shareholders is an important part of our Board’s corporate governance commitment. For our 2020-2021 engagement, we contacted proxy advisory firms and our top shareholders representing approximately 42% of our Ordinary Shares outstanding. Management, and in some instances, our ESG Committee Chair, held meetings with proxy advisory firms and shareholders representing approximately 18% of our Ordinary Shares outstanding.</w:t>
      </w:r>
    </w:p>
    <w:p>
      <w:pPr>
        <w:spacing w:after="0" w:line="175" w:lineRule="exact"/>
        <w:rPr>
          <w:sz w:val="20"/>
          <w:szCs w:val="20"/>
          <w:color w:val="auto"/>
        </w:rPr>
      </w:pPr>
    </w:p>
    <w:p>
      <w:pPr>
        <w:ind w:right="500"/>
        <w:spacing w:after="0" w:line="251" w:lineRule="auto"/>
        <w:rPr>
          <w:sz w:val="20"/>
          <w:szCs w:val="20"/>
          <w:color w:val="auto"/>
        </w:rPr>
      </w:pPr>
      <w:r>
        <w:rPr>
          <w:rFonts w:ascii="Arial" w:cs="Arial" w:eastAsia="Arial" w:hAnsi="Arial"/>
          <w:sz w:val="16"/>
          <w:szCs w:val="16"/>
          <w:color w:val="3B3C43"/>
        </w:rPr>
        <w:t>Through these engagements, the Company received feedback on our strategic and financial performance, including our Spin-off of Technip Energies, executive compensation, Board composition and governance topics, as well as important environmental and social issues. Some shareholders did not require a meeting as they either indicated their support for our compensation and governance practices or did not have questions regarding our compensation or governance practices.</w:t>
      </w:r>
    </w:p>
    <w:p>
      <w:pPr>
        <w:spacing w:after="0" w:line="175"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3B3C43"/>
        </w:rPr>
        <w:t>We are pleased that we received high support on all of our 2020 proposals. Importantly, the 86% approval for our 2019 executive compensation program was a marked increase over the prior year results. As executive compensation programs evolve, the Board remains committed to continuing the dialogue with shareholders regarding our compensation philosophies and practices.</w:t>
      </w:r>
    </w:p>
    <w:p>
      <w:pPr>
        <w:spacing w:after="0" w:line="17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3B3C43"/>
        </w:rPr>
        <w:t>Furthermore, in early 2020, we also engaged our shareholders in order to discuss more broadly our announced Spin-off transaction, which was completed on February 16, 2021, Board leadership structure, general Board practices, our executive compensation program, and our sustainability efforts. We welcomed our shareholders’ feedback and suggestions in maintaining the balance between strengthening the link between pay and performance, retaining and motivating our executives, and appropriately compensating our executives for outperformance, while increasing long-term shareholder value.</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39</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4B1F68"/>
        </w:rPr>
        <w:t>Board Alignment with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28975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p>
      <w:pPr>
        <w:sectPr>
          <w:pgSz w:w="11900" w:h="16838" w:orient="portrait"/>
          <w:cols w:equalWidth="0" w:num="1">
            <w:col w:w="11160"/>
          </w:cols>
          <w:pgMar w:left="320" w:top="315" w:right="419" w:bottom="1440" w:gutter="0" w:footer="0" w:header="0"/>
        </w:sect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What We Heard</w:t>
      </w:r>
    </w:p>
    <w:p>
      <w:pPr>
        <w:spacing w:after="0" w:line="113" w:lineRule="exact"/>
        <w:rPr>
          <w:sz w:val="20"/>
          <w:szCs w:val="20"/>
          <w:color w:val="auto"/>
        </w:rPr>
      </w:pPr>
    </w:p>
    <w:p>
      <w:pPr>
        <w:jc w:val="both"/>
        <w:ind w:left="60"/>
        <w:spacing w:after="0" w:line="266" w:lineRule="auto"/>
        <w:rPr>
          <w:sz w:val="20"/>
          <w:szCs w:val="20"/>
          <w:color w:val="auto"/>
        </w:rPr>
      </w:pPr>
      <w:r>
        <w:rPr>
          <w:rFonts w:ascii="Arial" w:cs="Arial" w:eastAsia="Arial" w:hAnsi="Arial"/>
          <w:sz w:val="16"/>
          <w:szCs w:val="16"/>
          <w:b w:val="1"/>
          <w:bCs w:val="1"/>
          <w:color w:val="3B3C43"/>
        </w:rPr>
        <w:t>Reinforce the link between annual incentive measures and business strategy and market conditions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What We Did</w:t>
      </w:r>
    </w:p>
    <w:p>
      <w:pPr>
        <w:spacing w:after="0" w:line="133" w:lineRule="exact"/>
        <w:rPr>
          <w:sz w:val="20"/>
          <w:szCs w:val="20"/>
          <w:color w:val="auto"/>
        </w:rPr>
      </w:pPr>
    </w:p>
    <w:p>
      <w:pPr>
        <w:ind w:left="340" w:right="560" w:hanging="324"/>
        <w:spacing w:after="0" w:line="253" w:lineRule="auto"/>
        <w:tabs>
          <w:tab w:leader="none" w:pos="311" w:val="left"/>
        </w:tabs>
        <w:numPr>
          <w:ilvl w:val="0"/>
          <w:numId w:val="51"/>
        </w:numPr>
        <w:rPr>
          <w:rFonts w:ascii="Arial" w:cs="Arial" w:eastAsia="Arial" w:hAnsi="Arial"/>
          <w:sz w:val="16"/>
          <w:szCs w:val="16"/>
          <w:color w:val="4B1F68"/>
        </w:rPr>
      </w:pPr>
      <w:r>
        <w:rPr>
          <w:rFonts w:ascii="Arial" w:cs="Arial" w:eastAsia="Arial" w:hAnsi="Arial"/>
          <w:sz w:val="16"/>
          <w:szCs w:val="16"/>
          <w:color w:val="3B3C43"/>
        </w:rPr>
        <w:t>We began 2020 with annual incentive plan measures identical to those in 2019 - EBITDA, EBITDA as a Percentage of Revenue, and Working Capital Days - to reflect business performance aligned with shareholder interests and priorities at the beginning of the year.</w:t>
      </w:r>
    </w:p>
    <w:p>
      <w:pPr>
        <w:spacing w:after="0" w:line="39" w:lineRule="exact"/>
        <w:rPr>
          <w:rFonts w:ascii="Arial" w:cs="Arial" w:eastAsia="Arial" w:hAnsi="Arial"/>
          <w:sz w:val="16"/>
          <w:szCs w:val="16"/>
          <w:color w:val="4B1F68"/>
        </w:rPr>
      </w:pPr>
    </w:p>
    <w:p>
      <w:pPr>
        <w:ind w:left="340" w:right="40" w:hanging="324"/>
        <w:spacing w:after="0" w:line="251" w:lineRule="auto"/>
        <w:tabs>
          <w:tab w:leader="none" w:pos="356" w:val="left"/>
        </w:tabs>
        <w:numPr>
          <w:ilvl w:val="0"/>
          <w:numId w:val="51"/>
        </w:numPr>
        <w:rPr>
          <w:rFonts w:ascii="Arial" w:cs="Arial" w:eastAsia="Arial" w:hAnsi="Arial"/>
          <w:sz w:val="16"/>
          <w:szCs w:val="16"/>
          <w:color w:val="4B1F68"/>
        </w:rPr>
      </w:pPr>
      <w:r>
        <w:rPr>
          <w:rFonts w:ascii="Arial" w:cs="Arial" w:eastAsia="Arial" w:hAnsi="Arial"/>
          <w:sz w:val="16"/>
          <w:szCs w:val="16"/>
          <w:color w:val="3B3C43"/>
        </w:rPr>
        <w:t>As a result of the COVID-19 pandemic and oil and gas market decline, generating cash flow and delivering cost reduction became urgent. As a result, we adopted Free Cash Flow Conversion and Incremental Cost Savings as our two annual incentive plan measures for Q2 through Q4 2020, and our compensation committee set the Q1 2020 payout metrics to payout at 0%.</w:t>
      </w:r>
    </w:p>
    <w:p>
      <w:pPr>
        <w:spacing w:after="0" w:line="94" w:lineRule="exact"/>
        <w:rPr>
          <w:rFonts w:ascii="Arial" w:cs="Arial" w:eastAsia="Arial" w:hAnsi="Arial"/>
          <w:sz w:val="16"/>
          <w:szCs w:val="16"/>
          <w:color w:val="4B1F68"/>
        </w:rPr>
      </w:pPr>
    </w:p>
    <w:p>
      <w:pPr>
        <w:ind w:left="340" w:right="100" w:hanging="324"/>
        <w:spacing w:after="0" w:line="251" w:lineRule="auto"/>
        <w:tabs>
          <w:tab w:leader="none" w:pos="356" w:val="left"/>
        </w:tabs>
        <w:numPr>
          <w:ilvl w:val="0"/>
          <w:numId w:val="51"/>
        </w:numPr>
        <w:rPr>
          <w:rFonts w:ascii="Arial" w:cs="Arial" w:eastAsia="Arial" w:hAnsi="Arial"/>
          <w:sz w:val="16"/>
          <w:szCs w:val="16"/>
          <w:color w:val="4B1F68"/>
        </w:rPr>
      </w:pPr>
      <w:r>
        <w:rPr>
          <w:rFonts w:ascii="Arial" w:cs="Arial" w:eastAsia="Arial" w:hAnsi="Arial"/>
          <w:sz w:val="16"/>
          <w:szCs w:val="16"/>
          <w:color w:val="3B3C43"/>
        </w:rPr>
        <w:t>25% of our 2020 annual cash incentive plan continued to be based on individual performance indicators that included specific objectives regarding sustainability in our business performance, further reinforcing the Company’s commitment to our Foundational Beliefs while we focused on responding to the challenging business environment.</w:t>
      </w:r>
    </w:p>
    <w:p>
      <w:pPr>
        <w:spacing w:after="0" w:line="94" w:lineRule="exact"/>
        <w:rPr>
          <w:rFonts w:ascii="Arial" w:cs="Arial" w:eastAsia="Arial" w:hAnsi="Arial"/>
          <w:sz w:val="16"/>
          <w:szCs w:val="16"/>
          <w:color w:val="4B1F68"/>
        </w:rPr>
      </w:pPr>
    </w:p>
    <w:p>
      <w:pPr>
        <w:ind w:left="340" w:right="20" w:hanging="324"/>
        <w:spacing w:after="0" w:line="253" w:lineRule="auto"/>
        <w:tabs>
          <w:tab w:leader="none" w:pos="356" w:val="left"/>
        </w:tabs>
        <w:numPr>
          <w:ilvl w:val="0"/>
          <w:numId w:val="51"/>
        </w:numPr>
        <w:rPr>
          <w:rFonts w:ascii="Arial" w:cs="Arial" w:eastAsia="Arial" w:hAnsi="Arial"/>
          <w:sz w:val="16"/>
          <w:szCs w:val="16"/>
          <w:color w:val="4B1F68"/>
        </w:rPr>
      </w:pPr>
      <w:r>
        <w:rPr>
          <w:rFonts w:ascii="Arial" w:cs="Arial" w:eastAsia="Arial" w:hAnsi="Arial"/>
          <w:sz w:val="16"/>
          <w:szCs w:val="16"/>
          <w:color w:val="3B3C43"/>
        </w:rPr>
        <w:t>70% of our long-term equity incentive plan awards pay out based on Company performance, which is determined based on relative TSR performance measured against a peer group. Payout under the plan is capped at 100% if the Company’s absolute TSR is negative.</w:t>
      </w:r>
    </w:p>
    <w:p>
      <w:pPr>
        <w:spacing w:after="0" w:line="93" w:lineRule="exact"/>
        <w:rPr>
          <w:rFonts w:ascii="Arial" w:cs="Arial" w:eastAsia="Arial" w:hAnsi="Arial"/>
          <w:sz w:val="16"/>
          <w:szCs w:val="16"/>
          <w:color w:val="4B1F68"/>
        </w:rPr>
      </w:pPr>
    </w:p>
    <w:p>
      <w:pPr>
        <w:ind w:left="340" w:hanging="324"/>
        <w:spacing w:after="0" w:line="249" w:lineRule="auto"/>
        <w:tabs>
          <w:tab w:leader="none" w:pos="356" w:val="left"/>
        </w:tabs>
        <w:numPr>
          <w:ilvl w:val="0"/>
          <w:numId w:val="51"/>
        </w:numPr>
        <w:rPr>
          <w:rFonts w:ascii="Arial" w:cs="Arial" w:eastAsia="Arial" w:hAnsi="Arial"/>
          <w:sz w:val="16"/>
          <w:szCs w:val="16"/>
          <w:color w:val="4B1F68"/>
        </w:rPr>
      </w:pPr>
      <w:r>
        <w:rPr>
          <w:rFonts w:ascii="Arial" w:cs="Arial" w:eastAsia="Arial" w:hAnsi="Arial"/>
          <w:sz w:val="16"/>
          <w:szCs w:val="16"/>
          <w:color w:val="3B3C43"/>
        </w:rPr>
        <w:t>In 2021, we have introduced an ESG metric in our annual cash incentive plan (25% weighting) to directly link our compensation program to our ESG objectives. We will continue to include EBITDA as a Percentage of Revenue and Free Cash Flow from Operations as measures in the annual cash incentive plan, with an objective to increase our operating profitability, leverage cost efficiencies, maintain the financial health and liquidity of the Company, and drive shareholder value creation.</w:t>
      </w:r>
    </w:p>
    <w:p>
      <w:pPr>
        <w:spacing w:after="0" w:line="200" w:lineRule="exact"/>
        <w:rPr>
          <w:sz w:val="20"/>
          <w:szCs w:val="20"/>
          <w:color w:val="auto"/>
        </w:rPr>
      </w:pPr>
    </w:p>
    <w:p>
      <w:pPr>
        <w:sectPr>
          <w:pgSz w:w="11900" w:h="16838" w:orient="portrait"/>
          <w:cols w:equalWidth="0" w:num="2">
            <w:col w:w="3480" w:space="400"/>
            <w:col w:w="7280"/>
          </w:cols>
          <w:pgMar w:left="320" w:top="315" w:right="419" w:bottom="1440" w:gutter="0" w:footer="0" w:header="0"/>
          <w:type w:val="continuous"/>
        </w:sectPr>
      </w:pPr>
    </w:p>
    <w:p>
      <w:pPr>
        <w:spacing w:after="0" w:line="35"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40</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315" w:right="41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40575" cy="42087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0575" cy="420878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82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What We Heard</w:t>
            </w:r>
          </w:p>
        </w:tc>
        <w:tc>
          <w:tcPr>
            <w:tcW w:w="7420" w:type="dxa"/>
            <w:vAlign w:val="bottom"/>
            <w:shd w:val="clear" w:color="auto" w:fill="D21D23"/>
          </w:tcPr>
          <w:p>
            <w:pPr>
              <w:ind w:left="100"/>
              <w:spacing w:after="0"/>
              <w:rPr>
                <w:sz w:val="20"/>
                <w:szCs w:val="20"/>
                <w:color w:val="auto"/>
              </w:rPr>
            </w:pPr>
            <w:r>
              <w:rPr>
                <w:rFonts w:ascii="Arial" w:cs="Arial" w:eastAsia="Arial" w:hAnsi="Arial"/>
                <w:sz w:val="16"/>
                <w:szCs w:val="16"/>
                <w:b w:val="1"/>
                <w:bCs w:val="1"/>
                <w:color w:val="FFFFFF"/>
              </w:rPr>
              <w:t>What We Did</w:t>
            </w:r>
          </w:p>
        </w:tc>
      </w:tr>
      <w:tr>
        <w:trPr>
          <w:trHeight w:val="73"/>
        </w:trPr>
        <w:tc>
          <w:tcPr>
            <w:tcW w:w="3820" w:type="dxa"/>
            <w:vAlign w:val="bottom"/>
            <w:shd w:val="clear" w:color="auto" w:fill="4B1F68"/>
          </w:tcPr>
          <w:p>
            <w:pPr>
              <w:spacing w:after="0"/>
              <w:rPr>
                <w:sz w:val="6"/>
                <w:szCs w:val="6"/>
                <w:color w:val="auto"/>
              </w:rPr>
            </w:pPr>
          </w:p>
        </w:tc>
        <w:tc>
          <w:tcPr>
            <w:tcW w:w="7420" w:type="dxa"/>
            <w:vAlign w:val="bottom"/>
            <w:shd w:val="clear" w:color="auto" w:fill="D21D23"/>
          </w:tcPr>
          <w:p>
            <w:pPr>
              <w:spacing w:after="0"/>
              <w:rPr>
                <w:sz w:val="6"/>
                <w:szCs w:val="6"/>
                <w:color w:val="auto"/>
              </w:rPr>
            </w:pPr>
          </w:p>
        </w:tc>
      </w:tr>
      <w:tr>
        <w:trPr>
          <w:trHeight w:val="252"/>
        </w:trPr>
        <w:tc>
          <w:tcPr>
            <w:tcW w:w="3820" w:type="dxa"/>
            <w:vAlign w:val="bottom"/>
          </w:tcPr>
          <w:p>
            <w:pPr>
              <w:ind w:left="100"/>
              <w:spacing w:after="0"/>
              <w:rPr>
                <w:sz w:val="20"/>
                <w:szCs w:val="20"/>
                <w:color w:val="auto"/>
              </w:rPr>
            </w:pPr>
            <w:r>
              <w:rPr>
                <w:rFonts w:ascii="Arial" w:cs="Arial" w:eastAsia="Arial" w:hAnsi="Arial"/>
                <w:sz w:val="16"/>
                <w:szCs w:val="16"/>
                <w:b w:val="1"/>
                <w:bCs w:val="1"/>
                <w:color w:val="3B3C43"/>
              </w:rPr>
              <w:t>Reinforce the link between annual incentive</w:t>
            </w:r>
          </w:p>
        </w:tc>
        <w:tc>
          <w:tcPr>
            <w:tcW w:w="7420" w:type="dxa"/>
            <w:vAlign w:val="bottom"/>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We began 2020 with annual incentive plan measures identical to those in 2019 - EBITDA,</w:t>
            </w:r>
          </w:p>
        </w:tc>
      </w:tr>
      <w:tr>
        <w:trPr>
          <w:trHeight w:val="189"/>
        </w:trPr>
        <w:tc>
          <w:tcPr>
            <w:tcW w:w="3820" w:type="dxa"/>
            <w:vAlign w:val="bottom"/>
          </w:tcPr>
          <w:p>
            <w:pPr>
              <w:ind w:left="100"/>
              <w:spacing w:after="0"/>
              <w:rPr>
                <w:sz w:val="20"/>
                <w:szCs w:val="20"/>
                <w:color w:val="auto"/>
              </w:rPr>
            </w:pPr>
            <w:r>
              <w:rPr>
                <w:rFonts w:ascii="Arial" w:cs="Arial" w:eastAsia="Arial" w:hAnsi="Arial"/>
                <w:sz w:val="16"/>
                <w:szCs w:val="16"/>
                <w:b w:val="1"/>
                <w:bCs w:val="1"/>
                <w:color w:val="3B3C43"/>
              </w:rPr>
              <w:t>measures and business strategy and market</w:t>
            </w:r>
          </w:p>
        </w:tc>
        <w:tc>
          <w:tcPr>
            <w:tcW w:w="7420" w:type="dxa"/>
            <w:vAlign w:val="bottom"/>
          </w:tcPr>
          <w:p>
            <w:pPr>
              <w:ind w:left="440"/>
              <w:spacing w:after="0"/>
              <w:rPr>
                <w:sz w:val="20"/>
                <w:szCs w:val="20"/>
                <w:color w:val="auto"/>
              </w:rPr>
            </w:pPr>
            <w:r>
              <w:rPr>
                <w:rFonts w:ascii="Arial" w:cs="Arial" w:eastAsia="Arial" w:hAnsi="Arial"/>
                <w:sz w:val="16"/>
                <w:szCs w:val="16"/>
                <w:color w:val="3B3C43"/>
              </w:rPr>
              <w:t>EBITDA as a Percentage of Revenue, and Working Capital Days - to reflect business</w:t>
            </w:r>
          </w:p>
        </w:tc>
      </w:tr>
      <w:tr>
        <w:trPr>
          <w:trHeight w:val="215"/>
        </w:trPr>
        <w:tc>
          <w:tcPr>
            <w:tcW w:w="3820" w:type="dxa"/>
            <w:vAlign w:val="bottom"/>
          </w:tcPr>
          <w:p>
            <w:pPr>
              <w:ind w:left="100"/>
              <w:spacing w:after="0"/>
              <w:rPr>
                <w:sz w:val="20"/>
                <w:szCs w:val="20"/>
                <w:color w:val="auto"/>
              </w:rPr>
            </w:pPr>
            <w:r>
              <w:rPr>
                <w:rFonts w:ascii="Arial" w:cs="Arial" w:eastAsia="Arial" w:hAnsi="Arial"/>
                <w:sz w:val="16"/>
                <w:szCs w:val="16"/>
                <w:b w:val="1"/>
                <w:bCs w:val="1"/>
                <w:color w:val="3B3C43"/>
              </w:rPr>
              <w:t>conditions</w:t>
            </w:r>
          </w:p>
        </w:tc>
        <w:tc>
          <w:tcPr>
            <w:tcW w:w="7420" w:type="dxa"/>
            <w:vAlign w:val="bottom"/>
          </w:tcPr>
          <w:p>
            <w:pPr>
              <w:ind w:left="440"/>
              <w:spacing w:after="0"/>
              <w:rPr>
                <w:sz w:val="20"/>
                <w:szCs w:val="20"/>
                <w:color w:val="auto"/>
              </w:rPr>
            </w:pPr>
            <w:r>
              <w:rPr>
                <w:rFonts w:ascii="Arial" w:cs="Arial" w:eastAsia="Arial" w:hAnsi="Arial"/>
                <w:sz w:val="16"/>
                <w:szCs w:val="16"/>
                <w:color w:val="3B3C43"/>
              </w:rPr>
              <w:t>performance aligned with shareholder interests and priorities at the beginning of the year.</w:t>
            </w:r>
          </w:p>
        </w:tc>
      </w:tr>
      <w:tr>
        <w:trPr>
          <w:trHeight w:val="345"/>
        </w:trPr>
        <w:tc>
          <w:tcPr>
            <w:tcW w:w="3820" w:type="dxa"/>
            <w:vAlign w:val="bottom"/>
          </w:tcPr>
          <w:p>
            <w:pPr>
              <w:spacing w:after="0"/>
              <w:rPr>
                <w:sz w:val="24"/>
                <w:szCs w:val="24"/>
                <w:color w:val="auto"/>
              </w:rPr>
            </w:pPr>
          </w:p>
        </w:tc>
        <w:tc>
          <w:tcPr>
            <w:tcW w:w="7420" w:type="dxa"/>
            <w:vAlign w:val="bottom"/>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As a result of the COVID-19 pandemic and oil and gas market decline, generating cash flow</w:t>
            </w:r>
          </w:p>
        </w:tc>
      </w:tr>
      <w:tr>
        <w:trPr>
          <w:trHeight w:val="189"/>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and delivering cost reduction became urgent. As a result, we adopted Free Cash Flow</w:t>
            </w:r>
          </w:p>
        </w:tc>
      </w:tr>
      <w:tr>
        <w:trPr>
          <w:trHeight w:val="189"/>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Conversion and Incremental Cost Savings as our two annual incentive plan measures for Q2</w:t>
            </w:r>
          </w:p>
        </w:tc>
      </w:tr>
      <w:tr>
        <w:trPr>
          <w:trHeight w:val="195"/>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through Q4 2020, and we set the Q1 2020 payout metrics to payout at 0%.</w:t>
            </w:r>
          </w:p>
        </w:tc>
      </w:tr>
      <w:tr>
        <w:trPr>
          <w:trHeight w:val="345"/>
        </w:trPr>
        <w:tc>
          <w:tcPr>
            <w:tcW w:w="3820" w:type="dxa"/>
            <w:vAlign w:val="bottom"/>
          </w:tcPr>
          <w:p>
            <w:pPr>
              <w:spacing w:after="0"/>
              <w:rPr>
                <w:sz w:val="24"/>
                <w:szCs w:val="24"/>
                <w:color w:val="auto"/>
              </w:rPr>
            </w:pPr>
          </w:p>
        </w:tc>
        <w:tc>
          <w:tcPr>
            <w:tcW w:w="7420" w:type="dxa"/>
            <w:vAlign w:val="bottom"/>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25% of our 2020 annual cash incentive plan continued to be based on individual performance</w:t>
            </w:r>
          </w:p>
        </w:tc>
      </w:tr>
      <w:tr>
        <w:trPr>
          <w:trHeight w:val="189"/>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indicators that included specific objectives regarding sustainability in our business performance,</w:t>
            </w:r>
          </w:p>
        </w:tc>
      </w:tr>
      <w:tr>
        <w:trPr>
          <w:trHeight w:val="189"/>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further reinforcing the Company’s commitment to our Foundational Beliefs while we focused on</w:t>
            </w:r>
          </w:p>
        </w:tc>
      </w:tr>
      <w:tr>
        <w:trPr>
          <w:trHeight w:val="195"/>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responding to the challenging business environment.</w:t>
            </w:r>
          </w:p>
        </w:tc>
      </w:tr>
      <w:tr>
        <w:trPr>
          <w:trHeight w:val="345"/>
        </w:trPr>
        <w:tc>
          <w:tcPr>
            <w:tcW w:w="3820" w:type="dxa"/>
            <w:vAlign w:val="bottom"/>
          </w:tcPr>
          <w:p>
            <w:pPr>
              <w:spacing w:after="0"/>
              <w:rPr>
                <w:sz w:val="24"/>
                <w:szCs w:val="24"/>
                <w:color w:val="auto"/>
              </w:rPr>
            </w:pPr>
          </w:p>
        </w:tc>
        <w:tc>
          <w:tcPr>
            <w:tcW w:w="7420" w:type="dxa"/>
            <w:vAlign w:val="bottom"/>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70% of our long-term equity incentive plan awards pay out based on Company performance,</w:t>
            </w:r>
          </w:p>
        </w:tc>
      </w:tr>
      <w:tr>
        <w:trPr>
          <w:trHeight w:val="189"/>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which is determined based on relative TSR performance measured against a peer group.</w:t>
            </w:r>
          </w:p>
        </w:tc>
      </w:tr>
      <w:tr>
        <w:trPr>
          <w:trHeight w:val="195"/>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Payout under the plan is capped at 100% if the Company’s absolute TSR is negative.</w:t>
            </w:r>
          </w:p>
        </w:tc>
      </w:tr>
      <w:tr>
        <w:trPr>
          <w:trHeight w:val="345"/>
        </w:trPr>
        <w:tc>
          <w:tcPr>
            <w:tcW w:w="3820" w:type="dxa"/>
            <w:vAlign w:val="bottom"/>
          </w:tcPr>
          <w:p>
            <w:pPr>
              <w:spacing w:after="0"/>
              <w:rPr>
                <w:sz w:val="24"/>
                <w:szCs w:val="24"/>
                <w:color w:val="auto"/>
              </w:rPr>
            </w:pPr>
          </w:p>
        </w:tc>
        <w:tc>
          <w:tcPr>
            <w:tcW w:w="7420" w:type="dxa"/>
            <w:vAlign w:val="bottom"/>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In 2021, we have introduced an ESG metric in our annual cash incentive plan (25% weighting)</w:t>
            </w:r>
          </w:p>
        </w:tc>
      </w:tr>
      <w:tr>
        <w:trPr>
          <w:trHeight w:val="189"/>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to directly link our compensation program to our ESG objectives. We will continue to include</w:t>
            </w:r>
          </w:p>
        </w:tc>
      </w:tr>
      <w:tr>
        <w:trPr>
          <w:trHeight w:val="189"/>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EBITDA as a Percentage of Revenue and Free Cash Flow from Operations as measures in the</w:t>
            </w:r>
          </w:p>
        </w:tc>
      </w:tr>
      <w:tr>
        <w:trPr>
          <w:trHeight w:val="189"/>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annual cash incentive plan, with an objective to increase our operating profitability, leverage</w:t>
            </w:r>
          </w:p>
        </w:tc>
      </w:tr>
      <w:tr>
        <w:trPr>
          <w:trHeight w:val="189"/>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cost efficiencies, maintain the financial health and liquidity of the Company, and drive</w:t>
            </w:r>
          </w:p>
        </w:tc>
      </w:tr>
      <w:tr>
        <w:trPr>
          <w:trHeight w:val="195"/>
        </w:trPr>
        <w:tc>
          <w:tcPr>
            <w:tcW w:w="3820" w:type="dxa"/>
            <w:vAlign w:val="bottom"/>
          </w:tcPr>
          <w:p>
            <w:pPr>
              <w:spacing w:after="0"/>
              <w:rPr>
                <w:sz w:val="16"/>
                <w:szCs w:val="16"/>
                <w:color w:val="auto"/>
              </w:rPr>
            </w:pPr>
          </w:p>
        </w:tc>
        <w:tc>
          <w:tcPr>
            <w:tcW w:w="7420" w:type="dxa"/>
            <w:vAlign w:val="bottom"/>
          </w:tcPr>
          <w:p>
            <w:pPr>
              <w:ind w:left="440"/>
              <w:spacing w:after="0"/>
              <w:rPr>
                <w:sz w:val="20"/>
                <w:szCs w:val="20"/>
                <w:color w:val="auto"/>
              </w:rPr>
            </w:pPr>
            <w:r>
              <w:rPr>
                <w:rFonts w:ascii="Arial" w:cs="Arial" w:eastAsia="Arial" w:hAnsi="Arial"/>
                <w:sz w:val="16"/>
                <w:szCs w:val="16"/>
                <w:color w:val="3B3C43"/>
              </w:rPr>
              <w:t>shareholder value creation.</w:t>
            </w:r>
          </w:p>
        </w:tc>
      </w:tr>
      <w:tr>
        <w:trPr>
          <w:trHeight w:val="339"/>
        </w:trPr>
        <w:tc>
          <w:tcPr>
            <w:tcW w:w="3820" w:type="dxa"/>
            <w:vAlign w:val="bottom"/>
          </w:tcPr>
          <w:p>
            <w:pPr>
              <w:ind w:left="100"/>
              <w:spacing w:after="0"/>
              <w:rPr>
                <w:sz w:val="20"/>
                <w:szCs w:val="20"/>
                <w:color w:val="auto"/>
              </w:rPr>
            </w:pPr>
            <w:r>
              <w:rPr>
                <w:rFonts w:ascii="Arial" w:cs="Arial" w:eastAsia="Arial" w:hAnsi="Arial"/>
                <w:sz w:val="16"/>
                <w:szCs w:val="16"/>
                <w:b w:val="1"/>
                <w:bCs w:val="1"/>
                <w:color w:val="3B3C43"/>
              </w:rPr>
              <w:t>Consider increasing the at-risk portion of</w:t>
            </w:r>
          </w:p>
        </w:tc>
        <w:tc>
          <w:tcPr>
            <w:tcW w:w="7420" w:type="dxa"/>
            <w:vAlign w:val="bottom"/>
          </w:tcPr>
          <w:p>
            <w:pPr>
              <w:ind w:left="120"/>
              <w:spacing w:after="0"/>
              <w:rPr>
                <w:sz w:val="20"/>
                <w:szCs w:val="20"/>
                <w:color w:val="auto"/>
              </w:rPr>
            </w:pPr>
            <w:r>
              <w:rPr>
                <w:rFonts w:ascii="Arial" w:cs="Arial" w:eastAsia="Arial" w:hAnsi="Arial"/>
                <w:sz w:val="16"/>
                <w:szCs w:val="16"/>
                <w:color w:val="3B3C43"/>
              </w:rPr>
              <w:t>For 2020, we discontinued the use of stock options, and ensured that performance-based equity</w:t>
            </w:r>
          </w:p>
        </w:tc>
      </w:tr>
      <w:tr>
        <w:trPr>
          <w:trHeight w:val="215"/>
        </w:trPr>
        <w:tc>
          <w:tcPr>
            <w:tcW w:w="3820" w:type="dxa"/>
            <w:vAlign w:val="bottom"/>
          </w:tcPr>
          <w:p>
            <w:pPr>
              <w:ind w:left="100"/>
              <w:spacing w:after="0"/>
              <w:rPr>
                <w:sz w:val="20"/>
                <w:szCs w:val="20"/>
                <w:color w:val="auto"/>
              </w:rPr>
            </w:pPr>
            <w:r>
              <w:rPr>
                <w:rFonts w:ascii="Arial" w:cs="Arial" w:eastAsia="Arial" w:hAnsi="Arial"/>
                <w:sz w:val="16"/>
                <w:szCs w:val="16"/>
                <w:b w:val="1"/>
                <w:bCs w:val="1"/>
                <w:color w:val="3B3C43"/>
              </w:rPr>
              <w:t>executive compensation</w:t>
            </w:r>
          </w:p>
        </w:tc>
        <w:tc>
          <w:tcPr>
            <w:tcW w:w="7420" w:type="dxa"/>
            <w:vAlign w:val="bottom"/>
          </w:tcPr>
          <w:p>
            <w:pPr>
              <w:ind w:left="120"/>
              <w:spacing w:after="0"/>
              <w:rPr>
                <w:sz w:val="20"/>
                <w:szCs w:val="20"/>
                <w:color w:val="auto"/>
              </w:rPr>
            </w:pPr>
            <w:r>
              <w:rPr>
                <w:rFonts w:ascii="Arial" w:cs="Arial" w:eastAsia="Arial" w:hAnsi="Arial"/>
                <w:sz w:val="16"/>
                <w:szCs w:val="16"/>
                <w:color w:val="3B3C43"/>
              </w:rPr>
              <w:t>now represents 70% of annual equity awards.</w:t>
            </w:r>
          </w:p>
        </w:tc>
      </w:tr>
    </w:tbl>
    <w:p>
      <w:pPr>
        <w:spacing w:after="0" w:line="183" w:lineRule="exact"/>
        <w:rPr>
          <w:sz w:val="20"/>
          <w:szCs w:val="20"/>
          <w:color w:val="auto"/>
        </w:rPr>
      </w:pPr>
    </w:p>
    <w:p>
      <w:pPr>
        <w:ind w:left="400" w:right="7640" w:hanging="302"/>
        <w:spacing w:after="0" w:line="250" w:lineRule="auto"/>
        <w:tabs>
          <w:tab w:leader="none" w:pos="397" w:val="left"/>
        </w:tabs>
        <w:numPr>
          <w:ilvl w:val="0"/>
          <w:numId w:val="52"/>
        </w:numPr>
        <w:rPr>
          <w:rFonts w:ascii="Arial" w:cs="Arial" w:eastAsia="Arial" w:hAnsi="Arial"/>
          <w:sz w:val="16"/>
          <w:szCs w:val="16"/>
          <w:color w:val="3B3C43"/>
        </w:rPr>
      </w:pPr>
      <w:r>
        <w:rPr>
          <w:rFonts w:ascii="Arial" w:cs="Arial" w:eastAsia="Arial" w:hAnsi="Arial"/>
          <w:sz w:val="16"/>
          <w:szCs w:val="16"/>
          <w:color w:val="3B3C43"/>
        </w:rPr>
        <w:t>Some shareholders do not consider stock options as at-risk as they believe time-based stock options do not include performance conditions despite their intrinsic performance threshold</w:t>
      </w:r>
    </w:p>
    <w:p>
      <w:pPr>
        <w:spacing w:after="0" w:line="26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41</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21088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10883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62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What We Heard</w:t>
            </w:r>
          </w:p>
        </w:tc>
        <w:tc>
          <w:tcPr>
            <w:tcW w:w="6620" w:type="dxa"/>
            <w:vAlign w:val="bottom"/>
            <w:shd w:val="clear" w:color="auto" w:fill="D21D23"/>
          </w:tcPr>
          <w:p>
            <w:pPr>
              <w:ind w:left="100"/>
              <w:spacing w:after="0"/>
              <w:rPr>
                <w:sz w:val="20"/>
                <w:szCs w:val="20"/>
                <w:color w:val="auto"/>
              </w:rPr>
            </w:pPr>
            <w:r>
              <w:rPr>
                <w:rFonts w:ascii="Arial" w:cs="Arial" w:eastAsia="Arial" w:hAnsi="Arial"/>
                <w:sz w:val="16"/>
                <w:szCs w:val="16"/>
                <w:b w:val="1"/>
                <w:bCs w:val="1"/>
                <w:color w:val="FFFFFF"/>
              </w:rPr>
              <w:t>What We Did</w:t>
            </w:r>
          </w:p>
        </w:tc>
      </w:tr>
      <w:tr>
        <w:trPr>
          <w:trHeight w:val="73"/>
        </w:trPr>
        <w:tc>
          <w:tcPr>
            <w:tcW w:w="4620" w:type="dxa"/>
            <w:vAlign w:val="bottom"/>
            <w:shd w:val="clear" w:color="auto" w:fill="4B1F68"/>
          </w:tcPr>
          <w:p>
            <w:pPr>
              <w:spacing w:after="0"/>
              <w:rPr>
                <w:sz w:val="6"/>
                <w:szCs w:val="6"/>
                <w:color w:val="auto"/>
              </w:rPr>
            </w:pPr>
          </w:p>
        </w:tc>
        <w:tc>
          <w:tcPr>
            <w:tcW w:w="6620" w:type="dxa"/>
            <w:vAlign w:val="bottom"/>
            <w:shd w:val="clear" w:color="auto" w:fill="D21D23"/>
          </w:tcPr>
          <w:p>
            <w:pPr>
              <w:spacing w:after="0"/>
              <w:rPr>
                <w:sz w:val="6"/>
                <w:szCs w:val="6"/>
                <w:color w:val="auto"/>
              </w:rPr>
            </w:pPr>
          </w:p>
        </w:tc>
      </w:tr>
      <w:tr>
        <w:trPr>
          <w:trHeight w:val="252"/>
        </w:trPr>
        <w:tc>
          <w:tcPr>
            <w:tcW w:w="4620" w:type="dxa"/>
            <w:vAlign w:val="bottom"/>
          </w:tcPr>
          <w:p>
            <w:pPr>
              <w:ind w:left="100"/>
              <w:spacing w:after="0"/>
              <w:rPr>
                <w:sz w:val="20"/>
                <w:szCs w:val="20"/>
                <w:color w:val="auto"/>
              </w:rPr>
            </w:pPr>
            <w:r>
              <w:rPr>
                <w:rFonts w:ascii="Arial" w:cs="Arial" w:eastAsia="Arial" w:hAnsi="Arial"/>
                <w:sz w:val="16"/>
                <w:szCs w:val="16"/>
                <w:b w:val="1"/>
                <w:bCs w:val="1"/>
                <w:color w:val="3B3C43"/>
              </w:rPr>
              <w:t>Improve transparency on outcomes under annual</w:t>
            </w:r>
          </w:p>
        </w:tc>
        <w:tc>
          <w:tcPr>
            <w:tcW w:w="6620" w:type="dxa"/>
            <w:vAlign w:val="bottom"/>
          </w:tcPr>
          <w:p>
            <w:pPr>
              <w:ind w:left="100"/>
              <w:spacing w:after="0"/>
              <w:rPr>
                <w:sz w:val="20"/>
                <w:szCs w:val="20"/>
                <w:color w:val="auto"/>
              </w:rPr>
            </w:pPr>
            <w:r>
              <w:rPr>
                <w:rFonts w:ascii="Arial" w:cs="Arial" w:eastAsia="Arial" w:hAnsi="Arial"/>
                <w:sz w:val="16"/>
                <w:szCs w:val="16"/>
                <w:color w:val="3B3C43"/>
              </w:rPr>
              <w:t>This Proxy Statement provides details of performance and vesting for the 2018 PSU</w:t>
            </w:r>
          </w:p>
        </w:tc>
      </w:tr>
      <w:tr>
        <w:trPr>
          <w:trHeight w:val="215"/>
        </w:trPr>
        <w:tc>
          <w:tcPr>
            <w:tcW w:w="4620" w:type="dxa"/>
            <w:vAlign w:val="bottom"/>
          </w:tcPr>
          <w:p>
            <w:pPr>
              <w:ind w:left="100"/>
              <w:spacing w:after="0"/>
              <w:rPr>
                <w:sz w:val="20"/>
                <w:szCs w:val="20"/>
                <w:color w:val="auto"/>
              </w:rPr>
            </w:pPr>
            <w:r>
              <w:rPr>
                <w:rFonts w:ascii="Arial" w:cs="Arial" w:eastAsia="Arial" w:hAnsi="Arial"/>
                <w:sz w:val="16"/>
                <w:szCs w:val="16"/>
                <w:b w:val="1"/>
                <w:bCs w:val="1"/>
                <w:color w:val="3B3C43"/>
              </w:rPr>
              <w:t>incentive plan and vesting of PSUs</w:t>
            </w:r>
          </w:p>
        </w:tc>
        <w:tc>
          <w:tcPr>
            <w:tcW w:w="6620" w:type="dxa"/>
            <w:vAlign w:val="bottom"/>
          </w:tcPr>
          <w:p>
            <w:pPr>
              <w:ind w:left="100"/>
              <w:spacing w:after="0"/>
              <w:rPr>
                <w:sz w:val="20"/>
                <w:szCs w:val="20"/>
                <w:color w:val="auto"/>
              </w:rPr>
            </w:pPr>
            <w:r>
              <w:rPr>
                <w:rFonts w:ascii="Arial" w:cs="Arial" w:eastAsia="Arial" w:hAnsi="Arial"/>
                <w:sz w:val="16"/>
                <w:szCs w:val="16"/>
                <w:color w:val="3B3C43"/>
              </w:rPr>
              <w:t>grant that vested in 2020, as well as the payout scale for the 2020 PSU grant.</w:t>
            </w:r>
          </w:p>
        </w:tc>
      </w:tr>
    </w:tbl>
    <w:p>
      <w:pPr>
        <w:spacing w:after="0" w:line="183" w:lineRule="exact"/>
        <w:rPr>
          <w:sz w:val="20"/>
          <w:szCs w:val="20"/>
          <w:color w:val="auto"/>
        </w:rPr>
      </w:pPr>
    </w:p>
    <w:p>
      <w:pPr>
        <w:ind w:left="400" w:right="7100" w:hanging="302"/>
        <w:spacing w:after="0" w:line="260" w:lineRule="auto"/>
        <w:tabs>
          <w:tab w:leader="none" w:pos="397" w:val="left"/>
        </w:tabs>
        <w:numPr>
          <w:ilvl w:val="0"/>
          <w:numId w:val="53"/>
        </w:numPr>
        <w:rPr>
          <w:rFonts w:ascii="Arial" w:cs="Arial" w:eastAsia="Arial" w:hAnsi="Arial"/>
          <w:sz w:val="16"/>
          <w:szCs w:val="16"/>
          <w:color w:val="4B1F68"/>
        </w:rPr>
      </w:pPr>
      <w:r>
        <w:rPr>
          <w:rFonts w:ascii="Arial" w:cs="Arial" w:eastAsia="Arial" w:hAnsi="Arial"/>
          <w:sz w:val="16"/>
          <w:szCs w:val="16"/>
          <w:color w:val="3B3C43"/>
        </w:rPr>
        <w:t>Some shareholders requested clarity regarding PSU payouts during periods of declining performance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ind w:left="100"/>
              <w:spacing w:after="0"/>
              <w:rPr>
                <w:sz w:val="20"/>
                <w:szCs w:val="20"/>
                <w:color w:val="auto"/>
              </w:rPr>
            </w:pPr>
            <w:r>
              <w:rPr>
                <w:rFonts w:ascii="Arial" w:cs="Arial" w:eastAsia="Arial" w:hAnsi="Arial"/>
                <w:sz w:val="16"/>
                <w:szCs w:val="16"/>
                <w:b w:val="1"/>
                <w:bCs w:val="1"/>
                <w:color w:val="3B3C43"/>
              </w:rPr>
              <w:t>Effective Board size and importance of</w:t>
            </w:r>
          </w:p>
        </w:tc>
        <w:tc>
          <w:tcPr>
            <w:tcW w:w="6860" w:type="dxa"/>
            <w:vAlign w:val="bottom"/>
          </w:tcPr>
          <w:p>
            <w:pPr>
              <w:ind w:left="340"/>
              <w:spacing w:after="0"/>
              <w:rPr>
                <w:sz w:val="20"/>
                <w:szCs w:val="20"/>
                <w:color w:val="auto"/>
              </w:rPr>
            </w:pPr>
            <w:r>
              <w:rPr>
                <w:rFonts w:ascii="Arial" w:cs="Arial" w:eastAsia="Arial" w:hAnsi="Arial"/>
                <w:sz w:val="16"/>
                <w:szCs w:val="16"/>
                <w:color w:val="3B3C43"/>
              </w:rPr>
              <w:t>Upon the completion of our Spin-off, we reduced the size of our Board from 15 to 10</w:t>
            </w:r>
          </w:p>
        </w:tc>
      </w:tr>
      <w:tr>
        <w:trPr>
          <w:trHeight w:val="209"/>
        </w:trPr>
        <w:tc>
          <w:tcPr>
            <w:tcW w:w="4380" w:type="dxa"/>
            <w:vAlign w:val="bottom"/>
          </w:tcPr>
          <w:p>
            <w:pPr>
              <w:ind w:left="100"/>
              <w:spacing w:after="0"/>
              <w:rPr>
                <w:sz w:val="20"/>
                <w:szCs w:val="20"/>
                <w:color w:val="auto"/>
              </w:rPr>
            </w:pPr>
            <w:r>
              <w:rPr>
                <w:rFonts w:ascii="Arial" w:cs="Arial" w:eastAsia="Arial" w:hAnsi="Arial"/>
                <w:sz w:val="16"/>
                <w:szCs w:val="16"/>
                <w:b w:val="1"/>
                <w:bCs w:val="1"/>
                <w:color w:val="3B3C43"/>
              </w:rPr>
              <w:t>balanced Board leadership</w:t>
            </w:r>
          </w:p>
        </w:tc>
        <w:tc>
          <w:tcPr>
            <w:tcW w:w="6860" w:type="dxa"/>
            <w:vAlign w:val="bottom"/>
          </w:tcPr>
          <w:p>
            <w:pPr>
              <w:ind w:left="340"/>
              <w:spacing w:after="0"/>
              <w:rPr>
                <w:sz w:val="20"/>
                <w:szCs w:val="20"/>
                <w:color w:val="auto"/>
              </w:rPr>
            </w:pPr>
            <w:r>
              <w:rPr>
                <w:rFonts w:ascii="Arial" w:cs="Arial" w:eastAsia="Arial" w:hAnsi="Arial"/>
                <w:sz w:val="16"/>
                <w:szCs w:val="16"/>
                <w:color w:val="3B3C43"/>
              </w:rPr>
              <w:t>directors, which will be further reduced to nine directors at our Annual Meeting. We</w:t>
            </w:r>
          </w:p>
        </w:tc>
      </w:tr>
      <w:tr>
        <w:trPr>
          <w:trHeight w:val="189"/>
        </w:trPr>
        <w:tc>
          <w:tcPr>
            <w:tcW w:w="4380" w:type="dxa"/>
            <w:vAlign w:val="bottom"/>
          </w:tcPr>
          <w:p>
            <w:pPr>
              <w:spacing w:after="0"/>
              <w:rPr>
                <w:sz w:val="16"/>
                <w:szCs w:val="16"/>
                <w:color w:val="auto"/>
              </w:rPr>
            </w:pPr>
          </w:p>
        </w:tc>
        <w:tc>
          <w:tcPr>
            <w:tcW w:w="6860" w:type="dxa"/>
            <w:vAlign w:val="bottom"/>
          </w:tcPr>
          <w:p>
            <w:pPr>
              <w:ind w:left="340"/>
              <w:spacing w:after="0"/>
              <w:rPr>
                <w:sz w:val="20"/>
                <w:szCs w:val="20"/>
                <w:color w:val="auto"/>
              </w:rPr>
            </w:pPr>
            <w:r>
              <w:rPr>
                <w:rFonts w:ascii="Arial" w:cs="Arial" w:eastAsia="Arial" w:hAnsi="Arial"/>
                <w:sz w:val="16"/>
                <w:szCs w:val="16"/>
                <w:color w:val="3B3C43"/>
              </w:rPr>
              <w:t>continue to balance our Board leadership between our Executive Chairman and</w:t>
            </w:r>
          </w:p>
        </w:tc>
      </w:tr>
      <w:tr>
        <w:trPr>
          <w:trHeight w:val="195"/>
        </w:trPr>
        <w:tc>
          <w:tcPr>
            <w:tcW w:w="4380" w:type="dxa"/>
            <w:vAlign w:val="bottom"/>
          </w:tcPr>
          <w:p>
            <w:pPr>
              <w:spacing w:after="0"/>
              <w:rPr>
                <w:sz w:val="16"/>
                <w:szCs w:val="16"/>
                <w:color w:val="auto"/>
              </w:rPr>
            </w:pPr>
          </w:p>
        </w:tc>
        <w:tc>
          <w:tcPr>
            <w:tcW w:w="6860" w:type="dxa"/>
            <w:vAlign w:val="bottom"/>
          </w:tcPr>
          <w:p>
            <w:pPr>
              <w:ind w:left="340"/>
              <w:spacing w:after="0"/>
              <w:rPr>
                <w:sz w:val="20"/>
                <w:szCs w:val="20"/>
                <w:color w:val="auto"/>
              </w:rPr>
            </w:pPr>
            <w:r>
              <w:rPr>
                <w:rFonts w:ascii="Arial" w:cs="Arial" w:eastAsia="Arial" w:hAnsi="Arial"/>
                <w:sz w:val="16"/>
                <w:szCs w:val="16"/>
                <w:color w:val="3B3C43"/>
              </w:rPr>
              <w:t>Independent Lead Director.</w:t>
            </w:r>
          </w:p>
        </w:tc>
      </w:tr>
      <w:tr>
        <w:trPr>
          <w:trHeight w:val="339"/>
        </w:trPr>
        <w:tc>
          <w:tcPr>
            <w:tcW w:w="4380" w:type="dxa"/>
            <w:vAlign w:val="bottom"/>
          </w:tcPr>
          <w:p>
            <w:pPr>
              <w:ind w:left="100"/>
              <w:spacing w:after="0"/>
              <w:rPr>
                <w:sz w:val="20"/>
                <w:szCs w:val="20"/>
                <w:color w:val="auto"/>
              </w:rPr>
            </w:pPr>
            <w:r>
              <w:rPr>
                <w:rFonts w:ascii="Arial" w:cs="Arial" w:eastAsia="Arial" w:hAnsi="Arial"/>
                <w:sz w:val="16"/>
                <w:szCs w:val="16"/>
                <w:b w:val="1"/>
                <w:bCs w:val="1"/>
                <w:color w:val="3B3C43"/>
              </w:rPr>
              <w:t>Disclosing shareholder feedback from shareholder</w:t>
            </w:r>
          </w:p>
        </w:tc>
        <w:tc>
          <w:tcPr>
            <w:tcW w:w="6860" w:type="dxa"/>
            <w:vAlign w:val="bottom"/>
          </w:tcPr>
          <w:p>
            <w:pPr>
              <w:ind w:left="340"/>
              <w:spacing w:after="0"/>
              <w:rPr>
                <w:sz w:val="20"/>
                <w:szCs w:val="20"/>
                <w:color w:val="auto"/>
              </w:rPr>
            </w:pPr>
            <w:r>
              <w:rPr>
                <w:rFonts w:ascii="Arial" w:cs="Arial" w:eastAsia="Arial" w:hAnsi="Arial"/>
                <w:sz w:val="16"/>
                <w:szCs w:val="16"/>
                <w:color w:val="3B3C43"/>
              </w:rPr>
              <w:t>We continued our practice of providing transparent and comprehensive disclosure of our</w:t>
            </w:r>
          </w:p>
        </w:tc>
      </w:tr>
      <w:tr>
        <w:trPr>
          <w:trHeight w:val="209"/>
        </w:trPr>
        <w:tc>
          <w:tcPr>
            <w:tcW w:w="4380" w:type="dxa"/>
            <w:vAlign w:val="bottom"/>
          </w:tcPr>
          <w:p>
            <w:pPr>
              <w:ind w:left="100"/>
              <w:spacing w:after="0"/>
              <w:rPr>
                <w:sz w:val="20"/>
                <w:szCs w:val="20"/>
                <w:color w:val="auto"/>
              </w:rPr>
            </w:pPr>
            <w:r>
              <w:rPr>
                <w:rFonts w:ascii="Arial" w:cs="Arial" w:eastAsia="Arial" w:hAnsi="Arial"/>
                <w:sz w:val="16"/>
                <w:szCs w:val="16"/>
                <w:b w:val="1"/>
                <w:bCs w:val="1"/>
                <w:color w:val="3B3C43"/>
              </w:rPr>
              <w:t>engagement program and Company response</w:t>
            </w:r>
          </w:p>
        </w:tc>
        <w:tc>
          <w:tcPr>
            <w:tcW w:w="6860" w:type="dxa"/>
            <w:vAlign w:val="bottom"/>
          </w:tcPr>
          <w:p>
            <w:pPr>
              <w:ind w:left="340"/>
              <w:spacing w:after="0"/>
              <w:rPr>
                <w:sz w:val="20"/>
                <w:szCs w:val="20"/>
                <w:color w:val="auto"/>
              </w:rPr>
            </w:pPr>
            <w:r>
              <w:rPr>
                <w:rFonts w:ascii="Arial" w:cs="Arial" w:eastAsia="Arial" w:hAnsi="Arial"/>
                <w:sz w:val="16"/>
                <w:szCs w:val="16"/>
                <w:color w:val="3B3C43"/>
              </w:rPr>
              <w:t>shareholder engagement program, including this list of feedback received, and our</w:t>
            </w:r>
          </w:p>
        </w:tc>
      </w:tr>
      <w:tr>
        <w:trPr>
          <w:trHeight w:val="195"/>
        </w:trPr>
        <w:tc>
          <w:tcPr>
            <w:tcW w:w="4380" w:type="dxa"/>
            <w:vAlign w:val="bottom"/>
          </w:tcPr>
          <w:p>
            <w:pPr>
              <w:spacing w:after="0"/>
              <w:rPr>
                <w:sz w:val="16"/>
                <w:szCs w:val="16"/>
                <w:color w:val="auto"/>
              </w:rPr>
            </w:pPr>
          </w:p>
        </w:tc>
        <w:tc>
          <w:tcPr>
            <w:tcW w:w="6860" w:type="dxa"/>
            <w:vAlign w:val="bottom"/>
          </w:tcPr>
          <w:p>
            <w:pPr>
              <w:ind w:left="340"/>
              <w:spacing w:after="0"/>
              <w:rPr>
                <w:sz w:val="20"/>
                <w:szCs w:val="20"/>
                <w:color w:val="auto"/>
              </w:rPr>
            </w:pPr>
            <w:r>
              <w:rPr>
                <w:rFonts w:ascii="Arial" w:cs="Arial" w:eastAsia="Arial" w:hAnsi="Arial"/>
                <w:sz w:val="16"/>
                <w:szCs w:val="16"/>
                <w:color w:val="3B3C43"/>
              </w:rPr>
              <w:t>response to shareholder concerns.</w:t>
            </w:r>
          </w:p>
        </w:tc>
      </w:tr>
      <w:tr>
        <w:trPr>
          <w:trHeight w:val="439"/>
        </w:trPr>
        <w:tc>
          <w:tcPr>
            <w:tcW w:w="4380" w:type="dxa"/>
            <w:vAlign w:val="bottom"/>
          </w:tcPr>
          <w:p>
            <w:pPr>
              <w:spacing w:after="0"/>
              <w:rPr>
                <w:sz w:val="20"/>
                <w:szCs w:val="20"/>
                <w:color w:val="auto"/>
              </w:rPr>
            </w:pPr>
            <w:r>
              <w:rPr>
                <w:rFonts w:ascii="Arial" w:cs="Arial" w:eastAsia="Arial" w:hAnsi="Arial"/>
                <w:sz w:val="14"/>
                <w:szCs w:val="14"/>
                <w:color w:val="auto"/>
              </w:rPr>
              <w:t>42  TechnipFMC</w:t>
            </w:r>
          </w:p>
        </w:tc>
        <w:tc>
          <w:tcPr>
            <w:tcW w:w="6860" w:type="dxa"/>
            <w:vAlign w:val="bottom"/>
          </w:tcPr>
          <w:p>
            <w:pPr>
              <w:spacing w:after="0"/>
              <w:rPr>
                <w:sz w:val="24"/>
                <w:szCs w:val="24"/>
                <w:color w:val="auto"/>
              </w:rPr>
            </w:pPr>
          </w:p>
        </w:tc>
      </w:tr>
      <w:tr>
        <w:trPr>
          <w:trHeight w:val="606"/>
        </w:trPr>
        <w:tc>
          <w:tcPr>
            <w:tcW w:w="43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15"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Leadership Structure of the Board</w:t>
      </w:r>
    </w:p>
    <w:p>
      <w:pPr>
        <w:spacing w:after="0" w:line="2"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3B3C43"/>
        </w:rPr>
        <w:t>The Board believes that our shareholders are best served by a Board that has the flexibility to adjust our leadership structure to the evolving needs of the Company. In 2019, with the completion of the post-merger integration, the Board determined that combining the roles of Chairman and CEO, paired with a strong Lead Independent Director, would be in the best interests of our shareholders. Pascal Colombani served as our Lead Independent Director until the closing of our Spin-off, at which time Claire S. Farley was appointed as the Board’s Lead Independent Director.</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3B3C43"/>
        </w:rPr>
        <w:t>Each of the Chairman’s and Independent Lead Director’s specific responsibilities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1705610" cy="2228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05610" cy="2228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Executive and 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3887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246"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4B1F68"/>
        </w:rPr>
        <w:t>Douglas J. Pferdehirt</w:t>
      </w:r>
    </w:p>
    <w:p>
      <w:pPr>
        <w:spacing w:after="0" w:line="50"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4B1F68"/>
        </w:rPr>
        <w:t>Chairman of the Board and CEO</w:t>
      </w:r>
    </w:p>
    <w:p>
      <w:pPr>
        <w:spacing w:after="0" w:line="316" w:lineRule="exact"/>
        <w:rPr>
          <w:sz w:val="20"/>
          <w:szCs w:val="20"/>
          <w:color w:val="auto"/>
        </w:rPr>
      </w:pPr>
    </w:p>
    <w:tbl>
      <w:tblPr>
        <w:tblLayout w:type="fixed"/>
        <w:tblInd w:w="2300" w:type="dxa"/>
        <w:tblCellMar>
          <w:top w:w="0" w:type="dxa"/>
          <w:left w:w="0" w:type="dxa"/>
          <w:bottom w:w="0" w:type="dxa"/>
          <w:right w:w="0" w:type="dxa"/>
        </w:tblCellMar>
      </w:tblPr>
      <w:tr>
        <w:trPr>
          <w:trHeight w:val="215"/>
        </w:trPr>
        <w:tc>
          <w:tcPr>
            <w:tcW w:w="4340" w:type="dxa"/>
            <w:vAlign w:val="bottom"/>
            <w:gridSpan w:val="2"/>
          </w:tcPr>
          <w:p>
            <w:pPr>
              <w:spacing w:after="0"/>
              <w:rPr>
                <w:sz w:val="20"/>
                <w:szCs w:val="20"/>
                <w:color w:val="auto"/>
              </w:rPr>
            </w:pPr>
            <w:r>
              <w:rPr>
                <w:rFonts w:ascii="Arial" w:cs="Arial" w:eastAsia="Arial" w:hAnsi="Arial"/>
                <w:sz w:val="16"/>
                <w:szCs w:val="16"/>
                <w:b w:val="1"/>
                <w:bCs w:val="1"/>
                <w:color w:val="auto"/>
              </w:rPr>
              <w:t>Key Responsibilities</w:t>
            </w:r>
          </w:p>
        </w:tc>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43"/>
        </w:trPr>
        <w:tc>
          <w:tcPr>
            <w:tcW w:w="240" w:type="dxa"/>
            <w:vAlign w:val="bottom"/>
          </w:tcPr>
          <w:p>
            <w:pPr>
              <w:spacing w:after="0"/>
              <w:rPr>
                <w:sz w:val="20"/>
                <w:szCs w:val="20"/>
                <w:color w:val="auto"/>
              </w:rPr>
            </w:pPr>
            <w:r>
              <w:rPr>
                <w:rFonts w:ascii="Arial" w:cs="Arial" w:eastAsia="Arial" w:hAnsi="Arial"/>
                <w:sz w:val="16"/>
                <w:szCs w:val="16"/>
                <w:color w:val="4B1F68"/>
              </w:rPr>
              <w:t>►</w:t>
            </w:r>
          </w:p>
        </w:tc>
        <w:tc>
          <w:tcPr>
            <w:tcW w:w="4100" w:type="dxa"/>
            <w:vAlign w:val="bottom"/>
          </w:tcPr>
          <w:p>
            <w:pPr>
              <w:ind w:left="100"/>
              <w:spacing w:after="0"/>
              <w:rPr>
                <w:sz w:val="20"/>
                <w:szCs w:val="20"/>
                <w:color w:val="auto"/>
              </w:rPr>
            </w:pPr>
            <w:r>
              <w:rPr>
                <w:rFonts w:ascii="Arial" w:cs="Arial" w:eastAsia="Arial" w:hAnsi="Arial"/>
                <w:sz w:val="16"/>
                <w:szCs w:val="16"/>
                <w:color w:val="3B3C43"/>
              </w:rPr>
              <w:t>All strategic and operational aspects of the Company</w:t>
            </w:r>
          </w:p>
        </w:tc>
        <w:tc>
          <w:tcPr>
            <w:tcW w:w="3780" w:type="dxa"/>
            <w:vAlign w:val="bottom"/>
            <w:gridSpan w:val="2"/>
          </w:tcPr>
          <w:p>
            <w:pPr>
              <w:ind w:left="14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Managing all executives of the Company</w:t>
            </w:r>
          </w:p>
        </w:tc>
      </w:tr>
      <w:tr>
        <w:trPr>
          <w:trHeight w:val="237"/>
        </w:trPr>
        <w:tc>
          <w:tcPr>
            <w:tcW w:w="240" w:type="dxa"/>
            <w:vAlign w:val="bottom"/>
          </w:tcPr>
          <w:p>
            <w:pPr>
              <w:spacing w:after="0"/>
              <w:rPr>
                <w:sz w:val="20"/>
                <w:szCs w:val="20"/>
                <w:color w:val="auto"/>
              </w:rPr>
            </w:pPr>
            <w:r>
              <w:rPr>
                <w:rFonts w:ascii="Arial" w:cs="Arial" w:eastAsia="Arial" w:hAnsi="Arial"/>
                <w:sz w:val="16"/>
                <w:szCs w:val="16"/>
                <w:color w:val="4B1F68"/>
              </w:rPr>
              <w:t>►</w:t>
            </w:r>
          </w:p>
        </w:tc>
        <w:tc>
          <w:tcPr>
            <w:tcW w:w="4100" w:type="dxa"/>
            <w:vAlign w:val="bottom"/>
          </w:tcPr>
          <w:p>
            <w:pPr>
              <w:ind w:left="100"/>
              <w:spacing w:after="0"/>
              <w:rPr>
                <w:sz w:val="20"/>
                <w:szCs w:val="20"/>
                <w:color w:val="auto"/>
              </w:rPr>
            </w:pPr>
            <w:r>
              <w:rPr>
                <w:rFonts w:ascii="Arial" w:cs="Arial" w:eastAsia="Arial" w:hAnsi="Arial"/>
                <w:sz w:val="16"/>
                <w:szCs w:val="16"/>
                <w:color w:val="3B3C43"/>
              </w:rPr>
              <w:t>Serving as the principal external spokesperson for the</w:t>
            </w:r>
          </w:p>
        </w:tc>
        <w:tc>
          <w:tcPr>
            <w:tcW w:w="380" w:type="dxa"/>
            <w:vAlign w:val="bottom"/>
          </w:tcPr>
          <w:p>
            <w:pPr>
              <w:ind w:left="140"/>
              <w:spacing w:after="0"/>
              <w:rPr>
                <w:sz w:val="20"/>
                <w:szCs w:val="20"/>
                <w:color w:val="auto"/>
              </w:rPr>
            </w:pPr>
            <w:r>
              <w:rPr>
                <w:rFonts w:ascii="Arial" w:cs="Arial" w:eastAsia="Arial" w:hAnsi="Arial"/>
                <w:sz w:val="16"/>
                <w:szCs w:val="16"/>
                <w:color w:val="4B1F68"/>
              </w:rPr>
              <w:t>►</w:t>
            </w:r>
          </w:p>
        </w:tc>
        <w:tc>
          <w:tcPr>
            <w:tcW w:w="3400" w:type="dxa"/>
            <w:vAlign w:val="bottom"/>
          </w:tcPr>
          <w:p>
            <w:pPr>
              <w:ind w:left="100"/>
              <w:spacing w:after="0"/>
              <w:rPr>
                <w:sz w:val="20"/>
                <w:szCs w:val="20"/>
                <w:color w:val="auto"/>
              </w:rPr>
            </w:pPr>
            <w:r>
              <w:rPr>
                <w:rFonts w:ascii="Arial" w:cs="Arial" w:eastAsia="Arial" w:hAnsi="Arial"/>
                <w:sz w:val="16"/>
                <w:szCs w:val="16"/>
                <w:color w:val="3B3C43"/>
              </w:rPr>
              <w:t>Leading the Board</w:t>
            </w:r>
          </w:p>
        </w:tc>
      </w:tr>
      <w:tr>
        <w:trPr>
          <w:trHeight w:val="195"/>
        </w:trPr>
        <w:tc>
          <w:tcPr>
            <w:tcW w:w="240" w:type="dxa"/>
            <w:vAlign w:val="bottom"/>
          </w:tcPr>
          <w:p>
            <w:pPr>
              <w:spacing w:after="0"/>
              <w:rPr>
                <w:sz w:val="16"/>
                <w:szCs w:val="16"/>
                <w:color w:val="auto"/>
              </w:rPr>
            </w:pPr>
          </w:p>
        </w:tc>
        <w:tc>
          <w:tcPr>
            <w:tcW w:w="4100" w:type="dxa"/>
            <w:vAlign w:val="bottom"/>
          </w:tcPr>
          <w:p>
            <w:pPr>
              <w:ind w:left="80"/>
              <w:spacing w:after="0"/>
              <w:rPr>
                <w:sz w:val="20"/>
                <w:szCs w:val="20"/>
                <w:color w:val="auto"/>
              </w:rPr>
            </w:pPr>
            <w:r>
              <w:rPr>
                <w:rFonts w:ascii="Arial" w:cs="Arial" w:eastAsia="Arial" w:hAnsi="Arial"/>
                <w:sz w:val="16"/>
                <w:szCs w:val="16"/>
                <w:color w:val="3B3C43"/>
              </w:rPr>
              <w:t>Company with analysts, investors, media, and clients</w:t>
            </w:r>
          </w:p>
        </w:tc>
        <w:tc>
          <w:tcPr>
            <w:tcW w:w="380" w:type="dxa"/>
            <w:vAlign w:val="bottom"/>
          </w:tcPr>
          <w:p>
            <w:pPr>
              <w:ind w:left="140"/>
              <w:spacing w:after="0"/>
              <w:rPr>
                <w:sz w:val="20"/>
                <w:szCs w:val="20"/>
                <w:color w:val="auto"/>
              </w:rPr>
            </w:pPr>
            <w:r>
              <w:rPr>
                <w:rFonts w:ascii="Arial" w:cs="Arial" w:eastAsia="Arial" w:hAnsi="Arial"/>
                <w:sz w:val="16"/>
                <w:szCs w:val="16"/>
                <w:color w:val="4B1F68"/>
              </w:rPr>
              <w:t>►</w:t>
            </w:r>
          </w:p>
        </w:tc>
        <w:tc>
          <w:tcPr>
            <w:tcW w:w="3400" w:type="dxa"/>
            <w:vAlign w:val="bottom"/>
          </w:tcPr>
          <w:p>
            <w:pPr>
              <w:ind w:left="100"/>
              <w:spacing w:after="0"/>
              <w:rPr>
                <w:sz w:val="20"/>
                <w:szCs w:val="20"/>
                <w:color w:val="auto"/>
              </w:rPr>
            </w:pPr>
            <w:r>
              <w:rPr>
                <w:rFonts w:ascii="Arial" w:cs="Arial" w:eastAsia="Arial" w:hAnsi="Arial"/>
                <w:sz w:val="16"/>
                <w:szCs w:val="16"/>
                <w:color w:val="3B3C43"/>
              </w:rPr>
              <w:t>High-level government and client engagement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1251585" cy="2228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51585" cy="222885"/>
                    </a:xfrm>
                    <a:prstGeom prst="rect">
                      <a:avLst/>
                    </a:prstGeom>
                    <a:noFill/>
                  </pic:spPr>
                </pic:pic>
              </a:graphicData>
            </a:graphic>
          </wp:anchor>
        </w:drawing>
      </w:r>
    </w:p>
    <w:p>
      <w:pPr>
        <w:sectPr>
          <w:pgSz w:w="11900" w:h="16838" w:orient="portrait"/>
          <w:cols w:equalWidth="0" w:num="1">
            <w:col w:w="11140"/>
          </w:cols>
          <w:pgMar w:left="320" w:top="31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Independent Leadership</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4B1F68"/>
        </w:rPr>
        <w:t>Claire S.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60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60195"/>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6"/>
          <w:szCs w:val="16"/>
          <w:b w:val="1"/>
          <w:bCs w:val="1"/>
          <w:color w:val="4B1F68"/>
        </w:rPr>
        <w:t>Lead Independent Director</w:t>
      </w:r>
    </w:p>
    <w:p>
      <w:pPr>
        <w:spacing w:after="0" w:line="188"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3B3C43"/>
        </w:rPr>
        <w:t>Key Responsibilities</w:t>
      </w:r>
    </w:p>
    <w:p>
      <w:pPr>
        <w:spacing w:after="0" w:line="39" w:lineRule="exact"/>
        <w:rPr>
          <w:sz w:val="20"/>
          <w:szCs w:val="20"/>
          <w:color w:val="auto"/>
        </w:rPr>
      </w:pPr>
    </w:p>
    <w:p>
      <w:pPr>
        <w:ind w:left="2500" w:hanging="197"/>
        <w:spacing w:after="0"/>
        <w:tabs>
          <w:tab w:leader="none" w:pos="2500" w:val="left"/>
        </w:tabs>
        <w:numPr>
          <w:ilvl w:val="0"/>
          <w:numId w:val="54"/>
        </w:numPr>
        <w:rPr>
          <w:rFonts w:ascii="Arial" w:cs="Arial" w:eastAsia="Arial" w:hAnsi="Arial"/>
          <w:sz w:val="16"/>
          <w:szCs w:val="16"/>
          <w:color w:val="4B1F68"/>
        </w:rPr>
      </w:pPr>
      <w:r>
        <w:rPr>
          <w:rFonts w:ascii="Arial" w:cs="Arial" w:eastAsia="Arial" w:hAnsi="Arial"/>
          <w:sz w:val="16"/>
          <w:szCs w:val="16"/>
          <w:color w:val="3B3C43"/>
        </w:rPr>
        <w:t>Approving Board meeting schedules and agendas</w:t>
      </w:r>
    </w:p>
    <w:p>
      <w:pPr>
        <w:spacing w:after="0" w:line="207" w:lineRule="exact"/>
        <w:rPr>
          <w:rFonts w:ascii="Arial" w:cs="Arial" w:eastAsia="Arial" w:hAnsi="Arial"/>
          <w:sz w:val="16"/>
          <w:szCs w:val="16"/>
          <w:color w:val="4B1F68"/>
        </w:rPr>
      </w:pPr>
    </w:p>
    <w:p>
      <w:pPr>
        <w:ind w:left="2520" w:right="40" w:hanging="217"/>
        <w:spacing w:after="0" w:line="260" w:lineRule="auto"/>
        <w:tabs>
          <w:tab w:leader="none" w:pos="2509" w:val="left"/>
        </w:tabs>
        <w:numPr>
          <w:ilvl w:val="0"/>
          <w:numId w:val="54"/>
        </w:numPr>
        <w:rPr>
          <w:rFonts w:ascii="Arial" w:cs="Arial" w:eastAsia="Arial" w:hAnsi="Arial"/>
          <w:sz w:val="16"/>
          <w:szCs w:val="16"/>
          <w:color w:val="4B1F68"/>
        </w:rPr>
      </w:pPr>
      <w:r>
        <w:rPr>
          <w:rFonts w:ascii="Arial" w:cs="Arial" w:eastAsia="Arial" w:hAnsi="Arial"/>
          <w:sz w:val="16"/>
          <w:szCs w:val="16"/>
          <w:color w:val="3B3C43"/>
        </w:rPr>
        <w:t>Presiding over all meetings of the Board at which the Chairman and CEO is not present</w:t>
      </w:r>
    </w:p>
    <w:p>
      <w:pPr>
        <w:spacing w:after="0" w:line="73" w:lineRule="exact"/>
        <w:rPr>
          <w:rFonts w:ascii="Arial" w:cs="Arial" w:eastAsia="Arial" w:hAnsi="Arial"/>
          <w:sz w:val="16"/>
          <w:szCs w:val="16"/>
          <w:color w:val="4B1F68"/>
        </w:rPr>
      </w:pPr>
    </w:p>
    <w:p>
      <w:pPr>
        <w:ind w:left="2500" w:hanging="197"/>
        <w:spacing w:after="0"/>
        <w:tabs>
          <w:tab w:leader="none" w:pos="2500" w:val="left"/>
        </w:tabs>
        <w:numPr>
          <w:ilvl w:val="0"/>
          <w:numId w:val="54"/>
        </w:numPr>
        <w:rPr>
          <w:rFonts w:ascii="Arial" w:cs="Arial" w:eastAsia="Arial" w:hAnsi="Arial"/>
          <w:sz w:val="16"/>
          <w:szCs w:val="16"/>
          <w:color w:val="4B1F68"/>
        </w:rPr>
      </w:pPr>
      <w:r>
        <w:rPr>
          <w:rFonts w:ascii="Arial" w:cs="Arial" w:eastAsia="Arial" w:hAnsi="Arial"/>
          <w:sz w:val="16"/>
          <w:szCs w:val="16"/>
          <w:color w:val="3B3C43"/>
        </w:rPr>
        <w:t>Calling meetings of the Board, as necessary</w:t>
      </w:r>
    </w:p>
    <w:p>
      <w:pPr>
        <w:spacing w:after="0" w:line="99" w:lineRule="exact"/>
        <w:rPr>
          <w:rFonts w:ascii="Arial" w:cs="Arial" w:eastAsia="Arial" w:hAnsi="Arial"/>
          <w:sz w:val="16"/>
          <w:szCs w:val="16"/>
          <w:color w:val="4B1F68"/>
        </w:rPr>
      </w:pPr>
    </w:p>
    <w:p>
      <w:pPr>
        <w:ind w:left="2520" w:hanging="217"/>
        <w:spacing w:after="0" w:line="260" w:lineRule="auto"/>
        <w:tabs>
          <w:tab w:leader="none" w:pos="2509" w:val="left"/>
        </w:tabs>
        <w:numPr>
          <w:ilvl w:val="0"/>
          <w:numId w:val="54"/>
        </w:numPr>
        <w:rPr>
          <w:rFonts w:ascii="Arial" w:cs="Arial" w:eastAsia="Arial" w:hAnsi="Arial"/>
          <w:sz w:val="16"/>
          <w:szCs w:val="16"/>
          <w:color w:val="4B1F68"/>
        </w:rPr>
      </w:pPr>
      <w:r>
        <w:rPr>
          <w:rFonts w:ascii="Arial" w:cs="Arial" w:eastAsia="Arial" w:hAnsi="Arial"/>
          <w:sz w:val="16"/>
          <w:szCs w:val="16"/>
          <w:color w:val="3B3C43"/>
        </w:rPr>
        <w:t>Presiding over executive sessions of the independent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9" w:right="60" w:hanging="329"/>
        <w:spacing w:after="0" w:line="255" w:lineRule="auto"/>
        <w:tabs>
          <w:tab w:leader="none" w:pos="345" w:val="left"/>
        </w:tabs>
        <w:numPr>
          <w:ilvl w:val="0"/>
          <w:numId w:val="55"/>
        </w:numPr>
        <w:rPr>
          <w:rFonts w:ascii="Arial" w:cs="Arial" w:eastAsia="Arial" w:hAnsi="Arial"/>
          <w:sz w:val="16"/>
          <w:szCs w:val="16"/>
          <w:color w:val="4B1F68"/>
        </w:rPr>
      </w:pPr>
      <w:r>
        <w:rPr>
          <w:rFonts w:ascii="Arial" w:cs="Arial" w:eastAsia="Arial" w:hAnsi="Arial"/>
          <w:sz w:val="16"/>
          <w:szCs w:val="16"/>
          <w:color w:val="3B3C43"/>
        </w:rPr>
        <w:t>Acting as the liaison between the independent directors and the Chairman and CEO</w:t>
      </w:r>
    </w:p>
    <w:p>
      <w:pPr>
        <w:ind w:left="329" w:right="220" w:hanging="329"/>
        <w:spacing w:after="0" w:line="260" w:lineRule="auto"/>
        <w:tabs>
          <w:tab w:leader="none" w:pos="345" w:val="left"/>
        </w:tabs>
        <w:numPr>
          <w:ilvl w:val="0"/>
          <w:numId w:val="55"/>
        </w:numPr>
        <w:rPr>
          <w:rFonts w:ascii="Arial" w:cs="Arial" w:eastAsia="Arial" w:hAnsi="Arial"/>
          <w:sz w:val="16"/>
          <w:szCs w:val="16"/>
          <w:color w:val="4B1F68"/>
        </w:rPr>
      </w:pPr>
      <w:r>
        <w:rPr>
          <w:rFonts w:ascii="Arial" w:cs="Arial" w:eastAsia="Arial" w:hAnsi="Arial"/>
          <w:sz w:val="16"/>
          <w:szCs w:val="16"/>
          <w:color w:val="3B3C43"/>
        </w:rPr>
        <w:t>Monitoring and reporting to the Board any conflicts of interests of directors</w:t>
      </w:r>
    </w:p>
    <w:p>
      <w:pPr>
        <w:spacing w:after="0" w:line="73" w:lineRule="exact"/>
        <w:rPr>
          <w:rFonts w:ascii="Arial" w:cs="Arial" w:eastAsia="Arial" w:hAnsi="Arial"/>
          <w:sz w:val="16"/>
          <w:szCs w:val="16"/>
          <w:color w:val="4B1F68"/>
        </w:rPr>
      </w:pPr>
    </w:p>
    <w:p>
      <w:pPr>
        <w:ind w:left="329" w:hanging="329"/>
        <w:spacing w:after="0" w:line="260" w:lineRule="auto"/>
        <w:tabs>
          <w:tab w:leader="none" w:pos="345" w:val="left"/>
        </w:tabs>
        <w:numPr>
          <w:ilvl w:val="0"/>
          <w:numId w:val="55"/>
        </w:numPr>
        <w:rPr>
          <w:rFonts w:ascii="Arial" w:cs="Arial" w:eastAsia="Arial" w:hAnsi="Arial"/>
          <w:sz w:val="16"/>
          <w:szCs w:val="16"/>
          <w:color w:val="4B1F68"/>
        </w:rPr>
      </w:pPr>
      <w:r>
        <w:rPr>
          <w:rFonts w:ascii="Arial" w:cs="Arial" w:eastAsia="Arial" w:hAnsi="Arial"/>
          <w:sz w:val="16"/>
          <w:szCs w:val="16"/>
          <w:color w:val="3B3C43"/>
        </w:rPr>
        <w:t>Participating in the Company’s shareholder engagement program, when required</w:t>
      </w:r>
    </w:p>
    <w:p>
      <w:pPr>
        <w:spacing w:after="0" w:line="483" w:lineRule="exact"/>
        <w:rPr>
          <w:sz w:val="20"/>
          <w:szCs w:val="20"/>
          <w:color w:val="auto"/>
        </w:rPr>
      </w:pPr>
    </w:p>
    <w:p>
      <w:pPr>
        <w:sectPr>
          <w:pgSz w:w="11900" w:h="16838" w:orient="portrait"/>
          <w:cols w:equalWidth="0" w:num="2">
            <w:col w:w="6340" w:space="431"/>
            <w:col w:w="4369"/>
          </w:cols>
          <w:pgMar w:left="320" w:top="315" w:right="439" w:bottom="1440" w:gutter="0" w:footer="0" w:header="0"/>
          <w:type w:val="continuous"/>
        </w:sectPr>
      </w:pPr>
    </w:p>
    <w:p>
      <w:pPr>
        <w:spacing w:after="0" w:line="93"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43</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315" w:right="4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 xml:space="preserve">Our Board believes that a </w:t>
      </w:r>
      <w:r>
        <w:rPr>
          <w:rFonts w:ascii="Arial" w:cs="Arial" w:eastAsia="Arial" w:hAnsi="Arial"/>
          <w:sz w:val="16"/>
          <w:szCs w:val="16"/>
          <w:color w:val="3B3C43"/>
        </w:rPr>
        <w:t>combined</w:t>
      </w:r>
      <w:r>
        <w:rPr>
          <w:rFonts w:ascii="Arial" w:cs="Arial" w:eastAsia="Arial" w:hAnsi="Arial"/>
          <w:sz w:val="16"/>
          <w:szCs w:val="16"/>
          <w:color w:val="auto"/>
        </w:rPr>
        <w:t xml:space="preserve"> Chairman and CEO leads to a more effective Board that remains balanced and independent due to the presence of a strong Lead Independent Director, while also creating a unified approach on corporate strategy development and execution and streamlining accountability for our performance.</w:t>
      </w:r>
    </w:p>
    <w:p>
      <w:pPr>
        <w:spacing w:after="0" w:line="158" w:lineRule="exact"/>
        <w:rPr>
          <w:sz w:val="20"/>
          <w:szCs w:val="20"/>
          <w:color w:val="auto"/>
        </w:rPr>
      </w:pPr>
    </w:p>
    <w:p>
      <w:pPr>
        <w:ind w:left="500" w:right="120" w:hanging="317"/>
        <w:spacing w:after="0" w:line="250" w:lineRule="auto"/>
        <w:tabs>
          <w:tab w:leader="none" w:pos="500" w:val="left"/>
        </w:tabs>
        <w:numPr>
          <w:ilvl w:val="0"/>
          <w:numId w:val="56"/>
        </w:numPr>
        <w:rPr>
          <w:rFonts w:ascii="Arial" w:cs="Arial" w:eastAsia="Arial" w:hAnsi="Arial"/>
          <w:sz w:val="16"/>
          <w:szCs w:val="16"/>
          <w:color w:val="4B1F68"/>
        </w:rPr>
      </w:pPr>
      <w:r>
        <w:rPr>
          <w:rFonts w:ascii="Arial" w:cs="Arial" w:eastAsia="Arial" w:hAnsi="Arial"/>
          <w:sz w:val="16"/>
          <w:szCs w:val="16"/>
          <w:i w:val="1"/>
          <w:iCs w:val="1"/>
          <w:color w:val="3B3C43"/>
        </w:rPr>
        <w:t xml:space="preserve">Balanced, Independent, and Effective Board </w:t>
      </w:r>
      <w:r>
        <w:rPr>
          <w:rFonts w:ascii="Arial" w:cs="Arial" w:eastAsia="Arial" w:hAnsi="Arial"/>
          <w:sz w:val="16"/>
          <w:szCs w:val="16"/>
          <w:color w:val="3B3C43"/>
        </w:rPr>
        <w:t>- The Board believes that a combined Chairman and CEO leadership structure is balanced by the</w:t>
      </w:r>
      <w:r>
        <w:rPr>
          <w:rFonts w:ascii="Arial" w:cs="Arial" w:eastAsia="Arial" w:hAnsi="Arial"/>
          <w:sz w:val="16"/>
          <w:szCs w:val="16"/>
          <w:i w:val="1"/>
          <w:iCs w:val="1"/>
          <w:color w:val="3B3C43"/>
        </w:rPr>
        <w:t xml:space="preserve"> </w:t>
      </w:r>
      <w:r>
        <w:rPr>
          <w:rFonts w:ascii="Arial" w:cs="Arial" w:eastAsia="Arial" w:hAnsi="Arial"/>
          <w:sz w:val="16"/>
          <w:szCs w:val="16"/>
          <w:color w:val="3B3C43"/>
        </w:rPr>
        <w:t>oversight of the remaining members of our Board, each of whom is an independent director, and ensures that the Board functions independently. Moreover, only independent directors serve on our Audit Committee, Compensation Committee, and ESG Committee. In addition, the Board nominated Ms. Farley to serve as Lead Independent Director, who has the ability to call meetings of the Board and presides over executive sessions of the Board. For transparency and alignment, our Compensation Committee consults all independent directors in setting our CEO’s compensation, but the authority to approve our CEO’s compensation remains with the fully independent Compensation Committee. In addition, our CEO’s annual performance objectives are reported and evaluated by both the Compensation Committee and the ESG Committee to ensure a comprehensive, inclusive, and diverse analysis and evaluation of our CEO’s annual performance. Finally, the Board believes that the Company’s Governance Guidelines, and the quality, stature, and substantive business knowledge of the Board, as well as the Board’s culture of open communication and transparency with the CEO and senior management, are conducive to Board effectiveness with a combined Chairman and CEO position.</w:t>
      </w:r>
    </w:p>
    <w:p>
      <w:pPr>
        <w:spacing w:after="0" w:line="162" w:lineRule="exact"/>
        <w:rPr>
          <w:rFonts w:ascii="Arial" w:cs="Arial" w:eastAsia="Arial" w:hAnsi="Arial"/>
          <w:sz w:val="16"/>
          <w:szCs w:val="16"/>
          <w:color w:val="4B1F68"/>
        </w:rPr>
      </w:pPr>
    </w:p>
    <w:p>
      <w:pPr>
        <w:ind w:left="500" w:right="40" w:hanging="317"/>
        <w:spacing w:after="0" w:line="253" w:lineRule="auto"/>
        <w:tabs>
          <w:tab w:leader="none" w:pos="500" w:val="left"/>
        </w:tabs>
        <w:numPr>
          <w:ilvl w:val="0"/>
          <w:numId w:val="56"/>
        </w:numPr>
        <w:rPr>
          <w:rFonts w:ascii="Arial" w:cs="Arial" w:eastAsia="Arial" w:hAnsi="Arial"/>
          <w:sz w:val="16"/>
          <w:szCs w:val="16"/>
          <w:color w:val="4B1F68"/>
        </w:rPr>
      </w:pPr>
      <w:r>
        <w:rPr>
          <w:rFonts w:ascii="Arial" w:cs="Arial" w:eastAsia="Arial" w:hAnsi="Arial"/>
          <w:sz w:val="16"/>
          <w:szCs w:val="16"/>
          <w:i w:val="1"/>
          <w:iCs w:val="1"/>
          <w:color w:val="3B3C43"/>
        </w:rPr>
        <w:t xml:space="preserve">Unified Approach on Corporate Strategy Development and Execution </w:t>
      </w:r>
      <w:r>
        <w:rPr>
          <w:rFonts w:ascii="Arial" w:cs="Arial" w:eastAsia="Arial" w:hAnsi="Arial"/>
          <w:sz w:val="16"/>
          <w:szCs w:val="16"/>
          <w:color w:val="3B3C43"/>
        </w:rPr>
        <w:t>- Mr. Pferdehirt is the individual with primary responsibility for managing the</w:t>
      </w:r>
      <w:r>
        <w:rPr>
          <w:rFonts w:ascii="Arial" w:cs="Arial" w:eastAsia="Arial" w:hAnsi="Arial"/>
          <w:sz w:val="16"/>
          <w:szCs w:val="16"/>
          <w:i w:val="1"/>
          <w:iCs w:val="1"/>
          <w:color w:val="3B3C43"/>
        </w:rPr>
        <w:t xml:space="preserve"> </w:t>
      </w:r>
      <w:r>
        <w:rPr>
          <w:rFonts w:ascii="Arial" w:cs="Arial" w:eastAsia="Arial" w:hAnsi="Arial"/>
          <w:sz w:val="16"/>
          <w:szCs w:val="16"/>
          <w:color w:val="3B3C43"/>
        </w:rPr>
        <w:t>Company’s day-to-day operations and is best positioned to chair regular Board meetings as the Board discusses key business and strategic issues and to focus the Board’s attention on strategies and opportunities of greatest importance to the Company and its shareholders. This was proven to be particularly important during and after the Company’s Spin-off of Technip Energies. This leadership structure also allows the Board to benefit from Mr. Pferdehirt’s knowledge of the Company’s business, market opportunities, and risks, and facilitates communications and relations with other members of senior management.</w:t>
      </w:r>
    </w:p>
    <w:p>
      <w:pPr>
        <w:spacing w:after="0" w:line="159" w:lineRule="exact"/>
        <w:rPr>
          <w:rFonts w:ascii="Arial" w:cs="Arial" w:eastAsia="Arial" w:hAnsi="Arial"/>
          <w:sz w:val="16"/>
          <w:szCs w:val="16"/>
          <w:color w:val="4B1F68"/>
        </w:rPr>
      </w:pPr>
    </w:p>
    <w:p>
      <w:pPr>
        <w:ind w:left="500" w:right="820" w:hanging="317"/>
        <w:spacing w:after="0" w:line="281" w:lineRule="auto"/>
        <w:tabs>
          <w:tab w:leader="none" w:pos="500" w:val="left"/>
        </w:tabs>
        <w:numPr>
          <w:ilvl w:val="0"/>
          <w:numId w:val="56"/>
        </w:numPr>
        <w:rPr>
          <w:rFonts w:ascii="Arial" w:cs="Arial" w:eastAsia="Arial" w:hAnsi="Arial"/>
          <w:sz w:val="16"/>
          <w:szCs w:val="16"/>
          <w:color w:val="4B1F68"/>
        </w:rPr>
      </w:pPr>
      <w:r>
        <w:rPr>
          <w:rFonts w:ascii="Arial" w:cs="Arial" w:eastAsia="Arial" w:hAnsi="Arial"/>
          <w:sz w:val="16"/>
          <w:szCs w:val="16"/>
          <w:i w:val="1"/>
          <w:iCs w:val="1"/>
          <w:color w:val="3B3C43"/>
        </w:rPr>
        <w:t xml:space="preserve">Streamline Accountability </w:t>
      </w:r>
      <w:r>
        <w:rPr>
          <w:rFonts w:ascii="Arial" w:cs="Arial" w:eastAsia="Arial" w:hAnsi="Arial"/>
          <w:sz w:val="16"/>
          <w:szCs w:val="16"/>
          <w:color w:val="3B3C43"/>
        </w:rPr>
        <w:t>- Combining the roles of Chairman and CEO creates a clear line of authority that promotes decisive and effective</w:t>
      </w:r>
      <w:r>
        <w:rPr>
          <w:rFonts w:ascii="Arial" w:cs="Arial" w:eastAsia="Arial" w:hAnsi="Arial"/>
          <w:sz w:val="16"/>
          <w:szCs w:val="16"/>
          <w:i w:val="1"/>
          <w:iCs w:val="1"/>
          <w:color w:val="3B3C43"/>
        </w:rPr>
        <w:t xml:space="preserve"> </w:t>
      </w:r>
      <w:r>
        <w:rPr>
          <w:rFonts w:ascii="Arial" w:cs="Arial" w:eastAsia="Arial" w:hAnsi="Arial"/>
          <w:sz w:val="16"/>
          <w:szCs w:val="16"/>
          <w:color w:val="3B3C43"/>
        </w:rPr>
        <w:t>leadership, both within and outside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-2424430</wp:posOffset>
            </wp:positionV>
            <wp:extent cx="7132320" cy="24003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400300"/>
                    </a:xfrm>
                    <a:prstGeom prst="rect">
                      <a:avLst/>
                    </a:prstGeom>
                    <a:noFill/>
                  </pic:spPr>
                </pic:pic>
              </a:graphicData>
            </a:graphic>
          </wp:anchor>
        </w:drawing>
      </w:r>
    </w:p>
    <w:p>
      <w:pPr>
        <w:spacing w:after="0" w:line="132"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As our Company evolves, the Board will regularly evaluate the Board leadership structure to ensure it continues to meet the needs of the Company, and to ensure that it provides strong, independent oversight for our shareholders. In particular, as part of this evaluation, the Board will consider the outcomes of the annual Board and committee self-evaluation process and feedback received from shareholders, in addition to other factors, including the current state of the Company’s strategy and operations, recent Company performance, market and industry factors, and peer company practices.</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44</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Board Composition and Criteria for Board Membership</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3B3C43"/>
        </w:rPr>
        <w:t>Our Board seeks directors whose complementary and diverse knowledge, experience, and skills provide a broad range of perspectives and leadership expertise in areas critical to the Company. These include expertise in the energy and engineering industry, strategic planning and business development, business operations, sustainability and emerging technologies, finance and audit, corporate governance, and other areas important to the Company’s strategy and oversight. Our Board also assesses director age, tenure, and Board continuity and strives to achieve a balance between the perspectives of new directors and those of longer-serving directors with institutional insights.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Criteria for Board Membership in Governance Guidelines</w:t>
      </w:r>
    </w:p>
    <w:p>
      <w:pPr>
        <w:spacing w:after="0" w:line="1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3B3C43"/>
        </w:rPr>
        <w:t>Our Governance Guidelines state that candidates for our Board, in order to be nominated by our ESG Committee, must be qualified and eligible to serve under applicable law, our articles of association (“</w:t>
      </w:r>
      <w:r>
        <w:rPr>
          <w:rFonts w:ascii="Arial" w:cs="Arial" w:eastAsia="Arial" w:hAnsi="Arial"/>
          <w:sz w:val="16"/>
          <w:szCs w:val="16"/>
          <w:b w:val="1"/>
          <w:bCs w:val="1"/>
          <w:color w:val="3B3C43"/>
        </w:rPr>
        <w:t>Articles</w:t>
      </w:r>
      <w:r>
        <w:rPr>
          <w:rFonts w:ascii="Arial" w:cs="Arial" w:eastAsia="Arial" w:hAnsi="Arial"/>
          <w:sz w:val="16"/>
          <w:szCs w:val="16"/>
          <w:color w:val="3B3C43"/>
        </w:rPr>
        <w:t>”), and the NYSE and Euronext rules, and should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5657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2" w:lineRule="exact"/>
        <w:rPr>
          <w:sz w:val="20"/>
          <w:szCs w:val="20"/>
          <w:color w:val="auto"/>
        </w:rPr>
      </w:pPr>
    </w:p>
    <w:p>
      <w:pPr>
        <w:ind w:left="500" w:hanging="317"/>
        <w:spacing w:after="0"/>
        <w:tabs>
          <w:tab w:leader="none" w:pos="500" w:val="left"/>
        </w:tabs>
        <w:numPr>
          <w:ilvl w:val="0"/>
          <w:numId w:val="57"/>
        </w:numPr>
        <w:rPr>
          <w:rFonts w:ascii="Arial" w:cs="Arial" w:eastAsia="Arial" w:hAnsi="Arial"/>
          <w:sz w:val="16"/>
          <w:szCs w:val="16"/>
          <w:color w:val="4B1F68"/>
        </w:rPr>
      </w:pPr>
      <w:r>
        <w:rPr>
          <w:rFonts w:ascii="Arial" w:cs="Arial" w:eastAsia="Arial" w:hAnsi="Arial"/>
          <w:sz w:val="16"/>
          <w:szCs w:val="16"/>
          <w:color w:val="3B3C43"/>
        </w:rPr>
        <w:t>A high level of personal and professional integrity</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7"/>
        </w:numPr>
        <w:rPr>
          <w:rFonts w:ascii="Arial" w:cs="Arial" w:eastAsia="Arial" w:hAnsi="Arial"/>
          <w:sz w:val="16"/>
          <w:szCs w:val="16"/>
          <w:color w:val="4B1F68"/>
        </w:rPr>
      </w:pPr>
      <w:r>
        <w:rPr>
          <w:rFonts w:ascii="Arial" w:cs="Arial" w:eastAsia="Arial" w:hAnsi="Arial"/>
          <w:sz w:val="16"/>
          <w:szCs w:val="16"/>
          <w:color w:val="3B3C43"/>
        </w:rPr>
        <w:t>Strong ethics and values</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7"/>
        </w:numPr>
        <w:rPr>
          <w:rFonts w:ascii="Arial" w:cs="Arial" w:eastAsia="Arial" w:hAnsi="Arial"/>
          <w:sz w:val="16"/>
          <w:szCs w:val="16"/>
          <w:color w:val="4B1F68"/>
        </w:rPr>
      </w:pPr>
      <w:r>
        <w:rPr>
          <w:rFonts w:ascii="Arial" w:cs="Arial" w:eastAsia="Arial" w:hAnsi="Arial"/>
          <w:sz w:val="16"/>
          <w:szCs w:val="16"/>
          <w:color w:val="3B3C43"/>
        </w:rPr>
        <w:t>The ability to make mature business judgments</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3B3C43"/>
        </w:rPr>
        <w:t>In addition, the Governance Guidelines provide that the ESG Committee may consider additional factors when determining whether a candidate is qualified to serve on our Board, including the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0629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spacing w:after="0" w:line="202" w:lineRule="exact"/>
        <w:rPr>
          <w:sz w:val="20"/>
          <w:szCs w:val="20"/>
          <w:color w:val="auto"/>
        </w:rPr>
      </w:pPr>
    </w:p>
    <w:p>
      <w:pPr>
        <w:ind w:left="500" w:right="200" w:hanging="317"/>
        <w:spacing w:after="0" w:line="260" w:lineRule="auto"/>
        <w:tabs>
          <w:tab w:leader="none" w:pos="500" w:val="left"/>
        </w:tabs>
        <w:numPr>
          <w:ilvl w:val="0"/>
          <w:numId w:val="58"/>
        </w:numPr>
        <w:rPr>
          <w:rFonts w:ascii="Arial" w:cs="Arial" w:eastAsia="Arial" w:hAnsi="Arial"/>
          <w:sz w:val="16"/>
          <w:szCs w:val="16"/>
          <w:color w:val="4B1F68"/>
        </w:rPr>
      </w:pPr>
      <w:r>
        <w:rPr>
          <w:rFonts w:ascii="Arial" w:cs="Arial" w:eastAsia="Arial" w:hAnsi="Arial"/>
          <w:sz w:val="16"/>
          <w:szCs w:val="16"/>
          <w:color w:val="3B3C43"/>
        </w:rPr>
        <w:t>Experience in corporate management, as a board member of another publicly held company, and in finance and accounting and/or compensation practices</w:t>
      </w:r>
    </w:p>
    <w:p>
      <w:pPr>
        <w:spacing w:after="0" w:line="87" w:lineRule="exact"/>
        <w:rPr>
          <w:rFonts w:ascii="Arial" w:cs="Arial" w:eastAsia="Arial" w:hAnsi="Arial"/>
          <w:sz w:val="16"/>
          <w:szCs w:val="16"/>
          <w:color w:val="4B1F68"/>
        </w:rPr>
      </w:pPr>
    </w:p>
    <w:p>
      <w:pPr>
        <w:ind w:left="500" w:hanging="317"/>
        <w:spacing w:after="0"/>
        <w:tabs>
          <w:tab w:leader="none" w:pos="500" w:val="left"/>
        </w:tabs>
        <w:numPr>
          <w:ilvl w:val="0"/>
          <w:numId w:val="58"/>
        </w:numPr>
        <w:rPr>
          <w:rFonts w:ascii="Arial" w:cs="Arial" w:eastAsia="Arial" w:hAnsi="Arial"/>
          <w:sz w:val="16"/>
          <w:szCs w:val="16"/>
          <w:color w:val="4B1F68"/>
        </w:rPr>
      </w:pPr>
      <w:r>
        <w:rPr>
          <w:rFonts w:ascii="Arial" w:cs="Arial" w:eastAsia="Arial" w:hAnsi="Arial"/>
          <w:sz w:val="16"/>
          <w:szCs w:val="16"/>
          <w:color w:val="3B3C43"/>
        </w:rPr>
        <w:t>Professional and academic experience relevant to our industry</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8"/>
        </w:numPr>
        <w:rPr>
          <w:rFonts w:ascii="Arial" w:cs="Arial" w:eastAsia="Arial" w:hAnsi="Arial"/>
          <w:sz w:val="16"/>
          <w:szCs w:val="16"/>
          <w:color w:val="4B1F68"/>
        </w:rPr>
      </w:pPr>
      <w:r>
        <w:rPr>
          <w:rFonts w:ascii="Arial" w:cs="Arial" w:eastAsia="Arial" w:hAnsi="Arial"/>
          <w:sz w:val="16"/>
          <w:szCs w:val="16"/>
          <w:color w:val="3B3C43"/>
        </w:rPr>
        <w:t>Leadership skills</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8"/>
        </w:numPr>
        <w:rPr>
          <w:rFonts w:ascii="Arial" w:cs="Arial" w:eastAsia="Arial" w:hAnsi="Arial"/>
          <w:sz w:val="16"/>
          <w:szCs w:val="16"/>
          <w:color w:val="4B1F68"/>
        </w:rPr>
      </w:pPr>
      <w:r>
        <w:rPr>
          <w:rFonts w:ascii="Arial" w:cs="Arial" w:eastAsia="Arial" w:hAnsi="Arial"/>
          <w:sz w:val="16"/>
          <w:szCs w:val="16"/>
          <w:color w:val="3B3C43"/>
        </w:rPr>
        <w:t>Cultural perspective and diversity of thought</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8"/>
        </w:numPr>
        <w:rPr>
          <w:rFonts w:ascii="Arial" w:cs="Arial" w:eastAsia="Arial" w:hAnsi="Arial"/>
          <w:sz w:val="16"/>
          <w:szCs w:val="16"/>
          <w:color w:val="4B1F68"/>
        </w:rPr>
      </w:pPr>
      <w:r>
        <w:rPr>
          <w:rFonts w:ascii="Arial" w:cs="Arial" w:eastAsia="Arial" w:hAnsi="Arial"/>
          <w:sz w:val="16"/>
          <w:szCs w:val="16"/>
          <w:color w:val="3B3C43"/>
        </w:rPr>
        <w:t>Ability to commit the time required for service on our Board</w:t>
      </w:r>
    </w:p>
    <w:p>
      <w:pPr>
        <w:spacing w:after="0" w:line="25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45</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315" w:right="47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Board Composition, Refreshment, and Succession Planning</w:t>
      </w:r>
    </w:p>
    <w:p>
      <w:pPr>
        <w:spacing w:after="0" w:line="1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3B3C43"/>
        </w:rPr>
        <w:t>The ESG Committee regularly evaluates the composition of our Board and considers whether the Board has the right set of backgrounds, experience, skills, diversity, and qualifications to effectively oversee our Company’s strategy and our executives’ execution of that strategy. One of the key goals of our Board composition is to ensure we have the right skills and experience on our Board to execute our strategic goals successfully and efficiently. As such, the Board actively considers diversity of backgrounds, experience, skills, geography, and perspectives, including gender and cultural diversity, in the recruitment and nomination of directors. Our current directors possess a diversity of such skills, experience, and expertise that are relevant to our business, such as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6973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spacing w:after="0" w:line="212" w:lineRule="exact"/>
        <w:rPr>
          <w:sz w:val="20"/>
          <w:szCs w:val="20"/>
          <w:color w:val="auto"/>
        </w:rPr>
      </w:pPr>
    </w:p>
    <w:p>
      <w:pPr>
        <w:ind w:left="500" w:hanging="317"/>
        <w:spacing w:after="0"/>
        <w:tabs>
          <w:tab w:leader="none" w:pos="500" w:val="left"/>
        </w:tabs>
        <w:numPr>
          <w:ilvl w:val="0"/>
          <w:numId w:val="59"/>
        </w:numPr>
        <w:rPr>
          <w:rFonts w:ascii="Arial" w:cs="Arial" w:eastAsia="Arial" w:hAnsi="Arial"/>
          <w:sz w:val="16"/>
          <w:szCs w:val="16"/>
          <w:color w:val="4B1F68"/>
        </w:rPr>
      </w:pPr>
      <w:r>
        <w:rPr>
          <w:rFonts w:ascii="Arial" w:cs="Arial" w:eastAsia="Arial" w:hAnsi="Arial"/>
          <w:sz w:val="16"/>
          <w:szCs w:val="16"/>
          <w:color w:val="3B3C43"/>
        </w:rPr>
        <w:t>Executive leadership</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9"/>
        </w:numPr>
        <w:rPr>
          <w:rFonts w:ascii="Arial" w:cs="Arial" w:eastAsia="Arial" w:hAnsi="Arial"/>
          <w:sz w:val="16"/>
          <w:szCs w:val="16"/>
          <w:color w:val="4B1F68"/>
        </w:rPr>
      </w:pPr>
      <w:r>
        <w:rPr>
          <w:rFonts w:ascii="Arial" w:cs="Arial" w:eastAsia="Arial" w:hAnsi="Arial"/>
          <w:sz w:val="16"/>
          <w:szCs w:val="16"/>
          <w:color w:val="3B3C43"/>
        </w:rPr>
        <w:t>Industry experience</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9"/>
        </w:numPr>
        <w:rPr>
          <w:rFonts w:ascii="Arial" w:cs="Arial" w:eastAsia="Arial" w:hAnsi="Arial"/>
          <w:sz w:val="16"/>
          <w:szCs w:val="16"/>
          <w:color w:val="4B1F68"/>
        </w:rPr>
      </w:pPr>
      <w:r>
        <w:rPr>
          <w:rFonts w:ascii="Arial" w:cs="Arial" w:eastAsia="Arial" w:hAnsi="Arial"/>
          <w:sz w:val="16"/>
          <w:szCs w:val="16"/>
          <w:color w:val="3B3C43"/>
        </w:rPr>
        <w:t>Corporate governance and legal</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9"/>
        </w:numPr>
        <w:rPr>
          <w:rFonts w:ascii="Arial" w:cs="Arial" w:eastAsia="Arial" w:hAnsi="Arial"/>
          <w:sz w:val="16"/>
          <w:szCs w:val="16"/>
          <w:color w:val="4B1F68"/>
        </w:rPr>
      </w:pPr>
      <w:r>
        <w:rPr>
          <w:rFonts w:ascii="Arial" w:cs="Arial" w:eastAsia="Arial" w:hAnsi="Arial"/>
          <w:sz w:val="16"/>
          <w:szCs w:val="16"/>
          <w:color w:val="3B3C43"/>
        </w:rPr>
        <w:t>Strategy and risk management</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9"/>
        </w:numPr>
        <w:rPr>
          <w:rFonts w:ascii="Arial" w:cs="Arial" w:eastAsia="Arial" w:hAnsi="Arial"/>
          <w:sz w:val="16"/>
          <w:szCs w:val="16"/>
          <w:color w:val="4B1F68"/>
        </w:rPr>
      </w:pPr>
      <w:r>
        <w:rPr>
          <w:rFonts w:ascii="Arial" w:cs="Arial" w:eastAsia="Arial" w:hAnsi="Arial"/>
          <w:sz w:val="16"/>
          <w:szCs w:val="16"/>
          <w:color w:val="3B3C43"/>
        </w:rPr>
        <w:t>Cultural and gender diversity</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9"/>
        </w:numPr>
        <w:rPr>
          <w:rFonts w:ascii="Arial" w:cs="Arial" w:eastAsia="Arial" w:hAnsi="Arial"/>
          <w:sz w:val="16"/>
          <w:szCs w:val="16"/>
          <w:color w:val="4B1F68"/>
        </w:rPr>
      </w:pPr>
      <w:r>
        <w:rPr>
          <w:rFonts w:ascii="Arial" w:cs="Arial" w:eastAsia="Arial" w:hAnsi="Arial"/>
          <w:sz w:val="16"/>
          <w:szCs w:val="16"/>
          <w:color w:val="3B3C43"/>
        </w:rPr>
        <w:t>Sustainability and emerging technologies</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9"/>
        </w:numPr>
        <w:rPr>
          <w:rFonts w:ascii="Arial" w:cs="Arial" w:eastAsia="Arial" w:hAnsi="Arial"/>
          <w:sz w:val="16"/>
          <w:szCs w:val="16"/>
          <w:color w:val="4B1F68"/>
        </w:rPr>
      </w:pPr>
      <w:r>
        <w:rPr>
          <w:rFonts w:ascii="Arial" w:cs="Arial" w:eastAsia="Arial" w:hAnsi="Arial"/>
          <w:sz w:val="16"/>
          <w:szCs w:val="16"/>
          <w:color w:val="3B3C43"/>
        </w:rPr>
        <w:t>Outside public company board service</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9"/>
        </w:numPr>
        <w:rPr>
          <w:rFonts w:ascii="Arial" w:cs="Arial" w:eastAsia="Arial" w:hAnsi="Arial"/>
          <w:sz w:val="16"/>
          <w:szCs w:val="16"/>
          <w:color w:val="4B1F68"/>
        </w:rPr>
      </w:pPr>
      <w:r>
        <w:rPr>
          <w:rFonts w:ascii="Arial" w:cs="Arial" w:eastAsia="Arial" w:hAnsi="Arial"/>
          <w:sz w:val="16"/>
          <w:szCs w:val="16"/>
          <w:color w:val="3B3C43"/>
        </w:rPr>
        <w:t>Finance and audit</w:t>
      </w:r>
    </w:p>
    <w:p>
      <w:pPr>
        <w:spacing w:after="0" w:line="113" w:lineRule="exact"/>
        <w:rPr>
          <w:rFonts w:ascii="Arial" w:cs="Arial" w:eastAsia="Arial" w:hAnsi="Arial"/>
          <w:sz w:val="16"/>
          <w:szCs w:val="16"/>
          <w:color w:val="4B1F68"/>
        </w:rPr>
      </w:pPr>
    </w:p>
    <w:p>
      <w:pPr>
        <w:ind w:left="500" w:hanging="317"/>
        <w:spacing w:after="0"/>
        <w:tabs>
          <w:tab w:leader="none" w:pos="500" w:val="left"/>
        </w:tabs>
        <w:numPr>
          <w:ilvl w:val="0"/>
          <w:numId w:val="59"/>
        </w:numPr>
        <w:rPr>
          <w:rFonts w:ascii="Arial" w:cs="Arial" w:eastAsia="Arial" w:hAnsi="Arial"/>
          <w:sz w:val="16"/>
          <w:szCs w:val="16"/>
          <w:color w:val="4B1F68"/>
        </w:rPr>
      </w:pPr>
      <w:r>
        <w:rPr>
          <w:rFonts w:ascii="Arial" w:cs="Arial" w:eastAsia="Arial" w:hAnsi="Arial"/>
          <w:sz w:val="16"/>
          <w:szCs w:val="16"/>
          <w:color w:val="3B3C43"/>
        </w:rPr>
        <w:t>Acquisition, divestment, and investment portfolio management</w:t>
      </w:r>
    </w:p>
    <w:p>
      <w:pPr>
        <w:spacing w:after="0" w:line="24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3B3C43"/>
        </w:rPr>
        <w:t>In 2019 and 2020, our ESG Committee, with the assistance of Spencer Stuart, a nationally recognized director search firm, identified, screened, and assessed the capabilities of potential new director candidates. This resulted in the Company identifying and appointing new Board members in 2019, 2020, and 2021: Mr. Yearwood and Mses. Øvrum and Zurquiyah, respectively, as part of our ongoing Board refreshment focus.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B3C43"/>
        </w:rPr>
        <w:t>In addition to evaluating directors’ skills and experience that tie directly to our business strategy, the ESG Committee also regularly considers any changes in the professional status, independence, outside commitments, and other public company directorships of our directors to assess the potential impact of these changes on the Board’s effectiveness.</w:t>
      </w:r>
    </w:p>
    <w:p>
      <w:pPr>
        <w:spacing w:after="0" w:line="174"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3B3C43"/>
        </w:rPr>
        <w:t>As further described in our Governance Guidelines, a non-executive director whose birth date occurs prior to July 1st must retire at the annual general meeting of shareholders of the Company during the year of such director’s 72nd birthday, and a non-executive director whose birth date occurs on or after July 1st must retire at the annual general meeting of shareholders of the Company the year following such director’s 72nd birthday. Our Board may waive this policy on a case-by-case basis on the recommendation of the ESG Committee if it deems a waiver to be in the best interests of the Company and its shareholders.</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46</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Board and Committee Evaluations</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The Board believes that a rigorous evaluation process is an essential component of strong corporate governance practices. The ESG Committee reviews regularly the Board’s composition, including the key skills and experience represented on the Board, to ensure it meets the changing needs of the business, also taking into consideration the outcomes of the annual Board and committee self-evaluation process, feedback received from shareholders, and evolving market best practices with respect to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3B3C43"/>
        </w:rPr>
        <w:t>The ESG Committee’s annual evaluation process to evaluate Board effectiveness includes a full Board evaluation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3261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326130"/>
                    </a:xfrm>
                    <a:prstGeom prst="rect">
                      <a:avLst/>
                    </a:prstGeom>
                    <a:noFill/>
                  </pic:spPr>
                </pic:pic>
              </a:graphicData>
            </a:graphic>
          </wp:anchor>
        </w:drawing>
      </w:r>
    </w:p>
    <w:p>
      <w:pPr>
        <w:sectPr>
          <w:pgSz w:w="11900" w:h="16838" w:orient="portrait"/>
          <w:cols w:equalWidth="0" w:num="1">
            <w:col w:w="11140"/>
          </w:cols>
          <w:pgMar w:left="320" w:top="315" w:right="439" w:bottom="1440" w:gutter="0" w:footer="0" w:header="0"/>
        </w:sect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Process is Initiated</w:t>
      </w:r>
    </w:p>
    <w:p>
      <w:pPr>
        <w:spacing w:after="0" w:line="187" w:lineRule="exact"/>
        <w:rPr>
          <w:sz w:val="20"/>
          <w:szCs w:val="20"/>
          <w:color w:val="auto"/>
        </w:rPr>
      </w:pPr>
    </w:p>
    <w:p>
      <w:pPr>
        <w:ind w:left="100"/>
        <w:spacing w:after="0" w:line="251" w:lineRule="auto"/>
        <w:rPr>
          <w:sz w:val="20"/>
          <w:szCs w:val="20"/>
          <w:color w:val="auto"/>
        </w:rPr>
      </w:pPr>
      <w:r>
        <w:rPr>
          <w:rFonts w:ascii="Arial" w:cs="Arial" w:eastAsia="Arial" w:hAnsi="Arial"/>
          <w:sz w:val="16"/>
          <w:szCs w:val="16"/>
          <w:color w:val="3B3C43"/>
        </w:rPr>
        <w:t>The ESG Committee reviews and approves the process to evaluate the performance of the Board of Directors and its three committees.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FFFFFF"/>
        </w:rPr>
        <w:t>Evaluation Distributed</w:t>
      </w:r>
    </w:p>
    <w:p>
      <w:pPr>
        <w:spacing w:after="0" w:line="187" w:lineRule="exact"/>
        <w:rPr>
          <w:sz w:val="20"/>
          <w:szCs w:val="20"/>
          <w:color w:val="auto"/>
        </w:rPr>
      </w:pPr>
    </w:p>
    <w:p>
      <w:pPr>
        <w:ind w:left="1"/>
        <w:spacing w:after="0" w:line="249" w:lineRule="auto"/>
        <w:rPr>
          <w:sz w:val="20"/>
          <w:szCs w:val="20"/>
          <w:color w:val="auto"/>
        </w:rPr>
      </w:pPr>
      <w:r>
        <w:rPr>
          <w:rFonts w:ascii="Arial" w:cs="Arial" w:eastAsia="Arial" w:hAnsi="Arial"/>
          <w:sz w:val="16"/>
          <w:szCs w:val="16"/>
          <w:color w:val="3B3C43"/>
        </w:rPr>
        <w:t>Questionnaires are distributed through a third-party web-based platform. The process encourages candid responses from our directors and promotes productive discussions.</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16"/>
          <w:szCs w:val="16"/>
          <w:color w:val="3B3C43"/>
        </w:rPr>
        <w:t>Questionnaires solicit</w:t>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3B3C43"/>
        </w:rPr>
        <w:t>feedback on issues,</w:t>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3B3C43"/>
        </w:rPr>
        <w:t>including:</w:t>
      </w:r>
    </w:p>
    <w:p>
      <w:pPr>
        <w:spacing w:after="0" w:line="194" w:lineRule="exact"/>
        <w:rPr>
          <w:sz w:val="20"/>
          <w:szCs w:val="20"/>
          <w:color w:val="auto"/>
        </w:rPr>
      </w:pPr>
    </w:p>
    <w:p>
      <w:pPr>
        <w:ind w:left="341" w:hanging="341"/>
        <w:spacing w:after="0"/>
        <w:tabs>
          <w:tab w:leader="none" w:pos="341" w:val="left"/>
        </w:tabs>
        <w:numPr>
          <w:ilvl w:val="0"/>
          <w:numId w:val="60"/>
        </w:numPr>
        <w:rPr>
          <w:rFonts w:ascii="Arial" w:cs="Arial" w:eastAsia="Arial" w:hAnsi="Arial"/>
          <w:sz w:val="16"/>
          <w:szCs w:val="16"/>
          <w:color w:val="4B1F68"/>
        </w:rPr>
      </w:pPr>
      <w:r>
        <w:rPr>
          <w:rFonts w:ascii="Arial" w:cs="Arial" w:eastAsia="Arial" w:hAnsi="Arial"/>
          <w:sz w:val="16"/>
          <w:szCs w:val="16"/>
          <w:color w:val="3B3C43"/>
        </w:rPr>
        <w:t>Board/Committee operations</w:t>
      </w:r>
    </w:p>
    <w:p>
      <w:pPr>
        <w:spacing w:after="0" w:line="194" w:lineRule="exact"/>
        <w:rPr>
          <w:rFonts w:ascii="Arial" w:cs="Arial" w:eastAsia="Arial" w:hAnsi="Arial"/>
          <w:sz w:val="16"/>
          <w:szCs w:val="16"/>
          <w:color w:val="4B1F68"/>
        </w:rPr>
      </w:pPr>
    </w:p>
    <w:p>
      <w:pPr>
        <w:ind w:left="341" w:hanging="341"/>
        <w:spacing w:after="0"/>
        <w:tabs>
          <w:tab w:leader="none" w:pos="341" w:val="left"/>
        </w:tabs>
        <w:numPr>
          <w:ilvl w:val="0"/>
          <w:numId w:val="60"/>
        </w:numPr>
        <w:rPr>
          <w:rFonts w:ascii="Arial" w:cs="Arial" w:eastAsia="Arial" w:hAnsi="Arial"/>
          <w:sz w:val="16"/>
          <w:szCs w:val="16"/>
          <w:color w:val="4B1F68"/>
        </w:rPr>
      </w:pPr>
      <w:r>
        <w:rPr>
          <w:rFonts w:ascii="Arial" w:cs="Arial" w:eastAsia="Arial" w:hAnsi="Arial"/>
          <w:sz w:val="16"/>
          <w:szCs w:val="16"/>
          <w:color w:val="3B3C43"/>
        </w:rPr>
        <w:t>Succession planning</w:t>
      </w:r>
    </w:p>
    <w:p>
      <w:pPr>
        <w:spacing w:after="0" w:line="194" w:lineRule="exact"/>
        <w:rPr>
          <w:rFonts w:ascii="Arial" w:cs="Arial" w:eastAsia="Arial" w:hAnsi="Arial"/>
          <w:sz w:val="16"/>
          <w:szCs w:val="16"/>
          <w:color w:val="4B1F68"/>
        </w:rPr>
      </w:pPr>
    </w:p>
    <w:p>
      <w:pPr>
        <w:ind w:left="321" w:right="180" w:hanging="321"/>
        <w:spacing w:after="0" w:line="260" w:lineRule="auto"/>
        <w:tabs>
          <w:tab w:leader="none" w:pos="337" w:val="left"/>
        </w:tabs>
        <w:numPr>
          <w:ilvl w:val="0"/>
          <w:numId w:val="60"/>
        </w:numPr>
        <w:rPr>
          <w:rFonts w:ascii="Arial" w:cs="Arial" w:eastAsia="Arial" w:hAnsi="Arial"/>
          <w:sz w:val="16"/>
          <w:szCs w:val="16"/>
          <w:color w:val="4B1F68"/>
        </w:rPr>
      </w:pPr>
      <w:r>
        <w:rPr>
          <w:rFonts w:ascii="Arial" w:cs="Arial" w:eastAsia="Arial" w:hAnsi="Arial"/>
          <w:sz w:val="16"/>
          <w:szCs w:val="16"/>
          <w:color w:val="3B3C43"/>
        </w:rPr>
        <w:t>Committee composition, processes, and effectiveness</w:t>
      </w:r>
    </w:p>
    <w:p>
      <w:pPr>
        <w:spacing w:after="0" w:line="168" w:lineRule="exact"/>
        <w:rPr>
          <w:rFonts w:ascii="Arial" w:cs="Arial" w:eastAsia="Arial" w:hAnsi="Arial"/>
          <w:sz w:val="16"/>
          <w:szCs w:val="16"/>
          <w:color w:val="4B1F68"/>
        </w:rPr>
      </w:pPr>
    </w:p>
    <w:p>
      <w:pPr>
        <w:ind w:left="341" w:hanging="341"/>
        <w:spacing w:after="0"/>
        <w:tabs>
          <w:tab w:leader="none" w:pos="341" w:val="left"/>
        </w:tabs>
        <w:numPr>
          <w:ilvl w:val="0"/>
          <w:numId w:val="60"/>
        </w:numPr>
        <w:rPr>
          <w:rFonts w:ascii="Arial" w:cs="Arial" w:eastAsia="Arial" w:hAnsi="Arial"/>
          <w:sz w:val="16"/>
          <w:szCs w:val="16"/>
          <w:color w:val="4B1F68"/>
        </w:rPr>
      </w:pPr>
      <w:r>
        <w:rPr>
          <w:rFonts w:ascii="Arial" w:cs="Arial" w:eastAsia="Arial" w:hAnsi="Arial"/>
          <w:sz w:val="16"/>
          <w:szCs w:val="16"/>
          <w:color w:val="3B3C43"/>
        </w:rPr>
        <w:t>Board dynamics</w:t>
      </w:r>
    </w:p>
    <w:p>
      <w:pPr>
        <w:spacing w:after="0" w:line="194" w:lineRule="exact"/>
        <w:rPr>
          <w:rFonts w:ascii="Arial" w:cs="Arial" w:eastAsia="Arial" w:hAnsi="Arial"/>
          <w:sz w:val="16"/>
          <w:szCs w:val="16"/>
          <w:color w:val="4B1F68"/>
        </w:rPr>
      </w:pPr>
    </w:p>
    <w:p>
      <w:pPr>
        <w:ind w:left="321" w:right="140" w:hanging="321"/>
        <w:spacing w:after="0" w:line="260" w:lineRule="auto"/>
        <w:tabs>
          <w:tab w:leader="none" w:pos="337" w:val="left"/>
        </w:tabs>
        <w:numPr>
          <w:ilvl w:val="0"/>
          <w:numId w:val="60"/>
        </w:numPr>
        <w:rPr>
          <w:rFonts w:ascii="Arial" w:cs="Arial" w:eastAsia="Arial" w:hAnsi="Arial"/>
          <w:sz w:val="16"/>
          <w:szCs w:val="16"/>
          <w:color w:val="4B1F68"/>
        </w:rPr>
      </w:pPr>
      <w:r>
        <w:rPr>
          <w:rFonts w:ascii="Arial" w:cs="Arial" w:eastAsia="Arial" w:hAnsi="Arial"/>
          <w:sz w:val="16"/>
          <w:szCs w:val="16"/>
          <w:color w:val="3B3C43"/>
        </w:rPr>
        <w:t>Director preparation, participation, and contribution</w:t>
      </w:r>
    </w:p>
    <w:p>
      <w:pPr>
        <w:spacing w:after="0" w:line="168" w:lineRule="exact"/>
        <w:rPr>
          <w:rFonts w:ascii="Arial" w:cs="Arial" w:eastAsia="Arial" w:hAnsi="Arial"/>
          <w:sz w:val="16"/>
          <w:szCs w:val="16"/>
          <w:color w:val="4B1F68"/>
        </w:rPr>
      </w:pPr>
    </w:p>
    <w:p>
      <w:pPr>
        <w:ind w:left="321" w:right="120" w:hanging="321"/>
        <w:spacing w:after="0" w:line="260" w:lineRule="auto"/>
        <w:tabs>
          <w:tab w:leader="none" w:pos="337" w:val="left"/>
        </w:tabs>
        <w:numPr>
          <w:ilvl w:val="0"/>
          <w:numId w:val="60"/>
        </w:numPr>
        <w:rPr>
          <w:rFonts w:ascii="Arial" w:cs="Arial" w:eastAsia="Arial" w:hAnsi="Arial"/>
          <w:sz w:val="16"/>
          <w:szCs w:val="16"/>
          <w:color w:val="4B1F68"/>
        </w:rPr>
      </w:pPr>
      <w:r>
        <w:rPr>
          <w:rFonts w:ascii="Arial" w:cs="Arial" w:eastAsia="Arial" w:hAnsi="Arial"/>
          <w:sz w:val="16"/>
          <w:szCs w:val="16"/>
          <w:color w:val="3B3C43"/>
        </w:rPr>
        <w:t>Management preparation and communications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Analysis</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Completed questionnaires are analyzed and summarized by Company management and reported to the ESG Committee Chair.</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Presentation of Results</w:t>
      </w:r>
    </w:p>
    <w:p>
      <w:pPr>
        <w:spacing w:after="0" w:line="18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3B3C43"/>
        </w:rPr>
        <w:t>The ESG Committee Chair reviews the results of the evaluations with the full Board and each committee to determine areas of opportunity.</w:t>
      </w:r>
    </w:p>
    <w:p>
      <w:pPr>
        <w:spacing w:after="0" w:line="4175" w:lineRule="exact"/>
        <w:rPr>
          <w:sz w:val="20"/>
          <w:szCs w:val="20"/>
          <w:color w:val="auto"/>
        </w:rPr>
      </w:pPr>
    </w:p>
    <w:p>
      <w:pPr>
        <w:sectPr>
          <w:pgSz w:w="11900" w:h="16838" w:orient="portrait"/>
          <w:cols w:equalWidth="0" w:num="4">
            <w:col w:w="2600" w:space="319"/>
            <w:col w:w="2581" w:space="220"/>
            <w:col w:w="2280" w:space="540"/>
            <w:col w:w="2600"/>
          </w:cols>
          <w:pgMar w:left="320" w:top="315" w:right="439" w:bottom="1440" w:gutter="0" w:footer="0" w:header="0"/>
          <w:type w:val="continuous"/>
        </w:sectPr>
      </w:pPr>
    </w:p>
    <w:p>
      <w:pPr>
        <w:spacing w:after="0" w:line="5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47</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315" w:right="4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4B1F68"/>
        </w:rPr>
        <w:t>Board Commitments</w:t>
      </w:r>
    </w:p>
    <w:p>
      <w:pPr>
        <w:spacing w:after="0" w:line="2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3B3C43"/>
        </w:rPr>
        <w:t>In conjunction with our Board and committee evaluations, our ESG Committee is responsible for ensuring that our directors possess and demonstrate a willingness to devote the required time and attention to Board duties and to otherwise fulfill the responsibilities required of directors. During our 2020-2021 shareholder engagement, certain institutional investors and proxy advisory firms raised concerns about potential overboarding.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0600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306006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A6D71"/>
        </w:rPr>
        <w:t>Number of Other Public Company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tabs>
          <w:tab w:leader="none" w:pos="5920" w:val="left"/>
        </w:tabs>
        <w:rPr>
          <w:sz w:val="20"/>
          <w:szCs w:val="20"/>
          <w:color w:val="auto"/>
        </w:rPr>
      </w:pPr>
      <w:r>
        <w:rPr>
          <w:rFonts w:ascii="Arial" w:cs="Arial" w:eastAsia="Arial" w:hAnsi="Arial"/>
          <w:sz w:val="54"/>
          <w:szCs w:val="54"/>
          <w:color w:val="4B1F68"/>
        </w:rPr>
        <w:t>0</w:t>
      </w:r>
      <w:r>
        <w:rPr>
          <w:sz w:val="20"/>
          <w:szCs w:val="20"/>
          <w:color w:val="auto"/>
        </w:rPr>
        <w:tab/>
      </w:r>
      <w:r>
        <w:rPr>
          <w:rFonts w:ascii="Arial" w:cs="Arial" w:eastAsia="Arial" w:hAnsi="Arial"/>
          <w:sz w:val="54"/>
          <w:szCs w:val="54"/>
          <w:color w:val="4B1F68"/>
        </w:rPr>
        <w:t>2</w:t>
      </w:r>
    </w:p>
    <w:tbl>
      <w:tblPr>
        <w:tblLayout w:type="fixed"/>
        <w:tblInd w:w="120" w:type="dxa"/>
        <w:tblCellMar>
          <w:top w:w="0" w:type="dxa"/>
          <w:left w:w="0" w:type="dxa"/>
          <w:bottom w:w="0" w:type="dxa"/>
          <w:right w:w="0" w:type="dxa"/>
        </w:tblCellMar>
      </w:tblPr>
      <w:tr>
        <w:trPr>
          <w:trHeight w:val="263"/>
        </w:trPr>
        <w:tc>
          <w:tcPr>
            <w:tcW w:w="5820" w:type="dxa"/>
            <w:vAlign w:val="bottom"/>
            <w:tcBorders>
              <w:top w:val="single" w:sz="8" w:color="auto"/>
            </w:tcBorders>
            <w:shd w:val="clear" w:color="auto" w:fill="E1E2E0"/>
          </w:tcPr>
          <w:p>
            <w:pPr>
              <w:spacing w:after="0"/>
              <w:rPr>
                <w:sz w:val="20"/>
                <w:szCs w:val="20"/>
                <w:color w:val="auto"/>
              </w:rPr>
            </w:pPr>
            <w:r>
              <w:rPr>
                <w:rFonts w:ascii="Arial" w:cs="Arial" w:eastAsia="Arial" w:hAnsi="Arial"/>
                <w:sz w:val="16"/>
                <w:szCs w:val="16"/>
                <w:color w:val="auto"/>
              </w:rPr>
              <w:t>Douglas J. Pferdehirt, John O’Leary</w:t>
            </w:r>
          </w:p>
        </w:tc>
        <w:tc>
          <w:tcPr>
            <w:tcW w:w="4740" w:type="dxa"/>
            <w:vAlign w:val="bottom"/>
            <w:tcBorders>
              <w:top w:val="single" w:sz="8" w:color="auto"/>
            </w:tcBorders>
            <w:shd w:val="clear" w:color="auto" w:fill="E1E2E0"/>
          </w:tcPr>
          <w:p>
            <w:pPr>
              <w:spacing w:after="0"/>
              <w:rPr>
                <w:sz w:val="20"/>
                <w:szCs w:val="20"/>
                <w:color w:val="auto"/>
              </w:rPr>
            </w:pPr>
            <w:r>
              <w:rPr>
                <w:rFonts w:ascii="Arial" w:cs="Arial" w:eastAsia="Arial" w:hAnsi="Arial"/>
                <w:sz w:val="16"/>
                <w:szCs w:val="16"/>
                <w:color w:val="3B3C43"/>
              </w:rPr>
              <w:t>Kay G. Priestly, Margareth Øvrum, Sophie Zurquiyah</w:t>
            </w:r>
          </w:p>
        </w:tc>
      </w:tr>
      <w:tr>
        <w:trPr>
          <w:trHeight w:val="378"/>
        </w:trPr>
        <w:tc>
          <w:tcPr>
            <w:tcW w:w="5820" w:type="dxa"/>
            <w:vAlign w:val="bottom"/>
            <w:shd w:val="clear" w:color="auto" w:fill="E1E2E0"/>
          </w:tcPr>
          <w:p>
            <w:pPr>
              <w:spacing w:after="0"/>
              <w:rPr>
                <w:sz w:val="24"/>
                <w:szCs w:val="24"/>
                <w:color w:val="auto"/>
              </w:rPr>
            </w:pPr>
          </w:p>
        </w:tc>
        <w:tc>
          <w:tcPr>
            <w:tcW w:w="4740" w:type="dxa"/>
            <w:vAlign w:val="bottom"/>
            <w:shd w:val="clear" w:color="auto" w:fill="E1E2E0"/>
          </w:tcPr>
          <w:p>
            <w:pPr>
              <w:spacing w:after="0"/>
              <w:rPr>
                <w:sz w:val="24"/>
                <w:szCs w:val="24"/>
                <w:color w:val="auto"/>
              </w:rPr>
            </w:pPr>
          </w:p>
        </w:tc>
      </w:tr>
    </w:tbl>
    <w:p>
      <w:pPr>
        <w:spacing w:after="0" w:line="200" w:lineRule="exact"/>
        <w:rPr>
          <w:sz w:val="20"/>
          <w:szCs w:val="20"/>
          <w:color w:val="auto"/>
        </w:rPr>
      </w:pPr>
    </w:p>
    <w:p>
      <w:pPr>
        <w:spacing w:after="0" w:line="281" w:lineRule="exact"/>
        <w:rPr>
          <w:sz w:val="20"/>
          <w:szCs w:val="20"/>
          <w:color w:val="auto"/>
        </w:rPr>
      </w:pPr>
    </w:p>
    <w:p>
      <w:pPr>
        <w:ind w:left="120"/>
        <w:spacing w:after="0"/>
        <w:tabs>
          <w:tab w:leader="none" w:pos="5920" w:val="left"/>
        </w:tabs>
        <w:rPr>
          <w:sz w:val="20"/>
          <w:szCs w:val="20"/>
          <w:color w:val="auto"/>
        </w:rPr>
      </w:pPr>
      <w:r>
        <w:rPr>
          <w:rFonts w:ascii="Arial" w:cs="Arial" w:eastAsia="Arial" w:hAnsi="Arial"/>
          <w:sz w:val="54"/>
          <w:szCs w:val="54"/>
          <w:color w:val="4B1F68"/>
        </w:rPr>
        <w:t>1</w:t>
      </w:r>
      <w:r>
        <w:rPr>
          <w:sz w:val="20"/>
          <w:szCs w:val="20"/>
          <w:color w:val="auto"/>
        </w:rPr>
        <w:tab/>
      </w:r>
      <w:r>
        <w:rPr>
          <w:rFonts w:ascii="Arial" w:cs="Arial" w:eastAsia="Arial" w:hAnsi="Arial"/>
          <w:sz w:val="54"/>
          <w:szCs w:val="54"/>
          <w:color w:val="4B1F68"/>
        </w:rPr>
        <w:t>4</w:t>
      </w:r>
    </w:p>
    <w:p>
      <w:pPr>
        <w:spacing w:after="0" w:line="88" w:lineRule="exact"/>
        <w:rPr>
          <w:sz w:val="20"/>
          <w:szCs w:val="20"/>
          <w:color w:val="auto"/>
        </w:rPr>
      </w:pPr>
    </w:p>
    <w:p>
      <w:pPr>
        <w:ind w:left="120"/>
        <w:spacing w:after="0"/>
        <w:tabs>
          <w:tab w:leader="none" w:pos="5920" w:val="left"/>
        </w:tabs>
        <w:rPr>
          <w:sz w:val="20"/>
          <w:szCs w:val="20"/>
          <w:color w:val="auto"/>
        </w:rPr>
      </w:pPr>
      <w:r>
        <w:rPr>
          <w:rFonts w:ascii="Arial" w:cs="Arial" w:eastAsia="Arial" w:hAnsi="Arial"/>
          <w:sz w:val="16"/>
          <w:szCs w:val="16"/>
          <w:color w:val="3B3C43"/>
        </w:rPr>
        <w:t>Peter Mellbye, Claire S. Farley, John Yearwood</w:t>
      </w:r>
      <w:r>
        <w:rPr>
          <w:sz w:val="20"/>
          <w:szCs w:val="20"/>
          <w:color w:val="auto"/>
        </w:rPr>
        <w:tab/>
      </w:r>
      <w:r>
        <w:rPr>
          <w:rFonts w:ascii="Arial" w:cs="Arial" w:eastAsia="Arial" w:hAnsi="Arial"/>
          <w:sz w:val="16"/>
          <w:szCs w:val="16"/>
          <w:color w:val="3B3C43"/>
        </w:rPr>
        <w:t>Eleazar de Carvalho Filho</w:t>
      </w:r>
    </w:p>
    <w:p>
      <w:pPr>
        <w:spacing w:after="0" w:line="302"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As noted above, a majority of our directors serve on no more than two other public company boards of directors. Our ESG Committee and our Board believe that each of our directors has demonstrated, and will continue to demonstrate, her or his expertise and ability to dedicate sufficient time to carry out Board duties effectively and diligently. Our directors’ outside board service or other commitments did not limit their ability to devote the required time and attention to their duties as directors of the Company as evidenced by the 100% attendance rate at our 2020 Board meetings for all but one director.</w:t>
      </w:r>
    </w:p>
    <w:p>
      <w:pPr>
        <w:spacing w:after="0" w:line="17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3B3C43"/>
        </w:rPr>
        <w:t>In assessing our directors’ ability to devote the required time to his or her Board duties, the ESG Committee reviews the nature of the other companies on which they serve, including whether any board service is with a company that is either affiliated with their employer or affiliated with one of their other directorships. The Committee also discusses with each director the time commitments and expectations of his or her other board duties to ensure that he or she can continue to serve the Company and its shareholders effectively.</w:t>
      </w:r>
    </w:p>
    <w:p>
      <w:pPr>
        <w:spacing w:after="0" w:line="155"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3B3C43"/>
        </w:rPr>
        <w:t>Mr. Carvalho Filho’s duties as a director of Companhia Brasileira de Distribuicão (Grupo Pão de Açúcar) (“</w:t>
      </w:r>
      <w:r>
        <w:rPr>
          <w:rFonts w:ascii="Arial" w:cs="Arial" w:eastAsia="Arial" w:hAnsi="Arial"/>
          <w:sz w:val="16"/>
          <w:szCs w:val="16"/>
          <w:b w:val="1"/>
          <w:bCs w:val="1"/>
          <w:color w:val="3B3C43"/>
        </w:rPr>
        <w:t>GPA</w:t>
      </w:r>
      <w:r>
        <w:rPr>
          <w:rFonts w:ascii="Arial" w:cs="Arial" w:eastAsia="Arial" w:hAnsi="Arial"/>
          <w:sz w:val="16"/>
          <w:szCs w:val="16"/>
          <w:color w:val="3B3C43"/>
        </w:rPr>
        <w:t>”) include serving on the board of a GPA affiliate, Cnova N.V. GPA has a 34% ownership interest in Cnova N.V. and three out of nine directors on Cnova N.V.’s board of directors are appointed by GPA. As such, Mr. Carvalho Filho’s role and time commitment at these two companies differs from serving on two traditional, unrelated publicly traded companies. Notably, Mr. Carvalho Filho has attended 100% of all Board meetings since the formation of TechnipFMC. His preparedness for meetings and active engagement with our Board and management continues to demonstrate his commitment to our Company and its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4B1F68"/>
        </w:rPr>
        <w:t>Shareholder Recommendations for Future Candidates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3B3C43"/>
        </w:rPr>
        <w:t xml:space="preserve">Shareholders may submit recommendations for future candidates for election to the Board for consideration by the ESG Committee by writing to us at One St. Paul’s Churchyard, London EC4M 8AP, United Kingdom, Attention: Corporate Secretary. All recommendations from shareholders will be reviewed by the ESG Committee. The ESG Committee evaluates nominees recommended by shareholders in the same manner in which it evaluates other nominees. Please see </w:t>
      </w:r>
      <w:r>
        <w:rPr>
          <w:rFonts w:ascii="Arial" w:cs="Arial" w:eastAsia="Arial" w:hAnsi="Arial"/>
          <w:sz w:val="16"/>
          <w:szCs w:val="16"/>
          <w:i w:val="1"/>
          <w:iCs w:val="1"/>
          <w:color w:val="3B3C43"/>
        </w:rPr>
        <w:t>“Criteria for Board Membership in Governance Guidelines"</w:t>
      </w:r>
      <w:r>
        <w:rPr>
          <w:rFonts w:ascii="Arial" w:cs="Arial" w:eastAsia="Arial" w:hAnsi="Arial"/>
          <w:sz w:val="16"/>
          <w:szCs w:val="16"/>
          <w:color w:val="3B3C43"/>
        </w:rPr>
        <w:t xml:space="preserve"> above.</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48</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Enterprise Risk Management</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3B3C43"/>
        </w:rPr>
        <w:t>Executive management is responsible for the day-to-day management of the risks the Company faces, while our Board, as a whole and through its various committees, has responsibility for the oversight of risk management for the Company. The Company has an Enterprise Risk Management (“</w:t>
      </w:r>
      <w:r>
        <w:rPr>
          <w:rFonts w:ascii="Arial" w:cs="Arial" w:eastAsia="Arial" w:hAnsi="Arial"/>
          <w:sz w:val="16"/>
          <w:szCs w:val="16"/>
          <w:b w:val="1"/>
          <w:bCs w:val="1"/>
          <w:color w:val="3B3C43"/>
        </w:rPr>
        <w:t>ERM</w:t>
      </w:r>
      <w:r>
        <w:rPr>
          <w:rFonts w:ascii="Arial" w:cs="Arial" w:eastAsia="Arial" w:hAnsi="Arial"/>
          <w:sz w:val="16"/>
          <w:szCs w:val="16"/>
          <w:color w:val="3B3C43"/>
        </w:rPr>
        <w:t>”) process and framework to identify and evaluate varying levels of risk and their potential impact on the Company, as well as steps to further mitigate those risks. As part of the ERM framework, our senior management, led by our CEO, undertakes a process that identifies, categorizes, and analyzes the relative severity and likelihood of the various risks to which the Company is or may be subject. In addition, our Board and its committees receive periodic reports from senior management that identify and assess significant enterprise-related risks and address mitigation strategies and plans implemented or proposed for each key risk.</w:t>
      </w:r>
    </w:p>
    <w:p>
      <w:pPr>
        <w:spacing w:after="0" w:line="181"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3B3C43"/>
        </w:rPr>
        <w:t>In addition, while the Board has ultimate responsibility for overall risk management oversight, it has designated each of its three Board committees with oversight of certain risks within their own areas of responsibility, as indicated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105410</wp:posOffset>
            </wp:positionV>
            <wp:extent cx="8255" cy="21259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212598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105410</wp:posOffset>
            </wp:positionV>
            <wp:extent cx="8255" cy="21259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212598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54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Audit</w:t>
            </w:r>
          </w:p>
        </w:tc>
        <w:tc>
          <w:tcPr>
            <w:tcW w:w="3600" w:type="dxa"/>
            <w:vAlign w:val="bottom"/>
            <w:shd w:val="clear" w:color="auto" w:fill="4A1F67"/>
          </w:tcPr>
          <w:p>
            <w:pPr>
              <w:ind w:left="180"/>
              <w:spacing w:after="0"/>
              <w:rPr>
                <w:sz w:val="20"/>
                <w:szCs w:val="20"/>
                <w:color w:val="auto"/>
              </w:rPr>
            </w:pPr>
            <w:r>
              <w:rPr>
                <w:rFonts w:ascii="Arial" w:cs="Arial" w:eastAsia="Arial" w:hAnsi="Arial"/>
                <w:sz w:val="16"/>
                <w:szCs w:val="16"/>
                <w:b w:val="1"/>
                <w:bCs w:val="1"/>
                <w:color w:val="FFFFFF"/>
              </w:rPr>
              <w:t>Compensation</w:t>
            </w:r>
          </w:p>
        </w:tc>
        <w:tc>
          <w:tcPr>
            <w:tcW w:w="4100" w:type="dxa"/>
            <w:vAlign w:val="bottom"/>
            <w:gridSpan w:val="2"/>
            <w:shd w:val="clear" w:color="auto" w:fill="4A1F67"/>
          </w:tcPr>
          <w:p>
            <w:pPr>
              <w:ind w:left="160"/>
              <w:spacing w:after="0"/>
              <w:rPr>
                <w:sz w:val="20"/>
                <w:szCs w:val="20"/>
                <w:color w:val="auto"/>
              </w:rPr>
            </w:pPr>
            <w:r>
              <w:rPr>
                <w:rFonts w:ascii="Arial" w:cs="Arial" w:eastAsia="Arial" w:hAnsi="Arial"/>
                <w:sz w:val="16"/>
                <w:szCs w:val="16"/>
                <w:b w:val="1"/>
                <w:bCs w:val="1"/>
                <w:color w:val="FFFFFF"/>
              </w:rPr>
              <w:t>ESG</w:t>
            </w:r>
          </w:p>
        </w:tc>
        <w:tc>
          <w:tcPr>
            <w:tcW w:w="0" w:type="dxa"/>
            <w:vAlign w:val="bottom"/>
          </w:tcPr>
          <w:p>
            <w:pPr>
              <w:spacing w:after="0"/>
              <w:rPr>
                <w:sz w:val="1"/>
                <w:szCs w:val="1"/>
                <w:color w:val="auto"/>
              </w:rPr>
            </w:pPr>
          </w:p>
        </w:tc>
      </w:tr>
      <w:tr>
        <w:trPr>
          <w:trHeight w:val="73"/>
        </w:trPr>
        <w:tc>
          <w:tcPr>
            <w:tcW w:w="3540" w:type="dxa"/>
            <w:vAlign w:val="bottom"/>
            <w:shd w:val="clear" w:color="auto" w:fill="4A1F67"/>
          </w:tcPr>
          <w:p>
            <w:pPr>
              <w:spacing w:after="0"/>
              <w:rPr>
                <w:sz w:val="6"/>
                <w:szCs w:val="6"/>
                <w:color w:val="auto"/>
              </w:rPr>
            </w:pPr>
          </w:p>
        </w:tc>
        <w:tc>
          <w:tcPr>
            <w:tcW w:w="3600" w:type="dxa"/>
            <w:vAlign w:val="bottom"/>
            <w:shd w:val="clear" w:color="auto" w:fill="4A1F67"/>
          </w:tcPr>
          <w:p>
            <w:pPr>
              <w:spacing w:after="0"/>
              <w:rPr>
                <w:sz w:val="6"/>
                <w:szCs w:val="6"/>
                <w:color w:val="auto"/>
              </w:rPr>
            </w:pPr>
          </w:p>
        </w:tc>
        <w:tc>
          <w:tcPr>
            <w:tcW w:w="4100" w:type="dxa"/>
            <w:vAlign w:val="bottom"/>
            <w:gridSpan w:val="2"/>
            <w:shd w:val="clear" w:color="auto" w:fill="4A1F67"/>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354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Legal and regulatory compliance related to</w:t>
            </w:r>
          </w:p>
        </w:tc>
        <w:tc>
          <w:tcPr>
            <w:tcW w:w="3600" w:type="dxa"/>
            <w:vAlign w:val="bottom"/>
            <w:shd w:val="clear" w:color="auto" w:fill="E1E1DF"/>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Legal and regulatory compliance related to</w:t>
            </w:r>
          </w:p>
        </w:tc>
        <w:tc>
          <w:tcPr>
            <w:tcW w:w="4100" w:type="dxa"/>
            <w:vAlign w:val="bottom"/>
            <w:gridSpan w:val="2"/>
            <w:shd w:val="clear" w:color="auto" w:fill="E1E1DF"/>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Legal and regulatory compliance related to</w:t>
            </w:r>
          </w:p>
        </w:tc>
        <w:tc>
          <w:tcPr>
            <w:tcW w:w="0" w:type="dxa"/>
            <w:vAlign w:val="bottom"/>
          </w:tcPr>
          <w:p>
            <w:pPr>
              <w:spacing w:after="0"/>
              <w:rPr>
                <w:sz w:val="1"/>
                <w:szCs w:val="1"/>
                <w:color w:val="auto"/>
              </w:rPr>
            </w:pPr>
          </w:p>
        </w:tc>
      </w:tr>
      <w:tr>
        <w:trPr>
          <w:trHeight w:val="195"/>
        </w:trPr>
        <w:tc>
          <w:tcPr>
            <w:tcW w:w="354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financial statements and disclosures</w:t>
            </w:r>
          </w:p>
        </w:tc>
        <w:tc>
          <w:tcPr>
            <w:tcW w:w="3600" w:type="dxa"/>
            <w:vAlign w:val="bottom"/>
            <w:shd w:val="clear" w:color="auto" w:fill="E1E1DF"/>
          </w:tcPr>
          <w:p>
            <w:pPr>
              <w:ind w:left="400"/>
              <w:spacing w:after="0"/>
              <w:rPr>
                <w:sz w:val="20"/>
                <w:szCs w:val="20"/>
                <w:color w:val="auto"/>
              </w:rPr>
            </w:pPr>
            <w:r>
              <w:rPr>
                <w:rFonts w:ascii="Arial" w:cs="Arial" w:eastAsia="Arial" w:hAnsi="Arial"/>
                <w:sz w:val="16"/>
                <w:szCs w:val="16"/>
                <w:color w:val="3B3C43"/>
              </w:rPr>
              <w:t>compensation and benefits</w:t>
            </w:r>
          </w:p>
        </w:tc>
        <w:tc>
          <w:tcPr>
            <w:tcW w:w="360" w:type="dxa"/>
            <w:vAlign w:val="bottom"/>
            <w:shd w:val="clear" w:color="auto" w:fill="E1E1DF"/>
          </w:tcPr>
          <w:p>
            <w:pPr>
              <w:spacing w:after="0"/>
              <w:rPr>
                <w:sz w:val="16"/>
                <w:szCs w:val="16"/>
                <w:color w:val="auto"/>
              </w:rPr>
            </w:pPr>
          </w:p>
        </w:tc>
        <w:tc>
          <w:tcPr>
            <w:tcW w:w="3740" w:type="dxa"/>
            <w:vAlign w:val="bottom"/>
            <w:shd w:val="clear" w:color="auto" w:fill="E1E1DF"/>
          </w:tcPr>
          <w:p>
            <w:pPr>
              <w:ind w:left="20"/>
              <w:spacing w:after="0"/>
              <w:rPr>
                <w:sz w:val="20"/>
                <w:szCs w:val="20"/>
                <w:color w:val="auto"/>
              </w:rPr>
            </w:pPr>
            <w:r>
              <w:rPr>
                <w:rFonts w:ascii="Arial" w:cs="Arial" w:eastAsia="Arial" w:hAnsi="Arial"/>
                <w:sz w:val="16"/>
                <w:szCs w:val="16"/>
                <w:color w:val="3B3C43"/>
              </w:rPr>
              <w:t>corporate governance</w:t>
            </w:r>
          </w:p>
        </w:tc>
        <w:tc>
          <w:tcPr>
            <w:tcW w:w="0" w:type="dxa"/>
            <w:vAlign w:val="bottom"/>
          </w:tcPr>
          <w:p>
            <w:pPr>
              <w:spacing w:after="0"/>
              <w:rPr>
                <w:sz w:val="1"/>
                <w:szCs w:val="1"/>
                <w:color w:val="auto"/>
              </w:rPr>
            </w:pPr>
          </w:p>
        </w:tc>
      </w:tr>
      <w:tr>
        <w:trPr>
          <w:trHeight w:val="372"/>
        </w:trPr>
        <w:tc>
          <w:tcPr>
            <w:tcW w:w="354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Financial reporting and internal controls</w:t>
            </w:r>
          </w:p>
        </w:tc>
        <w:tc>
          <w:tcPr>
            <w:tcW w:w="3600" w:type="dxa"/>
            <w:vAlign w:val="bottom"/>
            <w:shd w:val="clear" w:color="auto" w:fill="E1E1DF"/>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Compensation policies and practices</w:t>
            </w:r>
          </w:p>
        </w:tc>
        <w:tc>
          <w:tcPr>
            <w:tcW w:w="360" w:type="dxa"/>
            <w:vAlign w:val="bottom"/>
            <w:shd w:val="clear" w:color="auto" w:fill="E1E1DF"/>
          </w:tcPr>
          <w:p>
            <w:pPr>
              <w:ind w:left="160"/>
              <w:spacing w:after="0"/>
              <w:rPr>
                <w:sz w:val="20"/>
                <w:szCs w:val="20"/>
                <w:color w:val="auto"/>
              </w:rPr>
            </w:pPr>
            <w:r>
              <w:rPr>
                <w:rFonts w:ascii="Arial" w:cs="Arial" w:eastAsia="Arial" w:hAnsi="Arial"/>
                <w:sz w:val="16"/>
                <w:szCs w:val="16"/>
                <w:color w:val="4B1F68"/>
              </w:rPr>
              <w:t>►</w:t>
            </w:r>
          </w:p>
        </w:tc>
        <w:tc>
          <w:tcPr>
            <w:tcW w:w="374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Director succession</w:t>
            </w:r>
          </w:p>
        </w:tc>
        <w:tc>
          <w:tcPr>
            <w:tcW w:w="0" w:type="dxa"/>
            <w:vAlign w:val="bottom"/>
          </w:tcPr>
          <w:p>
            <w:pPr>
              <w:spacing w:after="0"/>
              <w:rPr>
                <w:sz w:val="1"/>
                <w:szCs w:val="1"/>
                <w:color w:val="auto"/>
              </w:rPr>
            </w:pPr>
          </w:p>
        </w:tc>
      </w:tr>
      <w:tr>
        <w:trPr>
          <w:trHeight w:val="189"/>
        </w:trPr>
        <w:tc>
          <w:tcPr>
            <w:tcW w:w="3540" w:type="dxa"/>
            <w:vAlign w:val="bottom"/>
            <w:shd w:val="clear" w:color="auto" w:fill="E1E1DF"/>
          </w:tcPr>
          <w:p>
            <w:pPr>
              <w:spacing w:after="0"/>
              <w:rPr>
                <w:sz w:val="16"/>
                <w:szCs w:val="16"/>
                <w:color w:val="auto"/>
              </w:rPr>
            </w:pPr>
          </w:p>
        </w:tc>
        <w:tc>
          <w:tcPr>
            <w:tcW w:w="3600" w:type="dxa"/>
            <w:vAlign w:val="bottom"/>
            <w:shd w:val="clear" w:color="auto" w:fill="E1E1DF"/>
          </w:tcPr>
          <w:p>
            <w:pPr>
              <w:ind w:left="400"/>
              <w:spacing w:after="0"/>
              <w:rPr>
                <w:sz w:val="20"/>
                <w:szCs w:val="20"/>
                <w:color w:val="auto"/>
              </w:rPr>
            </w:pPr>
            <w:r>
              <w:rPr>
                <w:rFonts w:ascii="Arial" w:cs="Arial" w:eastAsia="Arial" w:hAnsi="Arial"/>
                <w:sz w:val="16"/>
                <w:szCs w:val="16"/>
                <w:color w:val="3B3C43"/>
              </w:rPr>
              <w:t>(including employee benefit plans and</w:t>
            </w:r>
          </w:p>
        </w:tc>
        <w:tc>
          <w:tcPr>
            <w:tcW w:w="360" w:type="dxa"/>
            <w:vAlign w:val="bottom"/>
            <w:shd w:val="clear" w:color="auto" w:fill="E1E1DF"/>
          </w:tcPr>
          <w:p>
            <w:pPr>
              <w:spacing w:after="0"/>
              <w:rPr>
                <w:sz w:val="16"/>
                <w:szCs w:val="16"/>
                <w:color w:val="auto"/>
              </w:rPr>
            </w:pPr>
          </w:p>
        </w:tc>
        <w:tc>
          <w:tcPr>
            <w:tcW w:w="3740" w:type="dxa"/>
            <w:vAlign w:val="bottom"/>
            <w:shd w:val="clear" w:color="auto" w:fill="E1E1D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Liquidity</w:t>
            </w:r>
          </w:p>
        </w:tc>
        <w:tc>
          <w:tcPr>
            <w:tcW w:w="3600" w:type="dxa"/>
            <w:vAlign w:val="bottom"/>
            <w:shd w:val="clear" w:color="auto" w:fill="E1E1DF"/>
          </w:tcPr>
          <w:p>
            <w:pPr>
              <w:ind w:left="400"/>
              <w:spacing w:after="0"/>
              <w:rPr>
                <w:sz w:val="20"/>
                <w:szCs w:val="20"/>
                <w:color w:val="auto"/>
              </w:rPr>
            </w:pPr>
            <w:r>
              <w:rPr>
                <w:rFonts w:ascii="Arial" w:cs="Arial" w:eastAsia="Arial" w:hAnsi="Arial"/>
                <w:sz w:val="16"/>
                <w:szCs w:val="16"/>
                <w:color w:val="3B3C43"/>
              </w:rPr>
              <w:t>administration of equity plans)</w:t>
            </w:r>
          </w:p>
        </w:tc>
        <w:tc>
          <w:tcPr>
            <w:tcW w:w="360" w:type="dxa"/>
            <w:vAlign w:val="bottom"/>
            <w:shd w:val="clear" w:color="auto" w:fill="E1E1DF"/>
          </w:tcPr>
          <w:p>
            <w:pPr>
              <w:ind w:left="160"/>
              <w:spacing w:after="0"/>
              <w:rPr>
                <w:sz w:val="20"/>
                <w:szCs w:val="20"/>
                <w:color w:val="auto"/>
              </w:rPr>
            </w:pPr>
            <w:r>
              <w:rPr>
                <w:rFonts w:ascii="Arial" w:cs="Arial" w:eastAsia="Arial" w:hAnsi="Arial"/>
                <w:sz w:val="16"/>
                <w:szCs w:val="16"/>
                <w:color w:val="4B1F68"/>
              </w:rPr>
              <w:t>►</w:t>
            </w:r>
          </w:p>
        </w:tc>
        <w:tc>
          <w:tcPr>
            <w:tcW w:w="374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Crisis management preparedness</w:t>
            </w:r>
          </w:p>
        </w:tc>
        <w:tc>
          <w:tcPr>
            <w:tcW w:w="0" w:type="dxa"/>
            <w:vAlign w:val="bottom"/>
          </w:tcPr>
          <w:p>
            <w:pPr>
              <w:spacing w:after="0"/>
              <w:rPr>
                <w:sz w:val="1"/>
                <w:szCs w:val="1"/>
                <w:color w:val="auto"/>
              </w:rPr>
            </w:pPr>
          </w:p>
        </w:tc>
      </w:tr>
      <w:tr>
        <w:trPr>
          <w:trHeight w:val="372"/>
        </w:trPr>
        <w:tc>
          <w:tcPr>
            <w:tcW w:w="354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Contract management</w:t>
            </w:r>
          </w:p>
        </w:tc>
        <w:tc>
          <w:tcPr>
            <w:tcW w:w="3600" w:type="dxa"/>
            <w:vAlign w:val="bottom"/>
            <w:shd w:val="clear" w:color="auto" w:fill="E1E1DF"/>
          </w:tcPr>
          <w:p>
            <w:pPr>
              <w:spacing w:after="0"/>
              <w:rPr>
                <w:sz w:val="24"/>
                <w:szCs w:val="24"/>
                <w:color w:val="auto"/>
              </w:rPr>
            </w:pPr>
          </w:p>
        </w:tc>
        <w:tc>
          <w:tcPr>
            <w:tcW w:w="4100" w:type="dxa"/>
            <w:vAlign w:val="bottom"/>
            <w:gridSpan w:val="2"/>
            <w:shd w:val="clear" w:color="auto" w:fill="E1E1DF"/>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Emergency procedures for management</w:t>
            </w:r>
          </w:p>
        </w:tc>
        <w:tc>
          <w:tcPr>
            <w:tcW w:w="0" w:type="dxa"/>
            <w:vAlign w:val="bottom"/>
          </w:tcPr>
          <w:p>
            <w:pPr>
              <w:spacing w:after="0"/>
              <w:rPr>
                <w:sz w:val="1"/>
                <w:szCs w:val="1"/>
                <w:color w:val="auto"/>
              </w:rPr>
            </w:pPr>
          </w:p>
        </w:tc>
      </w:tr>
      <w:tr>
        <w:trPr>
          <w:trHeight w:val="195"/>
        </w:trPr>
        <w:tc>
          <w:tcPr>
            <w:tcW w:w="35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Cybersecurity</w:t>
            </w:r>
          </w:p>
        </w:tc>
        <w:tc>
          <w:tcPr>
            <w:tcW w:w="3600" w:type="dxa"/>
            <w:vAlign w:val="bottom"/>
            <w:shd w:val="clear" w:color="auto" w:fill="E1E1DF"/>
          </w:tcPr>
          <w:p>
            <w:pPr>
              <w:spacing w:after="0"/>
              <w:rPr>
                <w:sz w:val="16"/>
                <w:szCs w:val="16"/>
                <w:color w:val="auto"/>
              </w:rPr>
            </w:pPr>
          </w:p>
        </w:tc>
        <w:tc>
          <w:tcPr>
            <w:tcW w:w="360" w:type="dxa"/>
            <w:vAlign w:val="bottom"/>
            <w:shd w:val="clear" w:color="auto" w:fill="E1E1DF"/>
          </w:tcPr>
          <w:p>
            <w:pPr>
              <w:spacing w:after="0"/>
              <w:rPr>
                <w:sz w:val="16"/>
                <w:szCs w:val="16"/>
                <w:color w:val="auto"/>
              </w:rPr>
            </w:pPr>
          </w:p>
        </w:tc>
        <w:tc>
          <w:tcPr>
            <w:tcW w:w="3740" w:type="dxa"/>
            <w:vAlign w:val="bottom"/>
            <w:shd w:val="clear" w:color="auto" w:fill="E1E1DF"/>
          </w:tcPr>
          <w:p>
            <w:pPr>
              <w:ind w:left="20"/>
              <w:spacing w:after="0"/>
              <w:rPr>
                <w:sz w:val="20"/>
                <w:szCs w:val="20"/>
                <w:color w:val="auto"/>
              </w:rPr>
            </w:pPr>
            <w:r>
              <w:rPr>
                <w:rFonts w:ascii="Arial" w:cs="Arial" w:eastAsia="Arial" w:hAnsi="Arial"/>
                <w:sz w:val="16"/>
                <w:szCs w:val="16"/>
                <w:color w:val="3B3C43"/>
              </w:rPr>
              <w:t>succession</w:t>
            </w:r>
          </w:p>
        </w:tc>
        <w:tc>
          <w:tcPr>
            <w:tcW w:w="0" w:type="dxa"/>
            <w:vAlign w:val="bottom"/>
          </w:tcPr>
          <w:p>
            <w:pPr>
              <w:spacing w:after="0"/>
              <w:rPr>
                <w:sz w:val="1"/>
                <w:szCs w:val="1"/>
                <w:color w:val="auto"/>
              </w:rPr>
            </w:pPr>
          </w:p>
        </w:tc>
      </w:tr>
      <w:tr>
        <w:trPr>
          <w:trHeight w:val="189"/>
        </w:trPr>
        <w:tc>
          <w:tcPr>
            <w:tcW w:w="3540" w:type="dxa"/>
            <w:vAlign w:val="bottom"/>
            <w:vMerge w:val="continue"/>
            <w:shd w:val="clear" w:color="auto" w:fill="E1E1DF"/>
          </w:tcPr>
          <w:p>
            <w:pPr>
              <w:spacing w:after="0"/>
              <w:rPr>
                <w:sz w:val="16"/>
                <w:szCs w:val="16"/>
                <w:color w:val="auto"/>
              </w:rPr>
            </w:pPr>
          </w:p>
        </w:tc>
        <w:tc>
          <w:tcPr>
            <w:tcW w:w="3600" w:type="dxa"/>
            <w:vAlign w:val="bottom"/>
            <w:shd w:val="clear" w:color="auto" w:fill="E1E1DF"/>
          </w:tcPr>
          <w:p>
            <w:pPr>
              <w:spacing w:after="0"/>
              <w:rPr>
                <w:sz w:val="16"/>
                <w:szCs w:val="16"/>
                <w:color w:val="auto"/>
              </w:rPr>
            </w:pPr>
          </w:p>
        </w:tc>
        <w:tc>
          <w:tcPr>
            <w:tcW w:w="360" w:type="dxa"/>
            <w:vAlign w:val="bottom"/>
            <w:vMerge w:val="restart"/>
            <w:shd w:val="clear" w:color="auto" w:fill="E1E1DF"/>
          </w:tcPr>
          <w:p>
            <w:pPr>
              <w:ind w:left="160"/>
              <w:spacing w:after="0"/>
              <w:rPr>
                <w:sz w:val="20"/>
                <w:szCs w:val="20"/>
                <w:color w:val="auto"/>
              </w:rPr>
            </w:pPr>
            <w:r>
              <w:rPr>
                <w:rFonts w:ascii="Arial" w:cs="Arial" w:eastAsia="Arial" w:hAnsi="Arial"/>
                <w:sz w:val="16"/>
                <w:szCs w:val="16"/>
                <w:color w:val="4B1F68"/>
              </w:rPr>
              <w:t>►</w:t>
            </w:r>
          </w:p>
        </w:tc>
        <w:tc>
          <w:tcPr>
            <w:tcW w:w="3740" w:type="dxa"/>
            <w:vAlign w:val="bottom"/>
            <w:vMerge w:val="restart"/>
            <w:shd w:val="clear" w:color="auto" w:fill="E1E1DF"/>
          </w:tcPr>
          <w:p>
            <w:pPr>
              <w:ind w:left="60"/>
              <w:spacing w:after="0"/>
              <w:rPr>
                <w:sz w:val="20"/>
                <w:szCs w:val="20"/>
                <w:color w:val="auto"/>
              </w:rPr>
            </w:pPr>
            <w:r>
              <w:rPr>
                <w:rFonts w:ascii="Arial" w:cs="Arial" w:eastAsia="Arial" w:hAnsi="Arial"/>
                <w:sz w:val="16"/>
                <w:szCs w:val="16"/>
                <w:color w:val="3B3C43"/>
              </w:rPr>
              <w:t>Environmental, sustainability, and governance</w:t>
            </w:r>
          </w:p>
        </w:tc>
        <w:tc>
          <w:tcPr>
            <w:tcW w:w="0" w:type="dxa"/>
            <w:vAlign w:val="bottom"/>
          </w:tcPr>
          <w:p>
            <w:pPr>
              <w:spacing w:after="0"/>
              <w:rPr>
                <w:sz w:val="1"/>
                <w:szCs w:val="1"/>
                <w:color w:val="auto"/>
              </w:rPr>
            </w:pPr>
          </w:p>
        </w:tc>
      </w:tr>
      <w:tr>
        <w:trPr>
          <w:trHeight w:val="189"/>
        </w:trPr>
        <w:tc>
          <w:tcPr>
            <w:tcW w:w="35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Other risks, such as taxes and foreign</w:t>
            </w:r>
          </w:p>
        </w:tc>
        <w:tc>
          <w:tcPr>
            <w:tcW w:w="3600" w:type="dxa"/>
            <w:vAlign w:val="bottom"/>
            <w:shd w:val="clear" w:color="auto" w:fill="E1E1DF"/>
          </w:tcPr>
          <w:p>
            <w:pPr>
              <w:spacing w:after="0"/>
              <w:rPr>
                <w:sz w:val="16"/>
                <w:szCs w:val="16"/>
                <w:color w:val="auto"/>
              </w:rPr>
            </w:pPr>
          </w:p>
        </w:tc>
        <w:tc>
          <w:tcPr>
            <w:tcW w:w="360" w:type="dxa"/>
            <w:vAlign w:val="bottom"/>
            <w:vMerge w:val="continue"/>
            <w:shd w:val="clear" w:color="auto" w:fill="E1E1DF"/>
          </w:tcPr>
          <w:p>
            <w:pPr>
              <w:spacing w:after="0"/>
              <w:rPr>
                <w:sz w:val="16"/>
                <w:szCs w:val="16"/>
                <w:color w:val="auto"/>
              </w:rPr>
            </w:pPr>
          </w:p>
        </w:tc>
        <w:tc>
          <w:tcPr>
            <w:tcW w:w="3740" w:type="dxa"/>
            <w:vAlign w:val="bottom"/>
            <w:vMerge w:val="continue"/>
            <w:shd w:val="clear" w:color="auto" w:fill="E1E1D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vMerge w:val="continue"/>
            <w:shd w:val="clear" w:color="auto" w:fill="E1E1DF"/>
          </w:tcPr>
          <w:p>
            <w:pPr>
              <w:spacing w:after="0"/>
              <w:rPr>
                <w:sz w:val="15"/>
                <w:szCs w:val="15"/>
                <w:color w:val="auto"/>
              </w:rPr>
            </w:pPr>
          </w:p>
        </w:tc>
        <w:tc>
          <w:tcPr>
            <w:tcW w:w="3600" w:type="dxa"/>
            <w:vAlign w:val="bottom"/>
            <w:shd w:val="clear" w:color="auto" w:fill="E1E1DF"/>
          </w:tcPr>
          <w:p>
            <w:pPr>
              <w:spacing w:after="0"/>
              <w:rPr>
                <w:sz w:val="15"/>
                <w:szCs w:val="15"/>
                <w:color w:val="auto"/>
              </w:rPr>
            </w:pPr>
          </w:p>
        </w:tc>
        <w:tc>
          <w:tcPr>
            <w:tcW w:w="360" w:type="dxa"/>
            <w:vAlign w:val="bottom"/>
            <w:shd w:val="clear" w:color="auto" w:fill="E1E1DF"/>
          </w:tcPr>
          <w:p>
            <w:pPr>
              <w:spacing w:after="0"/>
              <w:rPr>
                <w:sz w:val="15"/>
                <w:szCs w:val="15"/>
                <w:color w:val="auto"/>
              </w:rPr>
            </w:pPr>
          </w:p>
        </w:tc>
        <w:tc>
          <w:tcPr>
            <w:tcW w:w="3740" w:type="dxa"/>
            <w:vAlign w:val="bottom"/>
            <w:shd w:val="clear" w:color="auto" w:fill="E1E1D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4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exchange</w:t>
            </w:r>
          </w:p>
        </w:tc>
        <w:tc>
          <w:tcPr>
            <w:tcW w:w="3600" w:type="dxa"/>
            <w:vAlign w:val="bottom"/>
            <w:shd w:val="clear" w:color="auto" w:fill="E1E1DF"/>
          </w:tcPr>
          <w:p>
            <w:pPr>
              <w:spacing w:after="0"/>
              <w:rPr>
                <w:sz w:val="16"/>
                <w:szCs w:val="16"/>
                <w:color w:val="auto"/>
              </w:rPr>
            </w:pPr>
          </w:p>
        </w:tc>
        <w:tc>
          <w:tcPr>
            <w:tcW w:w="360" w:type="dxa"/>
            <w:vAlign w:val="bottom"/>
            <w:shd w:val="clear" w:color="auto" w:fill="E1E1DF"/>
          </w:tcPr>
          <w:p>
            <w:pPr>
              <w:spacing w:after="0"/>
              <w:rPr>
                <w:sz w:val="16"/>
                <w:szCs w:val="16"/>
                <w:color w:val="auto"/>
              </w:rPr>
            </w:pPr>
          </w:p>
        </w:tc>
        <w:tc>
          <w:tcPr>
            <w:tcW w:w="3740" w:type="dxa"/>
            <w:vAlign w:val="bottom"/>
            <w:shd w:val="clear" w:color="auto" w:fill="E1E1DF"/>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540" w:type="dxa"/>
            <w:vAlign w:val="bottom"/>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Insurance</w:t>
            </w:r>
          </w:p>
        </w:tc>
        <w:tc>
          <w:tcPr>
            <w:tcW w:w="3600" w:type="dxa"/>
            <w:vAlign w:val="bottom"/>
            <w:shd w:val="clear" w:color="auto" w:fill="E1E1DF"/>
          </w:tcPr>
          <w:p>
            <w:pPr>
              <w:spacing w:after="0"/>
              <w:rPr>
                <w:sz w:val="24"/>
                <w:szCs w:val="24"/>
                <w:color w:val="auto"/>
              </w:rPr>
            </w:pPr>
          </w:p>
        </w:tc>
        <w:tc>
          <w:tcPr>
            <w:tcW w:w="360" w:type="dxa"/>
            <w:vAlign w:val="bottom"/>
            <w:shd w:val="clear" w:color="auto" w:fill="E1E1DF"/>
          </w:tcPr>
          <w:p>
            <w:pPr>
              <w:spacing w:after="0"/>
              <w:rPr>
                <w:sz w:val="24"/>
                <w:szCs w:val="24"/>
                <w:color w:val="auto"/>
              </w:rPr>
            </w:pPr>
          </w:p>
        </w:tc>
        <w:tc>
          <w:tcPr>
            <w:tcW w:w="3740" w:type="dxa"/>
            <w:vAlign w:val="bottom"/>
            <w:shd w:val="clear" w:color="auto" w:fill="E1E1DF"/>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540" w:type="dxa"/>
            <w:vAlign w:val="bottom"/>
            <w:shd w:val="clear" w:color="auto" w:fill="E1E1DF"/>
          </w:tcPr>
          <w:p>
            <w:pPr>
              <w:spacing w:after="0"/>
              <w:rPr>
                <w:sz w:val="6"/>
                <w:szCs w:val="6"/>
                <w:color w:val="auto"/>
              </w:rPr>
            </w:pPr>
          </w:p>
        </w:tc>
        <w:tc>
          <w:tcPr>
            <w:tcW w:w="3600" w:type="dxa"/>
            <w:vAlign w:val="bottom"/>
            <w:shd w:val="clear" w:color="auto" w:fill="E1E1DF"/>
          </w:tcPr>
          <w:p>
            <w:pPr>
              <w:spacing w:after="0"/>
              <w:rPr>
                <w:sz w:val="6"/>
                <w:szCs w:val="6"/>
                <w:color w:val="auto"/>
              </w:rPr>
            </w:pPr>
          </w:p>
        </w:tc>
        <w:tc>
          <w:tcPr>
            <w:tcW w:w="360" w:type="dxa"/>
            <w:vAlign w:val="bottom"/>
            <w:shd w:val="clear" w:color="auto" w:fill="E1E1DF"/>
          </w:tcPr>
          <w:p>
            <w:pPr>
              <w:spacing w:after="0"/>
              <w:rPr>
                <w:sz w:val="6"/>
                <w:szCs w:val="6"/>
                <w:color w:val="auto"/>
              </w:rPr>
            </w:pPr>
          </w:p>
        </w:tc>
        <w:tc>
          <w:tcPr>
            <w:tcW w:w="374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3540" w:type="dxa"/>
            <w:vAlign w:val="bottom"/>
          </w:tcPr>
          <w:p>
            <w:pPr>
              <w:spacing w:after="0"/>
              <w:rPr>
                <w:sz w:val="20"/>
                <w:szCs w:val="20"/>
                <w:color w:val="auto"/>
              </w:rPr>
            </w:pPr>
            <w:r>
              <w:rPr>
                <w:rFonts w:ascii="Arial" w:cs="Arial" w:eastAsia="Arial" w:hAnsi="Arial"/>
                <w:sz w:val="14"/>
                <w:szCs w:val="14"/>
                <w:color w:val="auto"/>
              </w:rPr>
              <w:t>49  TechnipFMC</w:t>
            </w:r>
          </w:p>
        </w:tc>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35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15"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Committees of the Board of Directors</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3B3C43"/>
        </w:rPr>
        <w:t>In 2020, to better reflect our focus on corporate responsibility and sustainability at the Board level, the Nominating and Corporate Governance Committee’s charter was substantially expanded to include oversight of the Company’s policies, programs, and strategies related to environmental stewardship, responsible investment, corporate citizenship, human rights, human capital management, ESG risk management, and other ESG matters, as well as other social and public matters of significance to the Company. This committee, now renamed our ESG Committee, also reviews and monitors the development and implementation of ESG targets, standards, metrics or methodologies, and reviews the Company’s public disclosures with respect to ESG matters.</w:t>
      </w:r>
    </w:p>
    <w:p>
      <w:pPr>
        <w:spacing w:after="0" w:line="17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3B3C43"/>
        </w:rPr>
        <w:t>Accordingly, our Board currently has an Audit Committee, a Compensation Committee, and an ESG Committee, each of which comprises a minimum of three directors selected by the Board upon recommendation of the ESG Committee. Each member of our Audit Committee, Compensation Committee, and ESG Committee, which includes all members of our Board other than our Chairman and CEO, meets the independence standards as defined under the NYSE’s listing standards and SEC rules, as applicable. Additionally, each member of our Audit Committee qualifies as an “audit committee financial expert,” as defined by SEC rules.</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 xml:space="preserve">The Board receives regular updates from its committees on individual categories of risk, including strategy, financial/operations, cybersecurity, people, technology, investment, legal/compliance, political/legislative/regulatory, and corporate responsibility and sustainability. Each of these committees operates pursuant to a written charter setting out the functions and responsibilities of the committee, which is reviewed annually, and may be viewed on our website at </w:t>
      </w:r>
      <w:r>
        <w:rPr>
          <w:rFonts w:ascii="Arial" w:cs="Arial" w:eastAsia="Arial" w:hAnsi="Arial"/>
          <w:sz w:val="16"/>
          <w:szCs w:val="16"/>
          <w:b w:val="1"/>
          <w:bCs w:val="1"/>
          <w:i w:val="1"/>
          <w:iCs w:val="1"/>
          <w:color w:val="4B1F68"/>
        </w:rPr>
        <w:t xml:space="preserve">www.technipfmc.com </w:t>
      </w:r>
      <w:r>
        <w:rPr>
          <w:rFonts w:ascii="Arial" w:cs="Arial" w:eastAsia="Arial" w:hAnsi="Arial"/>
          <w:sz w:val="16"/>
          <w:szCs w:val="16"/>
          <w:color w:val="3B3C43"/>
        </w:rPr>
        <w:t>under the heading</w:t>
      </w:r>
      <w:r>
        <w:rPr>
          <w:rFonts w:ascii="Arial" w:cs="Arial" w:eastAsia="Arial" w:hAnsi="Arial"/>
          <w:sz w:val="16"/>
          <w:szCs w:val="16"/>
          <w:b w:val="1"/>
          <w:bCs w:val="1"/>
          <w:i w:val="1"/>
          <w:iCs w:val="1"/>
          <w:color w:val="4B1F68"/>
        </w:rPr>
        <w:t xml:space="preserve"> </w:t>
      </w:r>
      <w:r>
        <w:rPr>
          <w:rFonts w:ascii="Arial" w:cs="Arial" w:eastAsia="Arial" w:hAnsi="Arial"/>
          <w:sz w:val="16"/>
          <w:szCs w:val="16"/>
          <w:i w:val="1"/>
          <w:iCs w:val="1"/>
          <w:color w:val="3B3C43"/>
        </w:rPr>
        <w:t>“About us &gt; Governance:”</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50</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Audit Committee</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2020 Meetings: 6</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Current Members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6"/>
          <w:szCs w:val="16"/>
          <w:color w:val="3B3C43"/>
        </w:rPr>
        <w:t>Kay G. Priestly (Chair)</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color w:val="3B3C43"/>
        </w:rPr>
        <w:t>Eleazar de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3B3C43"/>
        </w:rPr>
        <w:t>Carvalho Filho</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color w:val="3B3C43"/>
        </w:rPr>
        <w:t>Sophie Zurquiyah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51</w:t>
        <w:tab/>
        <w:t>TechnipFMC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-379095</wp:posOffset>
            </wp:positionV>
            <wp:extent cx="7132320" cy="3188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188970"/>
                    </a:xfrm>
                    <a:prstGeom prst="rect">
                      <a:avLst/>
                    </a:prstGeom>
                    <a:noFill/>
                  </pic:spPr>
                </pic:pic>
              </a:graphicData>
            </a:graphic>
          </wp:anchor>
        </w:drawing>
      </w:r>
    </w:p>
    <w:p>
      <w:pPr>
        <w:spacing w:after="0" w:line="167" w:lineRule="exact"/>
        <w:rPr>
          <w:sz w:val="20"/>
          <w:szCs w:val="20"/>
          <w:color w:val="auto"/>
        </w:rPr>
      </w:pPr>
    </w:p>
    <w:p>
      <w:pPr>
        <w:ind w:left="260" w:right="100" w:hanging="255"/>
        <w:spacing w:after="0" w:line="260" w:lineRule="auto"/>
        <w:tabs>
          <w:tab w:leader="none" w:pos="258" w:val="left"/>
        </w:tabs>
        <w:numPr>
          <w:ilvl w:val="0"/>
          <w:numId w:val="61"/>
        </w:numPr>
        <w:rPr>
          <w:rFonts w:ascii="Arial" w:cs="Arial" w:eastAsia="Arial" w:hAnsi="Arial"/>
          <w:sz w:val="16"/>
          <w:szCs w:val="16"/>
          <w:color w:val="4B1F68"/>
        </w:rPr>
      </w:pPr>
      <w:r>
        <w:rPr>
          <w:rFonts w:ascii="Arial" w:cs="Arial" w:eastAsia="Arial" w:hAnsi="Arial"/>
          <w:sz w:val="16"/>
          <w:szCs w:val="16"/>
          <w:color w:val="3B3C43"/>
        </w:rPr>
        <w:t>Oversight of the financial management and control of the Company, as well as oversight of the Company’s independent registered public accounting firm</w:t>
      </w:r>
    </w:p>
    <w:p>
      <w:pPr>
        <w:spacing w:after="0" w:line="141" w:lineRule="exact"/>
        <w:rPr>
          <w:rFonts w:ascii="Arial" w:cs="Arial" w:eastAsia="Arial" w:hAnsi="Arial"/>
          <w:sz w:val="16"/>
          <w:szCs w:val="16"/>
          <w:color w:val="4B1F68"/>
        </w:rPr>
      </w:pPr>
    </w:p>
    <w:p>
      <w:pPr>
        <w:ind w:left="260" w:hanging="255"/>
        <w:spacing w:after="0"/>
        <w:tabs>
          <w:tab w:leader="none" w:pos="260" w:val="left"/>
        </w:tabs>
        <w:numPr>
          <w:ilvl w:val="0"/>
          <w:numId w:val="61"/>
        </w:numPr>
        <w:rPr>
          <w:rFonts w:ascii="Arial" w:cs="Arial" w:eastAsia="Arial" w:hAnsi="Arial"/>
          <w:sz w:val="16"/>
          <w:szCs w:val="16"/>
          <w:color w:val="4B1F68"/>
        </w:rPr>
      </w:pPr>
      <w:r>
        <w:rPr>
          <w:rFonts w:ascii="Arial" w:cs="Arial" w:eastAsia="Arial" w:hAnsi="Arial"/>
          <w:sz w:val="16"/>
          <w:szCs w:val="16"/>
          <w:color w:val="3B3C43"/>
        </w:rPr>
        <w:t>Monitoring the Company’s financial reporting process</w:t>
      </w:r>
    </w:p>
    <w:p>
      <w:pPr>
        <w:spacing w:after="0" w:line="167" w:lineRule="exact"/>
        <w:rPr>
          <w:rFonts w:ascii="Arial" w:cs="Arial" w:eastAsia="Arial" w:hAnsi="Arial"/>
          <w:sz w:val="16"/>
          <w:szCs w:val="16"/>
          <w:color w:val="4B1F68"/>
        </w:rPr>
      </w:pPr>
    </w:p>
    <w:p>
      <w:pPr>
        <w:ind w:left="260" w:hanging="255"/>
        <w:spacing w:after="0" w:line="260" w:lineRule="auto"/>
        <w:tabs>
          <w:tab w:leader="none" w:pos="258" w:val="left"/>
        </w:tabs>
        <w:numPr>
          <w:ilvl w:val="0"/>
          <w:numId w:val="61"/>
        </w:numPr>
        <w:rPr>
          <w:rFonts w:ascii="Arial" w:cs="Arial" w:eastAsia="Arial" w:hAnsi="Arial"/>
          <w:sz w:val="16"/>
          <w:szCs w:val="16"/>
          <w:color w:val="4B1F68"/>
        </w:rPr>
      </w:pPr>
      <w:r>
        <w:rPr>
          <w:rFonts w:ascii="Arial" w:cs="Arial" w:eastAsia="Arial" w:hAnsi="Arial"/>
          <w:sz w:val="16"/>
          <w:szCs w:val="16"/>
          <w:color w:val="3B3C43"/>
        </w:rPr>
        <w:t>Reviewing the Company’s consolidated financial statements and internal controls with management and the independent auditor</w:t>
      </w:r>
    </w:p>
    <w:p>
      <w:pPr>
        <w:spacing w:after="0" w:line="141" w:lineRule="exact"/>
        <w:rPr>
          <w:rFonts w:ascii="Arial" w:cs="Arial" w:eastAsia="Arial" w:hAnsi="Arial"/>
          <w:sz w:val="16"/>
          <w:szCs w:val="16"/>
          <w:color w:val="4B1F68"/>
        </w:rPr>
      </w:pPr>
    </w:p>
    <w:p>
      <w:pPr>
        <w:jc w:val="both"/>
        <w:ind w:left="260" w:right="80" w:hanging="255"/>
        <w:spacing w:after="0" w:line="253" w:lineRule="auto"/>
        <w:tabs>
          <w:tab w:leader="none" w:pos="258" w:val="left"/>
        </w:tabs>
        <w:numPr>
          <w:ilvl w:val="0"/>
          <w:numId w:val="61"/>
        </w:numPr>
        <w:rPr>
          <w:rFonts w:ascii="Arial" w:cs="Arial" w:eastAsia="Arial" w:hAnsi="Arial"/>
          <w:sz w:val="16"/>
          <w:szCs w:val="16"/>
          <w:color w:val="4B1F68"/>
        </w:rPr>
      </w:pPr>
      <w:r>
        <w:rPr>
          <w:rFonts w:ascii="Arial" w:cs="Arial" w:eastAsia="Arial" w:hAnsi="Arial"/>
          <w:sz w:val="16"/>
          <w:szCs w:val="16"/>
          <w:color w:val="3B3C43"/>
        </w:rPr>
        <w:t>Monitoring the Company’s compliance with its internal accounting and control policies, as well as legal and regulatory requirements to the extent such compliance relates to the consolidated financial statements and financial disclosures</w:t>
      </w:r>
    </w:p>
    <w:p>
      <w:pPr>
        <w:spacing w:after="0" w:line="147" w:lineRule="exact"/>
        <w:rPr>
          <w:rFonts w:ascii="Arial" w:cs="Arial" w:eastAsia="Arial" w:hAnsi="Arial"/>
          <w:sz w:val="16"/>
          <w:szCs w:val="16"/>
          <w:color w:val="4B1F68"/>
        </w:rPr>
      </w:pPr>
    </w:p>
    <w:p>
      <w:pPr>
        <w:ind w:left="260" w:right="700" w:hanging="255"/>
        <w:spacing w:after="0" w:line="260" w:lineRule="auto"/>
        <w:tabs>
          <w:tab w:leader="none" w:pos="258" w:val="left"/>
        </w:tabs>
        <w:numPr>
          <w:ilvl w:val="0"/>
          <w:numId w:val="61"/>
        </w:numPr>
        <w:rPr>
          <w:rFonts w:ascii="Arial" w:cs="Arial" w:eastAsia="Arial" w:hAnsi="Arial"/>
          <w:sz w:val="16"/>
          <w:szCs w:val="16"/>
          <w:color w:val="4B1F68"/>
        </w:rPr>
      </w:pPr>
      <w:r>
        <w:rPr>
          <w:rFonts w:ascii="Arial" w:cs="Arial" w:eastAsia="Arial" w:hAnsi="Arial"/>
          <w:sz w:val="16"/>
          <w:szCs w:val="16"/>
          <w:color w:val="3B3C43"/>
        </w:rPr>
        <w:t>Selecting, subject to shareholder approval, the Company’s independent auditor, and reviewing the qualifications, independence, performance, and remuneration of such independent auditor</w:t>
      </w:r>
    </w:p>
    <w:p>
      <w:pPr>
        <w:spacing w:after="0" w:line="141" w:lineRule="exact"/>
        <w:rPr>
          <w:rFonts w:ascii="Arial" w:cs="Arial" w:eastAsia="Arial" w:hAnsi="Arial"/>
          <w:sz w:val="16"/>
          <w:szCs w:val="16"/>
          <w:color w:val="4B1F68"/>
        </w:rPr>
      </w:pPr>
    </w:p>
    <w:p>
      <w:pPr>
        <w:ind w:left="260" w:hanging="255"/>
        <w:spacing w:after="0"/>
        <w:tabs>
          <w:tab w:leader="none" w:pos="260" w:val="left"/>
        </w:tabs>
        <w:numPr>
          <w:ilvl w:val="0"/>
          <w:numId w:val="61"/>
        </w:numPr>
        <w:rPr>
          <w:rFonts w:ascii="Arial" w:cs="Arial" w:eastAsia="Arial" w:hAnsi="Arial"/>
          <w:sz w:val="16"/>
          <w:szCs w:val="16"/>
          <w:color w:val="4B1F68"/>
        </w:rPr>
      </w:pPr>
      <w:r>
        <w:rPr>
          <w:rFonts w:ascii="Arial" w:cs="Arial" w:eastAsia="Arial" w:hAnsi="Arial"/>
          <w:sz w:val="16"/>
          <w:szCs w:val="16"/>
          <w:color w:val="3B3C43"/>
        </w:rPr>
        <w:t>Reviewing the effectiveness and performance of the Company’s internal audit function</w:t>
      </w:r>
    </w:p>
    <w:p>
      <w:pPr>
        <w:spacing w:after="0" w:line="167" w:lineRule="exact"/>
        <w:rPr>
          <w:rFonts w:ascii="Arial" w:cs="Arial" w:eastAsia="Arial" w:hAnsi="Arial"/>
          <w:sz w:val="16"/>
          <w:szCs w:val="16"/>
          <w:color w:val="4B1F68"/>
        </w:rPr>
      </w:pPr>
    </w:p>
    <w:p>
      <w:pPr>
        <w:ind w:left="260" w:hanging="255"/>
        <w:spacing w:after="0" w:line="253" w:lineRule="auto"/>
        <w:tabs>
          <w:tab w:leader="none" w:pos="258" w:val="left"/>
        </w:tabs>
        <w:numPr>
          <w:ilvl w:val="0"/>
          <w:numId w:val="61"/>
        </w:numPr>
        <w:rPr>
          <w:rFonts w:ascii="Arial" w:cs="Arial" w:eastAsia="Arial" w:hAnsi="Arial"/>
          <w:sz w:val="16"/>
          <w:szCs w:val="16"/>
          <w:color w:val="4B1F68"/>
        </w:rPr>
      </w:pPr>
      <w:r>
        <w:rPr>
          <w:rFonts w:ascii="Arial" w:cs="Arial" w:eastAsia="Arial" w:hAnsi="Arial"/>
          <w:sz w:val="16"/>
          <w:szCs w:val="16"/>
          <w:color w:val="3B3C43"/>
        </w:rPr>
        <w:t>Considers risks relating to cybersecurity and receives regular reports on the Company’s cyber readiness, adversary assessment, risk profile status, and any countermeasures being undertaken or considered by the Company</w:t>
      </w:r>
    </w:p>
    <w:p>
      <w:pPr>
        <w:spacing w:after="0" w:line="147" w:lineRule="exact"/>
        <w:rPr>
          <w:rFonts w:ascii="Arial" w:cs="Arial" w:eastAsia="Arial" w:hAnsi="Arial"/>
          <w:sz w:val="16"/>
          <w:szCs w:val="16"/>
          <w:color w:val="4B1F68"/>
        </w:rPr>
      </w:pPr>
    </w:p>
    <w:p>
      <w:pPr>
        <w:ind w:left="260" w:right="20" w:hanging="255"/>
        <w:spacing w:after="0" w:line="260" w:lineRule="auto"/>
        <w:tabs>
          <w:tab w:leader="none" w:pos="258" w:val="left"/>
        </w:tabs>
        <w:numPr>
          <w:ilvl w:val="0"/>
          <w:numId w:val="61"/>
        </w:numPr>
        <w:rPr>
          <w:rFonts w:ascii="Arial" w:cs="Arial" w:eastAsia="Arial" w:hAnsi="Arial"/>
          <w:sz w:val="16"/>
          <w:szCs w:val="16"/>
          <w:color w:val="4B1F68"/>
        </w:rPr>
      </w:pPr>
      <w:r>
        <w:rPr>
          <w:rFonts w:ascii="Arial" w:cs="Arial" w:eastAsia="Arial" w:hAnsi="Arial"/>
          <w:sz w:val="16"/>
          <w:szCs w:val="16"/>
          <w:color w:val="3B3C43"/>
        </w:rPr>
        <w:t>Reviewing the effectiveness of processes for reviewing and escalating financial-related allegations reported through the Company’s allegation hotline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654050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400" w:space="640"/>
            <w:col w:w="7960"/>
          </w:cols>
          <w:pgMar w:left="320" w:top="315" w:right="57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4B1F68"/>
        </w:rPr>
        <w:t>Compensation Committee</w:t>
      </w:r>
    </w:p>
    <w:p>
      <w:pPr>
        <w:spacing w:after="0" w:line="27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2020 Meetings: 5</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Current Members</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6"/>
          <w:szCs w:val="16"/>
          <w:color w:val="3B3C43"/>
        </w:rPr>
        <w:t>James M. Ringler (Chair)</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3B3C43"/>
        </w:rPr>
        <w:t>John O’Leary</w:t>
      </w:r>
    </w:p>
    <w:p>
      <w:pPr>
        <w:ind w:left="100"/>
        <w:spacing w:after="0" w:line="231" w:lineRule="auto"/>
        <w:rPr>
          <w:sz w:val="20"/>
          <w:szCs w:val="20"/>
          <w:color w:val="auto"/>
        </w:rPr>
      </w:pPr>
      <w:r>
        <w:rPr>
          <w:rFonts w:ascii="Arial" w:cs="Arial" w:eastAsia="Arial" w:hAnsi="Arial"/>
          <w:sz w:val="16"/>
          <w:szCs w:val="16"/>
          <w:color w:val="3B3C43"/>
        </w:rPr>
        <w:t>(Chair-elect)</w:t>
      </w:r>
      <w:r>
        <w:rPr>
          <w:rFonts w:ascii="Arial" w:cs="Arial" w:eastAsia="Arial" w:hAnsi="Arial"/>
          <w:sz w:val="26"/>
          <w:szCs w:val="26"/>
          <w:color w:val="3B3C43"/>
          <w:vertAlign w:val="superscript"/>
        </w:rPr>
        <w:t>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3B3C43"/>
        </w:rPr>
        <w:t>Claire S. Farley</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color w:val="3B3C43"/>
        </w:rPr>
        <w:t>John Yearwood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-379095</wp:posOffset>
            </wp:positionV>
            <wp:extent cx="7132320" cy="25031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167" w:lineRule="exact"/>
        <w:rPr>
          <w:sz w:val="20"/>
          <w:szCs w:val="20"/>
          <w:color w:val="auto"/>
        </w:rPr>
      </w:pPr>
    </w:p>
    <w:p>
      <w:pPr>
        <w:ind w:left="260" w:right="520" w:hanging="255"/>
        <w:spacing w:after="0" w:line="260" w:lineRule="auto"/>
        <w:tabs>
          <w:tab w:leader="none" w:pos="258" w:val="left"/>
        </w:tabs>
        <w:numPr>
          <w:ilvl w:val="0"/>
          <w:numId w:val="62"/>
        </w:numPr>
        <w:rPr>
          <w:rFonts w:ascii="Arial" w:cs="Arial" w:eastAsia="Arial" w:hAnsi="Arial"/>
          <w:sz w:val="16"/>
          <w:szCs w:val="16"/>
          <w:color w:val="4B1F68"/>
        </w:rPr>
      </w:pPr>
      <w:r>
        <w:rPr>
          <w:rFonts w:ascii="Arial" w:cs="Arial" w:eastAsia="Arial" w:hAnsi="Arial"/>
          <w:sz w:val="16"/>
          <w:szCs w:val="16"/>
          <w:color w:val="3B3C43"/>
        </w:rPr>
        <w:t>Reviewing, evaluating, and approving the agreements, plans, policies, and programs of the Company to compensate its independent directors, the Chairman and CEO, and other officers</w:t>
      </w:r>
    </w:p>
    <w:p>
      <w:pPr>
        <w:spacing w:after="0" w:line="141" w:lineRule="exact"/>
        <w:rPr>
          <w:rFonts w:ascii="Arial" w:cs="Arial" w:eastAsia="Arial" w:hAnsi="Arial"/>
          <w:sz w:val="16"/>
          <w:szCs w:val="16"/>
          <w:color w:val="4B1F68"/>
        </w:rPr>
      </w:pPr>
    </w:p>
    <w:p>
      <w:pPr>
        <w:ind w:left="260" w:right="180" w:hanging="255"/>
        <w:spacing w:after="0" w:line="253" w:lineRule="auto"/>
        <w:tabs>
          <w:tab w:leader="none" w:pos="258" w:val="left"/>
        </w:tabs>
        <w:numPr>
          <w:ilvl w:val="0"/>
          <w:numId w:val="62"/>
        </w:numPr>
        <w:rPr>
          <w:rFonts w:ascii="Arial" w:cs="Arial" w:eastAsia="Arial" w:hAnsi="Arial"/>
          <w:sz w:val="16"/>
          <w:szCs w:val="16"/>
          <w:color w:val="4B1F68"/>
        </w:rPr>
      </w:pPr>
      <w:r>
        <w:rPr>
          <w:rFonts w:ascii="Arial" w:cs="Arial" w:eastAsia="Arial" w:hAnsi="Arial"/>
          <w:sz w:val="16"/>
          <w:szCs w:val="16"/>
          <w:color w:val="3B3C43"/>
        </w:rPr>
        <w:t>Consistent with equity plans approved by the Company’s shareholders, reviewing, evaluating, and approving all equity awards by the Company to executive officers and approving the number of equity securities or equity derivatives that the CEO is authorized to allocate to all other employees at his discretion</w:t>
      </w:r>
    </w:p>
    <w:p>
      <w:pPr>
        <w:spacing w:after="0" w:line="147" w:lineRule="exact"/>
        <w:rPr>
          <w:rFonts w:ascii="Arial" w:cs="Arial" w:eastAsia="Arial" w:hAnsi="Arial"/>
          <w:sz w:val="16"/>
          <w:szCs w:val="16"/>
          <w:color w:val="4B1F68"/>
        </w:rPr>
      </w:pPr>
    </w:p>
    <w:p>
      <w:pPr>
        <w:ind w:left="260" w:right="340" w:hanging="255"/>
        <w:spacing w:after="0" w:line="260" w:lineRule="auto"/>
        <w:tabs>
          <w:tab w:leader="none" w:pos="258" w:val="left"/>
        </w:tabs>
        <w:numPr>
          <w:ilvl w:val="0"/>
          <w:numId w:val="62"/>
        </w:numPr>
        <w:rPr>
          <w:rFonts w:ascii="Arial" w:cs="Arial" w:eastAsia="Arial" w:hAnsi="Arial"/>
          <w:sz w:val="16"/>
          <w:szCs w:val="16"/>
          <w:color w:val="4B1F68"/>
        </w:rPr>
      </w:pPr>
      <w:r>
        <w:rPr>
          <w:rFonts w:ascii="Arial" w:cs="Arial" w:eastAsia="Arial" w:hAnsi="Arial"/>
          <w:sz w:val="16"/>
          <w:szCs w:val="16"/>
          <w:color w:val="3B3C43"/>
        </w:rPr>
        <w:t>Reviewing the compensation disclosures in the Company’s U.K. annual report and proxy statement for the Company’s annual general meeting of shareholders</w:t>
      </w:r>
    </w:p>
    <w:p>
      <w:pPr>
        <w:spacing w:after="0" w:line="141" w:lineRule="exact"/>
        <w:rPr>
          <w:rFonts w:ascii="Arial" w:cs="Arial" w:eastAsia="Arial" w:hAnsi="Arial"/>
          <w:sz w:val="16"/>
          <w:szCs w:val="16"/>
          <w:color w:val="4B1F68"/>
        </w:rPr>
      </w:pPr>
    </w:p>
    <w:p>
      <w:pPr>
        <w:ind w:left="260" w:hanging="255"/>
        <w:spacing w:after="0"/>
        <w:tabs>
          <w:tab w:leader="none" w:pos="260" w:val="left"/>
        </w:tabs>
        <w:numPr>
          <w:ilvl w:val="0"/>
          <w:numId w:val="62"/>
        </w:numPr>
        <w:rPr>
          <w:rFonts w:ascii="Arial" w:cs="Arial" w:eastAsia="Arial" w:hAnsi="Arial"/>
          <w:sz w:val="16"/>
          <w:szCs w:val="16"/>
          <w:color w:val="4B1F68"/>
        </w:rPr>
      </w:pPr>
      <w:r>
        <w:rPr>
          <w:rFonts w:ascii="Arial" w:cs="Arial" w:eastAsia="Arial" w:hAnsi="Arial"/>
          <w:sz w:val="16"/>
          <w:szCs w:val="16"/>
          <w:color w:val="3B3C43"/>
        </w:rPr>
        <w:t>Producing the Compensation Committee Report to be included in the Company’s proxy statement</w:t>
      </w:r>
    </w:p>
    <w:p>
      <w:pPr>
        <w:spacing w:after="0" w:line="167" w:lineRule="exact"/>
        <w:rPr>
          <w:rFonts w:ascii="Arial" w:cs="Arial" w:eastAsia="Arial" w:hAnsi="Arial"/>
          <w:sz w:val="16"/>
          <w:szCs w:val="16"/>
          <w:color w:val="4B1F68"/>
        </w:rPr>
      </w:pPr>
    </w:p>
    <w:p>
      <w:pPr>
        <w:ind w:left="260" w:right="540" w:hanging="255"/>
        <w:spacing w:after="0" w:line="260" w:lineRule="auto"/>
        <w:tabs>
          <w:tab w:leader="none" w:pos="258" w:val="left"/>
        </w:tabs>
        <w:numPr>
          <w:ilvl w:val="0"/>
          <w:numId w:val="62"/>
        </w:numPr>
        <w:rPr>
          <w:rFonts w:ascii="Arial" w:cs="Arial" w:eastAsia="Arial" w:hAnsi="Arial"/>
          <w:sz w:val="16"/>
          <w:szCs w:val="16"/>
          <w:color w:val="4B1F68"/>
        </w:rPr>
      </w:pPr>
      <w:r>
        <w:rPr>
          <w:rFonts w:ascii="Arial" w:cs="Arial" w:eastAsia="Arial" w:hAnsi="Arial"/>
          <w:sz w:val="16"/>
          <w:szCs w:val="16"/>
          <w:color w:val="3B3C43"/>
        </w:rPr>
        <w:t>Reviewing, evaluating, and approving the directors’ remuneration policy and the directors’ remuneration report</w:t>
      </w:r>
    </w:p>
    <w:p>
      <w:pPr>
        <w:spacing w:after="0" w:line="141" w:lineRule="exact"/>
        <w:rPr>
          <w:rFonts w:ascii="Arial" w:cs="Arial" w:eastAsia="Arial" w:hAnsi="Arial"/>
          <w:sz w:val="16"/>
          <w:szCs w:val="16"/>
          <w:color w:val="4B1F68"/>
        </w:rPr>
      </w:pPr>
    </w:p>
    <w:p>
      <w:pPr>
        <w:ind w:left="260" w:right="560" w:hanging="255"/>
        <w:spacing w:after="0" w:line="260" w:lineRule="auto"/>
        <w:tabs>
          <w:tab w:leader="none" w:pos="258" w:val="left"/>
        </w:tabs>
        <w:numPr>
          <w:ilvl w:val="0"/>
          <w:numId w:val="62"/>
        </w:numPr>
        <w:rPr>
          <w:rFonts w:ascii="Arial" w:cs="Arial" w:eastAsia="Arial" w:hAnsi="Arial"/>
          <w:sz w:val="16"/>
          <w:szCs w:val="16"/>
          <w:color w:val="4B1F68"/>
        </w:rPr>
      </w:pPr>
      <w:r>
        <w:rPr>
          <w:rFonts w:ascii="Arial" w:cs="Arial" w:eastAsia="Arial" w:hAnsi="Arial"/>
          <w:sz w:val="16"/>
          <w:szCs w:val="16"/>
          <w:color w:val="3B3C43"/>
        </w:rPr>
        <w:t>Otherwise discharging the Board’s responsibilities related to compensation of the Company’s executive officers and directors</w:t>
      </w:r>
    </w:p>
    <w:p>
      <w:pPr>
        <w:spacing w:after="0" w:line="200" w:lineRule="exact"/>
        <w:rPr>
          <w:sz w:val="20"/>
          <w:szCs w:val="20"/>
          <w:color w:val="auto"/>
        </w:rPr>
      </w:pPr>
    </w:p>
    <w:p>
      <w:pPr>
        <w:sectPr>
          <w:pgSz w:w="11900" w:h="16838" w:orient="portrait"/>
          <w:cols w:equalWidth="0" w:num="2">
            <w:col w:w="2460" w:space="580"/>
            <w:col w:w="8200"/>
          </w:cols>
          <w:pgMar w:left="320" w:top="315" w:right="339" w:bottom="1440" w:gutter="0" w:footer="0" w:header="0"/>
        </w:sectPr>
      </w:pPr>
    </w:p>
    <w:p>
      <w:pPr>
        <w:spacing w:after="0" w:line="52" w:lineRule="exact"/>
        <w:rPr>
          <w:sz w:val="20"/>
          <w:szCs w:val="20"/>
          <w:color w:val="auto"/>
        </w:rPr>
      </w:pPr>
    </w:p>
    <w:p>
      <w:pPr>
        <w:ind w:left="340" w:right="280" w:hanging="332"/>
        <w:spacing w:after="0" w:line="258" w:lineRule="auto"/>
        <w:tabs>
          <w:tab w:leader="none" w:pos="340" w:val="left"/>
        </w:tabs>
        <w:numPr>
          <w:ilvl w:val="0"/>
          <w:numId w:val="63"/>
        </w:numPr>
        <w:rPr>
          <w:rFonts w:ascii="Arial" w:cs="Arial" w:eastAsia="Arial" w:hAnsi="Arial"/>
          <w:sz w:val="14"/>
          <w:szCs w:val="14"/>
          <w:color w:val="3B3C43"/>
        </w:rPr>
      </w:pPr>
      <w:r>
        <w:rPr>
          <w:rFonts w:ascii="Arial" w:cs="Arial" w:eastAsia="Arial" w:hAnsi="Arial"/>
          <w:sz w:val="14"/>
          <w:szCs w:val="14"/>
          <w:color w:val="3B3C43"/>
        </w:rPr>
        <w:t>Mr. Ringler, the Company’s current Compensation Committee Chair will not stand for re-election at the Annual Meeting. Mr. O’Leary will be appointed as Compensation Committee Chair, contingent upon his re-election, effective May 20, 2021.</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ESG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22802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280285"/>
                    </a:xfrm>
                    <a:prstGeom prst="rect">
                      <a:avLst/>
                    </a:prstGeom>
                    <a:noFill/>
                  </pic:spPr>
                </pic:pic>
              </a:graphicData>
            </a:graphic>
          </wp:anchor>
        </w:drawing>
      </w:r>
    </w:p>
    <w:p>
      <w:pPr>
        <w:spacing w:after="0" w:line="24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2020 Meetings: 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34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Current Members</w:t>
            </w:r>
          </w:p>
        </w:tc>
        <w:tc>
          <w:tcPr>
            <w:tcW w:w="8900" w:type="dxa"/>
            <w:vAlign w:val="bottom"/>
            <w:gridSpan w:val="2"/>
            <w:shd w:val="clear" w:color="auto" w:fill="4B1F68"/>
          </w:tcPr>
          <w:p>
            <w:pPr>
              <w:ind w:left="700"/>
              <w:spacing w:after="0"/>
              <w:rPr>
                <w:sz w:val="20"/>
                <w:szCs w:val="20"/>
                <w:color w:val="auto"/>
              </w:rPr>
            </w:pPr>
            <w:r>
              <w:rPr>
                <w:rFonts w:ascii="Arial" w:cs="Arial" w:eastAsia="Arial" w:hAnsi="Arial"/>
                <w:sz w:val="16"/>
                <w:szCs w:val="16"/>
                <w:b w:val="1"/>
                <w:bCs w:val="1"/>
                <w:color w:val="FFFFFF"/>
              </w:rPr>
              <w:t>Primary Responsibilities</w:t>
            </w:r>
          </w:p>
        </w:tc>
        <w:tc>
          <w:tcPr>
            <w:tcW w:w="0" w:type="dxa"/>
            <w:vAlign w:val="bottom"/>
          </w:tcPr>
          <w:p>
            <w:pPr>
              <w:spacing w:after="0"/>
              <w:rPr>
                <w:sz w:val="1"/>
                <w:szCs w:val="1"/>
                <w:color w:val="auto"/>
              </w:rPr>
            </w:pPr>
          </w:p>
        </w:tc>
      </w:tr>
      <w:tr>
        <w:trPr>
          <w:trHeight w:val="73"/>
        </w:trPr>
        <w:tc>
          <w:tcPr>
            <w:tcW w:w="2340" w:type="dxa"/>
            <w:vAlign w:val="bottom"/>
            <w:shd w:val="clear" w:color="auto" w:fill="4B1F68"/>
          </w:tcPr>
          <w:p>
            <w:pPr>
              <w:spacing w:after="0"/>
              <w:rPr>
                <w:sz w:val="6"/>
                <w:szCs w:val="6"/>
                <w:color w:val="auto"/>
              </w:rPr>
            </w:pPr>
          </w:p>
        </w:tc>
        <w:tc>
          <w:tcPr>
            <w:tcW w:w="8900" w:type="dxa"/>
            <w:vAlign w:val="bottom"/>
            <w:gridSpan w:val="2"/>
            <w:shd w:val="clear" w:color="auto" w:fill="4B1F68"/>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2340" w:type="dxa"/>
            <w:vAlign w:val="bottom"/>
          </w:tcPr>
          <w:p>
            <w:pPr>
              <w:ind w:left="100"/>
              <w:spacing w:after="0"/>
              <w:rPr>
                <w:sz w:val="20"/>
                <w:szCs w:val="20"/>
                <w:color w:val="auto"/>
              </w:rPr>
            </w:pPr>
            <w:r>
              <w:rPr>
                <w:rFonts w:ascii="Arial" w:cs="Arial" w:eastAsia="Arial" w:hAnsi="Arial"/>
                <w:sz w:val="16"/>
                <w:szCs w:val="16"/>
                <w:color w:val="3B3C43"/>
              </w:rPr>
              <w:t>Peter Mellbye (Chair)</w:t>
            </w:r>
          </w:p>
        </w:tc>
        <w:tc>
          <w:tcPr>
            <w:tcW w:w="8900" w:type="dxa"/>
            <w:vAlign w:val="bottom"/>
            <w:gridSpan w:val="2"/>
          </w:tcPr>
          <w:p>
            <w:pPr>
              <w:ind w:left="7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Advising and making recommendations to the Board regarding corporate governance and ESG practices and</w:t>
            </w:r>
          </w:p>
        </w:tc>
        <w:tc>
          <w:tcPr>
            <w:tcW w:w="0" w:type="dxa"/>
            <w:vAlign w:val="bottom"/>
          </w:tcPr>
          <w:p>
            <w:pPr>
              <w:spacing w:after="0"/>
              <w:rPr>
                <w:sz w:val="1"/>
                <w:szCs w:val="1"/>
                <w:color w:val="auto"/>
              </w:rPr>
            </w:pPr>
          </w:p>
        </w:tc>
      </w:tr>
      <w:tr>
        <w:trPr>
          <w:trHeight w:val="195"/>
        </w:trPr>
        <w:tc>
          <w:tcPr>
            <w:tcW w:w="2340" w:type="dxa"/>
            <w:vAlign w:val="bottom"/>
            <w:vMerge w:val="restart"/>
          </w:tcPr>
          <w:p>
            <w:pPr>
              <w:ind w:left="100"/>
              <w:spacing w:after="0"/>
              <w:rPr>
                <w:sz w:val="20"/>
                <w:szCs w:val="20"/>
                <w:color w:val="auto"/>
              </w:rPr>
            </w:pPr>
            <w:r>
              <w:rPr>
                <w:rFonts w:ascii="Arial" w:cs="Arial" w:eastAsia="Arial" w:hAnsi="Arial"/>
                <w:sz w:val="16"/>
                <w:szCs w:val="16"/>
                <w:color w:val="3B3C43"/>
              </w:rPr>
              <w:t>Margareth Øvrum</w:t>
            </w:r>
          </w:p>
        </w:tc>
        <w:tc>
          <w:tcPr>
            <w:tcW w:w="920" w:type="dxa"/>
            <w:vAlign w:val="bottom"/>
          </w:tcPr>
          <w:p>
            <w:pPr>
              <w:spacing w:after="0"/>
              <w:rPr>
                <w:sz w:val="16"/>
                <w:szCs w:val="16"/>
                <w:color w:val="auto"/>
              </w:rPr>
            </w:pPr>
          </w:p>
        </w:tc>
        <w:tc>
          <w:tcPr>
            <w:tcW w:w="7980" w:type="dxa"/>
            <w:vAlign w:val="bottom"/>
          </w:tcPr>
          <w:p>
            <w:pPr>
              <w:ind w:left="40"/>
              <w:spacing w:after="0"/>
              <w:rPr>
                <w:sz w:val="20"/>
                <w:szCs w:val="20"/>
                <w:color w:val="auto"/>
              </w:rPr>
            </w:pPr>
            <w:r>
              <w:rPr>
                <w:rFonts w:ascii="Arial" w:cs="Arial" w:eastAsia="Arial" w:hAnsi="Arial"/>
                <w:sz w:val="16"/>
                <w:szCs w:val="16"/>
                <w:color w:val="3B3C43"/>
              </w:rPr>
              <w:t>initiatives aznd overseeing the Company’s progress in implementing its practices and programs</w:t>
            </w:r>
          </w:p>
        </w:tc>
        <w:tc>
          <w:tcPr>
            <w:tcW w:w="0" w:type="dxa"/>
            <w:vAlign w:val="bottom"/>
          </w:tcPr>
          <w:p>
            <w:pPr>
              <w:spacing w:after="0"/>
              <w:rPr>
                <w:sz w:val="1"/>
                <w:szCs w:val="1"/>
                <w:color w:val="auto"/>
              </w:rPr>
            </w:pPr>
          </w:p>
        </w:tc>
      </w:tr>
      <w:tr>
        <w:trPr>
          <w:trHeight w:val="95"/>
        </w:trPr>
        <w:tc>
          <w:tcPr>
            <w:tcW w:w="23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340" w:type="dxa"/>
            <w:vAlign w:val="bottom"/>
          </w:tcPr>
          <w:p>
            <w:pPr>
              <w:ind w:left="100"/>
              <w:spacing w:after="0"/>
              <w:rPr>
                <w:sz w:val="20"/>
                <w:szCs w:val="20"/>
                <w:color w:val="auto"/>
              </w:rPr>
            </w:pPr>
            <w:r>
              <w:rPr>
                <w:rFonts w:ascii="Arial" w:cs="Arial" w:eastAsia="Arial" w:hAnsi="Arial"/>
                <w:sz w:val="16"/>
                <w:szCs w:val="16"/>
                <w:color w:val="3B3C43"/>
              </w:rPr>
              <w:t>John Yearwood</w:t>
            </w:r>
          </w:p>
        </w:tc>
        <w:tc>
          <w:tcPr>
            <w:tcW w:w="8900" w:type="dxa"/>
            <w:vAlign w:val="bottom"/>
            <w:gridSpan w:val="2"/>
          </w:tcPr>
          <w:p>
            <w:pPr>
              <w:ind w:left="7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Monitoring the development and implementation of the Company’s compliance program (including</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980" w:type="dxa"/>
            <w:vAlign w:val="bottom"/>
          </w:tcPr>
          <w:p>
            <w:pPr>
              <w:ind w:left="40"/>
              <w:spacing w:after="0"/>
              <w:rPr>
                <w:sz w:val="20"/>
                <w:szCs w:val="20"/>
                <w:color w:val="auto"/>
              </w:rPr>
            </w:pPr>
            <w:r>
              <w:rPr>
                <w:rFonts w:ascii="Arial" w:cs="Arial" w:eastAsia="Arial" w:hAnsi="Arial"/>
                <w:sz w:val="16"/>
                <w:szCs w:val="16"/>
                <w:color w:val="3B3C43"/>
              </w:rPr>
              <w:t>procedures for allegation reporting, investigation, and remediation) to ensure that the Company operates in</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980" w:type="dxa"/>
            <w:vAlign w:val="bottom"/>
          </w:tcPr>
          <w:p>
            <w:pPr>
              <w:ind w:left="40"/>
              <w:spacing w:after="0"/>
              <w:rPr>
                <w:sz w:val="20"/>
                <w:szCs w:val="20"/>
                <w:color w:val="auto"/>
              </w:rPr>
            </w:pPr>
            <w:r>
              <w:rPr>
                <w:rFonts w:ascii="Arial" w:cs="Arial" w:eastAsia="Arial" w:hAnsi="Arial"/>
                <w:sz w:val="16"/>
                <w:szCs w:val="16"/>
                <w:color w:val="3B3C43"/>
              </w:rPr>
              <w:t>compliance with the principles of ethical conduct and good governance</w:t>
            </w:r>
          </w:p>
        </w:tc>
        <w:tc>
          <w:tcPr>
            <w:tcW w:w="0" w:type="dxa"/>
            <w:vAlign w:val="bottom"/>
          </w:tcPr>
          <w:p>
            <w:pPr>
              <w:spacing w:after="0"/>
              <w:rPr>
                <w:sz w:val="1"/>
                <w:szCs w:val="1"/>
                <w:color w:val="auto"/>
              </w:rPr>
            </w:pPr>
          </w:p>
        </w:tc>
      </w:tr>
      <w:tr>
        <w:trPr>
          <w:trHeight w:val="345"/>
        </w:trPr>
        <w:tc>
          <w:tcPr>
            <w:tcW w:w="2340" w:type="dxa"/>
            <w:vAlign w:val="bottom"/>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16"/>
                <w:szCs w:val="16"/>
                <w:color w:val="4B1F68"/>
              </w:rPr>
              <w:t>►</w:t>
            </w:r>
          </w:p>
        </w:tc>
        <w:tc>
          <w:tcPr>
            <w:tcW w:w="7980" w:type="dxa"/>
            <w:vAlign w:val="bottom"/>
          </w:tcPr>
          <w:p>
            <w:pPr>
              <w:ind w:left="40"/>
              <w:spacing w:after="0"/>
              <w:rPr>
                <w:sz w:val="20"/>
                <w:szCs w:val="20"/>
                <w:color w:val="auto"/>
              </w:rPr>
            </w:pPr>
            <w:r>
              <w:rPr>
                <w:rFonts w:ascii="Arial" w:cs="Arial" w:eastAsia="Arial" w:hAnsi="Arial"/>
                <w:sz w:val="16"/>
                <w:szCs w:val="16"/>
                <w:color w:val="3B3C43"/>
              </w:rPr>
              <w:t>Identifying individuals qualified to become Board members, consistent with the criteria approved by the</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980" w:type="dxa"/>
            <w:vAlign w:val="bottom"/>
          </w:tcPr>
          <w:p>
            <w:pPr>
              <w:ind w:left="40"/>
              <w:spacing w:after="0"/>
              <w:rPr>
                <w:sz w:val="20"/>
                <w:szCs w:val="20"/>
                <w:color w:val="auto"/>
              </w:rPr>
            </w:pPr>
            <w:r>
              <w:rPr>
                <w:rFonts w:ascii="Arial" w:cs="Arial" w:eastAsia="Arial" w:hAnsi="Arial"/>
                <w:sz w:val="16"/>
                <w:szCs w:val="16"/>
                <w:color w:val="3B3C43"/>
              </w:rPr>
              <w:t>Board, and recommending director nominees to the Board for election at the annual general meeting of</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980" w:type="dxa"/>
            <w:vAlign w:val="bottom"/>
          </w:tcPr>
          <w:p>
            <w:pPr>
              <w:ind w:left="40"/>
              <w:spacing w:after="0"/>
              <w:rPr>
                <w:sz w:val="20"/>
                <w:szCs w:val="20"/>
                <w:color w:val="auto"/>
              </w:rPr>
            </w:pPr>
            <w:r>
              <w:rPr>
                <w:rFonts w:ascii="Arial" w:cs="Arial" w:eastAsia="Arial" w:hAnsi="Arial"/>
                <w:sz w:val="16"/>
                <w:szCs w:val="16"/>
                <w:color w:val="3B3C43"/>
              </w:rPr>
              <w:t>shareholders or for appointment to fill vacancies on the Board</w:t>
            </w:r>
          </w:p>
        </w:tc>
        <w:tc>
          <w:tcPr>
            <w:tcW w:w="0" w:type="dxa"/>
            <w:vAlign w:val="bottom"/>
          </w:tcPr>
          <w:p>
            <w:pPr>
              <w:spacing w:after="0"/>
              <w:rPr>
                <w:sz w:val="1"/>
                <w:szCs w:val="1"/>
                <w:color w:val="auto"/>
              </w:rPr>
            </w:pPr>
          </w:p>
        </w:tc>
      </w:tr>
      <w:tr>
        <w:trPr>
          <w:trHeight w:val="345"/>
        </w:trPr>
        <w:tc>
          <w:tcPr>
            <w:tcW w:w="2340" w:type="dxa"/>
            <w:vAlign w:val="bottom"/>
          </w:tcPr>
          <w:p>
            <w:pPr>
              <w:spacing w:after="0"/>
              <w:rPr>
                <w:sz w:val="24"/>
                <w:szCs w:val="24"/>
                <w:color w:val="auto"/>
              </w:rPr>
            </w:pPr>
          </w:p>
        </w:tc>
        <w:tc>
          <w:tcPr>
            <w:tcW w:w="8900" w:type="dxa"/>
            <w:vAlign w:val="bottom"/>
            <w:gridSpan w:val="2"/>
          </w:tcPr>
          <w:p>
            <w:pPr>
              <w:ind w:left="7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Recommending directors to serve on each committee of the Board and recommending the Lead Independent</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980" w:type="dxa"/>
            <w:vAlign w:val="bottom"/>
          </w:tcPr>
          <w:p>
            <w:pPr>
              <w:ind w:left="40"/>
              <w:spacing w:after="0"/>
              <w:rPr>
                <w:sz w:val="20"/>
                <w:szCs w:val="20"/>
                <w:color w:val="auto"/>
              </w:rPr>
            </w:pPr>
            <w:r>
              <w:rPr>
                <w:rFonts w:ascii="Arial" w:cs="Arial" w:eastAsia="Arial" w:hAnsi="Arial"/>
                <w:sz w:val="16"/>
                <w:szCs w:val="16"/>
                <w:color w:val="3B3C43"/>
              </w:rPr>
              <w:t>Director</w:t>
            </w:r>
          </w:p>
        </w:tc>
        <w:tc>
          <w:tcPr>
            <w:tcW w:w="0" w:type="dxa"/>
            <w:vAlign w:val="bottom"/>
          </w:tcPr>
          <w:p>
            <w:pPr>
              <w:spacing w:after="0"/>
              <w:rPr>
                <w:sz w:val="1"/>
                <w:szCs w:val="1"/>
                <w:color w:val="auto"/>
              </w:rPr>
            </w:pPr>
          </w:p>
        </w:tc>
      </w:tr>
      <w:tr>
        <w:trPr>
          <w:trHeight w:val="351"/>
        </w:trPr>
        <w:tc>
          <w:tcPr>
            <w:tcW w:w="2340" w:type="dxa"/>
            <w:vAlign w:val="bottom"/>
          </w:tcPr>
          <w:p>
            <w:pPr>
              <w:spacing w:after="0"/>
              <w:rPr>
                <w:sz w:val="24"/>
                <w:szCs w:val="24"/>
                <w:color w:val="auto"/>
              </w:rPr>
            </w:pPr>
          </w:p>
        </w:tc>
        <w:tc>
          <w:tcPr>
            <w:tcW w:w="920" w:type="dxa"/>
            <w:vAlign w:val="bottom"/>
          </w:tcPr>
          <w:p>
            <w:pPr>
              <w:ind w:left="700"/>
              <w:spacing w:after="0"/>
              <w:rPr>
                <w:sz w:val="20"/>
                <w:szCs w:val="20"/>
                <w:color w:val="auto"/>
              </w:rPr>
            </w:pPr>
            <w:r>
              <w:rPr>
                <w:rFonts w:ascii="Arial" w:cs="Arial" w:eastAsia="Arial" w:hAnsi="Arial"/>
                <w:sz w:val="16"/>
                <w:szCs w:val="16"/>
                <w:color w:val="4B1F68"/>
              </w:rPr>
              <w:t>►</w:t>
            </w:r>
          </w:p>
        </w:tc>
        <w:tc>
          <w:tcPr>
            <w:tcW w:w="7980" w:type="dxa"/>
            <w:vAlign w:val="bottom"/>
          </w:tcPr>
          <w:p>
            <w:pPr>
              <w:ind w:left="40"/>
              <w:spacing w:after="0"/>
              <w:rPr>
                <w:sz w:val="20"/>
                <w:szCs w:val="20"/>
                <w:color w:val="auto"/>
              </w:rPr>
            </w:pPr>
            <w:r>
              <w:rPr>
                <w:rFonts w:ascii="Arial" w:cs="Arial" w:eastAsia="Arial" w:hAnsi="Arial"/>
                <w:sz w:val="16"/>
                <w:szCs w:val="16"/>
                <w:color w:val="3B3C43"/>
              </w:rPr>
              <w:t>Leading the Board in the annual performance evaluation of the Board and its committees</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52</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Board Meetings and Attendance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3B3C43"/>
        </w:rPr>
        <w:t>Our Board met in person or by telephone conference six times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121920</wp:posOffset>
            </wp:positionV>
            <wp:extent cx="6103620" cy="12001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036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3B3C43"/>
        </w:rPr>
        <w:t>All directors attended 100% of our Board meetings and 100% of their committee meetings in 2020, except for Mr. Caudoux. Mr. Caudoux recused himself from two meetings of the Board and one Audit Committee meeting related to the negotiation and approval of the Share Purchase Agreement and Relationship Agreement between the Company and Bpifrance Participations SA, where he serves as Deputy Chief Executive Officer. As such, he attended 80% of our Board meetings and 83% of Audit Committee meetings in 2020.</w:t>
      </w:r>
    </w:p>
    <w:p>
      <w:pPr>
        <w:spacing w:after="0" w:line="17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3B3C43"/>
        </w:rPr>
        <w:t>We encourage our directors to attend the annual general meeting of shareholders. Due to the COVID-19 travel restrictions and precautions, none of our directors was able to attend our 2020 Annual Meeting.</w:t>
      </w:r>
    </w:p>
    <w:p>
      <w:pPr>
        <w:spacing w:after="0" w:line="391" w:lineRule="exact"/>
        <w:rPr>
          <w:sz w:val="20"/>
          <w:szCs w:val="20"/>
          <w:color w:val="auto"/>
        </w:rPr>
      </w:pPr>
    </w:p>
    <w:p>
      <w:pPr>
        <w:spacing w:after="0"/>
        <w:rPr>
          <w:sz w:val="20"/>
          <w:szCs w:val="20"/>
          <w:color w:val="auto"/>
        </w:rPr>
      </w:pPr>
      <w:r>
        <w:rPr>
          <w:rFonts w:ascii="Arial" w:cs="Arial" w:eastAsia="Arial" w:hAnsi="Arial"/>
          <w:sz w:val="38"/>
          <w:szCs w:val="38"/>
          <w:color w:val="4B1F68"/>
        </w:rPr>
        <w:t>Director Independence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Annual Review of Independence</w:t>
      </w:r>
    </w:p>
    <w:p>
      <w:pPr>
        <w:spacing w:after="0" w:line="16" w:lineRule="exact"/>
        <w:rPr>
          <w:sz w:val="20"/>
          <w:szCs w:val="20"/>
          <w:color w:val="auto"/>
        </w:rPr>
      </w:pPr>
    </w:p>
    <w:p>
      <w:pPr>
        <w:spacing w:after="0" w:line="249" w:lineRule="auto"/>
        <w:rPr>
          <w:sz w:val="20"/>
          <w:szCs w:val="20"/>
          <w:color w:val="auto"/>
        </w:rPr>
      </w:pPr>
      <w:r>
        <w:rPr>
          <w:rFonts w:ascii="Arial" w:cs="Arial" w:eastAsia="Arial" w:hAnsi="Arial"/>
          <w:sz w:val="16"/>
          <w:szCs w:val="16"/>
          <w:color w:val="3B3C43"/>
        </w:rPr>
        <w:t>The ESG Committee conducts an annual review of the independence of Board members and reports its findings to the full Board, which then makes a determination as to the independence of each director, as defined under the standards adopted by the NYSE. These standards specify certain relationships that are prohibited in order for a director to be deemed independent. In addition to these objective standards, our Board makes a subjective determination of independence by evaluating all relevant facts and circumstances. In particular, when assessing the materiality of a director’s relationship with the Company, the Board considers the issue not merely from the standpoint of the director, but also from the standpoint of persons or organizations with whom the director has an affiliation.</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The Board has not adopted a policy that deems a director to be non-independent after a certain tenure on the Board as we believe our retirement policy and natural turnover will achieve the appropriate balance between long-term directors with deep institutional knowledge and new directors who bring fresh perspectives and diversity to our Board. Our Board reviews director tenure in connection with its director independence determinations. If all of our director nominees are elected at the Annual Meeting, the average tenure of our independent directors will be three years as the Board believes prior service on our legacy companies differed in breadth and scope from current service on our Board.</w:t>
      </w:r>
    </w:p>
    <w:p>
      <w:pPr>
        <w:spacing w:after="0" w:line="176"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3B3C43"/>
        </w:rPr>
        <w:t>The Board’s independence determinations included a review of all 2020 commercial transactions, relationships, and arrangements between us and our subsidiaries, affiliates, and executive officers with entities associated with our directors or members of their immediate family. Such transactions, relationships, and arrangements are summarized below.</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53</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315" w:right="41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jc w:val="both"/>
        <w:ind w:left="600" w:right="380" w:hanging="248"/>
        <w:spacing w:after="0" w:line="253" w:lineRule="auto"/>
        <w:tabs>
          <w:tab w:leader="none" w:pos="600" w:val="left"/>
        </w:tabs>
        <w:numPr>
          <w:ilvl w:val="0"/>
          <w:numId w:val="64"/>
        </w:numPr>
        <w:rPr>
          <w:rFonts w:ascii="Arial" w:cs="Arial" w:eastAsia="Arial" w:hAnsi="Arial"/>
          <w:sz w:val="16"/>
          <w:szCs w:val="16"/>
          <w:color w:val="4B1F68"/>
        </w:rPr>
      </w:pPr>
      <w:r>
        <w:rPr>
          <w:rFonts w:ascii="Arial" w:cs="Arial" w:eastAsia="Arial" w:hAnsi="Arial"/>
          <w:sz w:val="16"/>
          <w:szCs w:val="16"/>
          <w:color w:val="3B3C43"/>
        </w:rPr>
        <w:t>The Board considered that Mses. Farley, Øvrum, and Priestly, and Messrs. Houssin, Mellbye, O’Leary, and Ringler each served as directors or executive officers at companies that have had commercial business relationships with the Company in 2020, all of which were ordinary course commercial transactions.</w:t>
      </w:r>
    </w:p>
    <w:p>
      <w:pPr>
        <w:spacing w:after="0" w:line="154" w:lineRule="exact"/>
        <w:rPr>
          <w:rFonts w:ascii="Arial" w:cs="Arial" w:eastAsia="Arial" w:hAnsi="Arial"/>
          <w:sz w:val="16"/>
          <w:szCs w:val="16"/>
          <w:color w:val="4B1F68"/>
        </w:rPr>
      </w:pPr>
    </w:p>
    <w:p>
      <w:pPr>
        <w:ind w:left="600" w:right="160" w:hanging="248"/>
        <w:spacing w:after="0" w:line="259" w:lineRule="auto"/>
        <w:tabs>
          <w:tab w:leader="none" w:pos="600" w:val="left"/>
        </w:tabs>
        <w:numPr>
          <w:ilvl w:val="0"/>
          <w:numId w:val="64"/>
        </w:numPr>
        <w:rPr>
          <w:rFonts w:ascii="Arial" w:cs="Arial" w:eastAsia="Arial" w:hAnsi="Arial"/>
          <w:sz w:val="16"/>
          <w:szCs w:val="16"/>
          <w:color w:val="4B1F68"/>
        </w:rPr>
      </w:pPr>
      <w:r>
        <w:rPr>
          <w:rFonts w:ascii="Arial" w:cs="Arial" w:eastAsia="Arial" w:hAnsi="Arial"/>
          <w:sz w:val="16"/>
          <w:szCs w:val="16"/>
          <w:color w:val="3B3C43"/>
        </w:rPr>
        <w:t>Claire S. Farley - In 2019, after a robust due diligence and evaluation process, the Company selected KKR &amp; Co. (“</w:t>
      </w:r>
      <w:r>
        <w:rPr>
          <w:rFonts w:ascii="Arial" w:cs="Arial" w:eastAsia="Arial" w:hAnsi="Arial"/>
          <w:sz w:val="16"/>
          <w:szCs w:val="16"/>
          <w:b w:val="1"/>
          <w:bCs w:val="1"/>
          <w:color w:val="3B3C43"/>
        </w:rPr>
        <w:t>KKR</w:t>
      </w:r>
      <w:r>
        <w:rPr>
          <w:rFonts w:ascii="Arial" w:cs="Arial" w:eastAsia="Arial" w:hAnsi="Arial"/>
          <w:sz w:val="16"/>
          <w:szCs w:val="16"/>
          <w:color w:val="3B3C43"/>
        </w:rPr>
        <w:t>”) to be its recommended provider for our Subsea clients seeking alternative financing arrangements.</w:t>
      </w:r>
    </w:p>
    <w:p>
      <w:pPr>
        <w:ind w:left="600"/>
        <w:spacing w:after="0" w:line="250" w:lineRule="auto"/>
        <w:rPr>
          <w:rFonts w:ascii="Arial" w:cs="Arial" w:eastAsia="Arial" w:hAnsi="Arial"/>
          <w:sz w:val="16"/>
          <w:szCs w:val="16"/>
          <w:color w:val="4B1F68"/>
        </w:rPr>
      </w:pPr>
      <w:r>
        <w:rPr>
          <w:rFonts w:ascii="Arial" w:cs="Arial" w:eastAsia="Arial" w:hAnsi="Arial"/>
          <w:sz w:val="16"/>
          <w:szCs w:val="16"/>
          <w:color w:val="3B3C43"/>
        </w:rPr>
        <w:t>The arrangement expired on March 21, 2020. Ms. Farley is a Senior Advisor of KKR and was not involved in the preparation of KKR’s presentation to the Company, which was submitted by a separate group at KKR than the group managed by Ms. Farley. When providing these financing arrangements, KKR contracted directly with the Company’s clients with no direct involvement of the Company, and Ms. Farley, in her role at KKR, had no involvement with any such contracts. Ms. Farley did not receive any direct compensation or direct financial benefit from the selection of KKR by the Company.</w:t>
      </w:r>
    </w:p>
    <w:p>
      <w:pPr>
        <w:spacing w:after="0" w:line="175" w:lineRule="exact"/>
        <w:rPr>
          <w:rFonts w:ascii="Arial" w:cs="Arial" w:eastAsia="Arial" w:hAnsi="Arial"/>
          <w:sz w:val="16"/>
          <w:szCs w:val="16"/>
          <w:color w:val="4B1F68"/>
        </w:rPr>
      </w:pPr>
    </w:p>
    <w:p>
      <w:pPr>
        <w:ind w:left="600" w:right="180" w:hanging="248"/>
        <w:spacing w:after="0" w:line="253" w:lineRule="auto"/>
        <w:tabs>
          <w:tab w:leader="none" w:pos="600" w:val="left"/>
        </w:tabs>
        <w:numPr>
          <w:ilvl w:val="0"/>
          <w:numId w:val="64"/>
        </w:numPr>
        <w:rPr>
          <w:rFonts w:ascii="Arial" w:cs="Arial" w:eastAsia="Arial" w:hAnsi="Arial"/>
          <w:sz w:val="16"/>
          <w:szCs w:val="16"/>
          <w:color w:val="4B1F68"/>
        </w:rPr>
      </w:pPr>
      <w:r>
        <w:rPr>
          <w:rFonts w:ascii="Arial" w:cs="Arial" w:eastAsia="Arial" w:hAnsi="Arial"/>
          <w:sz w:val="16"/>
          <w:szCs w:val="16"/>
          <w:color w:val="3B3C43"/>
        </w:rPr>
        <w:t>Margareth Øvrum - Ms. Øvrum is a member of the Board of Directors of FMC Corporation, our former parent company. We and FMC Corporation are parties to a separation and distribution agreement and a joint litigation defense agreement that relate to the separation of the companies’ businesses that occurred in 2001.</w:t>
      </w:r>
    </w:p>
    <w:p>
      <w:pPr>
        <w:spacing w:after="0" w:line="154" w:lineRule="exact"/>
        <w:rPr>
          <w:rFonts w:ascii="Arial" w:cs="Arial" w:eastAsia="Arial" w:hAnsi="Arial"/>
          <w:sz w:val="16"/>
          <w:szCs w:val="16"/>
          <w:color w:val="4B1F68"/>
        </w:rPr>
      </w:pPr>
    </w:p>
    <w:p>
      <w:pPr>
        <w:jc w:val="both"/>
        <w:ind w:left="600" w:hanging="248"/>
        <w:spacing w:after="0" w:line="266" w:lineRule="auto"/>
        <w:tabs>
          <w:tab w:leader="none" w:pos="600" w:val="left"/>
        </w:tabs>
        <w:numPr>
          <w:ilvl w:val="0"/>
          <w:numId w:val="64"/>
        </w:numPr>
        <w:rPr>
          <w:rFonts w:ascii="Arial" w:cs="Arial" w:eastAsia="Arial" w:hAnsi="Arial"/>
          <w:sz w:val="16"/>
          <w:szCs w:val="16"/>
          <w:color w:val="4B1F68"/>
        </w:rPr>
      </w:pPr>
      <w:r>
        <w:rPr>
          <w:rFonts w:ascii="Arial" w:cs="Arial" w:eastAsia="Arial" w:hAnsi="Arial"/>
          <w:sz w:val="16"/>
          <w:szCs w:val="16"/>
          <w:color w:val="3B3C43"/>
        </w:rPr>
        <w:t>James M. Ringler - Mr. Ringler is a director of John Bean Technologies Corporation (“</w:t>
      </w:r>
      <w:r>
        <w:rPr>
          <w:rFonts w:ascii="Arial" w:cs="Arial" w:eastAsia="Arial" w:hAnsi="Arial"/>
          <w:sz w:val="16"/>
          <w:szCs w:val="16"/>
          <w:b w:val="1"/>
          <w:bCs w:val="1"/>
          <w:color w:val="3B3C43"/>
        </w:rPr>
        <w:t>JBT</w:t>
      </w:r>
      <w:r>
        <w:rPr>
          <w:rFonts w:ascii="Arial" w:cs="Arial" w:eastAsia="Arial" w:hAnsi="Arial"/>
          <w:sz w:val="16"/>
          <w:szCs w:val="16"/>
          <w:color w:val="3B3C43"/>
        </w:rPr>
        <w:t>”). FMC Technologies and JBT are parties to a separation and distribution agreement and a tax sharing agreement that relate to the Spin-off of FMC Technologies’ FoodTech and Airport Systems businesses (acquired by JBT) that occurred in July 2008.</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Independence Determination</w:t>
      </w:r>
    </w:p>
    <w:p>
      <w:pPr>
        <w:spacing w:after="0" w:line="1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3B3C43"/>
        </w:rPr>
        <w:t>In determining that none of the relationships noted above affected the independence of any of the interested directors, the ESG Committee considered the nature of the transactions, the dollar amounts involved, and the respective director’s role, if any, in the transaction.</w:t>
      </w:r>
    </w:p>
    <w:p>
      <w:pPr>
        <w:spacing w:after="0" w:line="168"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3B3C43"/>
        </w:rPr>
        <w:t>Based on the report and recommendation of the ESG Committee, the Board has affirmatively determined that each of our non-executive directors is “independent” as defined under the NYSE listing standards. As such, following our Annual Meeting, eight of our nine directors will be non-executive, independent directors. In addition, the Board has affirmatively determined that all of the members of the Audit Committee and Compensation Committee satisfy the enhanced independence criteria required for such members under regulations adopted by the SEC and NYSE listing standards.</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54</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315" w:right="41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ind w:right="560"/>
        <w:spacing w:after="0" w:line="239" w:lineRule="auto"/>
        <w:rPr>
          <w:sz w:val="20"/>
          <w:szCs w:val="20"/>
          <w:color w:val="auto"/>
        </w:rPr>
      </w:pPr>
      <w:r>
        <w:rPr>
          <w:rFonts w:ascii="Arial" w:cs="Arial" w:eastAsia="Arial" w:hAnsi="Arial"/>
          <w:sz w:val="38"/>
          <w:szCs w:val="38"/>
          <w:color w:val="4B1F68"/>
        </w:rPr>
        <w:t>Compensation Committee Interlocks and Insider Participation in Compensation Decisions</w:t>
      </w:r>
    </w:p>
    <w:p>
      <w:pPr>
        <w:spacing w:after="0" w:line="251" w:lineRule="auto"/>
        <w:rPr>
          <w:sz w:val="20"/>
          <w:szCs w:val="20"/>
          <w:color w:val="auto"/>
        </w:rPr>
      </w:pPr>
      <w:r>
        <w:rPr>
          <w:rFonts w:ascii="Arial" w:cs="Arial" w:eastAsia="Arial" w:hAnsi="Arial"/>
          <w:sz w:val="16"/>
          <w:szCs w:val="16"/>
          <w:color w:val="3B3C43"/>
        </w:rPr>
        <w:t>In 2020, the members of the Compensation Committee of the Board were Claire S. Farley, John O’Leary, Joseph Rinaldi, James M. Ringler, and John Yearwood, none of whom has ever been an officer or employee of the Company or any of our subsidiaries or had any relationships requiring disclosure with us or any of our subsidiaries. None of our executive officers has ever served on the board of directors or the compensation committee of any other entity that has had any executive officer serving as a member of our Board or Compensation Committee.</w:t>
      </w:r>
    </w:p>
    <w:p>
      <w:pPr>
        <w:spacing w:after="0" w:line="169" w:lineRule="exact"/>
        <w:rPr>
          <w:sz w:val="20"/>
          <w:szCs w:val="20"/>
          <w:color w:val="auto"/>
        </w:rPr>
      </w:pPr>
    </w:p>
    <w:p>
      <w:pPr>
        <w:spacing w:after="0"/>
        <w:rPr>
          <w:sz w:val="20"/>
          <w:szCs w:val="20"/>
          <w:color w:val="auto"/>
        </w:rPr>
      </w:pPr>
      <w:r>
        <w:rPr>
          <w:rFonts w:ascii="Arial" w:cs="Arial" w:eastAsia="Arial" w:hAnsi="Arial"/>
          <w:sz w:val="38"/>
          <w:szCs w:val="38"/>
          <w:color w:val="4B1F68"/>
        </w:rPr>
        <w:t>Communications with Directors</w:t>
      </w:r>
    </w:p>
    <w:p>
      <w:pPr>
        <w:spacing w:after="0" w:line="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3B3C43"/>
        </w:rPr>
        <w:t xml:space="preserve">To provide our shareholders and other interested parties with a direct and open line of communication to our Board, a process has been established for communications with any member of the Board, including our Lead Independent Director, the Chair of any of our committees, or with our non-employee directors as a group, by sending such written communication to c/o Lead Independent Director, TechnipFMC plc, One St. Paul’s Churchyard, London EC4M 8AP, United Kingdom. Please visit our website at </w:t>
      </w:r>
      <w:r>
        <w:rPr>
          <w:rFonts w:ascii="Arial" w:cs="Arial" w:eastAsia="Arial" w:hAnsi="Arial"/>
          <w:sz w:val="16"/>
          <w:szCs w:val="16"/>
          <w:b w:val="1"/>
          <w:bCs w:val="1"/>
          <w:i w:val="1"/>
          <w:iCs w:val="1"/>
          <w:color w:val="4B1F68"/>
        </w:rPr>
        <w:t>www.technipfmc.com</w:t>
      </w:r>
      <w:r>
        <w:rPr>
          <w:rFonts w:ascii="Arial" w:cs="Arial" w:eastAsia="Arial" w:hAnsi="Arial"/>
          <w:sz w:val="16"/>
          <w:szCs w:val="16"/>
          <w:color w:val="3B3C43"/>
        </w:rPr>
        <w:t xml:space="preserve"> for any changes to our principal headquarters address. All communications will be received, processed, and then directed to the appropriate member(s) of our Board, other than, at the Board’s request, certain items unrelated to the Board’s duties, such as spam, junk mail, solicitations, employment inquires, and similar items.</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55</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67"/>
          <w:szCs w:val="67"/>
          <w:color w:val="4B1F68"/>
        </w:rPr>
        <w:t>Director Compensation</w:t>
      </w:r>
    </w:p>
    <w:p>
      <w:pPr>
        <w:spacing w:after="0" w:line="174"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3B3C43"/>
        </w:rPr>
        <w:t xml:space="preserve">This section describes the Company’s compensation programs that apply to our non-executive directors. The compensation of our Chairman and CEO, Douglas Pferdehirt, is included in the </w:t>
      </w:r>
      <w:r>
        <w:rPr>
          <w:rFonts w:ascii="Arial" w:cs="Arial" w:eastAsia="Arial" w:hAnsi="Arial"/>
          <w:sz w:val="16"/>
          <w:szCs w:val="16"/>
          <w:i w:val="1"/>
          <w:iCs w:val="1"/>
          <w:color w:val="3B3C43"/>
        </w:rPr>
        <w:t>“</w:t>
      </w:r>
      <w:r>
        <w:rPr>
          <w:rFonts w:ascii="Arial" w:cs="Arial" w:eastAsia="Arial" w:hAnsi="Arial"/>
          <w:sz w:val="14"/>
          <w:szCs w:val="14"/>
          <w:i w:val="1"/>
          <w:iCs w:val="1"/>
          <w:color w:val="3B3C43"/>
        </w:rPr>
        <w:t>Executive Compensation Discussion and Analysis”</w:t>
      </w:r>
      <w:r>
        <w:rPr>
          <w:rFonts w:ascii="Arial" w:cs="Arial" w:eastAsia="Arial" w:hAnsi="Arial"/>
          <w:sz w:val="16"/>
          <w:szCs w:val="16"/>
          <w:color w:val="3B3C43"/>
        </w:rPr>
        <w:t xml:space="preserve"> section below because he is a NEO under SEC rules.</w:t>
      </w:r>
    </w:p>
    <w:p>
      <w:pPr>
        <w:spacing w:after="0" w:line="162" w:lineRule="exact"/>
        <w:rPr>
          <w:sz w:val="20"/>
          <w:szCs w:val="20"/>
          <w:color w:val="auto"/>
        </w:rPr>
      </w:pPr>
    </w:p>
    <w:p>
      <w:pPr>
        <w:spacing w:after="0"/>
        <w:rPr>
          <w:sz w:val="20"/>
          <w:szCs w:val="20"/>
          <w:color w:val="auto"/>
        </w:rPr>
      </w:pPr>
      <w:r>
        <w:rPr>
          <w:rFonts w:ascii="Arial" w:cs="Arial" w:eastAsia="Arial" w:hAnsi="Arial"/>
          <w:sz w:val="38"/>
          <w:szCs w:val="38"/>
          <w:color w:val="4B1F68"/>
        </w:rPr>
        <w:t>Non-executive Director Compensation</w:t>
      </w:r>
    </w:p>
    <w:p>
      <w:pPr>
        <w:spacing w:after="0" w:line="2"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3B3C43"/>
        </w:rPr>
        <w:t xml:space="preserve">Compensation for our non-executive directors was developed by the Compensation Committee with the assistance of its compensation consultant, Willis Towers Watson, and approved by the Board. The program, which comprises cash compensation and RSU awards, is designed to reflect the practices of both U.S. and European companies as determined by reference to the peer groups discussed in </w:t>
      </w:r>
      <w:r>
        <w:rPr>
          <w:rFonts w:ascii="Arial" w:cs="Arial" w:eastAsia="Arial" w:hAnsi="Arial"/>
          <w:sz w:val="16"/>
          <w:szCs w:val="16"/>
          <w:i w:val="1"/>
          <w:iCs w:val="1"/>
          <w:color w:val="3B3C43"/>
        </w:rPr>
        <w:t>“</w:t>
      </w:r>
      <w:r>
        <w:rPr>
          <w:rFonts w:ascii="Arial" w:cs="Arial" w:eastAsia="Arial" w:hAnsi="Arial"/>
          <w:sz w:val="14"/>
          <w:szCs w:val="14"/>
          <w:i w:val="1"/>
          <w:iCs w:val="1"/>
          <w:color w:val="3B3C43"/>
        </w:rPr>
        <w:t>Executive Compensation Discussion and Analysis</w:t>
      </w:r>
      <w:r>
        <w:rPr>
          <w:rFonts w:ascii="Arial" w:cs="Arial" w:eastAsia="Arial" w:hAnsi="Arial"/>
          <w:sz w:val="16"/>
          <w:szCs w:val="16"/>
          <w:i w:val="1"/>
          <w:iCs w:val="1"/>
          <w:color w:val="3B3C43"/>
        </w:rPr>
        <w:t>.”</w:t>
      </w: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6"/>
          <w:szCs w:val="16"/>
          <w:color w:val="3B3C43"/>
        </w:rPr>
        <w:t>The directors’ compensation program is intended to provide a competitive package that enables the Company to attract and retain highly skilled individuals with relevant experience and the necessary time and ability to serve on the board of a company of our size, complexity, and geographical breadth. The program balances the practices within our market norms in our core geographies, and the varied expectations of our diverse shareholder base. Given the global talent pool that our directors represent, the program is also designed to provide sufficient flexibility in the form of compensation delivered to meet the needs of individuals who are located in different countries and the travel that is often required to attend meetings, while ensuring that a substantial portion of directors’ compensation is linked to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228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Key Non-executive Director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8688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868805"/>
                    </a:xfrm>
                    <a:prstGeom prst="rect">
                      <a:avLst/>
                    </a:prstGeom>
                    <a:noFill/>
                  </pic:spPr>
                </pic:pic>
              </a:graphicData>
            </a:graphic>
          </wp:anchor>
        </w:drawing>
      </w:r>
    </w:p>
    <w:p>
      <w:pPr>
        <w:spacing w:after="0" w:line="167" w:lineRule="exact"/>
        <w:rPr>
          <w:sz w:val="20"/>
          <w:szCs w:val="20"/>
          <w:color w:val="auto"/>
        </w:rPr>
      </w:pPr>
    </w:p>
    <w:p>
      <w:pPr>
        <w:ind w:left="940"/>
        <w:spacing w:after="0"/>
        <w:rPr>
          <w:sz w:val="20"/>
          <w:szCs w:val="20"/>
          <w:color w:val="auto"/>
        </w:rPr>
      </w:pPr>
      <w:r>
        <w:rPr>
          <w:rFonts w:ascii="Arial" w:cs="Arial" w:eastAsia="Arial" w:hAnsi="Arial"/>
          <w:sz w:val="16"/>
          <w:szCs w:val="16"/>
          <w:color w:val="3B3C43"/>
        </w:rPr>
        <w:t>TechnipFMC uses an independent consulting firm, Willis Towers Watson, to recommend changes in compensation for non-executive directors.</w:t>
      </w:r>
    </w:p>
    <w:p>
      <w:pPr>
        <w:spacing w:after="0" w:line="181" w:lineRule="exact"/>
        <w:rPr>
          <w:sz w:val="20"/>
          <w:szCs w:val="20"/>
          <w:color w:val="auto"/>
        </w:rPr>
      </w:pPr>
    </w:p>
    <w:p>
      <w:pPr>
        <w:ind w:left="940" w:right="320"/>
        <w:spacing w:after="0" w:line="260" w:lineRule="auto"/>
        <w:rPr>
          <w:sz w:val="20"/>
          <w:szCs w:val="20"/>
          <w:color w:val="auto"/>
        </w:rPr>
      </w:pPr>
      <w:r>
        <w:rPr>
          <w:rFonts w:ascii="Arial" w:cs="Arial" w:eastAsia="Arial" w:hAnsi="Arial"/>
          <w:sz w:val="16"/>
          <w:szCs w:val="16"/>
          <w:color w:val="3B3C43"/>
        </w:rPr>
        <w:t>Any changes to our director compensation program are reviewed and approved by our Compensation Committee, comprising independent directors.</w:t>
      </w:r>
    </w:p>
    <w:p>
      <w:pPr>
        <w:spacing w:after="0" w:line="155" w:lineRule="exact"/>
        <w:rPr>
          <w:sz w:val="20"/>
          <w:szCs w:val="20"/>
          <w:color w:val="auto"/>
        </w:rPr>
      </w:pPr>
    </w:p>
    <w:p>
      <w:pPr>
        <w:ind w:left="940" w:right="480"/>
        <w:spacing w:after="0" w:line="260" w:lineRule="auto"/>
        <w:rPr>
          <w:sz w:val="20"/>
          <w:szCs w:val="20"/>
          <w:color w:val="auto"/>
        </w:rPr>
      </w:pPr>
      <w:r>
        <w:rPr>
          <w:rFonts w:ascii="Arial" w:cs="Arial" w:eastAsia="Arial" w:hAnsi="Arial"/>
          <w:sz w:val="16"/>
          <w:szCs w:val="16"/>
          <w:color w:val="3B3C43"/>
        </w:rPr>
        <w:t>Any changes to our director compensation program recommended by our Compensation Committee must be ratified by a vote of our full Board.</w:t>
      </w:r>
    </w:p>
    <w:p>
      <w:pPr>
        <w:spacing w:after="0" w:line="155" w:lineRule="exact"/>
        <w:rPr>
          <w:sz w:val="20"/>
          <w:szCs w:val="20"/>
          <w:color w:val="auto"/>
        </w:rPr>
      </w:pPr>
    </w:p>
    <w:p>
      <w:pPr>
        <w:ind w:left="940" w:right="200"/>
        <w:spacing w:after="0" w:line="253" w:lineRule="auto"/>
        <w:rPr>
          <w:sz w:val="20"/>
          <w:szCs w:val="20"/>
          <w:color w:val="auto"/>
        </w:rPr>
      </w:pPr>
      <w:r>
        <w:rPr>
          <w:rFonts w:ascii="Arial" w:cs="Arial" w:eastAsia="Arial" w:hAnsi="Arial"/>
          <w:sz w:val="16"/>
          <w:szCs w:val="16"/>
          <w:color w:val="3B3C43"/>
        </w:rPr>
        <w:t>Our Directors’ Remuneration Policy reflects sector and geographic (U.S. and European) peer groups to reflect the global nature of the Company, and both U.S. and European compensation practices given the global nature of the Company, our dual NYSE and Euronext Paris listings, and our U.K. incorporation.</w:t>
      </w:r>
    </w:p>
    <w:p>
      <w:pPr>
        <w:spacing w:after="0" w:line="161" w:lineRule="exact"/>
        <w:rPr>
          <w:sz w:val="20"/>
          <w:szCs w:val="20"/>
          <w:color w:val="auto"/>
        </w:rPr>
      </w:pPr>
    </w:p>
    <w:p>
      <w:pPr>
        <w:ind w:left="940"/>
        <w:spacing w:after="0"/>
        <w:rPr>
          <w:sz w:val="20"/>
          <w:szCs w:val="20"/>
          <w:color w:val="auto"/>
        </w:rPr>
      </w:pPr>
      <w:r>
        <w:rPr>
          <w:rFonts w:ascii="Arial" w:cs="Arial" w:eastAsia="Arial" w:hAnsi="Arial"/>
          <w:sz w:val="16"/>
          <w:szCs w:val="16"/>
          <w:color w:val="3B3C43"/>
        </w:rPr>
        <w:t>Our Directors’ Remuneration Policy provides for an annual cap on total remuneration (i.e., cash and equity awards) of $500,000.</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6"/>
          <w:szCs w:val="16"/>
          <w:color w:val="3B3C43"/>
        </w:rPr>
        <w:t>Each non-executive director is subject to a share ownership requirement of 5x the annual cash retainer.</w:t>
      </w:r>
    </w:p>
    <w:p>
      <w:pPr>
        <w:spacing w:after="0" w:line="29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56</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88" w:right="41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Components of Non-executive Director Compensation</w:t>
      </w:r>
    </w:p>
    <w:p>
      <w:pPr>
        <w:spacing w:after="0" w:line="16"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3B3C43"/>
        </w:rPr>
        <w:t>The following table describes the components of the Company’s non-executive director compensation program for 2020 pursuant to our Directors’ Remuneration Policy, which was approved at our 2018 Annual Meeting.</w:t>
      </w:r>
    </w:p>
    <w:p>
      <w:pPr>
        <w:spacing w:after="0" w:line="14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3B3C43"/>
        </w:rPr>
        <w:t>In April 2020, as a result of the global COVID-19 pandemic, sharp decline in oil prices, and the resulting impact on our business, the annual cash retainer for our Board of Directors was reduced by 30% for the remainder of 2020, effective 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37630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76301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82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Compensation Element</w:t>
            </w:r>
          </w:p>
        </w:tc>
        <w:tc>
          <w:tcPr>
            <w:tcW w:w="8420" w:type="dxa"/>
            <w:vAlign w:val="bottom"/>
            <w:shd w:val="clear" w:color="auto" w:fill="4A1F67"/>
          </w:tcPr>
          <w:p>
            <w:pPr>
              <w:ind w:left="100"/>
              <w:spacing w:after="0"/>
              <w:rPr>
                <w:sz w:val="20"/>
                <w:szCs w:val="20"/>
                <w:color w:val="auto"/>
              </w:rPr>
            </w:pPr>
            <w:r>
              <w:rPr>
                <w:rFonts w:ascii="Arial" w:cs="Arial" w:eastAsia="Arial" w:hAnsi="Arial"/>
                <w:sz w:val="16"/>
                <w:szCs w:val="16"/>
                <w:color w:val="FFFFFF"/>
              </w:rPr>
              <w:t>Compensation</w:t>
            </w:r>
          </w:p>
        </w:tc>
      </w:tr>
      <w:tr>
        <w:trPr>
          <w:trHeight w:val="73"/>
        </w:trPr>
        <w:tc>
          <w:tcPr>
            <w:tcW w:w="2820" w:type="dxa"/>
            <w:vAlign w:val="bottom"/>
            <w:shd w:val="clear" w:color="auto" w:fill="4A1F67"/>
          </w:tcPr>
          <w:p>
            <w:pPr>
              <w:spacing w:after="0"/>
              <w:rPr>
                <w:sz w:val="6"/>
                <w:szCs w:val="6"/>
                <w:color w:val="auto"/>
              </w:rPr>
            </w:pPr>
          </w:p>
        </w:tc>
        <w:tc>
          <w:tcPr>
            <w:tcW w:w="8420" w:type="dxa"/>
            <w:vAlign w:val="bottom"/>
            <w:shd w:val="clear" w:color="auto" w:fill="4A1F67"/>
          </w:tcPr>
          <w:p>
            <w:pPr>
              <w:spacing w:after="0"/>
              <w:rPr>
                <w:sz w:val="6"/>
                <w:szCs w:val="6"/>
                <w:color w:val="auto"/>
              </w:rPr>
            </w:pPr>
          </w:p>
        </w:tc>
      </w:tr>
      <w:tr>
        <w:trPr>
          <w:trHeight w:val="272"/>
        </w:trPr>
        <w:tc>
          <w:tcPr>
            <w:tcW w:w="282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Annual Cash Retainer</w:t>
            </w: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$100,000 from January to April 2020</w:t>
            </w:r>
          </w:p>
        </w:tc>
      </w:tr>
      <w:tr>
        <w:trPr>
          <w:trHeight w:val="195"/>
        </w:trPr>
        <w:tc>
          <w:tcPr>
            <w:tcW w:w="2820" w:type="dxa"/>
            <w:vAlign w:val="bottom"/>
            <w:shd w:val="clear" w:color="auto" w:fill="E1E1DF"/>
          </w:tcPr>
          <w:p>
            <w:pPr>
              <w:spacing w:after="0"/>
              <w:rPr>
                <w:sz w:val="16"/>
                <w:szCs w:val="16"/>
                <w:color w:val="auto"/>
              </w:rPr>
            </w:pP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$70,000 from May 2020 to December 2020</w:t>
            </w:r>
          </w:p>
        </w:tc>
      </w:tr>
      <w:tr>
        <w:trPr>
          <w:trHeight w:val="359"/>
        </w:trPr>
        <w:tc>
          <w:tcPr>
            <w:tcW w:w="282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Annual Equity Grant</w:t>
            </w: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$175,000 in RSUs, vesting after one year of service, and starting with the 2020 award, settled in Ordinary Shares</w:t>
            </w:r>
          </w:p>
        </w:tc>
      </w:tr>
      <w:tr>
        <w:trPr>
          <w:trHeight w:val="189"/>
        </w:trPr>
        <w:tc>
          <w:tcPr>
            <w:tcW w:w="2820" w:type="dxa"/>
            <w:vAlign w:val="bottom"/>
            <w:shd w:val="clear" w:color="auto" w:fill="E1E1DF"/>
          </w:tcPr>
          <w:p>
            <w:pPr>
              <w:spacing w:after="0"/>
              <w:rPr>
                <w:sz w:val="16"/>
                <w:szCs w:val="16"/>
                <w:color w:val="auto"/>
              </w:rPr>
            </w:pP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on a date elected by the non-executive director that is either (a) after a period of one to 10 years from the grant</w:t>
            </w:r>
          </w:p>
        </w:tc>
      </w:tr>
      <w:tr>
        <w:trPr>
          <w:trHeight w:val="189"/>
        </w:trPr>
        <w:tc>
          <w:tcPr>
            <w:tcW w:w="2820" w:type="dxa"/>
            <w:vAlign w:val="bottom"/>
            <w:shd w:val="clear" w:color="auto" w:fill="E1E1DF"/>
          </w:tcPr>
          <w:p>
            <w:pPr>
              <w:spacing w:after="0"/>
              <w:rPr>
                <w:sz w:val="16"/>
                <w:szCs w:val="16"/>
                <w:color w:val="auto"/>
              </w:rPr>
            </w:pP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date or (b) upon their separation from Board service. The elections are made prior to the beginning of the grant</w:t>
            </w:r>
          </w:p>
        </w:tc>
      </w:tr>
      <w:tr>
        <w:trPr>
          <w:trHeight w:val="195"/>
        </w:trPr>
        <w:tc>
          <w:tcPr>
            <w:tcW w:w="2820" w:type="dxa"/>
            <w:vAlign w:val="bottom"/>
            <w:shd w:val="clear" w:color="auto" w:fill="E1E1DF"/>
          </w:tcPr>
          <w:p>
            <w:pPr>
              <w:spacing w:after="0"/>
              <w:rPr>
                <w:sz w:val="16"/>
                <w:szCs w:val="16"/>
                <w:color w:val="auto"/>
              </w:rPr>
            </w:pP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year and are irrevocable after December 31st of the year prior to grant.</w:t>
            </w:r>
          </w:p>
        </w:tc>
      </w:tr>
      <w:tr>
        <w:trPr>
          <w:trHeight w:val="372"/>
        </w:trPr>
        <w:tc>
          <w:tcPr>
            <w:tcW w:w="2820" w:type="dxa"/>
            <w:vAlign w:val="bottom"/>
            <w:shd w:val="clear" w:color="auto" w:fill="E1E1DF"/>
          </w:tcPr>
          <w:p>
            <w:pPr>
              <w:spacing w:after="0"/>
              <w:rPr>
                <w:sz w:val="24"/>
                <w:szCs w:val="24"/>
                <w:color w:val="auto"/>
              </w:rPr>
            </w:pP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RSUs granted prior to 2020 vested after one year of service and will be settled upon separation from Board</w:t>
            </w:r>
          </w:p>
        </w:tc>
      </w:tr>
      <w:tr>
        <w:trPr>
          <w:trHeight w:val="195"/>
        </w:trPr>
        <w:tc>
          <w:tcPr>
            <w:tcW w:w="2820" w:type="dxa"/>
            <w:vAlign w:val="bottom"/>
            <w:shd w:val="clear" w:color="auto" w:fill="E1E1DF"/>
          </w:tcPr>
          <w:p>
            <w:pPr>
              <w:spacing w:after="0"/>
              <w:rPr>
                <w:sz w:val="16"/>
                <w:szCs w:val="16"/>
                <w:color w:val="auto"/>
              </w:rPr>
            </w:pP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service.</w:t>
            </w:r>
          </w:p>
        </w:tc>
      </w:tr>
      <w:tr>
        <w:trPr>
          <w:trHeight w:val="365"/>
        </w:trPr>
        <w:tc>
          <w:tcPr>
            <w:tcW w:w="282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Annual Chair Fee</w:t>
            </w: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$20,000 for Audit Committee</w:t>
            </w:r>
          </w:p>
        </w:tc>
      </w:tr>
      <w:tr>
        <w:trPr>
          <w:trHeight w:val="378"/>
        </w:trPr>
        <w:tc>
          <w:tcPr>
            <w:tcW w:w="2820" w:type="dxa"/>
            <w:vAlign w:val="bottom"/>
            <w:shd w:val="clear" w:color="auto" w:fill="E1E1DF"/>
          </w:tcPr>
          <w:p>
            <w:pPr>
              <w:spacing w:after="0"/>
              <w:rPr>
                <w:sz w:val="24"/>
                <w:szCs w:val="24"/>
                <w:color w:val="auto"/>
              </w:rPr>
            </w:pP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$15,000 for Compensation Committee</w:t>
            </w:r>
          </w:p>
        </w:tc>
      </w:tr>
      <w:tr>
        <w:trPr>
          <w:trHeight w:val="378"/>
        </w:trPr>
        <w:tc>
          <w:tcPr>
            <w:tcW w:w="2820" w:type="dxa"/>
            <w:vAlign w:val="bottom"/>
            <w:shd w:val="clear" w:color="auto" w:fill="E1E1DF"/>
          </w:tcPr>
          <w:p>
            <w:pPr>
              <w:spacing w:after="0"/>
              <w:rPr>
                <w:sz w:val="24"/>
                <w:szCs w:val="24"/>
                <w:color w:val="auto"/>
              </w:rPr>
            </w:pP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$10,000 for ESG Committee</w:t>
            </w:r>
          </w:p>
        </w:tc>
      </w:tr>
      <w:tr>
        <w:trPr>
          <w:trHeight w:val="378"/>
        </w:trPr>
        <w:tc>
          <w:tcPr>
            <w:tcW w:w="2820" w:type="dxa"/>
            <w:vAlign w:val="bottom"/>
            <w:shd w:val="clear" w:color="auto" w:fill="E1E1DF"/>
          </w:tcPr>
          <w:p>
            <w:pPr>
              <w:spacing w:after="0"/>
              <w:rPr>
                <w:sz w:val="24"/>
                <w:szCs w:val="24"/>
                <w:color w:val="auto"/>
              </w:rPr>
            </w:pP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$10,000 for Strategy Committee</w:t>
            </w:r>
          </w:p>
        </w:tc>
      </w:tr>
      <w:tr>
        <w:trPr>
          <w:trHeight w:val="339"/>
        </w:trPr>
        <w:tc>
          <w:tcPr>
            <w:tcW w:w="282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Annual Lead Independent</w:t>
            </w: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$50,000</w:t>
            </w:r>
          </w:p>
        </w:tc>
      </w:tr>
      <w:tr>
        <w:trPr>
          <w:trHeight w:val="215"/>
        </w:trPr>
        <w:tc>
          <w:tcPr>
            <w:tcW w:w="282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Director Fee</w:t>
            </w:r>
          </w:p>
        </w:tc>
        <w:tc>
          <w:tcPr>
            <w:tcW w:w="8420" w:type="dxa"/>
            <w:vAlign w:val="bottom"/>
            <w:shd w:val="clear" w:color="auto" w:fill="E1E1DF"/>
          </w:tcPr>
          <w:p>
            <w:pPr>
              <w:spacing w:after="0"/>
              <w:rPr>
                <w:sz w:val="18"/>
                <w:szCs w:val="18"/>
                <w:color w:val="auto"/>
              </w:rPr>
            </w:pPr>
          </w:p>
        </w:tc>
      </w:tr>
      <w:tr>
        <w:trPr>
          <w:trHeight w:val="365"/>
        </w:trPr>
        <w:tc>
          <w:tcPr>
            <w:tcW w:w="282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Committee Meeting Fee</w:t>
            </w: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$2,500 per committee meeting</w:t>
            </w:r>
          </w:p>
        </w:tc>
      </w:tr>
      <w:tr>
        <w:trPr>
          <w:trHeight w:val="359"/>
        </w:trPr>
        <w:tc>
          <w:tcPr>
            <w:tcW w:w="282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Other Benefits</w:t>
            </w: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Reimbursement of travel and other related expenses incurred in connection with attending Board and committee</w:t>
            </w:r>
          </w:p>
        </w:tc>
      </w:tr>
      <w:tr>
        <w:trPr>
          <w:trHeight w:val="195"/>
        </w:trPr>
        <w:tc>
          <w:tcPr>
            <w:tcW w:w="2820" w:type="dxa"/>
            <w:vAlign w:val="bottom"/>
            <w:shd w:val="clear" w:color="auto" w:fill="E1E1DF"/>
          </w:tcPr>
          <w:p>
            <w:pPr>
              <w:spacing w:after="0"/>
              <w:rPr>
                <w:sz w:val="16"/>
                <w:szCs w:val="16"/>
                <w:color w:val="auto"/>
              </w:rPr>
            </w:pP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meetings</w:t>
            </w:r>
          </w:p>
        </w:tc>
      </w:tr>
      <w:tr>
        <w:trPr>
          <w:trHeight w:val="378"/>
        </w:trPr>
        <w:tc>
          <w:tcPr>
            <w:tcW w:w="2820" w:type="dxa"/>
            <w:vAlign w:val="bottom"/>
            <w:shd w:val="clear" w:color="auto" w:fill="E1E1DF"/>
          </w:tcPr>
          <w:p>
            <w:pPr>
              <w:spacing w:after="0"/>
              <w:rPr>
                <w:sz w:val="24"/>
                <w:szCs w:val="24"/>
                <w:color w:val="auto"/>
              </w:rPr>
            </w:pPr>
          </w:p>
        </w:tc>
        <w:tc>
          <w:tcPr>
            <w:tcW w:w="84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Assistance for the annual individual U.K. tax return</w:t>
            </w:r>
          </w:p>
        </w:tc>
      </w:tr>
      <w:tr>
        <w:trPr>
          <w:trHeight w:val="263"/>
        </w:trPr>
        <w:tc>
          <w:tcPr>
            <w:tcW w:w="2820" w:type="dxa"/>
            <w:vAlign w:val="bottom"/>
            <w:shd w:val="clear" w:color="auto" w:fill="E1E1DF"/>
          </w:tcPr>
          <w:p>
            <w:pPr>
              <w:spacing w:after="0"/>
              <w:rPr>
                <w:sz w:val="22"/>
                <w:szCs w:val="22"/>
                <w:color w:val="auto"/>
              </w:rPr>
            </w:pPr>
          </w:p>
        </w:tc>
        <w:tc>
          <w:tcPr>
            <w:tcW w:w="8420" w:type="dxa"/>
            <w:vAlign w:val="bottom"/>
            <w:shd w:val="clear" w:color="auto" w:fill="E1E1DF"/>
          </w:tcPr>
          <w:p>
            <w:pPr>
              <w:spacing w:after="0"/>
              <w:rPr>
                <w:sz w:val="22"/>
                <w:szCs w:val="22"/>
                <w:color w:val="auto"/>
              </w:rPr>
            </w:pPr>
          </w:p>
        </w:tc>
      </w:tr>
      <w:tr>
        <w:trPr>
          <w:trHeight w:val="366"/>
        </w:trPr>
        <w:tc>
          <w:tcPr>
            <w:tcW w:w="2820" w:type="dxa"/>
            <w:vAlign w:val="bottom"/>
          </w:tcPr>
          <w:p>
            <w:pPr>
              <w:spacing w:after="0"/>
              <w:rPr>
                <w:sz w:val="20"/>
                <w:szCs w:val="20"/>
                <w:color w:val="auto"/>
              </w:rPr>
            </w:pPr>
            <w:r>
              <w:rPr>
                <w:rFonts w:ascii="Arial" w:cs="Arial" w:eastAsia="Arial" w:hAnsi="Arial"/>
                <w:sz w:val="14"/>
                <w:szCs w:val="14"/>
                <w:color w:val="auto"/>
              </w:rPr>
              <w:t>57  TechnipFMC</w:t>
            </w:r>
          </w:p>
        </w:tc>
        <w:tc>
          <w:tcPr>
            <w:tcW w:w="8420" w:type="dxa"/>
            <w:vAlign w:val="bottom"/>
          </w:tcPr>
          <w:p>
            <w:pPr>
              <w:spacing w:after="0"/>
              <w:rPr>
                <w:sz w:val="24"/>
                <w:szCs w:val="24"/>
                <w:color w:val="auto"/>
              </w:rPr>
            </w:pPr>
          </w:p>
        </w:tc>
      </w:tr>
      <w:tr>
        <w:trPr>
          <w:trHeight w:val="606"/>
        </w:trPr>
        <w:tc>
          <w:tcPr>
            <w:tcW w:w="282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Non-executive Director Compensation Table</w:t>
      </w:r>
    </w:p>
    <w:p>
      <w:pPr>
        <w:spacing w:after="0" w:line="16" w:lineRule="exact"/>
        <w:rPr>
          <w:sz w:val="20"/>
          <w:szCs w:val="20"/>
          <w:color w:val="auto"/>
        </w:rPr>
      </w:pPr>
    </w:p>
    <w:p>
      <w:pPr>
        <w:jc w:val="both"/>
        <w:ind w:right="500"/>
        <w:spacing w:after="0" w:line="253" w:lineRule="auto"/>
        <w:rPr>
          <w:sz w:val="20"/>
          <w:szCs w:val="20"/>
          <w:color w:val="auto"/>
        </w:rPr>
      </w:pPr>
      <w:r>
        <w:rPr>
          <w:rFonts w:ascii="Arial" w:cs="Arial" w:eastAsia="Arial" w:hAnsi="Arial"/>
          <w:sz w:val="16"/>
          <w:szCs w:val="16"/>
          <w:color w:val="3B3C43"/>
        </w:rPr>
        <w:t>The following table details the total compensation for our non-executive directors for the year ended December 31, 2020. Our Chairman and CEO, Mr. Pferdehirt, is not included in the table below as he was an employee during 2020 and did not receive any additional compensation for his 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109220</wp:posOffset>
            </wp:positionV>
            <wp:extent cx="8890" cy="32575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32575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109220</wp:posOffset>
            </wp:positionV>
            <wp:extent cx="8255" cy="32575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325755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109220</wp:posOffset>
            </wp:positionV>
            <wp:extent cx="8255" cy="32575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325755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109220</wp:posOffset>
            </wp:positionV>
            <wp:extent cx="8255" cy="32575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325755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000" w:type="dxa"/>
            <w:vAlign w:val="bottom"/>
            <w:shd w:val="clear" w:color="auto" w:fill="4A1F67"/>
          </w:tcPr>
          <w:p>
            <w:pPr>
              <w:spacing w:after="0"/>
              <w:rPr>
                <w:sz w:val="21"/>
                <w:szCs w:val="21"/>
                <w:color w:val="auto"/>
              </w:rPr>
            </w:pPr>
          </w:p>
        </w:tc>
        <w:tc>
          <w:tcPr>
            <w:tcW w:w="4120" w:type="dxa"/>
            <w:vAlign w:val="bottom"/>
            <w:gridSpan w:val="2"/>
            <w:shd w:val="clear" w:color="auto" w:fill="4A1F67"/>
          </w:tcPr>
          <w:p>
            <w:pPr>
              <w:jc w:val="right"/>
              <w:ind w:right="639"/>
              <w:spacing w:after="0"/>
              <w:rPr>
                <w:sz w:val="20"/>
                <w:szCs w:val="20"/>
                <w:color w:val="auto"/>
              </w:rPr>
            </w:pPr>
            <w:r>
              <w:rPr>
                <w:rFonts w:ascii="Arial" w:cs="Arial" w:eastAsia="Arial" w:hAnsi="Arial"/>
                <w:sz w:val="16"/>
                <w:szCs w:val="16"/>
                <w:b w:val="1"/>
                <w:bCs w:val="1"/>
                <w:color w:val="FFFFFF"/>
              </w:rPr>
              <w:t>Fees Earned or Paid in Cash ($)</w:t>
            </w:r>
          </w:p>
        </w:tc>
        <w:tc>
          <w:tcPr>
            <w:tcW w:w="1600" w:type="dxa"/>
            <w:vAlign w:val="bottom"/>
            <w:shd w:val="clear" w:color="auto" w:fill="4A1F67"/>
          </w:tcPr>
          <w:p>
            <w:pPr>
              <w:spacing w:after="0"/>
              <w:rPr>
                <w:sz w:val="21"/>
                <w:szCs w:val="21"/>
                <w:color w:val="auto"/>
              </w:rPr>
            </w:pPr>
          </w:p>
        </w:tc>
        <w:tc>
          <w:tcPr>
            <w:tcW w:w="1620" w:type="dxa"/>
            <w:vAlign w:val="bottom"/>
            <w:vMerge w:val="restart"/>
            <w:shd w:val="clear" w:color="auto" w:fill="4A1F67"/>
          </w:tcPr>
          <w:p>
            <w:pPr>
              <w:jc w:val="right"/>
              <w:ind w:right="199"/>
              <w:spacing w:after="0"/>
              <w:rPr>
                <w:sz w:val="20"/>
                <w:szCs w:val="20"/>
                <w:color w:val="auto"/>
              </w:rPr>
            </w:pPr>
            <w:r>
              <w:rPr>
                <w:rFonts w:ascii="Arial" w:cs="Arial" w:eastAsia="Arial" w:hAnsi="Arial"/>
                <w:sz w:val="16"/>
                <w:szCs w:val="16"/>
                <w:b w:val="1"/>
                <w:bCs w:val="1"/>
                <w:color w:val="FFFFFF"/>
              </w:rPr>
              <w:t>All Other</w:t>
            </w:r>
          </w:p>
        </w:tc>
        <w:tc>
          <w:tcPr>
            <w:tcW w:w="900" w:type="dxa"/>
            <w:vAlign w:val="bottom"/>
            <w:shd w:val="clear" w:color="auto" w:fill="4A1F67"/>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3000" w:type="dxa"/>
            <w:vAlign w:val="bottom"/>
            <w:shd w:val="clear" w:color="auto" w:fill="4A1F67"/>
          </w:tcPr>
          <w:p>
            <w:pPr>
              <w:spacing w:after="0"/>
              <w:rPr>
                <w:sz w:val="7"/>
                <w:szCs w:val="7"/>
                <w:color w:val="auto"/>
              </w:rPr>
            </w:pPr>
          </w:p>
        </w:tc>
        <w:tc>
          <w:tcPr>
            <w:tcW w:w="2360" w:type="dxa"/>
            <w:vAlign w:val="bottom"/>
            <w:shd w:val="clear" w:color="auto" w:fill="4A1F67"/>
          </w:tcPr>
          <w:p>
            <w:pPr>
              <w:spacing w:after="0"/>
              <w:rPr>
                <w:sz w:val="7"/>
                <w:szCs w:val="7"/>
                <w:color w:val="auto"/>
              </w:rPr>
            </w:pPr>
          </w:p>
        </w:tc>
        <w:tc>
          <w:tcPr>
            <w:tcW w:w="1760" w:type="dxa"/>
            <w:vAlign w:val="bottom"/>
            <w:shd w:val="clear" w:color="auto" w:fill="4A1F67"/>
          </w:tcPr>
          <w:p>
            <w:pPr>
              <w:spacing w:after="0"/>
              <w:rPr>
                <w:sz w:val="7"/>
                <w:szCs w:val="7"/>
                <w:color w:val="auto"/>
              </w:rPr>
            </w:pPr>
          </w:p>
        </w:tc>
        <w:tc>
          <w:tcPr>
            <w:tcW w:w="1600" w:type="dxa"/>
            <w:vAlign w:val="bottom"/>
            <w:shd w:val="clear" w:color="auto" w:fill="4A1F67"/>
          </w:tcPr>
          <w:p>
            <w:pPr>
              <w:spacing w:after="0"/>
              <w:rPr>
                <w:sz w:val="7"/>
                <w:szCs w:val="7"/>
                <w:color w:val="auto"/>
              </w:rPr>
            </w:pPr>
          </w:p>
        </w:tc>
        <w:tc>
          <w:tcPr>
            <w:tcW w:w="1620" w:type="dxa"/>
            <w:vAlign w:val="bottom"/>
            <w:vMerge w:val="continue"/>
            <w:shd w:val="clear" w:color="auto" w:fill="4A1F67"/>
          </w:tcPr>
          <w:p>
            <w:pPr>
              <w:spacing w:after="0"/>
              <w:rPr>
                <w:sz w:val="7"/>
                <w:szCs w:val="7"/>
                <w:color w:val="auto"/>
              </w:rPr>
            </w:pPr>
          </w:p>
        </w:tc>
        <w:tc>
          <w:tcPr>
            <w:tcW w:w="900" w:type="dxa"/>
            <w:vAlign w:val="bottom"/>
            <w:shd w:val="clear" w:color="auto" w:fill="4A1F67"/>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000" w:type="dxa"/>
            <w:vAlign w:val="bottom"/>
            <w:shd w:val="clear" w:color="auto" w:fill="4A1F67"/>
          </w:tcPr>
          <w:p>
            <w:pPr>
              <w:spacing w:after="0"/>
              <w:rPr>
                <w:sz w:val="15"/>
                <w:szCs w:val="15"/>
                <w:color w:val="auto"/>
              </w:rPr>
            </w:pPr>
          </w:p>
        </w:tc>
        <w:tc>
          <w:tcPr>
            <w:tcW w:w="2360" w:type="dxa"/>
            <w:vAlign w:val="bottom"/>
            <w:shd w:val="clear" w:color="auto" w:fill="4A1F67"/>
          </w:tcPr>
          <w:p>
            <w:pPr>
              <w:jc w:val="right"/>
              <w:ind w:right="159"/>
              <w:spacing w:after="0" w:line="177" w:lineRule="exact"/>
              <w:rPr>
                <w:sz w:val="20"/>
                <w:szCs w:val="20"/>
                <w:color w:val="auto"/>
              </w:rPr>
            </w:pPr>
            <w:r>
              <w:rPr>
                <w:rFonts w:ascii="Arial" w:cs="Arial" w:eastAsia="Arial" w:hAnsi="Arial"/>
                <w:sz w:val="16"/>
                <w:szCs w:val="16"/>
                <w:b w:val="1"/>
                <w:bCs w:val="1"/>
                <w:color w:val="FFFFFF"/>
              </w:rPr>
              <w:t>Annual Cash</w:t>
            </w:r>
          </w:p>
        </w:tc>
        <w:tc>
          <w:tcPr>
            <w:tcW w:w="1760" w:type="dxa"/>
            <w:vAlign w:val="bottom"/>
            <w:shd w:val="clear" w:color="auto" w:fill="4A1F67"/>
          </w:tcPr>
          <w:p>
            <w:pPr>
              <w:jc w:val="right"/>
              <w:ind w:right="219"/>
              <w:spacing w:after="0" w:line="177" w:lineRule="exact"/>
              <w:rPr>
                <w:sz w:val="20"/>
                <w:szCs w:val="20"/>
                <w:color w:val="auto"/>
              </w:rPr>
            </w:pPr>
            <w:r>
              <w:rPr>
                <w:rFonts w:ascii="Arial" w:cs="Arial" w:eastAsia="Arial" w:hAnsi="Arial"/>
                <w:sz w:val="16"/>
                <w:szCs w:val="16"/>
                <w:b w:val="1"/>
                <w:bCs w:val="1"/>
                <w:color w:val="FFFFFF"/>
              </w:rPr>
              <w:t>Additional Fees</w:t>
            </w:r>
          </w:p>
        </w:tc>
        <w:tc>
          <w:tcPr>
            <w:tcW w:w="1600" w:type="dxa"/>
            <w:vAlign w:val="bottom"/>
            <w:shd w:val="clear" w:color="auto" w:fill="4A1F67"/>
          </w:tcPr>
          <w:p>
            <w:pPr>
              <w:jc w:val="right"/>
              <w:ind w:right="139"/>
              <w:spacing w:after="0" w:line="177" w:lineRule="exact"/>
              <w:rPr>
                <w:sz w:val="20"/>
                <w:szCs w:val="20"/>
                <w:color w:val="auto"/>
              </w:rPr>
            </w:pPr>
            <w:r>
              <w:rPr>
                <w:rFonts w:ascii="Arial" w:cs="Arial" w:eastAsia="Arial" w:hAnsi="Arial"/>
                <w:sz w:val="16"/>
                <w:szCs w:val="16"/>
                <w:b w:val="1"/>
                <w:bCs w:val="1"/>
                <w:color w:val="FFFFFF"/>
              </w:rPr>
              <w:t>Stock Awards</w:t>
            </w:r>
          </w:p>
        </w:tc>
        <w:tc>
          <w:tcPr>
            <w:tcW w:w="1620" w:type="dxa"/>
            <w:vAlign w:val="bottom"/>
            <w:shd w:val="clear" w:color="auto" w:fill="4A1F67"/>
          </w:tcPr>
          <w:p>
            <w:pPr>
              <w:jc w:val="right"/>
              <w:ind w:right="199"/>
              <w:spacing w:after="0" w:line="177" w:lineRule="exact"/>
              <w:rPr>
                <w:sz w:val="20"/>
                <w:szCs w:val="20"/>
                <w:color w:val="auto"/>
              </w:rPr>
            </w:pPr>
            <w:r>
              <w:rPr>
                <w:rFonts w:ascii="Arial" w:cs="Arial" w:eastAsia="Arial" w:hAnsi="Arial"/>
                <w:sz w:val="16"/>
                <w:szCs w:val="16"/>
                <w:b w:val="1"/>
                <w:bCs w:val="1"/>
                <w:color w:val="FFFFFF"/>
              </w:rPr>
              <w:t>Compensation</w:t>
            </w:r>
          </w:p>
        </w:tc>
        <w:tc>
          <w:tcPr>
            <w:tcW w:w="900" w:type="dxa"/>
            <w:vAlign w:val="bottom"/>
            <w:shd w:val="clear" w:color="auto" w:fill="4A1F67"/>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000" w:type="dxa"/>
            <w:vAlign w:val="bottom"/>
            <w:shd w:val="clear" w:color="auto" w:fill="4A1F67"/>
          </w:tcPr>
          <w:p>
            <w:pPr>
              <w:ind w:left="60"/>
              <w:spacing w:after="0"/>
              <w:rPr>
                <w:sz w:val="20"/>
                <w:szCs w:val="20"/>
                <w:color w:val="auto"/>
              </w:rPr>
            </w:pPr>
            <w:r>
              <w:rPr>
                <w:rFonts w:ascii="Arial" w:cs="Arial" w:eastAsia="Arial" w:hAnsi="Arial"/>
                <w:sz w:val="16"/>
                <w:szCs w:val="16"/>
                <w:b w:val="1"/>
                <w:bCs w:val="1"/>
                <w:color w:val="FFFFFF"/>
              </w:rPr>
              <w:t>Name</w:t>
            </w:r>
          </w:p>
        </w:tc>
        <w:tc>
          <w:tcPr>
            <w:tcW w:w="2360" w:type="dxa"/>
            <w:vAlign w:val="bottom"/>
            <w:shd w:val="clear" w:color="auto" w:fill="4A1F67"/>
          </w:tcPr>
          <w:p>
            <w:pPr>
              <w:jc w:val="right"/>
              <w:ind w:right="159"/>
              <w:spacing w:after="0" w:line="273" w:lineRule="exact"/>
              <w:rPr>
                <w:sz w:val="20"/>
                <w:szCs w:val="20"/>
                <w:color w:val="auto"/>
              </w:rPr>
            </w:pPr>
            <w:r>
              <w:rPr>
                <w:rFonts w:ascii="Arial" w:cs="Arial" w:eastAsia="Arial" w:hAnsi="Arial"/>
                <w:sz w:val="16"/>
                <w:szCs w:val="16"/>
                <w:b w:val="1"/>
                <w:bCs w:val="1"/>
                <w:color w:val="FFFFFF"/>
              </w:rPr>
              <w:t>Retainer ($)</w:t>
            </w:r>
            <w:r>
              <w:rPr>
                <w:rFonts w:ascii="Arial" w:cs="Arial" w:eastAsia="Arial" w:hAnsi="Arial"/>
                <w:sz w:val="26"/>
                <w:szCs w:val="26"/>
                <w:b w:val="1"/>
                <w:bCs w:val="1"/>
                <w:color w:val="FFFFFF"/>
                <w:vertAlign w:val="superscript"/>
              </w:rPr>
              <w:t>1</w:t>
            </w:r>
          </w:p>
        </w:tc>
        <w:tc>
          <w:tcPr>
            <w:tcW w:w="1760" w:type="dxa"/>
            <w:vAlign w:val="bottom"/>
            <w:shd w:val="clear" w:color="auto" w:fill="4A1F67"/>
          </w:tcPr>
          <w:p>
            <w:pPr>
              <w:jc w:val="right"/>
              <w:ind w:right="219"/>
              <w:spacing w:after="0" w:line="273"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2</w:t>
            </w:r>
          </w:p>
        </w:tc>
        <w:tc>
          <w:tcPr>
            <w:tcW w:w="1600" w:type="dxa"/>
            <w:vAlign w:val="bottom"/>
            <w:shd w:val="clear" w:color="auto" w:fill="4A1F67"/>
          </w:tcPr>
          <w:p>
            <w:pPr>
              <w:jc w:val="right"/>
              <w:ind w:right="139"/>
              <w:spacing w:after="0" w:line="273"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3</w:t>
            </w:r>
          </w:p>
        </w:tc>
        <w:tc>
          <w:tcPr>
            <w:tcW w:w="1620" w:type="dxa"/>
            <w:vAlign w:val="bottom"/>
            <w:shd w:val="clear" w:color="auto" w:fill="4A1F67"/>
          </w:tcPr>
          <w:p>
            <w:pPr>
              <w:jc w:val="right"/>
              <w:ind w:right="199"/>
              <w:spacing w:after="0" w:line="273"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4</w:t>
            </w:r>
          </w:p>
        </w:tc>
        <w:tc>
          <w:tcPr>
            <w:tcW w:w="90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E1E2E0"/>
            </w:tcBorders>
          </w:tcPr>
          <w:p>
            <w:pPr>
              <w:ind w:left="60"/>
              <w:spacing w:after="0" w:line="297" w:lineRule="exact"/>
              <w:rPr>
                <w:sz w:val="20"/>
                <w:szCs w:val="20"/>
                <w:color w:val="auto"/>
              </w:rPr>
            </w:pPr>
            <w:r>
              <w:rPr>
                <w:rFonts w:ascii="Arial" w:cs="Arial" w:eastAsia="Arial" w:hAnsi="Arial"/>
                <w:sz w:val="16"/>
                <w:szCs w:val="16"/>
                <w:b w:val="1"/>
                <w:bCs w:val="1"/>
                <w:color w:val="3B3C43"/>
              </w:rPr>
              <w:t>Arnaud Caudoux</w:t>
            </w:r>
            <w:r>
              <w:rPr>
                <w:rFonts w:ascii="Arial" w:cs="Arial" w:eastAsia="Arial" w:hAnsi="Arial"/>
                <w:sz w:val="26"/>
                <w:szCs w:val="26"/>
                <w:b w:val="1"/>
                <w:bCs w:val="1"/>
                <w:color w:val="3B3C43"/>
                <w:vertAlign w:val="superscript"/>
              </w:rPr>
              <w:t>5</w:t>
            </w:r>
          </w:p>
        </w:tc>
        <w:tc>
          <w:tcPr>
            <w:tcW w:w="2360" w:type="dxa"/>
            <w:vAlign w:val="bottom"/>
            <w:tcBorders>
              <w:bottom w:val="single" w:sz="8" w:color="E1E2E0"/>
            </w:tcBorders>
          </w:tcPr>
          <w:p>
            <w:pPr>
              <w:jc w:val="right"/>
              <w:ind w:right="159"/>
              <w:spacing w:after="0"/>
              <w:rPr>
                <w:sz w:val="20"/>
                <w:szCs w:val="20"/>
                <w:color w:val="auto"/>
              </w:rPr>
            </w:pPr>
            <w:r>
              <w:rPr>
                <w:rFonts w:ascii="Arial" w:cs="Arial" w:eastAsia="Arial" w:hAnsi="Arial"/>
                <w:sz w:val="16"/>
                <w:szCs w:val="16"/>
                <w:color w:val="3B3C43"/>
              </w:rPr>
              <w:t>0</w:t>
            </w:r>
          </w:p>
        </w:tc>
        <w:tc>
          <w:tcPr>
            <w:tcW w:w="1760" w:type="dxa"/>
            <w:vAlign w:val="bottom"/>
            <w:tcBorders>
              <w:bottom w:val="single" w:sz="8" w:color="E1E2E0"/>
            </w:tcBorders>
          </w:tcPr>
          <w:p>
            <w:pPr>
              <w:jc w:val="right"/>
              <w:ind w:right="219"/>
              <w:spacing w:after="0"/>
              <w:rPr>
                <w:sz w:val="20"/>
                <w:szCs w:val="20"/>
                <w:color w:val="auto"/>
              </w:rPr>
            </w:pPr>
            <w:r>
              <w:rPr>
                <w:rFonts w:ascii="Arial" w:cs="Arial" w:eastAsia="Arial" w:hAnsi="Arial"/>
                <w:sz w:val="16"/>
                <w:szCs w:val="16"/>
                <w:color w:val="3B3C43"/>
              </w:rPr>
              <w:t>0</w:t>
            </w:r>
          </w:p>
        </w:tc>
        <w:tc>
          <w:tcPr>
            <w:tcW w:w="1600" w:type="dxa"/>
            <w:vAlign w:val="bottom"/>
            <w:tcBorders>
              <w:bottom w:val="single" w:sz="8" w:color="E1E2E0"/>
            </w:tcBorders>
          </w:tcPr>
          <w:p>
            <w:pPr>
              <w:jc w:val="right"/>
              <w:ind w:right="139"/>
              <w:spacing w:after="0"/>
              <w:rPr>
                <w:sz w:val="20"/>
                <w:szCs w:val="20"/>
                <w:color w:val="auto"/>
              </w:rPr>
            </w:pPr>
            <w:r>
              <w:rPr>
                <w:rFonts w:ascii="Arial" w:cs="Arial" w:eastAsia="Arial" w:hAnsi="Arial"/>
                <w:sz w:val="16"/>
                <w:szCs w:val="16"/>
                <w:color w:val="3B3C43"/>
              </w:rPr>
              <w:t>0</w:t>
            </w:r>
          </w:p>
        </w:tc>
        <w:tc>
          <w:tcPr>
            <w:tcW w:w="1620" w:type="dxa"/>
            <w:vAlign w:val="bottom"/>
            <w:tcBorders>
              <w:bottom w:val="single" w:sz="8" w:color="E1E2E0"/>
            </w:tcBorders>
          </w:tcPr>
          <w:p>
            <w:pPr>
              <w:jc w:val="right"/>
              <w:ind w:right="199"/>
              <w:spacing w:after="0"/>
              <w:rPr>
                <w:sz w:val="20"/>
                <w:szCs w:val="20"/>
                <w:color w:val="auto"/>
              </w:rPr>
            </w:pPr>
            <w:r>
              <w:rPr>
                <w:rFonts w:ascii="Arial" w:cs="Arial" w:eastAsia="Arial" w:hAnsi="Arial"/>
                <w:sz w:val="16"/>
                <w:szCs w:val="16"/>
                <w:color w:val="3B3C43"/>
              </w:rPr>
              <w:t>0</w:t>
            </w:r>
          </w:p>
        </w:tc>
        <w:tc>
          <w:tcPr>
            <w:tcW w:w="90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0</w:t>
            </w:r>
          </w:p>
        </w:tc>
        <w:tc>
          <w:tcPr>
            <w:tcW w:w="0" w:type="dxa"/>
            <w:vAlign w:val="bottom"/>
          </w:tcPr>
          <w:p>
            <w:pPr>
              <w:spacing w:after="0"/>
              <w:rPr>
                <w:sz w:val="1"/>
                <w:szCs w:val="1"/>
                <w:color w:val="auto"/>
              </w:rPr>
            </w:pPr>
          </w:p>
        </w:tc>
      </w:tr>
      <w:tr>
        <w:trPr>
          <w:trHeight w:val="244"/>
        </w:trPr>
        <w:tc>
          <w:tcPr>
            <w:tcW w:w="3000" w:type="dxa"/>
            <w:vAlign w:val="bottom"/>
          </w:tcPr>
          <w:p>
            <w:pPr>
              <w:ind w:left="60"/>
              <w:spacing w:after="0"/>
              <w:rPr>
                <w:sz w:val="20"/>
                <w:szCs w:val="20"/>
                <w:color w:val="auto"/>
              </w:rPr>
            </w:pPr>
            <w:r>
              <w:rPr>
                <w:rFonts w:ascii="Arial" w:cs="Arial" w:eastAsia="Arial" w:hAnsi="Arial"/>
                <w:sz w:val="16"/>
                <w:szCs w:val="16"/>
                <w:b w:val="1"/>
                <w:bCs w:val="1"/>
                <w:color w:val="3B3C43"/>
              </w:rPr>
              <w:t>Eleazar de Carvalho Filho</w:t>
            </w:r>
          </w:p>
        </w:tc>
        <w:tc>
          <w:tcPr>
            <w:tcW w:w="2360" w:type="dxa"/>
            <w:vAlign w:val="bottom"/>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3B3C43"/>
              </w:rPr>
              <w:t>10,000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3B3C43"/>
              </w:rPr>
              <w:t>174,996</w:t>
            </w:r>
          </w:p>
        </w:tc>
        <w:tc>
          <w:tcPr>
            <w:tcW w:w="1620" w:type="dxa"/>
            <w:vAlign w:val="bottom"/>
          </w:tcPr>
          <w:p>
            <w:pPr>
              <w:jc w:val="right"/>
              <w:ind w:right="199"/>
              <w:spacing w:after="0"/>
              <w:rPr>
                <w:sz w:val="20"/>
                <w:szCs w:val="20"/>
                <w:color w:val="auto"/>
              </w:rPr>
            </w:pPr>
            <w:r>
              <w:rPr>
                <w:rFonts w:ascii="Arial" w:cs="Arial" w:eastAsia="Arial" w:hAnsi="Arial"/>
                <w:sz w:val="16"/>
                <w:szCs w:val="16"/>
                <w:color w:val="3B3C43"/>
              </w:rPr>
              <w:t>3,638</w:t>
            </w:r>
          </w:p>
        </w:tc>
        <w:tc>
          <w:tcPr>
            <w:tcW w:w="900" w:type="dxa"/>
            <w:vAlign w:val="bottom"/>
          </w:tcPr>
          <w:p>
            <w:pPr>
              <w:jc w:val="right"/>
              <w:spacing w:after="0"/>
              <w:rPr>
                <w:sz w:val="20"/>
                <w:szCs w:val="20"/>
                <w:color w:val="auto"/>
              </w:rPr>
            </w:pPr>
            <w:r>
              <w:rPr>
                <w:rFonts w:ascii="Arial" w:cs="Arial" w:eastAsia="Arial" w:hAnsi="Arial"/>
                <w:sz w:val="16"/>
                <w:szCs w:val="16"/>
                <w:color w:val="3B3C43"/>
              </w:rPr>
              <w:t>268,634</w:t>
            </w:r>
          </w:p>
        </w:tc>
        <w:tc>
          <w:tcPr>
            <w:tcW w:w="0" w:type="dxa"/>
            <w:vAlign w:val="bottom"/>
          </w:tcPr>
          <w:p>
            <w:pPr>
              <w:spacing w:after="0"/>
              <w:rPr>
                <w:sz w:val="1"/>
                <w:szCs w:val="1"/>
                <w:color w:val="auto"/>
              </w:rPr>
            </w:pPr>
          </w:p>
        </w:tc>
      </w:tr>
      <w:tr>
        <w:trPr>
          <w:trHeight w:val="47"/>
        </w:trPr>
        <w:tc>
          <w:tcPr>
            <w:tcW w:w="300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176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c>
          <w:tcPr>
            <w:tcW w:w="162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000" w:type="dxa"/>
            <w:vAlign w:val="bottom"/>
          </w:tcPr>
          <w:p>
            <w:pPr>
              <w:ind w:left="60"/>
              <w:spacing w:after="0"/>
              <w:rPr>
                <w:sz w:val="20"/>
                <w:szCs w:val="20"/>
                <w:color w:val="auto"/>
              </w:rPr>
            </w:pPr>
            <w:r>
              <w:rPr>
                <w:rFonts w:ascii="Arial" w:cs="Arial" w:eastAsia="Arial" w:hAnsi="Arial"/>
                <w:sz w:val="16"/>
                <w:szCs w:val="16"/>
                <w:b w:val="1"/>
                <w:bCs w:val="1"/>
                <w:color w:val="3B3C43"/>
              </w:rPr>
              <w:t>Pascal Colombani</w:t>
            </w:r>
          </w:p>
        </w:tc>
        <w:tc>
          <w:tcPr>
            <w:tcW w:w="2360" w:type="dxa"/>
            <w:vAlign w:val="bottom"/>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3B3C43"/>
              </w:rPr>
              <w:t>67,500</w:t>
            </w:r>
          </w:p>
        </w:tc>
        <w:tc>
          <w:tcPr>
            <w:tcW w:w="1600" w:type="dxa"/>
            <w:vAlign w:val="bottom"/>
          </w:tcPr>
          <w:p>
            <w:pPr>
              <w:jc w:val="right"/>
              <w:ind w:right="139"/>
              <w:spacing w:after="0"/>
              <w:rPr>
                <w:sz w:val="20"/>
                <w:szCs w:val="20"/>
                <w:color w:val="auto"/>
              </w:rPr>
            </w:pPr>
            <w:r>
              <w:rPr>
                <w:rFonts w:ascii="Arial" w:cs="Arial" w:eastAsia="Arial" w:hAnsi="Arial"/>
                <w:sz w:val="16"/>
                <w:szCs w:val="16"/>
                <w:color w:val="3B3C43"/>
              </w:rPr>
              <w:t>174,996</w:t>
            </w:r>
          </w:p>
        </w:tc>
        <w:tc>
          <w:tcPr>
            <w:tcW w:w="1620" w:type="dxa"/>
            <w:vAlign w:val="bottom"/>
          </w:tcPr>
          <w:p>
            <w:pPr>
              <w:jc w:val="right"/>
              <w:ind w:right="199"/>
              <w:spacing w:after="0"/>
              <w:rPr>
                <w:sz w:val="20"/>
                <w:szCs w:val="20"/>
                <w:color w:val="auto"/>
              </w:rPr>
            </w:pPr>
            <w:r>
              <w:rPr>
                <w:rFonts w:ascii="Arial" w:cs="Arial" w:eastAsia="Arial" w:hAnsi="Arial"/>
                <w:sz w:val="16"/>
                <w:szCs w:val="16"/>
                <w:color w:val="3B3C43"/>
              </w:rPr>
              <w:t>3,638</w:t>
            </w:r>
          </w:p>
        </w:tc>
        <w:tc>
          <w:tcPr>
            <w:tcW w:w="900" w:type="dxa"/>
            <w:vAlign w:val="bottom"/>
          </w:tcPr>
          <w:p>
            <w:pPr>
              <w:jc w:val="right"/>
              <w:spacing w:after="0"/>
              <w:rPr>
                <w:sz w:val="20"/>
                <w:szCs w:val="20"/>
                <w:color w:val="auto"/>
              </w:rPr>
            </w:pPr>
            <w:r>
              <w:rPr>
                <w:rFonts w:ascii="Arial" w:cs="Arial" w:eastAsia="Arial" w:hAnsi="Arial"/>
                <w:sz w:val="16"/>
                <w:szCs w:val="16"/>
                <w:color w:val="3B3C43"/>
              </w:rPr>
              <w:t>326,134</w:t>
            </w:r>
          </w:p>
        </w:tc>
        <w:tc>
          <w:tcPr>
            <w:tcW w:w="0" w:type="dxa"/>
            <w:vAlign w:val="bottom"/>
          </w:tcPr>
          <w:p>
            <w:pPr>
              <w:spacing w:after="0"/>
              <w:rPr>
                <w:sz w:val="1"/>
                <w:szCs w:val="1"/>
                <w:color w:val="auto"/>
              </w:rPr>
            </w:pPr>
          </w:p>
        </w:tc>
      </w:tr>
      <w:tr>
        <w:trPr>
          <w:trHeight w:val="46"/>
        </w:trPr>
        <w:tc>
          <w:tcPr>
            <w:tcW w:w="300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176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c>
          <w:tcPr>
            <w:tcW w:w="162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000" w:type="dxa"/>
            <w:vAlign w:val="bottom"/>
          </w:tcPr>
          <w:p>
            <w:pPr>
              <w:ind w:left="60"/>
              <w:spacing w:after="0"/>
              <w:rPr>
                <w:sz w:val="20"/>
                <w:szCs w:val="20"/>
                <w:color w:val="auto"/>
              </w:rPr>
            </w:pPr>
            <w:r>
              <w:rPr>
                <w:rFonts w:ascii="Arial" w:cs="Arial" w:eastAsia="Arial" w:hAnsi="Arial"/>
                <w:sz w:val="16"/>
                <w:szCs w:val="16"/>
                <w:b w:val="1"/>
                <w:bCs w:val="1"/>
                <w:color w:val="3B3C43"/>
              </w:rPr>
              <w:t>Marie-Ange Debon</w:t>
            </w:r>
          </w:p>
        </w:tc>
        <w:tc>
          <w:tcPr>
            <w:tcW w:w="2360" w:type="dxa"/>
            <w:vAlign w:val="bottom"/>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3B3C43"/>
              </w:rPr>
              <w:t>30,000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3B3C43"/>
              </w:rPr>
              <w:t>174,996</w:t>
            </w:r>
          </w:p>
        </w:tc>
        <w:tc>
          <w:tcPr>
            <w:tcW w:w="1620" w:type="dxa"/>
            <w:vAlign w:val="bottom"/>
          </w:tcPr>
          <w:p>
            <w:pPr>
              <w:jc w:val="right"/>
              <w:ind w:right="199"/>
              <w:spacing w:after="0"/>
              <w:rPr>
                <w:sz w:val="20"/>
                <w:szCs w:val="20"/>
                <w:color w:val="auto"/>
              </w:rPr>
            </w:pPr>
            <w:r>
              <w:rPr>
                <w:rFonts w:ascii="Arial" w:cs="Arial" w:eastAsia="Arial" w:hAnsi="Arial"/>
                <w:sz w:val="16"/>
                <w:szCs w:val="16"/>
                <w:color w:val="3B3C43"/>
              </w:rPr>
              <w:t>3,638</w:t>
            </w:r>
          </w:p>
        </w:tc>
        <w:tc>
          <w:tcPr>
            <w:tcW w:w="900" w:type="dxa"/>
            <w:vAlign w:val="bottom"/>
          </w:tcPr>
          <w:p>
            <w:pPr>
              <w:jc w:val="right"/>
              <w:spacing w:after="0"/>
              <w:rPr>
                <w:sz w:val="20"/>
                <w:szCs w:val="20"/>
                <w:color w:val="auto"/>
              </w:rPr>
            </w:pPr>
            <w:r>
              <w:rPr>
                <w:rFonts w:ascii="Arial" w:cs="Arial" w:eastAsia="Arial" w:hAnsi="Arial"/>
                <w:sz w:val="16"/>
                <w:szCs w:val="16"/>
                <w:color w:val="3B3C43"/>
              </w:rPr>
              <w:t>288,634</w:t>
            </w:r>
          </w:p>
        </w:tc>
        <w:tc>
          <w:tcPr>
            <w:tcW w:w="0" w:type="dxa"/>
            <w:vAlign w:val="bottom"/>
          </w:tcPr>
          <w:p>
            <w:pPr>
              <w:spacing w:after="0"/>
              <w:rPr>
                <w:sz w:val="1"/>
                <w:szCs w:val="1"/>
                <w:color w:val="auto"/>
              </w:rPr>
            </w:pPr>
          </w:p>
        </w:tc>
      </w:tr>
      <w:tr>
        <w:trPr>
          <w:trHeight w:val="47"/>
        </w:trPr>
        <w:tc>
          <w:tcPr>
            <w:tcW w:w="300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176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c>
          <w:tcPr>
            <w:tcW w:w="162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000" w:type="dxa"/>
            <w:vAlign w:val="bottom"/>
          </w:tcPr>
          <w:p>
            <w:pPr>
              <w:ind w:left="60"/>
              <w:spacing w:after="0"/>
              <w:rPr>
                <w:sz w:val="20"/>
                <w:szCs w:val="20"/>
                <w:color w:val="auto"/>
              </w:rPr>
            </w:pPr>
            <w:r>
              <w:rPr>
                <w:rFonts w:ascii="Arial" w:cs="Arial" w:eastAsia="Arial" w:hAnsi="Arial"/>
                <w:sz w:val="16"/>
                <w:szCs w:val="16"/>
                <w:b w:val="1"/>
                <w:bCs w:val="1"/>
                <w:color w:val="3B3C43"/>
              </w:rPr>
              <w:t>Claire S. Farley</w:t>
            </w:r>
          </w:p>
        </w:tc>
        <w:tc>
          <w:tcPr>
            <w:tcW w:w="2360" w:type="dxa"/>
            <w:vAlign w:val="bottom"/>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3B3C43"/>
              </w:rPr>
              <w:t>17,500</w:t>
            </w:r>
          </w:p>
        </w:tc>
        <w:tc>
          <w:tcPr>
            <w:tcW w:w="1600" w:type="dxa"/>
            <w:vAlign w:val="bottom"/>
          </w:tcPr>
          <w:p>
            <w:pPr>
              <w:jc w:val="right"/>
              <w:ind w:right="139"/>
              <w:spacing w:after="0"/>
              <w:rPr>
                <w:sz w:val="20"/>
                <w:szCs w:val="20"/>
                <w:color w:val="auto"/>
              </w:rPr>
            </w:pPr>
            <w:r>
              <w:rPr>
                <w:rFonts w:ascii="Arial" w:cs="Arial" w:eastAsia="Arial" w:hAnsi="Arial"/>
                <w:sz w:val="16"/>
                <w:szCs w:val="16"/>
                <w:color w:val="3B3C43"/>
              </w:rPr>
              <w:t>174,996</w:t>
            </w:r>
          </w:p>
        </w:tc>
        <w:tc>
          <w:tcPr>
            <w:tcW w:w="1620" w:type="dxa"/>
            <w:vAlign w:val="bottom"/>
          </w:tcPr>
          <w:p>
            <w:pPr>
              <w:jc w:val="right"/>
              <w:ind w:right="199"/>
              <w:spacing w:after="0"/>
              <w:rPr>
                <w:sz w:val="20"/>
                <w:szCs w:val="20"/>
                <w:color w:val="auto"/>
              </w:rPr>
            </w:pPr>
            <w:r>
              <w:rPr>
                <w:rFonts w:ascii="Arial" w:cs="Arial" w:eastAsia="Arial" w:hAnsi="Arial"/>
                <w:sz w:val="16"/>
                <w:szCs w:val="16"/>
                <w:color w:val="3B3C43"/>
              </w:rPr>
              <w:t>0</w:t>
            </w:r>
          </w:p>
        </w:tc>
        <w:tc>
          <w:tcPr>
            <w:tcW w:w="900" w:type="dxa"/>
            <w:vAlign w:val="bottom"/>
          </w:tcPr>
          <w:p>
            <w:pPr>
              <w:jc w:val="right"/>
              <w:spacing w:after="0"/>
              <w:rPr>
                <w:sz w:val="20"/>
                <w:szCs w:val="20"/>
                <w:color w:val="auto"/>
              </w:rPr>
            </w:pPr>
            <w:r>
              <w:rPr>
                <w:rFonts w:ascii="Arial" w:cs="Arial" w:eastAsia="Arial" w:hAnsi="Arial"/>
                <w:sz w:val="16"/>
                <w:szCs w:val="16"/>
                <w:color w:val="3B3C43"/>
              </w:rPr>
              <w:t>272,496</w:t>
            </w:r>
          </w:p>
        </w:tc>
        <w:tc>
          <w:tcPr>
            <w:tcW w:w="0" w:type="dxa"/>
            <w:vAlign w:val="bottom"/>
          </w:tcPr>
          <w:p>
            <w:pPr>
              <w:spacing w:after="0"/>
              <w:rPr>
                <w:sz w:val="1"/>
                <w:szCs w:val="1"/>
                <w:color w:val="auto"/>
              </w:rPr>
            </w:pPr>
          </w:p>
        </w:tc>
      </w:tr>
      <w:tr>
        <w:trPr>
          <w:trHeight w:val="46"/>
        </w:trPr>
        <w:tc>
          <w:tcPr>
            <w:tcW w:w="300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176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c>
          <w:tcPr>
            <w:tcW w:w="162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000" w:type="dxa"/>
            <w:vAlign w:val="bottom"/>
          </w:tcPr>
          <w:p>
            <w:pPr>
              <w:ind w:left="60"/>
              <w:spacing w:after="0"/>
              <w:rPr>
                <w:sz w:val="20"/>
                <w:szCs w:val="20"/>
                <w:color w:val="auto"/>
              </w:rPr>
            </w:pPr>
            <w:r>
              <w:rPr>
                <w:rFonts w:ascii="Arial" w:cs="Arial" w:eastAsia="Arial" w:hAnsi="Arial"/>
                <w:sz w:val="16"/>
                <w:szCs w:val="16"/>
                <w:b w:val="1"/>
                <w:bCs w:val="1"/>
                <w:color w:val="3B3C43"/>
              </w:rPr>
              <w:t>Didier Houssin</w:t>
            </w:r>
          </w:p>
        </w:tc>
        <w:tc>
          <w:tcPr>
            <w:tcW w:w="2360" w:type="dxa"/>
            <w:vAlign w:val="bottom"/>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3B3C43"/>
              </w:rPr>
              <w:t>17,500</w:t>
            </w:r>
          </w:p>
        </w:tc>
        <w:tc>
          <w:tcPr>
            <w:tcW w:w="1600" w:type="dxa"/>
            <w:vAlign w:val="bottom"/>
          </w:tcPr>
          <w:p>
            <w:pPr>
              <w:jc w:val="right"/>
              <w:ind w:right="139"/>
              <w:spacing w:after="0"/>
              <w:rPr>
                <w:sz w:val="20"/>
                <w:szCs w:val="20"/>
                <w:color w:val="auto"/>
              </w:rPr>
            </w:pPr>
            <w:r>
              <w:rPr>
                <w:rFonts w:ascii="Arial" w:cs="Arial" w:eastAsia="Arial" w:hAnsi="Arial"/>
                <w:sz w:val="16"/>
                <w:szCs w:val="16"/>
                <w:color w:val="3B3C43"/>
              </w:rPr>
              <w:t>174,996</w:t>
            </w:r>
          </w:p>
        </w:tc>
        <w:tc>
          <w:tcPr>
            <w:tcW w:w="1620" w:type="dxa"/>
            <w:vAlign w:val="bottom"/>
          </w:tcPr>
          <w:p>
            <w:pPr>
              <w:jc w:val="right"/>
              <w:ind w:right="199"/>
              <w:spacing w:after="0"/>
              <w:rPr>
                <w:sz w:val="20"/>
                <w:szCs w:val="20"/>
                <w:color w:val="auto"/>
              </w:rPr>
            </w:pPr>
            <w:r>
              <w:rPr>
                <w:rFonts w:ascii="Arial" w:cs="Arial" w:eastAsia="Arial" w:hAnsi="Arial"/>
                <w:sz w:val="16"/>
                <w:szCs w:val="16"/>
                <w:color w:val="3B3C43"/>
              </w:rPr>
              <w:t>3,638</w:t>
            </w:r>
          </w:p>
        </w:tc>
        <w:tc>
          <w:tcPr>
            <w:tcW w:w="900" w:type="dxa"/>
            <w:vAlign w:val="bottom"/>
          </w:tcPr>
          <w:p>
            <w:pPr>
              <w:jc w:val="right"/>
              <w:spacing w:after="0"/>
              <w:rPr>
                <w:sz w:val="20"/>
                <w:szCs w:val="20"/>
                <w:color w:val="auto"/>
              </w:rPr>
            </w:pPr>
            <w:r>
              <w:rPr>
                <w:rFonts w:ascii="Arial" w:cs="Arial" w:eastAsia="Arial" w:hAnsi="Arial"/>
                <w:sz w:val="16"/>
                <w:szCs w:val="16"/>
                <w:color w:val="3B3C43"/>
              </w:rPr>
              <w:t>276,134</w:t>
            </w:r>
          </w:p>
        </w:tc>
        <w:tc>
          <w:tcPr>
            <w:tcW w:w="0" w:type="dxa"/>
            <w:vAlign w:val="bottom"/>
          </w:tcPr>
          <w:p>
            <w:pPr>
              <w:spacing w:after="0"/>
              <w:rPr>
                <w:sz w:val="1"/>
                <w:szCs w:val="1"/>
                <w:color w:val="auto"/>
              </w:rPr>
            </w:pPr>
          </w:p>
        </w:tc>
      </w:tr>
      <w:tr>
        <w:trPr>
          <w:trHeight w:val="46"/>
        </w:trPr>
        <w:tc>
          <w:tcPr>
            <w:tcW w:w="300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176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c>
          <w:tcPr>
            <w:tcW w:w="162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000" w:type="dxa"/>
            <w:vAlign w:val="bottom"/>
          </w:tcPr>
          <w:p>
            <w:pPr>
              <w:ind w:left="60"/>
              <w:spacing w:after="0"/>
              <w:rPr>
                <w:sz w:val="20"/>
                <w:szCs w:val="20"/>
                <w:color w:val="auto"/>
              </w:rPr>
            </w:pPr>
            <w:r>
              <w:rPr>
                <w:rFonts w:ascii="Arial" w:cs="Arial" w:eastAsia="Arial" w:hAnsi="Arial"/>
                <w:sz w:val="16"/>
                <w:szCs w:val="16"/>
                <w:b w:val="1"/>
                <w:bCs w:val="1"/>
                <w:color w:val="3B3C43"/>
              </w:rPr>
              <w:t>Peter Mellbye</w:t>
            </w:r>
          </w:p>
        </w:tc>
        <w:tc>
          <w:tcPr>
            <w:tcW w:w="2360" w:type="dxa"/>
            <w:vAlign w:val="bottom"/>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3B3C43"/>
              </w:rPr>
              <w:t>27,500</w:t>
            </w:r>
          </w:p>
        </w:tc>
        <w:tc>
          <w:tcPr>
            <w:tcW w:w="1600" w:type="dxa"/>
            <w:vAlign w:val="bottom"/>
          </w:tcPr>
          <w:p>
            <w:pPr>
              <w:jc w:val="right"/>
              <w:ind w:right="139"/>
              <w:spacing w:after="0"/>
              <w:rPr>
                <w:sz w:val="20"/>
                <w:szCs w:val="20"/>
                <w:color w:val="auto"/>
              </w:rPr>
            </w:pPr>
            <w:r>
              <w:rPr>
                <w:rFonts w:ascii="Arial" w:cs="Arial" w:eastAsia="Arial" w:hAnsi="Arial"/>
                <w:sz w:val="16"/>
                <w:szCs w:val="16"/>
                <w:color w:val="3B3C43"/>
              </w:rPr>
              <w:t>174,996</w:t>
            </w:r>
          </w:p>
        </w:tc>
        <w:tc>
          <w:tcPr>
            <w:tcW w:w="1620" w:type="dxa"/>
            <w:vAlign w:val="bottom"/>
          </w:tcPr>
          <w:p>
            <w:pPr>
              <w:jc w:val="right"/>
              <w:ind w:right="199"/>
              <w:spacing w:after="0"/>
              <w:rPr>
                <w:sz w:val="20"/>
                <w:szCs w:val="20"/>
                <w:color w:val="auto"/>
              </w:rPr>
            </w:pPr>
            <w:r>
              <w:rPr>
                <w:rFonts w:ascii="Arial" w:cs="Arial" w:eastAsia="Arial" w:hAnsi="Arial"/>
                <w:sz w:val="16"/>
                <w:szCs w:val="16"/>
                <w:color w:val="3B3C43"/>
              </w:rPr>
              <w:t>4,207</w:t>
            </w:r>
          </w:p>
        </w:tc>
        <w:tc>
          <w:tcPr>
            <w:tcW w:w="900" w:type="dxa"/>
            <w:vAlign w:val="bottom"/>
          </w:tcPr>
          <w:p>
            <w:pPr>
              <w:jc w:val="right"/>
              <w:spacing w:after="0"/>
              <w:rPr>
                <w:sz w:val="20"/>
                <w:szCs w:val="20"/>
                <w:color w:val="auto"/>
              </w:rPr>
            </w:pPr>
            <w:r>
              <w:rPr>
                <w:rFonts w:ascii="Arial" w:cs="Arial" w:eastAsia="Arial" w:hAnsi="Arial"/>
                <w:sz w:val="16"/>
                <w:szCs w:val="16"/>
                <w:color w:val="3B3C43"/>
              </w:rPr>
              <w:t>286,703</w:t>
            </w:r>
          </w:p>
        </w:tc>
        <w:tc>
          <w:tcPr>
            <w:tcW w:w="0" w:type="dxa"/>
            <w:vAlign w:val="bottom"/>
          </w:tcPr>
          <w:p>
            <w:pPr>
              <w:spacing w:after="0"/>
              <w:rPr>
                <w:sz w:val="1"/>
                <w:szCs w:val="1"/>
                <w:color w:val="auto"/>
              </w:rPr>
            </w:pPr>
          </w:p>
        </w:tc>
      </w:tr>
      <w:tr>
        <w:trPr>
          <w:trHeight w:val="47"/>
        </w:trPr>
        <w:tc>
          <w:tcPr>
            <w:tcW w:w="300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176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c>
          <w:tcPr>
            <w:tcW w:w="162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000" w:type="dxa"/>
            <w:vAlign w:val="bottom"/>
          </w:tcPr>
          <w:p>
            <w:pPr>
              <w:ind w:left="60"/>
              <w:spacing w:after="0"/>
              <w:rPr>
                <w:sz w:val="20"/>
                <w:szCs w:val="20"/>
                <w:color w:val="auto"/>
              </w:rPr>
            </w:pPr>
            <w:r>
              <w:rPr>
                <w:rFonts w:ascii="Arial" w:cs="Arial" w:eastAsia="Arial" w:hAnsi="Arial"/>
                <w:sz w:val="16"/>
                <w:szCs w:val="16"/>
                <w:b w:val="1"/>
                <w:bCs w:val="1"/>
                <w:color w:val="3B3C43"/>
              </w:rPr>
              <w:t>John O’Leary</w:t>
            </w:r>
          </w:p>
        </w:tc>
        <w:tc>
          <w:tcPr>
            <w:tcW w:w="2360" w:type="dxa"/>
            <w:vAlign w:val="bottom"/>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3B3C43"/>
              </w:rPr>
              <w:t>10,000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3B3C43"/>
              </w:rPr>
              <w:t>174,996</w:t>
            </w:r>
          </w:p>
        </w:tc>
        <w:tc>
          <w:tcPr>
            <w:tcW w:w="1620" w:type="dxa"/>
            <w:vAlign w:val="bottom"/>
          </w:tcPr>
          <w:p>
            <w:pPr>
              <w:jc w:val="right"/>
              <w:ind w:right="199"/>
              <w:spacing w:after="0"/>
              <w:rPr>
                <w:sz w:val="20"/>
                <w:szCs w:val="20"/>
                <w:color w:val="auto"/>
              </w:rPr>
            </w:pPr>
            <w:r>
              <w:rPr>
                <w:rFonts w:ascii="Arial" w:cs="Arial" w:eastAsia="Arial" w:hAnsi="Arial"/>
                <w:sz w:val="16"/>
                <w:szCs w:val="16"/>
                <w:color w:val="3B3C43"/>
              </w:rPr>
              <w:t>3,638</w:t>
            </w:r>
          </w:p>
        </w:tc>
        <w:tc>
          <w:tcPr>
            <w:tcW w:w="900" w:type="dxa"/>
            <w:vAlign w:val="bottom"/>
          </w:tcPr>
          <w:p>
            <w:pPr>
              <w:jc w:val="right"/>
              <w:spacing w:after="0"/>
              <w:rPr>
                <w:sz w:val="20"/>
                <w:szCs w:val="20"/>
                <w:color w:val="auto"/>
              </w:rPr>
            </w:pPr>
            <w:r>
              <w:rPr>
                <w:rFonts w:ascii="Arial" w:cs="Arial" w:eastAsia="Arial" w:hAnsi="Arial"/>
                <w:sz w:val="16"/>
                <w:szCs w:val="16"/>
                <w:color w:val="3B3C43"/>
              </w:rPr>
              <w:t>268,634</w:t>
            </w:r>
          </w:p>
        </w:tc>
        <w:tc>
          <w:tcPr>
            <w:tcW w:w="0" w:type="dxa"/>
            <w:vAlign w:val="bottom"/>
          </w:tcPr>
          <w:p>
            <w:pPr>
              <w:spacing w:after="0"/>
              <w:rPr>
                <w:sz w:val="1"/>
                <w:szCs w:val="1"/>
                <w:color w:val="auto"/>
              </w:rPr>
            </w:pPr>
          </w:p>
        </w:tc>
      </w:tr>
      <w:tr>
        <w:trPr>
          <w:trHeight w:val="46"/>
        </w:trPr>
        <w:tc>
          <w:tcPr>
            <w:tcW w:w="300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176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c>
          <w:tcPr>
            <w:tcW w:w="162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3000" w:type="dxa"/>
            <w:vAlign w:val="bottom"/>
            <w:tcBorders>
              <w:bottom w:val="single" w:sz="8" w:color="E1E2E0"/>
            </w:tcBorders>
          </w:tcPr>
          <w:p>
            <w:pPr>
              <w:ind w:left="60"/>
              <w:spacing w:after="0" w:line="291" w:lineRule="exact"/>
              <w:rPr>
                <w:sz w:val="20"/>
                <w:szCs w:val="20"/>
                <w:color w:val="auto"/>
              </w:rPr>
            </w:pPr>
            <w:r>
              <w:rPr>
                <w:rFonts w:ascii="Arial" w:cs="Arial" w:eastAsia="Arial" w:hAnsi="Arial"/>
                <w:sz w:val="16"/>
                <w:szCs w:val="16"/>
                <w:b w:val="1"/>
                <w:bCs w:val="1"/>
                <w:color w:val="3B3C43"/>
              </w:rPr>
              <w:t>Margareth Øvrum</w:t>
            </w:r>
            <w:r>
              <w:rPr>
                <w:rFonts w:ascii="Arial" w:cs="Arial" w:eastAsia="Arial" w:hAnsi="Arial"/>
                <w:sz w:val="26"/>
                <w:szCs w:val="26"/>
                <w:b w:val="1"/>
                <w:bCs w:val="1"/>
                <w:color w:val="3B3C43"/>
                <w:vertAlign w:val="superscript"/>
              </w:rPr>
              <w:t>6</w:t>
            </w:r>
          </w:p>
        </w:tc>
        <w:tc>
          <w:tcPr>
            <w:tcW w:w="2360" w:type="dxa"/>
            <w:vAlign w:val="bottom"/>
            <w:tcBorders>
              <w:bottom w:val="single" w:sz="8" w:color="E1E2E0"/>
            </w:tcBorders>
          </w:tcPr>
          <w:p>
            <w:pPr>
              <w:jc w:val="right"/>
              <w:ind w:right="159"/>
              <w:spacing w:after="0"/>
              <w:rPr>
                <w:sz w:val="20"/>
                <w:szCs w:val="20"/>
                <w:color w:val="auto"/>
              </w:rPr>
            </w:pPr>
            <w:r>
              <w:rPr>
                <w:rFonts w:ascii="Arial" w:cs="Arial" w:eastAsia="Arial" w:hAnsi="Arial"/>
                <w:sz w:val="16"/>
                <w:szCs w:val="16"/>
                <w:color w:val="3B3C43"/>
              </w:rPr>
              <w:t>17,500</w:t>
            </w:r>
          </w:p>
        </w:tc>
        <w:tc>
          <w:tcPr>
            <w:tcW w:w="1760" w:type="dxa"/>
            <w:vAlign w:val="bottom"/>
            <w:tcBorders>
              <w:bottom w:val="single" w:sz="8" w:color="E1E2E0"/>
            </w:tcBorders>
          </w:tcPr>
          <w:p>
            <w:pPr>
              <w:jc w:val="right"/>
              <w:ind w:right="219"/>
              <w:spacing w:after="0"/>
              <w:rPr>
                <w:sz w:val="20"/>
                <w:szCs w:val="20"/>
                <w:color w:val="auto"/>
              </w:rPr>
            </w:pPr>
            <w:r>
              <w:rPr>
                <w:rFonts w:ascii="Arial" w:cs="Arial" w:eastAsia="Arial" w:hAnsi="Arial"/>
                <w:sz w:val="16"/>
                <w:szCs w:val="16"/>
                <w:color w:val="3B3C43"/>
              </w:rPr>
              <w:t>2,500</w:t>
            </w:r>
          </w:p>
        </w:tc>
        <w:tc>
          <w:tcPr>
            <w:tcW w:w="1600" w:type="dxa"/>
            <w:vAlign w:val="bottom"/>
            <w:tcBorders>
              <w:bottom w:val="single" w:sz="8" w:color="E1E2E0"/>
            </w:tcBorders>
          </w:tcPr>
          <w:p>
            <w:pPr>
              <w:jc w:val="right"/>
              <w:ind w:right="139"/>
              <w:spacing w:after="0"/>
              <w:rPr>
                <w:sz w:val="20"/>
                <w:szCs w:val="20"/>
                <w:color w:val="auto"/>
              </w:rPr>
            </w:pPr>
            <w:r>
              <w:rPr>
                <w:rFonts w:ascii="Arial" w:cs="Arial" w:eastAsia="Arial" w:hAnsi="Arial"/>
                <w:sz w:val="16"/>
                <w:szCs w:val="16"/>
                <w:color w:val="3B3C43"/>
              </w:rPr>
              <w:t>0</w:t>
            </w:r>
          </w:p>
        </w:tc>
        <w:tc>
          <w:tcPr>
            <w:tcW w:w="1620" w:type="dxa"/>
            <w:vAlign w:val="bottom"/>
            <w:tcBorders>
              <w:bottom w:val="single" w:sz="8" w:color="E1E2E0"/>
            </w:tcBorders>
          </w:tcPr>
          <w:p>
            <w:pPr>
              <w:jc w:val="right"/>
              <w:ind w:right="199"/>
              <w:spacing w:after="0"/>
              <w:rPr>
                <w:sz w:val="20"/>
                <w:szCs w:val="20"/>
                <w:color w:val="auto"/>
              </w:rPr>
            </w:pPr>
            <w:r>
              <w:rPr>
                <w:rFonts w:ascii="Arial" w:cs="Arial" w:eastAsia="Arial" w:hAnsi="Arial"/>
                <w:sz w:val="16"/>
                <w:szCs w:val="16"/>
                <w:color w:val="3B3C43"/>
              </w:rPr>
              <w:t>0</w:t>
            </w:r>
          </w:p>
        </w:tc>
        <w:tc>
          <w:tcPr>
            <w:tcW w:w="90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20,000</w:t>
            </w:r>
          </w:p>
        </w:tc>
        <w:tc>
          <w:tcPr>
            <w:tcW w:w="0" w:type="dxa"/>
            <w:vAlign w:val="bottom"/>
          </w:tcPr>
          <w:p>
            <w:pPr>
              <w:spacing w:after="0"/>
              <w:rPr>
                <w:sz w:val="1"/>
                <w:szCs w:val="1"/>
                <w:color w:val="auto"/>
              </w:rPr>
            </w:pPr>
          </w:p>
        </w:tc>
      </w:tr>
      <w:tr>
        <w:trPr>
          <w:trHeight w:val="290"/>
        </w:trPr>
        <w:tc>
          <w:tcPr>
            <w:tcW w:w="3000" w:type="dxa"/>
            <w:vAlign w:val="bottom"/>
            <w:tcBorders>
              <w:bottom w:val="single" w:sz="8" w:color="E1E2E0"/>
            </w:tcBorders>
          </w:tcPr>
          <w:p>
            <w:pPr>
              <w:ind w:left="60"/>
              <w:spacing w:after="0" w:line="291" w:lineRule="exact"/>
              <w:rPr>
                <w:sz w:val="20"/>
                <w:szCs w:val="20"/>
                <w:color w:val="auto"/>
              </w:rPr>
            </w:pPr>
            <w:r>
              <w:rPr>
                <w:rFonts w:ascii="Arial" w:cs="Arial" w:eastAsia="Arial" w:hAnsi="Arial"/>
                <w:sz w:val="16"/>
                <w:szCs w:val="16"/>
                <w:b w:val="1"/>
                <w:bCs w:val="1"/>
                <w:color w:val="3B3C43"/>
              </w:rPr>
              <w:t>Olivier Piou</w:t>
            </w:r>
            <w:r>
              <w:rPr>
                <w:rFonts w:ascii="Arial" w:cs="Arial" w:eastAsia="Arial" w:hAnsi="Arial"/>
                <w:sz w:val="26"/>
                <w:szCs w:val="26"/>
                <w:b w:val="1"/>
                <w:bCs w:val="1"/>
                <w:color w:val="3B3C43"/>
                <w:vertAlign w:val="superscript"/>
              </w:rPr>
              <w:t>7</w:t>
            </w:r>
          </w:p>
        </w:tc>
        <w:tc>
          <w:tcPr>
            <w:tcW w:w="2360" w:type="dxa"/>
            <w:vAlign w:val="bottom"/>
            <w:tcBorders>
              <w:bottom w:val="single" w:sz="8" w:color="E1E2E0"/>
            </w:tcBorders>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Borders>
              <w:bottom w:val="single" w:sz="8" w:color="E1E2E0"/>
            </w:tcBorders>
          </w:tcPr>
          <w:p>
            <w:pPr>
              <w:jc w:val="right"/>
              <w:ind w:right="219"/>
              <w:spacing w:after="0"/>
              <w:rPr>
                <w:sz w:val="20"/>
                <w:szCs w:val="20"/>
                <w:color w:val="auto"/>
              </w:rPr>
            </w:pPr>
            <w:r>
              <w:rPr>
                <w:rFonts w:ascii="Arial" w:cs="Arial" w:eastAsia="Arial" w:hAnsi="Arial"/>
                <w:sz w:val="16"/>
                <w:szCs w:val="16"/>
                <w:color w:val="3B3C43"/>
              </w:rPr>
              <w:t>17,500</w:t>
            </w:r>
          </w:p>
        </w:tc>
        <w:tc>
          <w:tcPr>
            <w:tcW w:w="1600" w:type="dxa"/>
            <w:vAlign w:val="bottom"/>
            <w:tcBorders>
              <w:bottom w:val="single" w:sz="8" w:color="E1E2E0"/>
            </w:tcBorders>
          </w:tcPr>
          <w:p>
            <w:pPr>
              <w:jc w:val="right"/>
              <w:ind w:right="139"/>
              <w:spacing w:after="0"/>
              <w:rPr>
                <w:sz w:val="20"/>
                <w:szCs w:val="20"/>
                <w:color w:val="auto"/>
              </w:rPr>
            </w:pPr>
            <w:r>
              <w:rPr>
                <w:rFonts w:ascii="Arial" w:cs="Arial" w:eastAsia="Arial" w:hAnsi="Arial"/>
                <w:sz w:val="16"/>
                <w:szCs w:val="16"/>
                <w:color w:val="3B3C43"/>
              </w:rPr>
              <w:t>306,245</w:t>
            </w:r>
          </w:p>
        </w:tc>
        <w:tc>
          <w:tcPr>
            <w:tcW w:w="1620" w:type="dxa"/>
            <w:vAlign w:val="bottom"/>
            <w:tcBorders>
              <w:bottom w:val="single" w:sz="8" w:color="E1E2E0"/>
            </w:tcBorders>
          </w:tcPr>
          <w:p>
            <w:pPr>
              <w:jc w:val="right"/>
              <w:ind w:right="199"/>
              <w:spacing w:after="0"/>
              <w:rPr>
                <w:sz w:val="20"/>
                <w:szCs w:val="20"/>
                <w:color w:val="auto"/>
              </w:rPr>
            </w:pPr>
            <w:r>
              <w:rPr>
                <w:rFonts w:ascii="Arial" w:cs="Arial" w:eastAsia="Arial" w:hAnsi="Arial"/>
                <w:sz w:val="16"/>
                <w:szCs w:val="16"/>
                <w:color w:val="3B3C43"/>
              </w:rPr>
              <w:t>2,037</w:t>
            </w:r>
          </w:p>
        </w:tc>
        <w:tc>
          <w:tcPr>
            <w:tcW w:w="90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405,782</w:t>
            </w:r>
          </w:p>
        </w:tc>
        <w:tc>
          <w:tcPr>
            <w:tcW w:w="0" w:type="dxa"/>
            <w:vAlign w:val="bottom"/>
          </w:tcPr>
          <w:p>
            <w:pPr>
              <w:spacing w:after="0"/>
              <w:rPr>
                <w:sz w:val="1"/>
                <w:szCs w:val="1"/>
                <w:color w:val="auto"/>
              </w:rPr>
            </w:pPr>
          </w:p>
        </w:tc>
      </w:tr>
      <w:tr>
        <w:trPr>
          <w:trHeight w:val="244"/>
        </w:trPr>
        <w:tc>
          <w:tcPr>
            <w:tcW w:w="3000" w:type="dxa"/>
            <w:vAlign w:val="bottom"/>
          </w:tcPr>
          <w:p>
            <w:pPr>
              <w:ind w:left="60"/>
              <w:spacing w:after="0"/>
              <w:rPr>
                <w:sz w:val="20"/>
                <w:szCs w:val="20"/>
                <w:color w:val="auto"/>
              </w:rPr>
            </w:pPr>
            <w:r>
              <w:rPr>
                <w:rFonts w:ascii="Arial" w:cs="Arial" w:eastAsia="Arial" w:hAnsi="Arial"/>
                <w:sz w:val="16"/>
                <w:szCs w:val="16"/>
                <w:b w:val="1"/>
                <w:bCs w:val="1"/>
                <w:color w:val="3B3C43"/>
              </w:rPr>
              <w:t>Kay G. Priestly</w:t>
            </w:r>
          </w:p>
        </w:tc>
        <w:tc>
          <w:tcPr>
            <w:tcW w:w="2360" w:type="dxa"/>
            <w:vAlign w:val="bottom"/>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3B3C43"/>
              </w:rPr>
              <w:t>10,000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3B3C43"/>
              </w:rPr>
              <w:t>174,996</w:t>
            </w:r>
          </w:p>
        </w:tc>
        <w:tc>
          <w:tcPr>
            <w:tcW w:w="1620" w:type="dxa"/>
            <w:vAlign w:val="bottom"/>
          </w:tcPr>
          <w:p>
            <w:pPr>
              <w:jc w:val="right"/>
              <w:ind w:right="199"/>
              <w:spacing w:after="0"/>
              <w:rPr>
                <w:sz w:val="20"/>
                <w:szCs w:val="20"/>
                <w:color w:val="auto"/>
              </w:rPr>
            </w:pPr>
            <w:r>
              <w:rPr>
                <w:rFonts w:ascii="Arial" w:cs="Arial" w:eastAsia="Arial" w:hAnsi="Arial"/>
                <w:sz w:val="16"/>
                <w:szCs w:val="16"/>
                <w:color w:val="3B3C43"/>
              </w:rPr>
              <w:t>3,638</w:t>
            </w:r>
          </w:p>
        </w:tc>
        <w:tc>
          <w:tcPr>
            <w:tcW w:w="900" w:type="dxa"/>
            <w:vAlign w:val="bottom"/>
          </w:tcPr>
          <w:p>
            <w:pPr>
              <w:jc w:val="right"/>
              <w:spacing w:after="0"/>
              <w:rPr>
                <w:sz w:val="20"/>
                <w:szCs w:val="20"/>
                <w:color w:val="auto"/>
              </w:rPr>
            </w:pPr>
            <w:r>
              <w:rPr>
                <w:rFonts w:ascii="Arial" w:cs="Arial" w:eastAsia="Arial" w:hAnsi="Arial"/>
                <w:sz w:val="16"/>
                <w:szCs w:val="16"/>
                <w:color w:val="3B3C43"/>
              </w:rPr>
              <w:t>268,634</w:t>
            </w:r>
          </w:p>
        </w:tc>
        <w:tc>
          <w:tcPr>
            <w:tcW w:w="0" w:type="dxa"/>
            <w:vAlign w:val="bottom"/>
          </w:tcPr>
          <w:p>
            <w:pPr>
              <w:spacing w:after="0"/>
              <w:rPr>
                <w:sz w:val="1"/>
                <w:szCs w:val="1"/>
                <w:color w:val="auto"/>
              </w:rPr>
            </w:pPr>
          </w:p>
        </w:tc>
      </w:tr>
      <w:tr>
        <w:trPr>
          <w:trHeight w:val="47"/>
        </w:trPr>
        <w:tc>
          <w:tcPr>
            <w:tcW w:w="300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176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c>
          <w:tcPr>
            <w:tcW w:w="162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000" w:type="dxa"/>
            <w:vAlign w:val="bottom"/>
          </w:tcPr>
          <w:p>
            <w:pPr>
              <w:ind w:left="60"/>
              <w:spacing w:after="0"/>
              <w:rPr>
                <w:sz w:val="20"/>
                <w:szCs w:val="20"/>
                <w:color w:val="auto"/>
              </w:rPr>
            </w:pPr>
            <w:r>
              <w:rPr>
                <w:rFonts w:ascii="Arial" w:cs="Arial" w:eastAsia="Arial" w:hAnsi="Arial"/>
                <w:sz w:val="16"/>
                <w:szCs w:val="16"/>
                <w:b w:val="1"/>
                <w:bCs w:val="1"/>
                <w:color w:val="3B3C43"/>
              </w:rPr>
              <w:t>Joseph Rinaldi</w:t>
            </w:r>
          </w:p>
        </w:tc>
        <w:tc>
          <w:tcPr>
            <w:tcW w:w="2360" w:type="dxa"/>
            <w:vAlign w:val="bottom"/>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3B3C43"/>
              </w:rPr>
              <w:t>20,000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3B3C43"/>
              </w:rPr>
              <w:t>174,996</w:t>
            </w:r>
          </w:p>
        </w:tc>
        <w:tc>
          <w:tcPr>
            <w:tcW w:w="1620" w:type="dxa"/>
            <w:vAlign w:val="bottom"/>
          </w:tcPr>
          <w:p>
            <w:pPr>
              <w:jc w:val="right"/>
              <w:ind w:right="199"/>
              <w:spacing w:after="0"/>
              <w:rPr>
                <w:sz w:val="20"/>
                <w:szCs w:val="20"/>
                <w:color w:val="auto"/>
              </w:rPr>
            </w:pPr>
            <w:r>
              <w:rPr>
                <w:rFonts w:ascii="Arial" w:cs="Arial" w:eastAsia="Arial" w:hAnsi="Arial"/>
                <w:sz w:val="16"/>
                <w:szCs w:val="16"/>
                <w:color w:val="3B3C43"/>
              </w:rPr>
              <w:t>3,638</w:t>
            </w:r>
          </w:p>
        </w:tc>
        <w:tc>
          <w:tcPr>
            <w:tcW w:w="900" w:type="dxa"/>
            <w:vAlign w:val="bottom"/>
          </w:tcPr>
          <w:p>
            <w:pPr>
              <w:jc w:val="right"/>
              <w:spacing w:after="0"/>
              <w:rPr>
                <w:sz w:val="20"/>
                <w:szCs w:val="20"/>
                <w:color w:val="auto"/>
              </w:rPr>
            </w:pPr>
            <w:r>
              <w:rPr>
                <w:rFonts w:ascii="Arial" w:cs="Arial" w:eastAsia="Arial" w:hAnsi="Arial"/>
                <w:sz w:val="16"/>
                <w:szCs w:val="16"/>
                <w:color w:val="3B3C43"/>
              </w:rPr>
              <w:t>278,634</w:t>
            </w:r>
          </w:p>
        </w:tc>
        <w:tc>
          <w:tcPr>
            <w:tcW w:w="0" w:type="dxa"/>
            <w:vAlign w:val="bottom"/>
          </w:tcPr>
          <w:p>
            <w:pPr>
              <w:spacing w:after="0"/>
              <w:rPr>
                <w:sz w:val="1"/>
                <w:szCs w:val="1"/>
                <w:color w:val="auto"/>
              </w:rPr>
            </w:pPr>
          </w:p>
        </w:tc>
      </w:tr>
      <w:tr>
        <w:trPr>
          <w:trHeight w:val="46"/>
        </w:trPr>
        <w:tc>
          <w:tcPr>
            <w:tcW w:w="300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176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c>
          <w:tcPr>
            <w:tcW w:w="162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000" w:type="dxa"/>
            <w:vAlign w:val="bottom"/>
          </w:tcPr>
          <w:p>
            <w:pPr>
              <w:ind w:left="60"/>
              <w:spacing w:after="0"/>
              <w:rPr>
                <w:sz w:val="20"/>
                <w:szCs w:val="20"/>
                <w:color w:val="auto"/>
              </w:rPr>
            </w:pPr>
            <w:r>
              <w:rPr>
                <w:rFonts w:ascii="Arial" w:cs="Arial" w:eastAsia="Arial" w:hAnsi="Arial"/>
                <w:sz w:val="16"/>
                <w:szCs w:val="16"/>
                <w:b w:val="1"/>
                <w:bCs w:val="1"/>
                <w:color w:val="3B3C43"/>
              </w:rPr>
              <w:t>James M. Ringler</w:t>
            </w:r>
          </w:p>
        </w:tc>
        <w:tc>
          <w:tcPr>
            <w:tcW w:w="2360" w:type="dxa"/>
            <w:vAlign w:val="bottom"/>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3B3C43"/>
              </w:rPr>
              <w:t>25,000</w:t>
            </w:r>
          </w:p>
        </w:tc>
        <w:tc>
          <w:tcPr>
            <w:tcW w:w="1600" w:type="dxa"/>
            <w:vAlign w:val="bottom"/>
          </w:tcPr>
          <w:p>
            <w:pPr>
              <w:jc w:val="right"/>
              <w:ind w:right="139"/>
              <w:spacing w:after="0"/>
              <w:rPr>
                <w:sz w:val="20"/>
                <w:szCs w:val="20"/>
                <w:color w:val="auto"/>
              </w:rPr>
            </w:pPr>
            <w:r>
              <w:rPr>
                <w:rFonts w:ascii="Arial" w:cs="Arial" w:eastAsia="Arial" w:hAnsi="Arial"/>
                <w:sz w:val="16"/>
                <w:szCs w:val="16"/>
                <w:color w:val="3B3C43"/>
              </w:rPr>
              <w:t>174,996</w:t>
            </w:r>
          </w:p>
        </w:tc>
        <w:tc>
          <w:tcPr>
            <w:tcW w:w="1620" w:type="dxa"/>
            <w:vAlign w:val="bottom"/>
          </w:tcPr>
          <w:p>
            <w:pPr>
              <w:jc w:val="right"/>
              <w:ind w:right="199"/>
              <w:spacing w:after="0"/>
              <w:rPr>
                <w:sz w:val="20"/>
                <w:szCs w:val="20"/>
                <w:color w:val="auto"/>
              </w:rPr>
            </w:pPr>
            <w:r>
              <w:rPr>
                <w:rFonts w:ascii="Arial" w:cs="Arial" w:eastAsia="Arial" w:hAnsi="Arial"/>
                <w:sz w:val="16"/>
                <w:szCs w:val="16"/>
                <w:color w:val="3B3C43"/>
              </w:rPr>
              <w:t>3,638</w:t>
            </w:r>
          </w:p>
        </w:tc>
        <w:tc>
          <w:tcPr>
            <w:tcW w:w="900" w:type="dxa"/>
            <w:vAlign w:val="bottom"/>
          </w:tcPr>
          <w:p>
            <w:pPr>
              <w:jc w:val="right"/>
              <w:spacing w:after="0"/>
              <w:rPr>
                <w:sz w:val="20"/>
                <w:szCs w:val="20"/>
                <w:color w:val="auto"/>
              </w:rPr>
            </w:pPr>
            <w:r>
              <w:rPr>
                <w:rFonts w:ascii="Arial" w:cs="Arial" w:eastAsia="Arial" w:hAnsi="Arial"/>
                <w:sz w:val="16"/>
                <w:szCs w:val="16"/>
                <w:color w:val="3B3C43"/>
              </w:rPr>
              <w:t>283,634</w:t>
            </w:r>
          </w:p>
        </w:tc>
        <w:tc>
          <w:tcPr>
            <w:tcW w:w="0" w:type="dxa"/>
            <w:vAlign w:val="bottom"/>
          </w:tcPr>
          <w:p>
            <w:pPr>
              <w:spacing w:after="0"/>
              <w:rPr>
                <w:sz w:val="1"/>
                <w:szCs w:val="1"/>
                <w:color w:val="auto"/>
              </w:rPr>
            </w:pPr>
          </w:p>
        </w:tc>
      </w:tr>
      <w:tr>
        <w:trPr>
          <w:trHeight w:val="46"/>
        </w:trPr>
        <w:tc>
          <w:tcPr>
            <w:tcW w:w="300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176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c>
          <w:tcPr>
            <w:tcW w:w="1620" w:type="dxa"/>
            <w:vAlign w:val="bottom"/>
            <w:tcBorders>
              <w:bottom w:val="single" w:sz="8" w:color="E1E2E0"/>
            </w:tcBorders>
          </w:tcPr>
          <w:p>
            <w:pPr>
              <w:spacing w:after="0"/>
              <w:rPr>
                <w:sz w:val="4"/>
                <w:szCs w:val="4"/>
                <w:color w:val="auto"/>
              </w:rPr>
            </w:pPr>
          </w:p>
        </w:tc>
        <w:tc>
          <w:tcPr>
            <w:tcW w:w="90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00" w:type="dxa"/>
            <w:vAlign w:val="bottom"/>
            <w:tcBorders>
              <w:bottom w:val="single" w:sz="8" w:color="E1E2E0"/>
            </w:tcBorders>
          </w:tcPr>
          <w:p>
            <w:pPr>
              <w:ind w:left="60"/>
              <w:spacing w:after="0" w:line="291" w:lineRule="exact"/>
              <w:rPr>
                <w:sz w:val="20"/>
                <w:szCs w:val="20"/>
                <w:color w:val="auto"/>
              </w:rPr>
            </w:pPr>
            <w:r>
              <w:rPr>
                <w:rFonts w:ascii="Arial" w:cs="Arial" w:eastAsia="Arial" w:hAnsi="Arial"/>
                <w:sz w:val="16"/>
                <w:szCs w:val="16"/>
                <w:b w:val="1"/>
                <w:bCs w:val="1"/>
                <w:color w:val="3B3C43"/>
              </w:rPr>
              <w:t>John Yearwood</w:t>
            </w:r>
            <w:r>
              <w:rPr>
                <w:rFonts w:ascii="Arial" w:cs="Arial" w:eastAsia="Arial" w:hAnsi="Arial"/>
                <w:sz w:val="26"/>
                <w:szCs w:val="26"/>
                <w:b w:val="1"/>
                <w:bCs w:val="1"/>
                <w:color w:val="3B3C43"/>
                <w:vertAlign w:val="superscript"/>
              </w:rPr>
              <w:t>7</w:t>
            </w:r>
          </w:p>
        </w:tc>
        <w:tc>
          <w:tcPr>
            <w:tcW w:w="2360" w:type="dxa"/>
            <w:vAlign w:val="bottom"/>
            <w:tcBorders>
              <w:bottom w:val="single" w:sz="8" w:color="E1E2E0"/>
            </w:tcBorders>
          </w:tcPr>
          <w:p>
            <w:pPr>
              <w:jc w:val="right"/>
              <w:ind w:right="159"/>
              <w:spacing w:after="0"/>
              <w:rPr>
                <w:sz w:val="20"/>
                <w:szCs w:val="20"/>
                <w:color w:val="auto"/>
              </w:rPr>
            </w:pPr>
            <w:r>
              <w:rPr>
                <w:rFonts w:ascii="Arial" w:cs="Arial" w:eastAsia="Arial" w:hAnsi="Arial"/>
                <w:sz w:val="16"/>
                <w:szCs w:val="16"/>
                <w:color w:val="3B3C43"/>
              </w:rPr>
              <w:t>80,000</w:t>
            </w:r>
          </w:p>
        </w:tc>
        <w:tc>
          <w:tcPr>
            <w:tcW w:w="1760" w:type="dxa"/>
            <w:vAlign w:val="bottom"/>
            <w:tcBorders>
              <w:bottom w:val="single" w:sz="8" w:color="E1E2E0"/>
            </w:tcBorders>
          </w:tcPr>
          <w:p>
            <w:pPr>
              <w:jc w:val="right"/>
              <w:ind w:right="219"/>
              <w:spacing w:after="0"/>
              <w:rPr>
                <w:sz w:val="20"/>
                <w:szCs w:val="20"/>
                <w:color w:val="auto"/>
              </w:rPr>
            </w:pPr>
            <w:r>
              <w:rPr>
                <w:rFonts w:ascii="Arial" w:cs="Arial" w:eastAsia="Arial" w:hAnsi="Arial"/>
                <w:sz w:val="16"/>
                <w:szCs w:val="16"/>
                <w:color w:val="3B3C43"/>
              </w:rPr>
              <w:t>20,000</w:t>
            </w:r>
          </w:p>
        </w:tc>
        <w:tc>
          <w:tcPr>
            <w:tcW w:w="1600" w:type="dxa"/>
            <w:vAlign w:val="bottom"/>
            <w:tcBorders>
              <w:bottom w:val="single" w:sz="8" w:color="E1E2E0"/>
            </w:tcBorders>
          </w:tcPr>
          <w:p>
            <w:pPr>
              <w:jc w:val="right"/>
              <w:ind w:right="139"/>
              <w:spacing w:after="0"/>
              <w:rPr>
                <w:sz w:val="20"/>
                <w:szCs w:val="20"/>
                <w:color w:val="auto"/>
              </w:rPr>
            </w:pPr>
            <w:r>
              <w:rPr>
                <w:rFonts w:ascii="Arial" w:cs="Arial" w:eastAsia="Arial" w:hAnsi="Arial"/>
                <w:sz w:val="16"/>
                <w:szCs w:val="16"/>
                <w:color w:val="3B3C43"/>
              </w:rPr>
              <w:t>306,245</w:t>
            </w:r>
          </w:p>
        </w:tc>
        <w:tc>
          <w:tcPr>
            <w:tcW w:w="1620" w:type="dxa"/>
            <w:vAlign w:val="bottom"/>
            <w:tcBorders>
              <w:bottom w:val="single" w:sz="8" w:color="E1E2E0"/>
            </w:tcBorders>
          </w:tcPr>
          <w:p>
            <w:pPr>
              <w:jc w:val="right"/>
              <w:ind w:right="199"/>
              <w:spacing w:after="0"/>
              <w:rPr>
                <w:sz w:val="20"/>
                <w:szCs w:val="20"/>
                <w:color w:val="auto"/>
              </w:rPr>
            </w:pPr>
            <w:r>
              <w:rPr>
                <w:rFonts w:ascii="Arial" w:cs="Arial" w:eastAsia="Arial" w:hAnsi="Arial"/>
                <w:sz w:val="16"/>
                <w:szCs w:val="16"/>
                <w:color w:val="3B3C43"/>
              </w:rPr>
              <w:t>1,859</w:t>
            </w:r>
          </w:p>
        </w:tc>
        <w:tc>
          <w:tcPr>
            <w:tcW w:w="90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408,104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-3068320</wp:posOffset>
            </wp:positionV>
            <wp:extent cx="8890" cy="3068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3068955"/>
                    </a:xfrm>
                    <a:prstGeom prst="rect">
                      <a:avLst/>
                    </a:prstGeom>
                    <a:noFill/>
                  </pic:spPr>
                </pic:pic>
              </a:graphicData>
            </a:graphic>
          </wp:anchor>
        </w:drawing>
      </w:r>
    </w:p>
    <w:p>
      <w:pPr>
        <w:spacing w:after="0" w:line="201" w:lineRule="exact"/>
        <w:rPr>
          <w:sz w:val="20"/>
          <w:szCs w:val="20"/>
          <w:color w:val="auto"/>
        </w:rPr>
      </w:pPr>
    </w:p>
    <w:p>
      <w:pPr>
        <w:ind w:left="280" w:hanging="272"/>
        <w:spacing w:after="0"/>
        <w:tabs>
          <w:tab w:leader="none" w:pos="280" w:val="left"/>
        </w:tabs>
        <w:numPr>
          <w:ilvl w:val="0"/>
          <w:numId w:val="65"/>
        </w:numPr>
        <w:rPr>
          <w:rFonts w:ascii="Arial" w:cs="Arial" w:eastAsia="Arial" w:hAnsi="Arial"/>
          <w:sz w:val="14"/>
          <w:szCs w:val="14"/>
          <w:color w:val="3B3C43"/>
        </w:rPr>
      </w:pPr>
      <w:r>
        <w:rPr>
          <w:rFonts w:ascii="Arial" w:cs="Arial" w:eastAsia="Arial" w:hAnsi="Arial"/>
          <w:sz w:val="14"/>
          <w:szCs w:val="14"/>
          <w:color w:val="3B3C43"/>
        </w:rPr>
        <w:t>Includes temporary 30% reduction in annual cash retainer from May 1, 2020 to December 31, 2020.</w:t>
      </w:r>
    </w:p>
    <w:p>
      <w:pPr>
        <w:spacing w:after="0" w:line="1" w:lineRule="exact"/>
        <w:rPr>
          <w:rFonts w:ascii="Arial" w:cs="Arial" w:eastAsia="Arial" w:hAnsi="Arial"/>
          <w:sz w:val="14"/>
          <w:szCs w:val="14"/>
          <w:color w:val="3B3C43"/>
        </w:rPr>
      </w:pPr>
    </w:p>
    <w:p>
      <w:pPr>
        <w:ind w:left="280" w:right="580" w:hanging="272"/>
        <w:spacing w:after="0" w:line="241" w:lineRule="auto"/>
        <w:tabs>
          <w:tab w:leader="none" w:pos="280" w:val="left"/>
        </w:tabs>
        <w:numPr>
          <w:ilvl w:val="0"/>
          <w:numId w:val="65"/>
        </w:numPr>
        <w:rPr>
          <w:rFonts w:ascii="Arial" w:cs="Arial" w:eastAsia="Arial" w:hAnsi="Arial"/>
          <w:sz w:val="14"/>
          <w:szCs w:val="14"/>
          <w:color w:val="3B3C43"/>
        </w:rPr>
      </w:pPr>
      <w:r>
        <w:rPr>
          <w:rFonts w:ascii="Arial" w:cs="Arial" w:eastAsia="Arial" w:hAnsi="Arial"/>
          <w:sz w:val="14"/>
          <w:szCs w:val="14"/>
          <w:color w:val="3B3C43"/>
        </w:rPr>
        <w:t>Includes the amount of fees paid for attendance at committee meetings and additional fees paid to the Chair of each Board committee and to the Lead Independent Director.</w:t>
      </w:r>
    </w:p>
    <w:p>
      <w:pPr>
        <w:ind w:left="280" w:right="40" w:hanging="272"/>
        <w:spacing w:after="0" w:line="241" w:lineRule="auto"/>
        <w:tabs>
          <w:tab w:leader="none" w:pos="280" w:val="left"/>
        </w:tabs>
        <w:numPr>
          <w:ilvl w:val="0"/>
          <w:numId w:val="65"/>
        </w:numPr>
        <w:rPr>
          <w:rFonts w:ascii="Arial" w:cs="Arial" w:eastAsia="Arial" w:hAnsi="Arial"/>
          <w:sz w:val="14"/>
          <w:szCs w:val="14"/>
          <w:color w:val="3B3C43"/>
        </w:rPr>
      </w:pPr>
      <w:r>
        <w:rPr>
          <w:rFonts w:ascii="Arial" w:cs="Arial" w:eastAsia="Arial" w:hAnsi="Arial"/>
          <w:sz w:val="14"/>
          <w:szCs w:val="14"/>
          <w:color w:val="3B3C43"/>
        </w:rPr>
        <w:t>Restricted stock unit grants were made on March 9, 2020, valued at $9.29 per share, the closing price on the NYSE of the Company’s Ordinary Shares on such date. The aggregate value for all of the Company’s non-executive directors was $2,362,447 as of the grant date and was computed in accordance with the SEC proxy disclosure rules and Financial Accounting Standards Board (“</w:t>
      </w:r>
      <w:r>
        <w:rPr>
          <w:rFonts w:ascii="Arial" w:cs="Arial" w:eastAsia="Arial" w:hAnsi="Arial"/>
          <w:sz w:val="14"/>
          <w:szCs w:val="14"/>
          <w:b w:val="1"/>
          <w:bCs w:val="1"/>
          <w:color w:val="3B3C43"/>
        </w:rPr>
        <w:t>FASB</w:t>
      </w:r>
      <w:r>
        <w:rPr>
          <w:rFonts w:ascii="Arial" w:cs="Arial" w:eastAsia="Arial" w:hAnsi="Arial"/>
          <w:sz w:val="14"/>
          <w:szCs w:val="14"/>
          <w:color w:val="3B3C43"/>
        </w:rPr>
        <w:t>”) Accounting Standards Codification (“</w:t>
      </w:r>
      <w:r>
        <w:rPr>
          <w:rFonts w:ascii="Arial" w:cs="Arial" w:eastAsia="Arial" w:hAnsi="Arial"/>
          <w:sz w:val="14"/>
          <w:szCs w:val="14"/>
          <w:b w:val="1"/>
          <w:bCs w:val="1"/>
          <w:color w:val="3B3C43"/>
        </w:rPr>
        <w:t>ASC</w:t>
      </w:r>
      <w:r>
        <w:rPr>
          <w:rFonts w:ascii="Arial" w:cs="Arial" w:eastAsia="Arial" w:hAnsi="Arial"/>
          <w:sz w:val="14"/>
          <w:szCs w:val="14"/>
          <w:color w:val="3B3C43"/>
        </w:rPr>
        <w:t>”) Topic 718. The annual RSU grant vests after one year of service but is settled in Ordinary Shares on a date elected by the non-executive director that is either (a) after a period of 1 to 10 years from the grant date or (b) upon their separation from Board service. RSUs granted prior to 2020 vested after one year of service and will be settled upon separation from Board service. The RSUs are forfeited if a director ceases service on the Board prior to the vesting date of the RSUs, except in the event of death or disability. Unvested RSUs will be settled and are payable in Ordinary Shares upon the death or disability of a director or in the event of a change in control of the Company. The aggregate outstanding RSUs held by each of the Company’s non-executive directors, other than Ms. Øvrum and Messrs. Piou and Yearwood on December 31, 2020 was 38,033 RSUs (19,196 of which were vested but not yet settled in Ordinary Shares as of December 31, 2020). Messrs. Piou and Yearwood held 32,965 RSUs as of December 31, 2020, which were unvested. Ms. Øvrum joined the Board of Directors on October 1, 2020. She will receive a pro-rated grant of RSUs for her service in 2020 as part of her annual grant in 2021. Dividend equivalents will accumulate on the RSUs to the extent the Company pays dividends on its Ordinary Shares.</w:t>
      </w:r>
    </w:p>
    <w:p>
      <w:pPr>
        <w:spacing w:after="0" w:line="3" w:lineRule="exact"/>
        <w:rPr>
          <w:rFonts w:ascii="Arial" w:cs="Arial" w:eastAsia="Arial" w:hAnsi="Arial"/>
          <w:sz w:val="14"/>
          <w:szCs w:val="14"/>
          <w:color w:val="3B3C43"/>
        </w:rPr>
      </w:pPr>
    </w:p>
    <w:p>
      <w:pPr>
        <w:ind w:left="280" w:hanging="272"/>
        <w:spacing w:after="0"/>
        <w:tabs>
          <w:tab w:leader="none" w:pos="280" w:val="left"/>
        </w:tabs>
        <w:numPr>
          <w:ilvl w:val="0"/>
          <w:numId w:val="65"/>
        </w:numPr>
        <w:rPr>
          <w:rFonts w:ascii="Arial" w:cs="Arial" w:eastAsia="Arial" w:hAnsi="Arial"/>
          <w:sz w:val="14"/>
          <w:szCs w:val="14"/>
          <w:color w:val="3B3C43"/>
        </w:rPr>
      </w:pPr>
      <w:r>
        <w:rPr>
          <w:rFonts w:ascii="Arial" w:cs="Arial" w:eastAsia="Arial" w:hAnsi="Arial"/>
          <w:sz w:val="14"/>
          <w:szCs w:val="14"/>
          <w:color w:val="3B3C43"/>
        </w:rPr>
        <w:t>Includes assistance for annual individual U.K. tax return.</w:t>
      </w:r>
    </w:p>
    <w:p>
      <w:pPr>
        <w:spacing w:after="0" w:line="1" w:lineRule="exact"/>
        <w:rPr>
          <w:rFonts w:ascii="Arial" w:cs="Arial" w:eastAsia="Arial" w:hAnsi="Arial"/>
          <w:sz w:val="14"/>
          <w:szCs w:val="14"/>
          <w:color w:val="3B3C43"/>
        </w:rPr>
      </w:pPr>
    </w:p>
    <w:p>
      <w:pPr>
        <w:ind w:left="280" w:hanging="272"/>
        <w:spacing w:after="0"/>
        <w:tabs>
          <w:tab w:leader="none" w:pos="280" w:val="left"/>
        </w:tabs>
        <w:numPr>
          <w:ilvl w:val="0"/>
          <w:numId w:val="65"/>
        </w:numPr>
        <w:rPr>
          <w:rFonts w:ascii="Arial" w:cs="Arial" w:eastAsia="Arial" w:hAnsi="Arial"/>
          <w:sz w:val="14"/>
          <w:szCs w:val="14"/>
          <w:color w:val="3B3C43"/>
        </w:rPr>
      </w:pPr>
      <w:r>
        <w:rPr>
          <w:rFonts w:ascii="Arial" w:cs="Arial" w:eastAsia="Arial" w:hAnsi="Arial"/>
          <w:sz w:val="14"/>
          <w:szCs w:val="14"/>
          <w:color w:val="3B3C43"/>
        </w:rPr>
        <w:t>Mr. Caudoux waived his cash and equity remuneration because of the policies of his employer, Bpifrance.</w:t>
      </w:r>
    </w:p>
    <w:p>
      <w:pPr>
        <w:spacing w:after="0" w:line="1" w:lineRule="exact"/>
        <w:rPr>
          <w:rFonts w:ascii="Arial" w:cs="Arial" w:eastAsia="Arial" w:hAnsi="Arial"/>
          <w:sz w:val="14"/>
          <w:szCs w:val="14"/>
          <w:color w:val="3B3C43"/>
        </w:rPr>
      </w:pPr>
    </w:p>
    <w:p>
      <w:pPr>
        <w:ind w:left="280" w:hanging="272"/>
        <w:spacing w:after="0"/>
        <w:tabs>
          <w:tab w:leader="none" w:pos="280" w:val="left"/>
        </w:tabs>
        <w:numPr>
          <w:ilvl w:val="0"/>
          <w:numId w:val="65"/>
        </w:numPr>
        <w:rPr>
          <w:rFonts w:ascii="Arial" w:cs="Arial" w:eastAsia="Arial" w:hAnsi="Arial"/>
          <w:sz w:val="14"/>
          <w:szCs w:val="14"/>
          <w:color w:val="3B3C43"/>
        </w:rPr>
      </w:pPr>
      <w:r>
        <w:rPr>
          <w:rFonts w:ascii="Arial" w:cs="Arial" w:eastAsia="Arial" w:hAnsi="Arial"/>
          <w:sz w:val="14"/>
          <w:szCs w:val="14"/>
          <w:color w:val="3B3C43"/>
        </w:rPr>
        <w:t>Ms. Øvrum joined the Board of Directors on October 1, 2020. She will receive a pro-rated grant of RSUs for her service in 2020 as part of her annual grant in 2021.</w:t>
      </w:r>
    </w:p>
    <w:p>
      <w:pPr>
        <w:spacing w:after="0" w:line="1" w:lineRule="exact"/>
        <w:rPr>
          <w:rFonts w:ascii="Arial" w:cs="Arial" w:eastAsia="Arial" w:hAnsi="Arial"/>
          <w:sz w:val="14"/>
          <w:szCs w:val="14"/>
          <w:color w:val="3B3C43"/>
        </w:rPr>
      </w:pPr>
    </w:p>
    <w:p>
      <w:pPr>
        <w:ind w:left="280" w:right="140" w:hanging="272"/>
        <w:spacing w:after="0" w:line="258" w:lineRule="auto"/>
        <w:tabs>
          <w:tab w:leader="none" w:pos="280" w:val="left"/>
        </w:tabs>
        <w:numPr>
          <w:ilvl w:val="0"/>
          <w:numId w:val="65"/>
        </w:numPr>
        <w:rPr>
          <w:rFonts w:ascii="Arial" w:cs="Arial" w:eastAsia="Arial" w:hAnsi="Arial"/>
          <w:sz w:val="14"/>
          <w:szCs w:val="14"/>
          <w:color w:val="3B3C43"/>
        </w:rPr>
      </w:pPr>
      <w:r>
        <w:rPr>
          <w:rFonts w:ascii="Arial" w:cs="Arial" w:eastAsia="Arial" w:hAnsi="Arial"/>
          <w:sz w:val="14"/>
          <w:szCs w:val="14"/>
          <w:color w:val="3B3C43"/>
        </w:rPr>
        <w:t>Messrs. Piou and Yearwood joined the Board of Directors of the Company on June 1, 2019. They each received a pro-rated grant of RSUs for their service in 2019 as part of their annual grant in 2020.</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58</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Other Benefits</w:t>
      </w:r>
    </w:p>
    <w:p>
      <w:pPr>
        <w:spacing w:after="0" w:line="16"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3B3C43"/>
        </w:rPr>
        <w:t>Each non-executive director receives reimbursement for travel and other related expenses incurred in connection with attending Board and committee meetings.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Director Share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036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93" w:lineRule="exact"/>
        <w:rPr>
          <w:sz w:val="20"/>
          <w:szCs w:val="20"/>
          <w:color w:val="auto"/>
        </w:rPr>
      </w:pPr>
    </w:p>
    <w:p>
      <w:pPr>
        <w:ind w:left="100" w:right="140"/>
        <w:spacing w:after="0" w:line="260" w:lineRule="auto"/>
        <w:rPr>
          <w:sz w:val="20"/>
          <w:szCs w:val="20"/>
          <w:color w:val="auto"/>
        </w:rPr>
      </w:pPr>
      <w:r>
        <w:rPr>
          <w:rFonts w:ascii="Arial" w:cs="Arial" w:eastAsia="Arial" w:hAnsi="Arial"/>
          <w:sz w:val="16"/>
          <w:szCs w:val="16"/>
          <w:color w:val="3B3C43"/>
        </w:rPr>
        <w:t>To further align the interests of non-executive directors with the interests of the Company’s shareholders, each non-executive director is subject to a share ownership requirement.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5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Ownership Requirement</w:t>
            </w:r>
          </w:p>
        </w:tc>
        <w:tc>
          <w:tcPr>
            <w:tcW w:w="8740" w:type="dxa"/>
            <w:vAlign w:val="bottom"/>
          </w:tcPr>
          <w:p>
            <w:pPr>
              <w:ind w:left="100"/>
              <w:spacing w:after="0"/>
              <w:rPr>
                <w:sz w:val="20"/>
                <w:szCs w:val="20"/>
                <w:color w:val="auto"/>
              </w:rPr>
            </w:pPr>
            <w:r>
              <w:rPr>
                <w:rFonts w:ascii="Arial" w:cs="Arial" w:eastAsia="Arial" w:hAnsi="Arial"/>
                <w:sz w:val="16"/>
                <w:szCs w:val="16"/>
                <w:color w:val="3B3C43"/>
              </w:rPr>
              <w:t>5x the annual cash retainer</w:t>
            </w:r>
          </w:p>
        </w:tc>
        <w:tc>
          <w:tcPr>
            <w:tcW w:w="0" w:type="dxa"/>
            <w:vAlign w:val="bottom"/>
          </w:tcPr>
          <w:p>
            <w:pPr>
              <w:spacing w:after="0"/>
              <w:rPr>
                <w:sz w:val="1"/>
                <w:szCs w:val="1"/>
                <w:color w:val="auto"/>
              </w:rPr>
            </w:pPr>
          </w:p>
        </w:tc>
      </w:tr>
      <w:tr>
        <w:trPr>
          <w:trHeight w:val="73"/>
        </w:trPr>
        <w:tc>
          <w:tcPr>
            <w:tcW w:w="2500" w:type="dxa"/>
            <w:vAlign w:val="bottom"/>
            <w:vMerge w:val="restart"/>
            <w:shd w:val="clear" w:color="auto" w:fill="E1E1DF"/>
          </w:tcPr>
          <w:p>
            <w:pPr>
              <w:ind w:left="100"/>
              <w:spacing w:after="0"/>
              <w:rPr>
                <w:sz w:val="20"/>
                <w:szCs w:val="20"/>
                <w:color w:val="auto"/>
              </w:rPr>
            </w:pPr>
            <w:r>
              <w:rPr>
                <w:rFonts w:ascii="Arial" w:cs="Arial" w:eastAsia="Arial" w:hAnsi="Arial"/>
                <w:sz w:val="16"/>
                <w:szCs w:val="16"/>
                <w:b w:val="1"/>
                <w:bCs w:val="1"/>
                <w:color w:val="3B3C43"/>
              </w:rPr>
              <w:t>Covered Share Interests</w:t>
            </w:r>
          </w:p>
        </w:tc>
        <w:tc>
          <w:tcPr>
            <w:tcW w:w="8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2500" w:type="dxa"/>
            <w:vAlign w:val="bottom"/>
            <w:vMerge w:val="continue"/>
            <w:shd w:val="clear" w:color="auto" w:fill="E1E1DF"/>
          </w:tcPr>
          <w:p>
            <w:pPr>
              <w:spacing w:after="0"/>
              <w:rPr>
                <w:sz w:val="24"/>
                <w:szCs w:val="24"/>
                <w:color w:val="auto"/>
              </w:rPr>
            </w:pPr>
          </w:p>
        </w:tc>
        <w:tc>
          <w:tcPr>
            <w:tcW w:w="87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Ordinary Shares and RSUs that the Director owns and/or has a beneficial interest in</w:t>
            </w:r>
          </w:p>
        </w:tc>
        <w:tc>
          <w:tcPr>
            <w:tcW w:w="0" w:type="dxa"/>
            <w:vAlign w:val="bottom"/>
          </w:tcPr>
          <w:p>
            <w:pPr>
              <w:spacing w:after="0"/>
              <w:rPr>
                <w:sz w:val="1"/>
                <w:szCs w:val="1"/>
                <w:color w:val="auto"/>
              </w:rPr>
            </w:pPr>
          </w:p>
        </w:tc>
      </w:tr>
      <w:tr>
        <w:trPr>
          <w:trHeight w:val="364"/>
        </w:trPr>
        <w:tc>
          <w:tcPr>
            <w:tcW w:w="25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Time for Achievement</w:t>
            </w:r>
          </w:p>
        </w:tc>
        <w:tc>
          <w:tcPr>
            <w:tcW w:w="87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Five years from initial appointment</w:t>
            </w:r>
          </w:p>
        </w:tc>
        <w:tc>
          <w:tcPr>
            <w:tcW w:w="0" w:type="dxa"/>
            <w:vAlign w:val="bottom"/>
          </w:tcPr>
          <w:p>
            <w:pPr>
              <w:spacing w:after="0"/>
              <w:rPr>
                <w:sz w:val="1"/>
                <w:szCs w:val="1"/>
                <w:color w:val="auto"/>
              </w:rPr>
            </w:pPr>
          </w:p>
        </w:tc>
      </w:tr>
      <w:tr>
        <w:trPr>
          <w:trHeight w:val="73"/>
        </w:trPr>
        <w:tc>
          <w:tcPr>
            <w:tcW w:w="2500" w:type="dxa"/>
            <w:vAlign w:val="bottom"/>
            <w:shd w:val="clear" w:color="auto" w:fill="E1E1DF"/>
          </w:tcPr>
          <w:p>
            <w:pPr>
              <w:spacing w:after="0"/>
              <w:rPr>
                <w:sz w:val="6"/>
                <w:szCs w:val="6"/>
                <w:color w:val="auto"/>
              </w:rPr>
            </w:pPr>
          </w:p>
        </w:tc>
        <w:tc>
          <w:tcPr>
            <w:tcW w:w="874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3B3C43"/>
        </w:rPr>
        <w:t>All of our Directors met their pro-rated share ownership requirements as of December 31, 2020.</w:t>
      </w:r>
    </w:p>
    <w:p>
      <w:pPr>
        <w:spacing w:after="0" w:line="19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3B3C43"/>
        </w:rPr>
        <w:t>Mses. Øvrum and Zurquiyah joined the Board in October 2020 and April 2021, respectively, and therefore, did not hold any equity awards as of December 31, 2020. Mr. Caudoux waived his annual cash and equity remuneration because of the policies of his employer, Bpifrance, and accordingly, he was not subject to any share ownership requirements.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Impact of Spin-off on Director Stock Awards</w:t>
      </w:r>
    </w:p>
    <w:p>
      <w:pPr>
        <w:spacing w:after="0" w:line="1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B3C43"/>
        </w:rPr>
        <w:t>On February 16, 2021, TechnipFMC separated into two independent, publicly traded companies, TechnipFMC and Technip Energies. Upon the completion of the Spin-off, Ms. Debon and Messrs. Caudoux, Colombani, Houssin, and Rinaldi resigned from our Board and joined the Board of Directors of Technip Energies. Mr Piou also resigned from our Board, effective February 16, 2021.</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3B3C43"/>
        </w:rPr>
        <w:t>For Ms. Debon and Messrs. Colombani, Houssin, and Rinaldi, vesting for their RSUs granted on March 9, 2020 was accelerated to a date two weeks prior to the Spin-off date (February 2, 2021). All of their vested equity awards were distributed to them on February 2, 2021, upon separation from service from our Board.</w:t>
      </w:r>
    </w:p>
    <w:p>
      <w:pPr>
        <w:spacing w:after="0" w:line="174"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3B3C43"/>
        </w:rPr>
        <w:t>For our current Board, their RSUs granted on March 9, 2020 were adjusted using an adjustment ratio, calculated as the ratio of the closing price of TechnipFMC on the NYSE on the date immediately prior to the Spin-off to the closing price of TechnipFMC on the NYSE on the date immediately after the Spin-off. The vesting date of March 9, 2021 remained the same. Our current directors’ vested 2017, 2018, and 2019 RSUs were also adjusted using the adjustment ratio.</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59</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440"/>
        <w:spacing w:after="0" w:line="250" w:lineRule="auto"/>
        <w:rPr>
          <w:sz w:val="20"/>
          <w:szCs w:val="20"/>
          <w:color w:val="auto"/>
        </w:rPr>
      </w:pPr>
      <w:r>
        <w:rPr>
          <w:rFonts w:ascii="Arial" w:cs="Arial" w:eastAsia="Arial" w:hAnsi="Arial"/>
          <w:sz w:val="67"/>
          <w:szCs w:val="67"/>
          <w:color w:val="4B1F68"/>
        </w:rPr>
        <w:t>Executive Compensation Discussion and Analysis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2020 Compensation Program Updates</w:t>
      </w:r>
    </w:p>
    <w:p>
      <w:pPr>
        <w:spacing w:after="0" w:line="1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3B3C43"/>
        </w:rPr>
        <w:t>Our Compensation Committee values shareholder feedback, carefully reflecting on the results of shareholder advisory votes and input received during shareholder engagement. At our 2020 Annual Meeting, 85.8% of votes cast approved our 2019 executive compensation program as disclosed in our 2020 Proxy Statement.</w:t>
      </w:r>
    </w:p>
    <w:p>
      <w:pPr>
        <w:spacing w:after="0" w:line="17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3B3C43"/>
        </w:rPr>
        <w:t>Our Board and executive leadership were pleased with this increase in support of our executive compensation program and will continue a dialogue with our shareholders to receive valuable input within the context of our pay-for- performance philosophy, business, and strategies.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Impact of the COVID-19 Pandemic and Oil Price Decline on Our Executive Compensation Program</w:t>
      </w:r>
    </w:p>
    <w:p>
      <w:pPr>
        <w:spacing w:after="0" w:line="214"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3B3C43"/>
        </w:rPr>
        <w:t>In the first quarter of 2020, the global COVID-19 pandemic, sharp decline in oil prices, and equity market volatility materially changed the business environment and outlook for TechnipFMC. Our Board and management took decisive action at the outset of the pandemic - first and foremost to protect, support, and ensure the health, safety, and wellbeing of our people - and to continue to serve our clients at the highest level while focusing on business continuity and executing our strategic priorities.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6"/>
          <w:szCs w:val="16"/>
          <w:color w:val="3B3C43"/>
        </w:rPr>
        <w:t>In March 2020, we announced that while the rationale for the Spin-off of Technip Energies remained unchanged, we would delay the Spin-off until markets sufficiently recovered. We also decided to accelerate our cost reduction and efficiency efforts worldwide to continue to focus on operating profitability through the downturn.</w:t>
      </w:r>
    </w:p>
    <w:p>
      <w:pPr>
        <w:spacing w:after="0" w:line="174"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3B3C43"/>
        </w:rPr>
        <w:t>In addition, our Compensation Committee took swift and decisive actions in response to the unprecedented global health and economic crisis and made changes to our executive compensation program, including the following:</w:t>
      </w:r>
    </w:p>
    <w:p>
      <w:pPr>
        <w:spacing w:after="0" w:line="148" w:lineRule="exact"/>
        <w:rPr>
          <w:sz w:val="20"/>
          <w:szCs w:val="20"/>
          <w:color w:val="auto"/>
        </w:rPr>
      </w:pPr>
    </w:p>
    <w:p>
      <w:pPr>
        <w:ind w:left="500" w:right="460" w:hanging="317"/>
        <w:spacing w:after="0" w:line="286" w:lineRule="auto"/>
        <w:tabs>
          <w:tab w:leader="none" w:pos="500" w:val="left"/>
        </w:tabs>
        <w:numPr>
          <w:ilvl w:val="0"/>
          <w:numId w:val="66"/>
        </w:numPr>
        <w:rPr>
          <w:rFonts w:ascii="Arial" w:cs="Arial" w:eastAsia="Arial" w:hAnsi="Arial"/>
          <w:sz w:val="16"/>
          <w:szCs w:val="16"/>
          <w:color w:val="4B1F68"/>
        </w:rPr>
      </w:pPr>
      <w:r>
        <w:rPr>
          <w:rFonts w:ascii="Arial" w:cs="Arial" w:eastAsia="Arial" w:hAnsi="Arial"/>
          <w:sz w:val="16"/>
          <w:szCs w:val="16"/>
          <w:b w:val="1"/>
          <w:bCs w:val="1"/>
          <w:color w:val="3B3C43"/>
        </w:rPr>
        <w:t>Reduced the annual base salary for our Chairman and CEO by 30% and for other executive officers by 20% for the remainder of 2020, effective May 1, 2020.</w:t>
      </w:r>
    </w:p>
    <w:p>
      <w:pPr>
        <w:spacing w:after="0" w:line="148" w:lineRule="exact"/>
        <w:rPr>
          <w:rFonts w:ascii="Arial" w:cs="Arial" w:eastAsia="Arial" w:hAnsi="Arial"/>
          <w:sz w:val="16"/>
          <w:szCs w:val="16"/>
          <w:color w:val="4B1F68"/>
        </w:rPr>
      </w:pPr>
    </w:p>
    <w:p>
      <w:pPr>
        <w:ind w:left="500" w:hanging="317"/>
        <w:spacing w:after="0"/>
        <w:tabs>
          <w:tab w:leader="none" w:pos="500" w:val="left"/>
        </w:tabs>
        <w:numPr>
          <w:ilvl w:val="0"/>
          <w:numId w:val="66"/>
        </w:numPr>
        <w:rPr>
          <w:rFonts w:ascii="Arial" w:cs="Arial" w:eastAsia="Arial" w:hAnsi="Arial"/>
          <w:sz w:val="16"/>
          <w:szCs w:val="16"/>
          <w:color w:val="4B1F68"/>
        </w:rPr>
      </w:pPr>
      <w:r>
        <w:rPr>
          <w:rFonts w:ascii="Arial" w:cs="Arial" w:eastAsia="Arial" w:hAnsi="Arial"/>
          <w:sz w:val="16"/>
          <w:szCs w:val="16"/>
          <w:color w:val="3B3C43"/>
        </w:rPr>
        <w:t>Reduced annual cash retainers for our Board of Directors by 30% for the remainder of 2020, effective May 1, 2020.</w:t>
      </w:r>
    </w:p>
    <w:p>
      <w:pPr>
        <w:spacing w:after="0" w:line="194" w:lineRule="exact"/>
        <w:rPr>
          <w:rFonts w:ascii="Arial" w:cs="Arial" w:eastAsia="Arial" w:hAnsi="Arial"/>
          <w:sz w:val="16"/>
          <w:szCs w:val="16"/>
          <w:color w:val="4B1F68"/>
        </w:rPr>
      </w:pPr>
    </w:p>
    <w:p>
      <w:pPr>
        <w:ind w:left="500" w:hanging="317"/>
        <w:spacing w:after="0"/>
        <w:tabs>
          <w:tab w:leader="none" w:pos="500" w:val="left"/>
        </w:tabs>
        <w:numPr>
          <w:ilvl w:val="0"/>
          <w:numId w:val="66"/>
        </w:numPr>
        <w:rPr>
          <w:rFonts w:ascii="Arial" w:cs="Arial" w:eastAsia="Arial" w:hAnsi="Arial"/>
          <w:sz w:val="16"/>
          <w:szCs w:val="16"/>
          <w:color w:val="4B1F68"/>
        </w:rPr>
      </w:pPr>
      <w:r>
        <w:rPr>
          <w:rFonts w:ascii="Arial" w:cs="Arial" w:eastAsia="Arial" w:hAnsi="Arial"/>
          <w:sz w:val="16"/>
          <w:szCs w:val="16"/>
          <w:color w:val="3B3C43"/>
        </w:rPr>
        <w:t>Updated our annual cash incentive plan measures effective April 1, 2020, and applied a cap on payout:</w:t>
      </w:r>
    </w:p>
    <w:p>
      <w:pPr>
        <w:spacing w:after="0" w:line="194" w:lineRule="exact"/>
        <w:rPr>
          <w:rFonts w:ascii="Arial" w:cs="Arial" w:eastAsia="Arial" w:hAnsi="Arial"/>
          <w:sz w:val="16"/>
          <w:szCs w:val="16"/>
          <w:color w:val="4B1F68"/>
        </w:rPr>
      </w:pPr>
    </w:p>
    <w:p>
      <w:pPr>
        <w:ind w:left="880" w:right="60" w:hanging="332"/>
        <w:spacing w:after="0" w:line="249" w:lineRule="auto"/>
        <w:tabs>
          <w:tab w:leader="none" w:pos="880" w:val="left"/>
        </w:tabs>
        <w:numPr>
          <w:ilvl w:val="1"/>
          <w:numId w:val="66"/>
        </w:numPr>
        <w:rPr>
          <w:rFonts w:ascii="Arial" w:cs="Arial" w:eastAsia="Arial" w:hAnsi="Arial"/>
          <w:sz w:val="16"/>
          <w:szCs w:val="16"/>
          <w:color w:val="00ADE8"/>
        </w:rPr>
      </w:pPr>
      <w:r>
        <w:rPr>
          <w:rFonts w:ascii="Arial" w:cs="Arial" w:eastAsia="Arial" w:hAnsi="Arial"/>
          <w:sz w:val="16"/>
          <w:szCs w:val="16"/>
          <w:color w:val="3B3C43"/>
        </w:rPr>
        <w:t>Due to the COVID-19 pandemic and business downturn, the Company’s strategic priorities shifted to a significantly greater focus on cash flow, liquidity, and business sustainability. To better align our executives’ compensation with these critical priorities, the financial measures for the 2020 annual cash incentive plan were changed from EBITDA, EBITDA as a Percentage of Revenue, and Working Capital Days to Incremental Cost Savings (37.5% weighting) and Free Cash Flow Conversion (37.5%), for the last three quarters of 2020. The Incremental Cost Savings metric measures our performance against our publicly disclosed Cost Reduction Program. The Free Cash Flow Conversion metric (ratio of Free Cash Flow to Adjusted Net Income) measures the quality of our earnings and is important for liquidity.</w:t>
      </w:r>
    </w:p>
    <w:p>
      <w:pPr>
        <w:spacing w:after="0" w:line="177" w:lineRule="exact"/>
        <w:rPr>
          <w:rFonts w:ascii="Arial" w:cs="Arial" w:eastAsia="Arial" w:hAnsi="Arial"/>
          <w:sz w:val="16"/>
          <w:szCs w:val="16"/>
          <w:color w:val="00ADE8"/>
        </w:rPr>
      </w:pPr>
    </w:p>
    <w:p>
      <w:pPr>
        <w:ind w:left="880" w:right="620" w:hanging="332"/>
        <w:spacing w:after="0" w:line="253" w:lineRule="auto"/>
        <w:tabs>
          <w:tab w:leader="none" w:pos="880" w:val="left"/>
        </w:tabs>
        <w:numPr>
          <w:ilvl w:val="1"/>
          <w:numId w:val="66"/>
        </w:numPr>
        <w:rPr>
          <w:rFonts w:ascii="Arial" w:cs="Arial" w:eastAsia="Arial" w:hAnsi="Arial"/>
          <w:sz w:val="16"/>
          <w:szCs w:val="16"/>
          <w:color w:val="00ADE8"/>
        </w:rPr>
      </w:pPr>
      <w:r>
        <w:rPr>
          <w:rFonts w:ascii="Arial" w:cs="Arial" w:eastAsia="Arial" w:hAnsi="Arial"/>
          <w:sz w:val="16"/>
          <w:szCs w:val="16"/>
          <w:color w:val="3B3C43"/>
        </w:rPr>
        <w:t>Due to the volatility in the oil and gas market, the annual incentive plan targets set at the beginning of 2020 were no longer considered applicable. Accordingly, performance and payout for the Q1 2020 business performance indicators were set at 0% by the Compensation Committee.</w:t>
      </w:r>
    </w:p>
    <w:p>
      <w:pPr>
        <w:spacing w:after="0" w:line="174" w:lineRule="exact"/>
        <w:rPr>
          <w:rFonts w:ascii="Arial" w:cs="Arial" w:eastAsia="Arial" w:hAnsi="Arial"/>
          <w:sz w:val="16"/>
          <w:szCs w:val="16"/>
          <w:color w:val="00ADE8"/>
        </w:rPr>
      </w:pPr>
    </w:p>
    <w:p>
      <w:pPr>
        <w:ind w:left="880" w:right="620" w:hanging="332"/>
        <w:spacing w:after="0" w:line="260" w:lineRule="auto"/>
        <w:tabs>
          <w:tab w:leader="none" w:pos="880" w:val="left"/>
        </w:tabs>
        <w:numPr>
          <w:ilvl w:val="1"/>
          <w:numId w:val="66"/>
        </w:numPr>
        <w:rPr>
          <w:rFonts w:ascii="Arial" w:cs="Arial" w:eastAsia="Arial" w:hAnsi="Arial"/>
          <w:sz w:val="16"/>
          <w:szCs w:val="16"/>
          <w:color w:val="00ADE8"/>
        </w:rPr>
      </w:pPr>
      <w:r>
        <w:rPr>
          <w:rFonts w:ascii="Arial" w:cs="Arial" w:eastAsia="Arial" w:hAnsi="Arial"/>
          <w:sz w:val="16"/>
          <w:szCs w:val="16"/>
          <w:color w:val="3B3C43"/>
        </w:rPr>
        <w:t>25% of our 2020 annual cash incentive plan continued to be based on individual performance indicators that included specific objectives regarding sustainability in our business performance, further reinforcing the</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60</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left="880"/>
        <w:spacing w:after="0"/>
        <w:rPr>
          <w:sz w:val="20"/>
          <w:szCs w:val="20"/>
          <w:color w:val="auto"/>
        </w:rPr>
      </w:pPr>
      <w:r>
        <w:rPr>
          <w:rFonts w:ascii="Arial" w:cs="Arial" w:eastAsia="Arial" w:hAnsi="Arial"/>
          <w:sz w:val="16"/>
          <w:szCs w:val="16"/>
          <w:color w:val="3B3C43"/>
        </w:rPr>
        <w:t>Company’s commitment to our Foundational Beliefs while we focused on responding to the challenging business environment.</w:t>
      </w:r>
    </w:p>
    <w:p>
      <w:pPr>
        <w:spacing w:after="0" w:line="194" w:lineRule="exact"/>
        <w:rPr>
          <w:sz w:val="20"/>
          <w:szCs w:val="20"/>
          <w:color w:val="auto"/>
        </w:rPr>
      </w:pPr>
    </w:p>
    <w:p>
      <w:pPr>
        <w:ind w:left="880" w:right="200" w:hanging="332"/>
        <w:spacing w:after="0" w:line="251" w:lineRule="auto"/>
        <w:tabs>
          <w:tab w:leader="none" w:pos="880" w:val="left"/>
        </w:tabs>
        <w:numPr>
          <w:ilvl w:val="1"/>
          <w:numId w:val="67"/>
        </w:numPr>
        <w:rPr>
          <w:rFonts w:ascii="Arial" w:cs="Arial" w:eastAsia="Arial" w:hAnsi="Arial"/>
          <w:sz w:val="16"/>
          <w:szCs w:val="16"/>
          <w:color w:val="00ADE8"/>
        </w:rPr>
      </w:pPr>
      <w:r>
        <w:rPr>
          <w:rFonts w:ascii="Arial" w:cs="Arial" w:eastAsia="Arial" w:hAnsi="Arial"/>
          <w:sz w:val="16"/>
          <w:szCs w:val="16"/>
          <w:color w:val="3B3C43"/>
        </w:rPr>
        <w:t>In addition to updating our Q2-Q4 2020 performance metrics to swiftly respond to changing short-term business priorities, we also capped the payout for the business performance indicators under the 2020 annual cash incentive plan at target (100%), with no upside for above-target performance. Limiting payouts at target (compared to 200% in prior years) in a volatile business environment helps align with shareholder interests.</w:t>
      </w:r>
    </w:p>
    <w:p>
      <w:pPr>
        <w:spacing w:after="0" w:line="175" w:lineRule="exact"/>
        <w:rPr>
          <w:rFonts w:ascii="Arial" w:cs="Arial" w:eastAsia="Arial" w:hAnsi="Arial"/>
          <w:sz w:val="16"/>
          <w:szCs w:val="16"/>
          <w:color w:val="00ADE8"/>
        </w:rPr>
      </w:pPr>
    </w:p>
    <w:p>
      <w:pPr>
        <w:ind w:left="500" w:hanging="317"/>
        <w:spacing w:after="0"/>
        <w:tabs>
          <w:tab w:leader="none" w:pos="500" w:val="left"/>
        </w:tabs>
        <w:numPr>
          <w:ilvl w:val="0"/>
          <w:numId w:val="67"/>
        </w:numPr>
        <w:rPr>
          <w:rFonts w:ascii="Arial" w:cs="Arial" w:eastAsia="Arial" w:hAnsi="Arial"/>
          <w:sz w:val="16"/>
          <w:szCs w:val="16"/>
          <w:color w:val="4B1F68"/>
        </w:rPr>
      </w:pPr>
      <w:r>
        <w:rPr>
          <w:rFonts w:ascii="Arial" w:cs="Arial" w:eastAsia="Arial" w:hAnsi="Arial"/>
          <w:sz w:val="16"/>
          <w:szCs w:val="16"/>
          <w:color w:val="3B3C43"/>
        </w:rPr>
        <w:t>No changes were made to the annual equity awards previously granted and not vested.</w:t>
      </w:r>
    </w:p>
    <w:p>
      <w:pPr>
        <w:spacing w:after="0" w:line="194"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3B3C43"/>
        </w:rPr>
        <w:t>In addition to the changes to executive compensation above, the cost reduction program completed by the Company in 2020 also included the following changes to global, broad-based employee compensation and benefits programs:</w:t>
      </w:r>
    </w:p>
    <w:p>
      <w:pPr>
        <w:spacing w:after="0" w:line="168" w:lineRule="exact"/>
        <w:rPr>
          <w:sz w:val="20"/>
          <w:szCs w:val="20"/>
          <w:color w:val="auto"/>
        </w:rPr>
      </w:pPr>
    </w:p>
    <w:p>
      <w:pPr>
        <w:ind w:left="500" w:hanging="317"/>
        <w:spacing w:after="0"/>
        <w:tabs>
          <w:tab w:leader="none" w:pos="500" w:val="left"/>
        </w:tabs>
        <w:numPr>
          <w:ilvl w:val="0"/>
          <w:numId w:val="68"/>
        </w:numPr>
        <w:rPr>
          <w:rFonts w:ascii="Arial" w:cs="Arial" w:eastAsia="Arial" w:hAnsi="Arial"/>
          <w:sz w:val="16"/>
          <w:szCs w:val="16"/>
          <w:color w:val="4B1F68"/>
        </w:rPr>
      </w:pPr>
      <w:r>
        <w:rPr>
          <w:rFonts w:ascii="Arial" w:cs="Arial" w:eastAsia="Arial" w:hAnsi="Arial"/>
          <w:sz w:val="16"/>
          <w:szCs w:val="16"/>
          <w:color w:val="3B3C43"/>
        </w:rPr>
        <w:t>Significant reduction in global headcount;</w:t>
      </w:r>
    </w:p>
    <w:p>
      <w:pPr>
        <w:spacing w:after="0" w:line="194" w:lineRule="exact"/>
        <w:rPr>
          <w:rFonts w:ascii="Arial" w:cs="Arial" w:eastAsia="Arial" w:hAnsi="Arial"/>
          <w:sz w:val="16"/>
          <w:szCs w:val="16"/>
          <w:color w:val="4B1F68"/>
        </w:rPr>
      </w:pPr>
    </w:p>
    <w:p>
      <w:pPr>
        <w:ind w:left="500" w:hanging="317"/>
        <w:spacing w:after="0"/>
        <w:tabs>
          <w:tab w:leader="none" w:pos="500" w:val="left"/>
        </w:tabs>
        <w:numPr>
          <w:ilvl w:val="0"/>
          <w:numId w:val="68"/>
        </w:numPr>
        <w:rPr>
          <w:rFonts w:ascii="Arial" w:cs="Arial" w:eastAsia="Arial" w:hAnsi="Arial"/>
          <w:sz w:val="16"/>
          <w:szCs w:val="16"/>
          <w:color w:val="4B1F68"/>
        </w:rPr>
      </w:pPr>
      <w:r>
        <w:rPr>
          <w:rFonts w:ascii="Arial" w:cs="Arial" w:eastAsia="Arial" w:hAnsi="Arial"/>
          <w:sz w:val="16"/>
          <w:szCs w:val="16"/>
          <w:color w:val="3B3C43"/>
        </w:rPr>
        <w:t>Furlough programs instituted in certain locations and businesses;</w:t>
      </w:r>
    </w:p>
    <w:p>
      <w:pPr>
        <w:spacing w:after="0" w:line="194" w:lineRule="exact"/>
        <w:rPr>
          <w:rFonts w:ascii="Arial" w:cs="Arial" w:eastAsia="Arial" w:hAnsi="Arial"/>
          <w:sz w:val="16"/>
          <w:szCs w:val="16"/>
          <w:color w:val="4B1F68"/>
        </w:rPr>
      </w:pPr>
    </w:p>
    <w:p>
      <w:pPr>
        <w:ind w:left="500" w:hanging="317"/>
        <w:spacing w:after="0"/>
        <w:tabs>
          <w:tab w:leader="none" w:pos="500" w:val="left"/>
        </w:tabs>
        <w:numPr>
          <w:ilvl w:val="0"/>
          <w:numId w:val="68"/>
        </w:numPr>
        <w:rPr>
          <w:rFonts w:ascii="Arial" w:cs="Arial" w:eastAsia="Arial" w:hAnsi="Arial"/>
          <w:sz w:val="16"/>
          <w:szCs w:val="16"/>
          <w:color w:val="4B1F68"/>
        </w:rPr>
      </w:pPr>
      <w:r>
        <w:rPr>
          <w:rFonts w:ascii="Arial" w:cs="Arial" w:eastAsia="Arial" w:hAnsi="Arial"/>
          <w:sz w:val="16"/>
          <w:szCs w:val="16"/>
          <w:color w:val="3B3C43"/>
        </w:rPr>
        <w:t>A global salary freeze for all employees, other than salary increases mandated by union agreements or local regulations; and</w:t>
      </w:r>
    </w:p>
    <w:p>
      <w:pPr>
        <w:spacing w:after="0" w:line="194" w:lineRule="exact"/>
        <w:rPr>
          <w:rFonts w:ascii="Arial" w:cs="Arial" w:eastAsia="Arial" w:hAnsi="Arial"/>
          <w:sz w:val="16"/>
          <w:szCs w:val="16"/>
          <w:color w:val="4B1F68"/>
        </w:rPr>
      </w:pPr>
    </w:p>
    <w:p>
      <w:pPr>
        <w:ind w:left="500" w:right="180" w:hanging="317"/>
        <w:spacing w:after="0" w:line="253" w:lineRule="auto"/>
        <w:tabs>
          <w:tab w:leader="none" w:pos="500" w:val="left"/>
        </w:tabs>
        <w:numPr>
          <w:ilvl w:val="0"/>
          <w:numId w:val="68"/>
        </w:numPr>
        <w:rPr>
          <w:rFonts w:ascii="Arial" w:cs="Arial" w:eastAsia="Arial" w:hAnsi="Arial"/>
          <w:sz w:val="16"/>
          <w:szCs w:val="16"/>
          <w:color w:val="4B1F68"/>
        </w:rPr>
      </w:pPr>
      <w:r>
        <w:rPr>
          <w:rFonts w:ascii="Arial" w:cs="Arial" w:eastAsia="Arial" w:hAnsi="Arial"/>
          <w:sz w:val="16"/>
          <w:szCs w:val="16"/>
          <w:color w:val="3B3C43"/>
        </w:rPr>
        <w:t>Changes to the annual cash incentive plan for eligible employees mirrored the changes for our executives, namely: changing the annual cash incentive plan’s business performance indicators for Q2-Q4 2020 to Incremental Cost Savings and Free Cash Flow Conversion, as well as capping payout for business performance indicators at target (100%).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Changes to Our Executive Compensation Program in Response to Shareholder Feedback</w:t>
      </w:r>
    </w:p>
    <w:p>
      <w:pPr>
        <w:spacing w:after="0" w:line="21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3B3C43"/>
        </w:rPr>
        <w:t>Listed below are the key changes made to our executive compensation program in 2020 and 2021, both as part of our annual review process, as well as in response to shareholder feedback:</w:t>
      </w:r>
    </w:p>
    <w:p>
      <w:pPr>
        <w:spacing w:after="0" w:line="168" w:lineRule="exact"/>
        <w:rPr>
          <w:sz w:val="20"/>
          <w:szCs w:val="20"/>
          <w:color w:val="auto"/>
        </w:rPr>
      </w:pPr>
    </w:p>
    <w:p>
      <w:pPr>
        <w:ind w:left="500" w:hanging="317"/>
        <w:spacing w:after="0" w:line="260" w:lineRule="auto"/>
        <w:tabs>
          <w:tab w:leader="none" w:pos="500" w:val="left"/>
        </w:tabs>
        <w:numPr>
          <w:ilvl w:val="0"/>
          <w:numId w:val="69"/>
        </w:numPr>
        <w:rPr>
          <w:rFonts w:ascii="Arial" w:cs="Arial" w:eastAsia="Arial" w:hAnsi="Arial"/>
          <w:sz w:val="16"/>
          <w:szCs w:val="16"/>
          <w:color w:val="4B1F68"/>
        </w:rPr>
      </w:pPr>
      <w:r>
        <w:rPr>
          <w:rFonts w:ascii="Arial" w:cs="Arial" w:eastAsia="Arial" w:hAnsi="Arial"/>
          <w:sz w:val="16"/>
          <w:szCs w:val="16"/>
          <w:color w:val="3B3C43"/>
        </w:rPr>
        <w:t>Discontinued the use of stock options based on feedback from shareholders that stock options are not performancebased. A majority of our long-term equity plan continues to be performance-based, consisting of 70% PSUs and 30% RSUs.</w:t>
      </w:r>
    </w:p>
    <w:p>
      <w:pPr>
        <w:spacing w:after="0" w:line="168" w:lineRule="exact"/>
        <w:rPr>
          <w:rFonts w:ascii="Arial" w:cs="Arial" w:eastAsia="Arial" w:hAnsi="Arial"/>
          <w:sz w:val="16"/>
          <w:szCs w:val="16"/>
          <w:color w:val="4B1F68"/>
        </w:rPr>
      </w:pPr>
    </w:p>
    <w:p>
      <w:pPr>
        <w:jc w:val="both"/>
        <w:ind w:left="500" w:right="60" w:hanging="317"/>
        <w:spacing w:after="0" w:line="251" w:lineRule="auto"/>
        <w:tabs>
          <w:tab w:leader="none" w:pos="500" w:val="left"/>
        </w:tabs>
        <w:numPr>
          <w:ilvl w:val="0"/>
          <w:numId w:val="69"/>
        </w:numPr>
        <w:rPr>
          <w:rFonts w:ascii="Arial" w:cs="Arial" w:eastAsia="Arial" w:hAnsi="Arial"/>
          <w:sz w:val="16"/>
          <w:szCs w:val="16"/>
          <w:color w:val="4B1F68"/>
        </w:rPr>
      </w:pPr>
      <w:r>
        <w:rPr>
          <w:rFonts w:ascii="Arial" w:cs="Arial" w:eastAsia="Arial" w:hAnsi="Arial"/>
          <w:sz w:val="16"/>
          <w:szCs w:val="16"/>
          <w:color w:val="3B3C43"/>
        </w:rPr>
        <w:t>In 2019, the long-term equity award grant was based on two performance measures, ROIC and relative TSR. However, for 2020, the volatility in the oil and gas business environment, as well as our Spin-off, made it challenging to set meaningful ROIC targets, and as a result, a single performance measure, relative TSR, was selected. We believe that this measure is strongly aligned with shareholder interests and is a meaningful measure of our long-term performance.</w:t>
      </w:r>
    </w:p>
    <w:p>
      <w:pPr>
        <w:spacing w:after="0" w:line="175" w:lineRule="exact"/>
        <w:rPr>
          <w:rFonts w:ascii="Arial" w:cs="Arial" w:eastAsia="Arial" w:hAnsi="Arial"/>
          <w:sz w:val="16"/>
          <w:szCs w:val="16"/>
          <w:color w:val="4B1F68"/>
        </w:rPr>
      </w:pPr>
    </w:p>
    <w:p>
      <w:pPr>
        <w:ind w:left="500" w:right="40" w:hanging="317"/>
        <w:spacing w:after="0" w:line="248" w:lineRule="auto"/>
        <w:tabs>
          <w:tab w:leader="none" w:pos="500" w:val="left"/>
        </w:tabs>
        <w:numPr>
          <w:ilvl w:val="0"/>
          <w:numId w:val="69"/>
        </w:numPr>
        <w:rPr>
          <w:rFonts w:ascii="Arial" w:cs="Arial" w:eastAsia="Arial" w:hAnsi="Arial"/>
          <w:sz w:val="16"/>
          <w:szCs w:val="16"/>
          <w:color w:val="4B1F68"/>
        </w:rPr>
      </w:pPr>
      <w:r>
        <w:rPr>
          <w:rFonts w:ascii="Arial" w:cs="Arial" w:eastAsia="Arial" w:hAnsi="Arial"/>
          <w:sz w:val="16"/>
          <w:szCs w:val="16"/>
          <w:color w:val="3B3C43"/>
        </w:rPr>
        <w:t>Continued to base a portion of our CEO’s annual cash incentive on certain sustainability measures to further reinforce the Company’s commitment to our Foundational Beliefs. For 2021, we have included an ESG metric (25% weighting) in our annual cash incentive plan to drive accountability and strengthen the link between our compensation program and our ESG commitments and objectives. More information is provided below and in</w:t>
      </w:r>
    </w:p>
    <w:p>
      <w:pPr>
        <w:spacing w:after="0" w:line="2" w:lineRule="exact"/>
        <w:rPr>
          <w:rFonts w:ascii="Arial" w:cs="Arial" w:eastAsia="Arial" w:hAnsi="Arial"/>
          <w:sz w:val="16"/>
          <w:szCs w:val="16"/>
          <w:color w:val="4B1F68"/>
        </w:rPr>
      </w:pPr>
    </w:p>
    <w:p>
      <w:pPr>
        <w:ind w:left="500"/>
        <w:spacing w:after="0"/>
        <w:rPr>
          <w:rFonts w:ascii="Arial" w:cs="Arial" w:eastAsia="Arial" w:hAnsi="Arial"/>
          <w:sz w:val="16"/>
          <w:szCs w:val="16"/>
          <w:color w:val="4B1F68"/>
        </w:rPr>
      </w:pPr>
      <w:r>
        <w:rPr>
          <w:rFonts w:ascii="Arial" w:cs="Arial" w:eastAsia="Arial" w:hAnsi="Arial"/>
          <w:sz w:val="16"/>
          <w:szCs w:val="16"/>
          <w:i w:val="1"/>
          <w:iCs w:val="1"/>
          <w:color w:val="3B3C43"/>
        </w:rPr>
        <w:t>“</w:t>
      </w:r>
      <w:r>
        <w:rPr>
          <w:rFonts w:ascii="Arial" w:cs="Arial" w:eastAsia="Arial" w:hAnsi="Arial"/>
          <w:sz w:val="14"/>
          <w:szCs w:val="14"/>
          <w:i w:val="1"/>
          <w:iCs w:val="1"/>
          <w:color w:val="3B3C43"/>
        </w:rPr>
        <w:t>Elements of Executive Compensation-2021 Annual Cash Incentive Plan</w:t>
      </w:r>
      <w:r>
        <w:rPr>
          <w:rFonts w:ascii="Arial" w:cs="Arial" w:eastAsia="Arial" w:hAnsi="Arial"/>
          <w:sz w:val="16"/>
          <w:szCs w:val="16"/>
          <w:i w:val="1"/>
          <w:iCs w:val="1"/>
          <w:color w:val="3B3C43"/>
        </w:rPr>
        <w:t>.”</w:t>
      </w:r>
    </w:p>
    <w:p>
      <w:pPr>
        <w:spacing w:after="0" w:line="188" w:lineRule="exact"/>
        <w:rPr>
          <w:rFonts w:ascii="Arial" w:cs="Arial" w:eastAsia="Arial" w:hAnsi="Arial"/>
          <w:sz w:val="16"/>
          <w:szCs w:val="16"/>
          <w:color w:val="4B1F68"/>
        </w:rPr>
      </w:pPr>
    </w:p>
    <w:p>
      <w:pPr>
        <w:ind w:left="500" w:hanging="317"/>
        <w:spacing w:after="0"/>
        <w:tabs>
          <w:tab w:leader="none" w:pos="500" w:val="left"/>
        </w:tabs>
        <w:numPr>
          <w:ilvl w:val="0"/>
          <w:numId w:val="69"/>
        </w:numPr>
        <w:rPr>
          <w:rFonts w:ascii="Arial" w:cs="Arial" w:eastAsia="Arial" w:hAnsi="Arial"/>
          <w:sz w:val="16"/>
          <w:szCs w:val="16"/>
          <w:color w:val="4B1F68"/>
        </w:rPr>
      </w:pPr>
      <w:r>
        <w:rPr>
          <w:rFonts w:ascii="Arial" w:cs="Arial" w:eastAsia="Arial" w:hAnsi="Arial"/>
          <w:sz w:val="16"/>
          <w:szCs w:val="16"/>
          <w:color w:val="3B3C43"/>
        </w:rPr>
        <w:t>Updated our Compensation Peer Group and Relative TSR Peer Group to reflect changes in our business environment.</w:t>
      </w:r>
    </w:p>
    <w:p>
      <w:pPr>
        <w:spacing w:after="0" w:line="194" w:lineRule="exact"/>
        <w:rPr>
          <w:rFonts w:ascii="Arial" w:cs="Arial" w:eastAsia="Arial" w:hAnsi="Arial"/>
          <w:sz w:val="16"/>
          <w:szCs w:val="16"/>
          <w:color w:val="4B1F68"/>
        </w:rPr>
      </w:pPr>
    </w:p>
    <w:p>
      <w:pPr>
        <w:ind w:left="500" w:right="180" w:hanging="317"/>
        <w:spacing w:after="0" w:line="260" w:lineRule="auto"/>
        <w:tabs>
          <w:tab w:leader="none" w:pos="500" w:val="left"/>
        </w:tabs>
        <w:numPr>
          <w:ilvl w:val="0"/>
          <w:numId w:val="69"/>
        </w:numPr>
        <w:rPr>
          <w:rFonts w:ascii="Arial" w:cs="Arial" w:eastAsia="Arial" w:hAnsi="Arial"/>
          <w:sz w:val="16"/>
          <w:szCs w:val="16"/>
          <w:color w:val="4B1F68"/>
        </w:rPr>
      </w:pPr>
      <w:r>
        <w:rPr>
          <w:rFonts w:ascii="Arial" w:cs="Arial" w:eastAsia="Arial" w:hAnsi="Arial"/>
          <w:sz w:val="16"/>
          <w:szCs w:val="16"/>
          <w:color w:val="3B3C43"/>
        </w:rPr>
        <w:t>Enhanced disclosures in our Compensation Discussion and Analysis, including descriptions of the individual performance component of our annual cash incentive plan, our PSU plan performance, our target-setting process, and our peer group selection rationale.</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61</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88" w:right="37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Looking Ahead - 2021 Changes to Our Executive Compensation Program</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3B3C43"/>
        </w:rPr>
        <w:t>In January 2021, due to increased clarity in market outlook, coupled with a demonstrated ability to successfully execute projects during a unique and challenging year, we announced the resumption of activities towards separation into two industry-leading, independent, publicly traded companies, TechnipFMC and Technip Energies, which was completed on February 16, 2021. Each of the two separated companies, TechnipFMC and Technip Energies will set their respective executive compensation programs, practices, and compensation levels based on their respective business objectives and as approved by the Compensation Committee of the Board of Directors for each company.</w:t>
      </w:r>
    </w:p>
    <w:p>
      <w:pPr>
        <w:spacing w:after="0" w:line="17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3B3C43"/>
        </w:rPr>
        <w:t>The Compensation Committee anticipates certain changes to the TechnipFMC executive compensation program in 2021, based on continued feedback from shareholders, as well as a review of our business and competitive strategy, following the Spin-off.</w:t>
      </w:r>
    </w:p>
    <w:p>
      <w:pPr>
        <w:spacing w:after="0" w:line="148" w:lineRule="exact"/>
        <w:rPr>
          <w:sz w:val="20"/>
          <w:szCs w:val="20"/>
          <w:color w:val="auto"/>
        </w:rPr>
      </w:pPr>
    </w:p>
    <w:p>
      <w:pPr>
        <w:ind w:left="1760"/>
        <w:spacing w:after="0"/>
        <w:tabs>
          <w:tab w:leader="none" w:pos="6460" w:val="left"/>
        </w:tabs>
        <w:rPr>
          <w:sz w:val="20"/>
          <w:szCs w:val="20"/>
          <w:color w:val="auto"/>
        </w:rPr>
      </w:pPr>
      <w:r>
        <w:rPr>
          <w:rFonts w:ascii="Arial" w:cs="Arial" w:eastAsia="Arial" w:hAnsi="Arial"/>
          <w:sz w:val="16"/>
          <w:szCs w:val="16"/>
          <w:b w:val="1"/>
          <w:bCs w:val="1"/>
          <w:color w:val="3B3C43"/>
        </w:rPr>
        <w:t>2021 Long-Term Equity Mix</w:t>
      </w:r>
      <w:r>
        <w:rPr>
          <w:sz w:val="20"/>
          <w:szCs w:val="20"/>
          <w:color w:val="auto"/>
        </w:rPr>
        <w:tab/>
      </w:r>
      <w:r>
        <w:rPr>
          <w:rFonts w:ascii="Arial" w:cs="Arial" w:eastAsia="Arial" w:hAnsi="Arial"/>
          <w:sz w:val="16"/>
          <w:szCs w:val="16"/>
          <w:b w:val="1"/>
          <w:bCs w:val="1"/>
          <w:color w:val="3B3C43"/>
        </w:rPr>
        <w:t>2021 Annual Incentive Plan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134620</wp:posOffset>
            </wp:positionV>
            <wp:extent cx="1885950" cy="18688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85950" cy="18688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134620</wp:posOffset>
            </wp:positionV>
            <wp:extent cx="1885950" cy="18859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8595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right="500" w:hanging="317"/>
        <w:spacing w:after="0" w:line="260" w:lineRule="auto"/>
        <w:tabs>
          <w:tab w:leader="none" w:pos="500" w:val="left"/>
        </w:tabs>
        <w:numPr>
          <w:ilvl w:val="0"/>
          <w:numId w:val="70"/>
        </w:numPr>
        <w:rPr>
          <w:rFonts w:ascii="Arial" w:cs="Arial" w:eastAsia="Arial" w:hAnsi="Arial"/>
          <w:sz w:val="16"/>
          <w:szCs w:val="16"/>
          <w:color w:val="4B1F68"/>
        </w:rPr>
      </w:pPr>
      <w:r>
        <w:rPr>
          <w:rFonts w:ascii="Arial" w:cs="Arial" w:eastAsia="Arial" w:hAnsi="Arial"/>
          <w:sz w:val="16"/>
          <w:szCs w:val="16"/>
          <w:color w:val="3B3C43"/>
        </w:rPr>
        <w:t>We anticipate a review of our 2021 Compensation Peer Group and Relative TSR Peer Group, to reflect our post Spin-off business strategy and competitive landscape as a fully integrated technology and services provider.</w:t>
      </w:r>
    </w:p>
    <w:p>
      <w:pPr>
        <w:spacing w:after="0" w:line="168" w:lineRule="exact"/>
        <w:rPr>
          <w:rFonts w:ascii="Arial" w:cs="Arial" w:eastAsia="Arial" w:hAnsi="Arial"/>
          <w:sz w:val="16"/>
          <w:szCs w:val="16"/>
          <w:color w:val="4B1F68"/>
        </w:rPr>
      </w:pPr>
    </w:p>
    <w:p>
      <w:pPr>
        <w:ind w:left="500" w:right="140" w:hanging="317"/>
        <w:spacing w:after="0" w:line="260" w:lineRule="auto"/>
        <w:tabs>
          <w:tab w:leader="none" w:pos="500" w:val="left"/>
        </w:tabs>
        <w:numPr>
          <w:ilvl w:val="0"/>
          <w:numId w:val="70"/>
        </w:numPr>
        <w:rPr>
          <w:rFonts w:ascii="Arial" w:cs="Arial" w:eastAsia="Arial" w:hAnsi="Arial"/>
          <w:sz w:val="16"/>
          <w:szCs w:val="16"/>
          <w:color w:val="4B1F68"/>
        </w:rPr>
      </w:pPr>
      <w:r>
        <w:rPr>
          <w:rFonts w:ascii="Arial" w:cs="Arial" w:eastAsia="Arial" w:hAnsi="Arial"/>
          <w:sz w:val="16"/>
          <w:szCs w:val="16"/>
          <w:color w:val="3B3C43"/>
        </w:rPr>
        <w:t>Our 2021 annual cash incentive plan will include the following performance measures: EBITDA as a Percentage of Revenue (25%), Free Cash Flow from Operations (25%), ESG Performance (25%), and individual annual performance indicators (25%).</w:t>
      </w:r>
    </w:p>
    <w:p>
      <w:pPr>
        <w:spacing w:after="0" w:line="168" w:lineRule="exact"/>
        <w:rPr>
          <w:rFonts w:ascii="Arial" w:cs="Arial" w:eastAsia="Arial" w:hAnsi="Arial"/>
          <w:sz w:val="16"/>
          <w:szCs w:val="16"/>
          <w:color w:val="4B1F68"/>
        </w:rPr>
      </w:pPr>
    </w:p>
    <w:p>
      <w:pPr>
        <w:ind w:left="960" w:right="120" w:hanging="331"/>
        <w:spacing w:after="0" w:line="249" w:lineRule="auto"/>
        <w:tabs>
          <w:tab w:leader="none" w:pos="960" w:val="left"/>
        </w:tabs>
        <w:numPr>
          <w:ilvl w:val="1"/>
          <w:numId w:val="70"/>
        </w:numPr>
        <w:rPr>
          <w:rFonts w:ascii="Arial" w:cs="Arial" w:eastAsia="Arial" w:hAnsi="Arial"/>
          <w:sz w:val="16"/>
          <w:szCs w:val="16"/>
          <w:color w:val="00ADE8"/>
        </w:rPr>
      </w:pPr>
      <w:r>
        <w:rPr>
          <w:rFonts w:ascii="Arial" w:cs="Arial" w:eastAsia="Arial" w:hAnsi="Arial"/>
          <w:sz w:val="16"/>
          <w:szCs w:val="16"/>
          <w:color w:val="3B3C43"/>
        </w:rPr>
        <w:t>In 2020, we provided a comprehensive overview of our ESG efforts to our investors including new initiatives to be realized through 2023 and a commitment to deliver a 50 percent reduction in Scope 1 and 2 equivalent GHG emissions by 2030. In order to directly link our compensation program to our ESG commitments and objectives, we will include an ESG measure in our 2021 annual cash incentive plan at 25% weighting. Performance for this measure will be based on an ESG scorecard that includes environmental (carbon footprint, waste recycling), social (fair representation, awareness and culture, community initiatives), and governance (HSE leadership, human rights due diligence, ethics and compliance) measures.</w:t>
      </w:r>
    </w:p>
    <w:p>
      <w:pPr>
        <w:spacing w:after="0" w:line="177" w:lineRule="exact"/>
        <w:rPr>
          <w:rFonts w:ascii="Arial" w:cs="Arial" w:eastAsia="Arial" w:hAnsi="Arial"/>
          <w:sz w:val="16"/>
          <w:szCs w:val="16"/>
          <w:color w:val="00ADE8"/>
        </w:rPr>
      </w:pPr>
    </w:p>
    <w:p>
      <w:pPr>
        <w:ind w:left="960" w:right="20" w:hanging="331"/>
        <w:spacing w:after="0" w:line="253" w:lineRule="auto"/>
        <w:tabs>
          <w:tab w:leader="none" w:pos="960" w:val="left"/>
        </w:tabs>
        <w:numPr>
          <w:ilvl w:val="1"/>
          <w:numId w:val="70"/>
        </w:numPr>
        <w:rPr>
          <w:rFonts w:ascii="Arial" w:cs="Arial" w:eastAsia="Arial" w:hAnsi="Arial"/>
          <w:sz w:val="16"/>
          <w:szCs w:val="16"/>
          <w:color w:val="00ADE8"/>
        </w:rPr>
      </w:pPr>
      <w:r>
        <w:rPr>
          <w:rFonts w:ascii="Arial" w:cs="Arial" w:eastAsia="Arial" w:hAnsi="Arial"/>
          <w:sz w:val="16"/>
          <w:szCs w:val="16"/>
          <w:color w:val="3B3C43"/>
        </w:rPr>
        <w:t>We will continue to include EBITDA as a Percentage of Revenue and Free Cash Flow from Operations as measures in the annual cash incentive plan, with an objective to increase our operating profitability, leverage cost efficiencies, maintain the financial health and liquidity of the Company, and drive shareholder value creation.</w:t>
      </w:r>
    </w:p>
    <w:p>
      <w:pPr>
        <w:spacing w:after="0" w:line="174" w:lineRule="exact"/>
        <w:rPr>
          <w:rFonts w:ascii="Arial" w:cs="Arial" w:eastAsia="Arial" w:hAnsi="Arial"/>
          <w:sz w:val="16"/>
          <w:szCs w:val="16"/>
          <w:color w:val="00ADE8"/>
        </w:rPr>
      </w:pPr>
    </w:p>
    <w:p>
      <w:pPr>
        <w:ind w:left="500" w:hanging="317"/>
        <w:spacing w:after="0" w:line="260" w:lineRule="auto"/>
        <w:tabs>
          <w:tab w:leader="none" w:pos="500" w:val="left"/>
        </w:tabs>
        <w:numPr>
          <w:ilvl w:val="0"/>
          <w:numId w:val="70"/>
        </w:numPr>
        <w:rPr>
          <w:rFonts w:ascii="Arial" w:cs="Arial" w:eastAsia="Arial" w:hAnsi="Arial"/>
          <w:sz w:val="16"/>
          <w:szCs w:val="16"/>
          <w:color w:val="4B1F68"/>
        </w:rPr>
      </w:pPr>
      <w:r>
        <w:rPr>
          <w:rFonts w:ascii="Arial" w:cs="Arial" w:eastAsia="Arial" w:hAnsi="Arial"/>
          <w:sz w:val="16"/>
          <w:szCs w:val="16"/>
          <w:color w:val="3B3C43"/>
        </w:rPr>
        <w:t>Our annual long-term equity incentive award will continue to comprise 70% PSUs (payout based on relative TSR performance) and 30% RSUs, as we believe a higher weighting of performance-based equity aligns more closely with shareholder interests.</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62</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68408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68408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620" w:type="dxa"/>
            <w:vAlign w:val="bottom"/>
          </w:tcPr>
          <w:p>
            <w:pPr>
              <w:spacing w:after="0"/>
              <w:rPr>
                <w:sz w:val="24"/>
                <w:szCs w:val="24"/>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20"/>
                <w:szCs w:val="20"/>
                <w:b w:val="1"/>
                <w:bCs w:val="1"/>
                <w:color w:val="4B1F68"/>
              </w:rPr>
              <w:t>Douglas J. Pferdehirt</w:t>
            </w:r>
          </w:p>
        </w:tc>
        <w:tc>
          <w:tcPr>
            <w:tcW w:w="4380" w:type="dxa"/>
            <w:vAlign w:val="bottom"/>
            <w:shd w:val="clear" w:color="auto" w:fill="E1E2E0"/>
          </w:tcPr>
          <w:p>
            <w:pPr>
              <w:spacing w:after="0"/>
              <w:rPr>
                <w:sz w:val="24"/>
                <w:szCs w:val="24"/>
                <w:color w:val="auto"/>
              </w:rPr>
            </w:pPr>
          </w:p>
        </w:tc>
        <w:tc>
          <w:tcPr>
            <w:tcW w:w="1540" w:type="dxa"/>
            <w:vAlign w:val="bottom"/>
            <w:shd w:val="clear" w:color="auto" w:fill="E1E1DF"/>
          </w:tcPr>
          <w:p>
            <w:pPr>
              <w:spacing w:after="0"/>
              <w:rPr>
                <w:sz w:val="24"/>
                <w:szCs w:val="24"/>
                <w:color w:val="auto"/>
              </w:rPr>
            </w:pPr>
          </w:p>
        </w:tc>
      </w:tr>
      <w:tr>
        <w:trPr>
          <w:trHeight w:val="273"/>
        </w:trPr>
        <w:tc>
          <w:tcPr>
            <w:tcW w:w="1620" w:type="dxa"/>
            <w:vAlign w:val="bottom"/>
          </w:tcPr>
          <w:p>
            <w:pPr>
              <w:spacing w:after="0"/>
              <w:rPr>
                <w:sz w:val="23"/>
                <w:szCs w:val="23"/>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b w:val="1"/>
                <w:bCs w:val="1"/>
                <w:color w:val="3B3C43"/>
              </w:rPr>
              <w:t>Age: 57</w:t>
            </w:r>
          </w:p>
        </w:tc>
        <w:tc>
          <w:tcPr>
            <w:tcW w:w="4380" w:type="dxa"/>
            <w:vAlign w:val="bottom"/>
            <w:shd w:val="clear" w:color="auto" w:fill="E1E2E0"/>
          </w:tcPr>
          <w:p>
            <w:pPr>
              <w:spacing w:after="0"/>
              <w:rPr>
                <w:sz w:val="23"/>
                <w:szCs w:val="23"/>
                <w:color w:val="auto"/>
              </w:rPr>
            </w:pPr>
          </w:p>
        </w:tc>
        <w:tc>
          <w:tcPr>
            <w:tcW w:w="1540" w:type="dxa"/>
            <w:vAlign w:val="bottom"/>
            <w:shd w:val="clear" w:color="auto" w:fill="E1E1DF"/>
          </w:tcPr>
          <w:p>
            <w:pPr>
              <w:spacing w:after="0"/>
              <w:rPr>
                <w:sz w:val="23"/>
                <w:szCs w:val="23"/>
                <w:color w:val="auto"/>
              </w:rPr>
            </w:pPr>
          </w:p>
        </w:tc>
      </w:tr>
      <w:tr>
        <w:trPr>
          <w:trHeight w:val="283"/>
        </w:trPr>
        <w:tc>
          <w:tcPr>
            <w:tcW w:w="1620" w:type="dxa"/>
            <w:vAlign w:val="bottom"/>
          </w:tcPr>
          <w:p>
            <w:pPr>
              <w:spacing w:after="0"/>
              <w:rPr>
                <w:sz w:val="24"/>
                <w:szCs w:val="24"/>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b w:val="1"/>
                <w:bCs w:val="1"/>
                <w:color w:val="3B3C43"/>
              </w:rPr>
              <w:t>Position Held in 2020:</w:t>
            </w:r>
          </w:p>
        </w:tc>
        <w:tc>
          <w:tcPr>
            <w:tcW w:w="4380" w:type="dxa"/>
            <w:vAlign w:val="bottom"/>
            <w:shd w:val="clear" w:color="auto" w:fill="E1E2E0"/>
          </w:tcPr>
          <w:p>
            <w:pPr>
              <w:spacing w:after="0"/>
              <w:rPr>
                <w:sz w:val="24"/>
                <w:szCs w:val="24"/>
                <w:color w:val="auto"/>
              </w:rPr>
            </w:pPr>
          </w:p>
        </w:tc>
        <w:tc>
          <w:tcPr>
            <w:tcW w:w="1540" w:type="dxa"/>
            <w:vAlign w:val="bottom"/>
            <w:shd w:val="clear" w:color="auto" w:fill="E1E1DF"/>
          </w:tcPr>
          <w:p>
            <w:pPr>
              <w:spacing w:after="0"/>
              <w:rPr>
                <w:sz w:val="24"/>
                <w:szCs w:val="24"/>
                <w:color w:val="auto"/>
              </w:rPr>
            </w:pPr>
          </w:p>
        </w:tc>
      </w:tr>
      <w:tr>
        <w:trPr>
          <w:trHeight w:val="257"/>
        </w:trPr>
        <w:tc>
          <w:tcPr>
            <w:tcW w:w="1620" w:type="dxa"/>
            <w:vAlign w:val="bottom"/>
          </w:tcPr>
          <w:p>
            <w:pPr>
              <w:spacing w:after="0"/>
              <w:rPr>
                <w:sz w:val="22"/>
                <w:szCs w:val="22"/>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color w:val="3B3C43"/>
              </w:rPr>
              <w:t>Chairman and Chief Executive Officer</w:t>
            </w:r>
          </w:p>
        </w:tc>
        <w:tc>
          <w:tcPr>
            <w:tcW w:w="4380" w:type="dxa"/>
            <w:vAlign w:val="bottom"/>
            <w:shd w:val="clear" w:color="auto" w:fill="E1E2E0"/>
          </w:tcPr>
          <w:p>
            <w:pPr>
              <w:spacing w:after="0"/>
              <w:rPr>
                <w:sz w:val="22"/>
                <w:szCs w:val="22"/>
                <w:color w:val="auto"/>
              </w:rPr>
            </w:pPr>
          </w:p>
        </w:tc>
        <w:tc>
          <w:tcPr>
            <w:tcW w:w="1540" w:type="dxa"/>
            <w:vAlign w:val="bottom"/>
            <w:shd w:val="clear" w:color="auto" w:fill="E1E1DF"/>
          </w:tcPr>
          <w:p>
            <w:pPr>
              <w:spacing w:after="0"/>
              <w:rPr>
                <w:sz w:val="22"/>
                <w:szCs w:val="22"/>
                <w:color w:val="auto"/>
              </w:rPr>
            </w:pPr>
          </w:p>
        </w:tc>
      </w:tr>
      <w:tr>
        <w:trPr>
          <w:trHeight w:val="397"/>
        </w:trPr>
        <w:tc>
          <w:tcPr>
            <w:tcW w:w="1620" w:type="dxa"/>
            <w:vAlign w:val="bottom"/>
          </w:tcPr>
          <w:p>
            <w:pPr>
              <w:spacing w:after="0"/>
              <w:rPr>
                <w:sz w:val="24"/>
                <w:szCs w:val="24"/>
                <w:color w:val="auto"/>
              </w:rPr>
            </w:pPr>
          </w:p>
        </w:tc>
        <w:tc>
          <w:tcPr>
            <w:tcW w:w="3700" w:type="dxa"/>
            <w:vAlign w:val="bottom"/>
            <w:shd w:val="clear" w:color="auto" w:fill="E1E2E0"/>
          </w:tcPr>
          <w:p>
            <w:pPr>
              <w:spacing w:after="0"/>
              <w:rPr>
                <w:sz w:val="24"/>
                <w:szCs w:val="24"/>
                <w:color w:val="auto"/>
              </w:rPr>
            </w:pPr>
          </w:p>
        </w:tc>
        <w:tc>
          <w:tcPr>
            <w:tcW w:w="4380" w:type="dxa"/>
            <w:vAlign w:val="bottom"/>
            <w:shd w:val="clear" w:color="auto" w:fill="E1E2E0"/>
          </w:tcPr>
          <w:p>
            <w:pPr>
              <w:spacing w:after="0"/>
              <w:rPr>
                <w:sz w:val="24"/>
                <w:szCs w:val="24"/>
                <w:color w:val="auto"/>
              </w:rPr>
            </w:pPr>
          </w:p>
        </w:tc>
        <w:tc>
          <w:tcPr>
            <w:tcW w:w="1540" w:type="dxa"/>
            <w:vAlign w:val="bottom"/>
            <w:shd w:val="clear" w:color="auto" w:fill="E1E1DF"/>
          </w:tcPr>
          <w:p>
            <w:pPr>
              <w:spacing w:after="0"/>
              <w:rPr>
                <w:sz w:val="24"/>
                <w:szCs w:val="24"/>
                <w:color w:val="auto"/>
              </w:rPr>
            </w:pPr>
          </w:p>
        </w:tc>
      </w:tr>
      <w:tr>
        <w:trPr>
          <w:trHeight w:val="301"/>
        </w:trPr>
        <w:tc>
          <w:tcPr>
            <w:tcW w:w="1620" w:type="dxa"/>
            <w:vAlign w:val="bottom"/>
          </w:tcPr>
          <w:p>
            <w:pPr>
              <w:spacing w:after="0"/>
              <w:rPr>
                <w:sz w:val="24"/>
                <w:szCs w:val="24"/>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20"/>
                <w:szCs w:val="20"/>
                <w:b w:val="1"/>
                <w:bCs w:val="1"/>
                <w:color w:val="4B1F68"/>
              </w:rPr>
              <w:t>Maryann T. Mannen</w:t>
            </w:r>
          </w:p>
        </w:tc>
        <w:tc>
          <w:tcPr>
            <w:tcW w:w="4380" w:type="dxa"/>
            <w:vAlign w:val="bottom"/>
            <w:shd w:val="clear" w:color="auto" w:fill="F0F0F0"/>
          </w:tcPr>
          <w:p>
            <w:pPr>
              <w:spacing w:after="0"/>
              <w:rPr>
                <w:sz w:val="24"/>
                <w:szCs w:val="24"/>
                <w:color w:val="auto"/>
              </w:rPr>
            </w:pPr>
          </w:p>
        </w:tc>
        <w:tc>
          <w:tcPr>
            <w:tcW w:w="1540" w:type="dxa"/>
            <w:vAlign w:val="bottom"/>
            <w:shd w:val="clear" w:color="auto" w:fill="F0F0F0"/>
          </w:tcPr>
          <w:p>
            <w:pPr>
              <w:spacing w:after="0"/>
              <w:rPr>
                <w:sz w:val="24"/>
                <w:szCs w:val="24"/>
                <w:color w:val="auto"/>
              </w:rPr>
            </w:pPr>
          </w:p>
        </w:tc>
      </w:tr>
      <w:tr>
        <w:trPr>
          <w:trHeight w:val="273"/>
        </w:trPr>
        <w:tc>
          <w:tcPr>
            <w:tcW w:w="1620" w:type="dxa"/>
            <w:vAlign w:val="bottom"/>
          </w:tcPr>
          <w:p>
            <w:pPr>
              <w:spacing w:after="0"/>
              <w:rPr>
                <w:sz w:val="23"/>
                <w:szCs w:val="23"/>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b w:val="1"/>
                <w:bCs w:val="1"/>
                <w:color w:val="3B3C43"/>
              </w:rPr>
              <w:t>Age: 58</w:t>
            </w:r>
          </w:p>
        </w:tc>
        <w:tc>
          <w:tcPr>
            <w:tcW w:w="4380" w:type="dxa"/>
            <w:vAlign w:val="bottom"/>
            <w:shd w:val="clear" w:color="auto" w:fill="F0F0F0"/>
          </w:tcPr>
          <w:p>
            <w:pPr>
              <w:spacing w:after="0"/>
              <w:rPr>
                <w:sz w:val="23"/>
                <w:szCs w:val="23"/>
                <w:color w:val="auto"/>
              </w:rPr>
            </w:pPr>
          </w:p>
        </w:tc>
        <w:tc>
          <w:tcPr>
            <w:tcW w:w="1540" w:type="dxa"/>
            <w:vAlign w:val="bottom"/>
            <w:shd w:val="clear" w:color="auto" w:fill="F0F0F0"/>
          </w:tcPr>
          <w:p>
            <w:pPr>
              <w:spacing w:after="0"/>
              <w:rPr>
                <w:sz w:val="23"/>
                <w:szCs w:val="23"/>
                <w:color w:val="auto"/>
              </w:rPr>
            </w:pPr>
          </w:p>
        </w:tc>
      </w:tr>
      <w:tr>
        <w:trPr>
          <w:trHeight w:val="283"/>
        </w:trPr>
        <w:tc>
          <w:tcPr>
            <w:tcW w:w="1620" w:type="dxa"/>
            <w:vAlign w:val="bottom"/>
          </w:tcPr>
          <w:p>
            <w:pPr>
              <w:spacing w:after="0"/>
              <w:rPr>
                <w:sz w:val="24"/>
                <w:szCs w:val="24"/>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b w:val="1"/>
                <w:bCs w:val="1"/>
                <w:color w:val="3B3C43"/>
              </w:rPr>
              <w:t>Position Held in 2020:</w:t>
            </w:r>
          </w:p>
        </w:tc>
        <w:tc>
          <w:tcPr>
            <w:tcW w:w="4380" w:type="dxa"/>
            <w:vAlign w:val="bottom"/>
            <w:shd w:val="clear" w:color="auto" w:fill="F0F0F0"/>
          </w:tcPr>
          <w:p>
            <w:pPr>
              <w:spacing w:after="0"/>
              <w:rPr>
                <w:sz w:val="24"/>
                <w:szCs w:val="24"/>
                <w:color w:val="auto"/>
              </w:rPr>
            </w:pPr>
          </w:p>
        </w:tc>
        <w:tc>
          <w:tcPr>
            <w:tcW w:w="1540" w:type="dxa"/>
            <w:vAlign w:val="bottom"/>
            <w:shd w:val="clear" w:color="auto" w:fill="F0F0F0"/>
          </w:tcPr>
          <w:p>
            <w:pPr>
              <w:spacing w:after="0"/>
              <w:rPr>
                <w:sz w:val="24"/>
                <w:szCs w:val="24"/>
                <w:color w:val="auto"/>
              </w:rPr>
            </w:pPr>
          </w:p>
        </w:tc>
      </w:tr>
      <w:tr>
        <w:trPr>
          <w:trHeight w:val="251"/>
        </w:trPr>
        <w:tc>
          <w:tcPr>
            <w:tcW w:w="1620" w:type="dxa"/>
            <w:vAlign w:val="bottom"/>
          </w:tcPr>
          <w:p>
            <w:pPr>
              <w:spacing w:after="0"/>
              <w:rPr>
                <w:sz w:val="21"/>
                <w:szCs w:val="21"/>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color w:val="3B3C43"/>
              </w:rPr>
              <w:t>Executive Vice President and Chief</w:t>
            </w:r>
          </w:p>
        </w:tc>
        <w:tc>
          <w:tcPr>
            <w:tcW w:w="4380" w:type="dxa"/>
            <w:vAlign w:val="bottom"/>
            <w:shd w:val="clear" w:color="auto" w:fill="F0F0F0"/>
          </w:tcPr>
          <w:p>
            <w:pPr>
              <w:spacing w:after="0"/>
              <w:rPr>
                <w:sz w:val="21"/>
                <w:szCs w:val="21"/>
                <w:color w:val="auto"/>
              </w:rPr>
            </w:pPr>
          </w:p>
        </w:tc>
        <w:tc>
          <w:tcPr>
            <w:tcW w:w="1540" w:type="dxa"/>
            <w:vAlign w:val="bottom"/>
            <w:shd w:val="clear" w:color="auto" w:fill="F0F0F0"/>
          </w:tcPr>
          <w:p>
            <w:pPr>
              <w:spacing w:after="0"/>
              <w:rPr>
                <w:sz w:val="21"/>
                <w:szCs w:val="21"/>
                <w:color w:val="auto"/>
              </w:rPr>
            </w:pPr>
          </w:p>
        </w:tc>
      </w:tr>
      <w:tr>
        <w:trPr>
          <w:trHeight w:val="195"/>
        </w:trPr>
        <w:tc>
          <w:tcPr>
            <w:tcW w:w="1620" w:type="dxa"/>
            <w:vAlign w:val="bottom"/>
          </w:tcPr>
          <w:p>
            <w:pPr>
              <w:spacing w:after="0"/>
              <w:rPr>
                <w:sz w:val="16"/>
                <w:szCs w:val="16"/>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color w:val="3B3C43"/>
              </w:rPr>
              <w:t>Financial Officer</w:t>
            </w:r>
          </w:p>
        </w:tc>
        <w:tc>
          <w:tcPr>
            <w:tcW w:w="4380" w:type="dxa"/>
            <w:vAlign w:val="bottom"/>
            <w:shd w:val="clear" w:color="auto" w:fill="F0F0F0"/>
          </w:tcPr>
          <w:p>
            <w:pPr>
              <w:spacing w:after="0"/>
              <w:rPr>
                <w:sz w:val="16"/>
                <w:szCs w:val="16"/>
                <w:color w:val="auto"/>
              </w:rPr>
            </w:pPr>
          </w:p>
        </w:tc>
        <w:tc>
          <w:tcPr>
            <w:tcW w:w="1540" w:type="dxa"/>
            <w:vAlign w:val="bottom"/>
            <w:shd w:val="clear" w:color="auto" w:fill="F0F0F0"/>
          </w:tcPr>
          <w:p>
            <w:pPr>
              <w:spacing w:after="0"/>
              <w:rPr>
                <w:sz w:val="16"/>
                <w:szCs w:val="16"/>
                <w:color w:val="auto"/>
              </w:rPr>
            </w:pPr>
          </w:p>
        </w:tc>
      </w:tr>
      <w:tr>
        <w:trPr>
          <w:trHeight w:val="208"/>
        </w:trPr>
        <w:tc>
          <w:tcPr>
            <w:tcW w:w="1620" w:type="dxa"/>
            <w:vAlign w:val="bottom"/>
          </w:tcPr>
          <w:p>
            <w:pPr>
              <w:spacing w:after="0"/>
              <w:rPr>
                <w:sz w:val="18"/>
                <w:szCs w:val="18"/>
                <w:color w:val="auto"/>
              </w:rPr>
            </w:pPr>
          </w:p>
        </w:tc>
        <w:tc>
          <w:tcPr>
            <w:tcW w:w="3700" w:type="dxa"/>
            <w:vAlign w:val="bottom"/>
            <w:shd w:val="clear" w:color="auto" w:fill="F0F0F0"/>
          </w:tcPr>
          <w:p>
            <w:pPr>
              <w:spacing w:after="0"/>
              <w:rPr>
                <w:sz w:val="18"/>
                <w:szCs w:val="18"/>
                <w:color w:val="auto"/>
              </w:rPr>
            </w:pPr>
          </w:p>
        </w:tc>
        <w:tc>
          <w:tcPr>
            <w:tcW w:w="4380" w:type="dxa"/>
            <w:vAlign w:val="bottom"/>
            <w:shd w:val="clear" w:color="auto" w:fill="F0F0F0"/>
          </w:tcPr>
          <w:p>
            <w:pPr>
              <w:spacing w:after="0"/>
              <w:rPr>
                <w:sz w:val="18"/>
                <w:szCs w:val="18"/>
                <w:color w:val="auto"/>
              </w:rPr>
            </w:pPr>
          </w:p>
        </w:tc>
        <w:tc>
          <w:tcPr>
            <w:tcW w:w="1540" w:type="dxa"/>
            <w:vAlign w:val="bottom"/>
            <w:shd w:val="clear" w:color="auto" w:fill="F0F0F0"/>
          </w:tcPr>
          <w:p>
            <w:pPr>
              <w:spacing w:after="0"/>
              <w:rPr>
                <w:sz w:val="18"/>
                <w:szCs w:val="18"/>
                <w:color w:val="auto"/>
              </w:rPr>
            </w:pPr>
          </w:p>
        </w:tc>
      </w:tr>
      <w:tr>
        <w:trPr>
          <w:trHeight w:val="301"/>
        </w:trPr>
        <w:tc>
          <w:tcPr>
            <w:tcW w:w="1620" w:type="dxa"/>
            <w:vAlign w:val="bottom"/>
          </w:tcPr>
          <w:p>
            <w:pPr>
              <w:spacing w:after="0"/>
              <w:rPr>
                <w:sz w:val="24"/>
                <w:szCs w:val="24"/>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20"/>
                <w:szCs w:val="20"/>
                <w:b w:val="1"/>
                <w:bCs w:val="1"/>
                <w:color w:val="4B1F68"/>
              </w:rPr>
              <w:t>Justin Rounce</w:t>
            </w:r>
          </w:p>
        </w:tc>
        <w:tc>
          <w:tcPr>
            <w:tcW w:w="4380" w:type="dxa"/>
            <w:vAlign w:val="bottom"/>
            <w:shd w:val="clear" w:color="auto" w:fill="E1E2E0"/>
          </w:tcPr>
          <w:p>
            <w:pPr>
              <w:spacing w:after="0"/>
              <w:rPr>
                <w:sz w:val="24"/>
                <w:szCs w:val="24"/>
                <w:color w:val="auto"/>
              </w:rPr>
            </w:pPr>
          </w:p>
        </w:tc>
        <w:tc>
          <w:tcPr>
            <w:tcW w:w="1540" w:type="dxa"/>
            <w:vAlign w:val="bottom"/>
            <w:shd w:val="clear" w:color="auto" w:fill="E1E1DF"/>
          </w:tcPr>
          <w:p>
            <w:pPr>
              <w:spacing w:after="0"/>
              <w:rPr>
                <w:sz w:val="24"/>
                <w:szCs w:val="24"/>
                <w:color w:val="auto"/>
              </w:rPr>
            </w:pPr>
          </w:p>
        </w:tc>
      </w:tr>
      <w:tr>
        <w:trPr>
          <w:trHeight w:val="273"/>
        </w:trPr>
        <w:tc>
          <w:tcPr>
            <w:tcW w:w="1620" w:type="dxa"/>
            <w:vAlign w:val="bottom"/>
          </w:tcPr>
          <w:p>
            <w:pPr>
              <w:spacing w:after="0"/>
              <w:rPr>
                <w:sz w:val="23"/>
                <w:szCs w:val="23"/>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b w:val="1"/>
                <w:bCs w:val="1"/>
                <w:color w:val="3B3C43"/>
              </w:rPr>
              <w:t>Age: 54</w:t>
            </w:r>
          </w:p>
        </w:tc>
        <w:tc>
          <w:tcPr>
            <w:tcW w:w="4380" w:type="dxa"/>
            <w:vAlign w:val="bottom"/>
            <w:shd w:val="clear" w:color="auto" w:fill="E1E2E0"/>
          </w:tcPr>
          <w:p>
            <w:pPr>
              <w:spacing w:after="0"/>
              <w:rPr>
                <w:sz w:val="23"/>
                <w:szCs w:val="23"/>
                <w:color w:val="auto"/>
              </w:rPr>
            </w:pPr>
          </w:p>
        </w:tc>
        <w:tc>
          <w:tcPr>
            <w:tcW w:w="1540" w:type="dxa"/>
            <w:vAlign w:val="bottom"/>
            <w:shd w:val="clear" w:color="auto" w:fill="E1E1DF"/>
          </w:tcPr>
          <w:p>
            <w:pPr>
              <w:spacing w:after="0"/>
              <w:rPr>
                <w:sz w:val="23"/>
                <w:szCs w:val="23"/>
                <w:color w:val="auto"/>
              </w:rPr>
            </w:pPr>
          </w:p>
        </w:tc>
      </w:tr>
      <w:tr>
        <w:trPr>
          <w:trHeight w:val="283"/>
        </w:trPr>
        <w:tc>
          <w:tcPr>
            <w:tcW w:w="1620" w:type="dxa"/>
            <w:vAlign w:val="bottom"/>
          </w:tcPr>
          <w:p>
            <w:pPr>
              <w:spacing w:after="0"/>
              <w:rPr>
                <w:sz w:val="24"/>
                <w:szCs w:val="24"/>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b w:val="1"/>
                <w:bCs w:val="1"/>
                <w:color w:val="3B3C43"/>
              </w:rPr>
              <w:t>Position Held in 2020:</w:t>
            </w:r>
          </w:p>
        </w:tc>
        <w:tc>
          <w:tcPr>
            <w:tcW w:w="4380" w:type="dxa"/>
            <w:vAlign w:val="bottom"/>
            <w:shd w:val="clear" w:color="auto" w:fill="E1E2E0"/>
          </w:tcPr>
          <w:p>
            <w:pPr>
              <w:spacing w:after="0"/>
              <w:rPr>
                <w:sz w:val="24"/>
                <w:szCs w:val="24"/>
                <w:color w:val="auto"/>
              </w:rPr>
            </w:pPr>
          </w:p>
        </w:tc>
        <w:tc>
          <w:tcPr>
            <w:tcW w:w="1540" w:type="dxa"/>
            <w:vAlign w:val="bottom"/>
            <w:shd w:val="clear" w:color="auto" w:fill="E1E1DF"/>
          </w:tcPr>
          <w:p>
            <w:pPr>
              <w:spacing w:after="0"/>
              <w:rPr>
                <w:sz w:val="24"/>
                <w:szCs w:val="24"/>
                <w:color w:val="auto"/>
              </w:rPr>
            </w:pPr>
          </w:p>
        </w:tc>
      </w:tr>
      <w:tr>
        <w:trPr>
          <w:trHeight w:val="251"/>
        </w:trPr>
        <w:tc>
          <w:tcPr>
            <w:tcW w:w="1620" w:type="dxa"/>
            <w:vAlign w:val="bottom"/>
          </w:tcPr>
          <w:p>
            <w:pPr>
              <w:spacing w:after="0"/>
              <w:rPr>
                <w:sz w:val="21"/>
                <w:szCs w:val="21"/>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color w:val="3B3C43"/>
              </w:rPr>
              <w:t>Executive Vice President and Chief</w:t>
            </w:r>
          </w:p>
        </w:tc>
        <w:tc>
          <w:tcPr>
            <w:tcW w:w="4380" w:type="dxa"/>
            <w:vAlign w:val="bottom"/>
            <w:shd w:val="clear" w:color="auto" w:fill="E1E2E0"/>
          </w:tcPr>
          <w:p>
            <w:pPr>
              <w:spacing w:after="0"/>
              <w:rPr>
                <w:sz w:val="21"/>
                <w:szCs w:val="21"/>
                <w:color w:val="auto"/>
              </w:rPr>
            </w:pPr>
          </w:p>
        </w:tc>
        <w:tc>
          <w:tcPr>
            <w:tcW w:w="1540" w:type="dxa"/>
            <w:vAlign w:val="bottom"/>
            <w:shd w:val="clear" w:color="auto" w:fill="E1E1DF"/>
          </w:tcPr>
          <w:p>
            <w:pPr>
              <w:spacing w:after="0"/>
              <w:rPr>
                <w:sz w:val="21"/>
                <w:szCs w:val="21"/>
                <w:color w:val="auto"/>
              </w:rPr>
            </w:pPr>
          </w:p>
        </w:tc>
      </w:tr>
      <w:tr>
        <w:trPr>
          <w:trHeight w:val="195"/>
        </w:trPr>
        <w:tc>
          <w:tcPr>
            <w:tcW w:w="1620" w:type="dxa"/>
            <w:vAlign w:val="bottom"/>
          </w:tcPr>
          <w:p>
            <w:pPr>
              <w:spacing w:after="0"/>
              <w:rPr>
                <w:sz w:val="16"/>
                <w:szCs w:val="16"/>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color w:val="3B3C43"/>
              </w:rPr>
              <w:t>Technology Officer</w:t>
            </w:r>
          </w:p>
        </w:tc>
        <w:tc>
          <w:tcPr>
            <w:tcW w:w="4380" w:type="dxa"/>
            <w:vAlign w:val="bottom"/>
            <w:shd w:val="clear" w:color="auto" w:fill="E1E2E0"/>
          </w:tcPr>
          <w:p>
            <w:pPr>
              <w:spacing w:after="0"/>
              <w:rPr>
                <w:sz w:val="16"/>
                <w:szCs w:val="16"/>
                <w:color w:val="auto"/>
              </w:rPr>
            </w:pPr>
          </w:p>
        </w:tc>
        <w:tc>
          <w:tcPr>
            <w:tcW w:w="1540" w:type="dxa"/>
            <w:vAlign w:val="bottom"/>
            <w:shd w:val="clear" w:color="auto" w:fill="E1E1DF"/>
          </w:tcPr>
          <w:p>
            <w:pPr>
              <w:spacing w:after="0"/>
              <w:rPr>
                <w:sz w:val="16"/>
                <w:szCs w:val="16"/>
                <w:color w:val="auto"/>
              </w:rPr>
            </w:pPr>
          </w:p>
        </w:tc>
      </w:tr>
      <w:tr>
        <w:trPr>
          <w:trHeight w:val="195"/>
        </w:trPr>
        <w:tc>
          <w:tcPr>
            <w:tcW w:w="1620" w:type="dxa"/>
            <w:vAlign w:val="bottom"/>
          </w:tcPr>
          <w:p>
            <w:pPr>
              <w:spacing w:after="0"/>
              <w:rPr>
                <w:sz w:val="16"/>
                <w:szCs w:val="16"/>
                <w:color w:val="auto"/>
              </w:rPr>
            </w:pPr>
          </w:p>
        </w:tc>
        <w:tc>
          <w:tcPr>
            <w:tcW w:w="3700" w:type="dxa"/>
            <w:vAlign w:val="bottom"/>
            <w:shd w:val="clear" w:color="auto" w:fill="E1E2E0"/>
          </w:tcPr>
          <w:p>
            <w:pPr>
              <w:spacing w:after="0"/>
              <w:rPr>
                <w:sz w:val="16"/>
                <w:szCs w:val="16"/>
                <w:color w:val="auto"/>
              </w:rPr>
            </w:pPr>
          </w:p>
        </w:tc>
        <w:tc>
          <w:tcPr>
            <w:tcW w:w="4380" w:type="dxa"/>
            <w:vAlign w:val="bottom"/>
            <w:shd w:val="clear" w:color="auto" w:fill="E1E2E0"/>
          </w:tcPr>
          <w:p>
            <w:pPr>
              <w:spacing w:after="0"/>
              <w:rPr>
                <w:sz w:val="16"/>
                <w:szCs w:val="16"/>
                <w:color w:val="auto"/>
              </w:rPr>
            </w:pPr>
          </w:p>
        </w:tc>
        <w:tc>
          <w:tcPr>
            <w:tcW w:w="1540" w:type="dxa"/>
            <w:vAlign w:val="bottom"/>
            <w:shd w:val="clear" w:color="auto" w:fill="E1E1DF"/>
          </w:tcPr>
          <w:p>
            <w:pPr>
              <w:spacing w:after="0"/>
              <w:rPr>
                <w:sz w:val="16"/>
                <w:szCs w:val="16"/>
                <w:color w:val="auto"/>
              </w:rPr>
            </w:pPr>
          </w:p>
        </w:tc>
      </w:tr>
      <w:tr>
        <w:trPr>
          <w:trHeight w:val="301"/>
        </w:trPr>
        <w:tc>
          <w:tcPr>
            <w:tcW w:w="1620" w:type="dxa"/>
            <w:vAlign w:val="bottom"/>
          </w:tcPr>
          <w:p>
            <w:pPr>
              <w:spacing w:after="0"/>
              <w:rPr>
                <w:sz w:val="24"/>
                <w:szCs w:val="24"/>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20"/>
                <w:szCs w:val="20"/>
                <w:b w:val="1"/>
                <w:bCs w:val="1"/>
                <w:color w:val="4B1F68"/>
              </w:rPr>
              <w:t>Arnaud Pieton</w:t>
            </w:r>
          </w:p>
        </w:tc>
        <w:tc>
          <w:tcPr>
            <w:tcW w:w="4380" w:type="dxa"/>
            <w:vAlign w:val="bottom"/>
            <w:shd w:val="clear" w:color="auto" w:fill="F0F0F0"/>
          </w:tcPr>
          <w:p>
            <w:pPr>
              <w:spacing w:after="0"/>
              <w:rPr>
                <w:sz w:val="24"/>
                <w:szCs w:val="24"/>
                <w:color w:val="auto"/>
              </w:rPr>
            </w:pPr>
          </w:p>
        </w:tc>
        <w:tc>
          <w:tcPr>
            <w:tcW w:w="1540" w:type="dxa"/>
            <w:vAlign w:val="bottom"/>
            <w:shd w:val="clear" w:color="auto" w:fill="F0F0F0"/>
          </w:tcPr>
          <w:p>
            <w:pPr>
              <w:spacing w:after="0"/>
              <w:rPr>
                <w:sz w:val="24"/>
                <w:szCs w:val="24"/>
                <w:color w:val="auto"/>
              </w:rPr>
            </w:pPr>
          </w:p>
        </w:tc>
      </w:tr>
      <w:tr>
        <w:trPr>
          <w:trHeight w:val="273"/>
        </w:trPr>
        <w:tc>
          <w:tcPr>
            <w:tcW w:w="1620" w:type="dxa"/>
            <w:vAlign w:val="bottom"/>
          </w:tcPr>
          <w:p>
            <w:pPr>
              <w:spacing w:after="0"/>
              <w:rPr>
                <w:sz w:val="23"/>
                <w:szCs w:val="23"/>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b w:val="1"/>
                <w:bCs w:val="1"/>
                <w:color w:val="3B3C43"/>
              </w:rPr>
              <w:t>Age: 47</w:t>
            </w:r>
          </w:p>
        </w:tc>
        <w:tc>
          <w:tcPr>
            <w:tcW w:w="4380" w:type="dxa"/>
            <w:vAlign w:val="bottom"/>
            <w:shd w:val="clear" w:color="auto" w:fill="F0F0F0"/>
          </w:tcPr>
          <w:p>
            <w:pPr>
              <w:spacing w:after="0"/>
              <w:rPr>
                <w:sz w:val="23"/>
                <w:szCs w:val="23"/>
                <w:color w:val="auto"/>
              </w:rPr>
            </w:pPr>
          </w:p>
        </w:tc>
        <w:tc>
          <w:tcPr>
            <w:tcW w:w="1540" w:type="dxa"/>
            <w:vAlign w:val="bottom"/>
            <w:shd w:val="clear" w:color="auto" w:fill="F0F0F0"/>
          </w:tcPr>
          <w:p>
            <w:pPr>
              <w:spacing w:after="0"/>
              <w:rPr>
                <w:sz w:val="23"/>
                <w:szCs w:val="23"/>
                <w:color w:val="auto"/>
              </w:rPr>
            </w:pPr>
          </w:p>
        </w:tc>
      </w:tr>
      <w:tr>
        <w:trPr>
          <w:trHeight w:val="283"/>
        </w:trPr>
        <w:tc>
          <w:tcPr>
            <w:tcW w:w="1620" w:type="dxa"/>
            <w:vAlign w:val="bottom"/>
          </w:tcPr>
          <w:p>
            <w:pPr>
              <w:spacing w:after="0"/>
              <w:rPr>
                <w:sz w:val="24"/>
                <w:szCs w:val="24"/>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b w:val="1"/>
                <w:bCs w:val="1"/>
                <w:color w:val="3B3C43"/>
              </w:rPr>
              <w:t>Positions Held in 2020:</w:t>
            </w:r>
          </w:p>
        </w:tc>
        <w:tc>
          <w:tcPr>
            <w:tcW w:w="4380" w:type="dxa"/>
            <w:vAlign w:val="bottom"/>
            <w:shd w:val="clear" w:color="auto" w:fill="F0F0F0"/>
          </w:tcPr>
          <w:p>
            <w:pPr>
              <w:spacing w:after="0"/>
              <w:rPr>
                <w:sz w:val="24"/>
                <w:szCs w:val="24"/>
                <w:color w:val="auto"/>
              </w:rPr>
            </w:pPr>
          </w:p>
        </w:tc>
        <w:tc>
          <w:tcPr>
            <w:tcW w:w="1540" w:type="dxa"/>
            <w:vAlign w:val="bottom"/>
            <w:shd w:val="clear" w:color="auto" w:fill="F0F0F0"/>
          </w:tcPr>
          <w:p>
            <w:pPr>
              <w:spacing w:after="0"/>
              <w:rPr>
                <w:sz w:val="24"/>
                <w:szCs w:val="24"/>
                <w:color w:val="auto"/>
              </w:rPr>
            </w:pPr>
          </w:p>
        </w:tc>
      </w:tr>
      <w:tr>
        <w:trPr>
          <w:trHeight w:val="237"/>
        </w:trPr>
        <w:tc>
          <w:tcPr>
            <w:tcW w:w="1620" w:type="dxa"/>
            <w:vAlign w:val="bottom"/>
          </w:tcPr>
          <w:p>
            <w:pPr>
              <w:spacing w:after="0"/>
              <w:rPr>
                <w:sz w:val="20"/>
                <w:szCs w:val="20"/>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color w:val="3B3C43"/>
              </w:rPr>
              <w:t>President of Subsea from</w:t>
            </w:r>
          </w:p>
        </w:tc>
        <w:tc>
          <w:tcPr>
            <w:tcW w:w="4380" w:type="dxa"/>
            <w:vAlign w:val="bottom"/>
            <w:shd w:val="clear" w:color="auto" w:fill="F0F0F0"/>
          </w:tcPr>
          <w:p>
            <w:pPr>
              <w:ind w:left="400"/>
              <w:spacing w:after="0"/>
              <w:rPr>
                <w:sz w:val="20"/>
                <w:szCs w:val="20"/>
                <w:color w:val="auto"/>
              </w:rPr>
            </w:pPr>
            <w:r>
              <w:rPr>
                <w:rFonts w:ascii="Arial" w:cs="Arial" w:eastAsia="Arial" w:hAnsi="Arial"/>
                <w:sz w:val="16"/>
                <w:szCs w:val="16"/>
                <w:color w:val="3B3C43"/>
              </w:rPr>
              <w:t>President and CEO-elect of Technip Energies from</w:t>
            </w:r>
          </w:p>
        </w:tc>
        <w:tc>
          <w:tcPr>
            <w:tcW w:w="1540" w:type="dxa"/>
            <w:vAlign w:val="bottom"/>
            <w:shd w:val="clear" w:color="auto" w:fill="F0F0F0"/>
          </w:tcPr>
          <w:p>
            <w:pPr>
              <w:spacing w:after="0"/>
              <w:rPr>
                <w:sz w:val="20"/>
                <w:szCs w:val="20"/>
                <w:color w:val="auto"/>
              </w:rPr>
            </w:pPr>
          </w:p>
        </w:tc>
      </w:tr>
      <w:tr>
        <w:trPr>
          <w:trHeight w:val="208"/>
        </w:trPr>
        <w:tc>
          <w:tcPr>
            <w:tcW w:w="1620" w:type="dxa"/>
            <w:vAlign w:val="bottom"/>
          </w:tcPr>
          <w:p>
            <w:pPr>
              <w:spacing w:after="0"/>
              <w:rPr>
                <w:sz w:val="18"/>
                <w:szCs w:val="18"/>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color w:val="3B3C43"/>
              </w:rPr>
              <w:t>January 1 through October 2, 2020</w:t>
            </w:r>
          </w:p>
        </w:tc>
        <w:tc>
          <w:tcPr>
            <w:tcW w:w="4380" w:type="dxa"/>
            <w:vAlign w:val="bottom"/>
            <w:shd w:val="clear" w:color="auto" w:fill="F0F0F0"/>
          </w:tcPr>
          <w:p>
            <w:pPr>
              <w:ind w:left="400"/>
              <w:spacing w:after="0"/>
              <w:rPr>
                <w:sz w:val="20"/>
                <w:szCs w:val="20"/>
                <w:color w:val="auto"/>
              </w:rPr>
            </w:pPr>
            <w:r>
              <w:rPr>
                <w:rFonts w:ascii="Arial" w:cs="Arial" w:eastAsia="Arial" w:hAnsi="Arial"/>
                <w:sz w:val="16"/>
                <w:szCs w:val="16"/>
                <w:color w:val="3B3C43"/>
              </w:rPr>
              <w:t>October 2, 2020 through December 31, 2020</w:t>
            </w:r>
          </w:p>
        </w:tc>
        <w:tc>
          <w:tcPr>
            <w:tcW w:w="1540" w:type="dxa"/>
            <w:vAlign w:val="bottom"/>
            <w:shd w:val="clear" w:color="auto" w:fill="F0F0F0"/>
          </w:tcPr>
          <w:p>
            <w:pPr>
              <w:spacing w:after="0"/>
              <w:rPr>
                <w:sz w:val="18"/>
                <w:szCs w:val="18"/>
                <w:color w:val="auto"/>
              </w:rPr>
            </w:pPr>
          </w:p>
        </w:tc>
      </w:tr>
      <w:tr>
        <w:trPr>
          <w:trHeight w:val="249"/>
        </w:trPr>
        <w:tc>
          <w:tcPr>
            <w:tcW w:w="1620" w:type="dxa"/>
            <w:vAlign w:val="bottom"/>
          </w:tcPr>
          <w:p>
            <w:pPr>
              <w:spacing w:after="0"/>
              <w:rPr>
                <w:sz w:val="21"/>
                <w:szCs w:val="21"/>
                <w:color w:val="auto"/>
              </w:rPr>
            </w:pPr>
          </w:p>
        </w:tc>
        <w:tc>
          <w:tcPr>
            <w:tcW w:w="3700" w:type="dxa"/>
            <w:vAlign w:val="bottom"/>
            <w:shd w:val="clear" w:color="auto" w:fill="F0F0F0"/>
          </w:tcPr>
          <w:p>
            <w:pPr>
              <w:spacing w:after="0"/>
              <w:rPr>
                <w:sz w:val="21"/>
                <w:szCs w:val="21"/>
                <w:color w:val="auto"/>
              </w:rPr>
            </w:pPr>
          </w:p>
        </w:tc>
        <w:tc>
          <w:tcPr>
            <w:tcW w:w="4380" w:type="dxa"/>
            <w:vAlign w:val="bottom"/>
            <w:shd w:val="clear" w:color="auto" w:fill="F0F0F0"/>
          </w:tcPr>
          <w:p>
            <w:pPr>
              <w:spacing w:after="0"/>
              <w:rPr>
                <w:sz w:val="21"/>
                <w:szCs w:val="21"/>
                <w:color w:val="auto"/>
              </w:rPr>
            </w:pPr>
          </w:p>
        </w:tc>
        <w:tc>
          <w:tcPr>
            <w:tcW w:w="1540" w:type="dxa"/>
            <w:vAlign w:val="bottom"/>
            <w:shd w:val="clear" w:color="auto" w:fill="F0F0F0"/>
          </w:tcPr>
          <w:p>
            <w:pPr>
              <w:spacing w:after="0"/>
              <w:rPr>
                <w:sz w:val="21"/>
                <w:szCs w:val="21"/>
                <w:color w:val="auto"/>
              </w:rPr>
            </w:pPr>
          </w:p>
        </w:tc>
      </w:tr>
      <w:tr>
        <w:trPr>
          <w:trHeight w:val="301"/>
        </w:trPr>
        <w:tc>
          <w:tcPr>
            <w:tcW w:w="1620" w:type="dxa"/>
            <w:vAlign w:val="bottom"/>
          </w:tcPr>
          <w:p>
            <w:pPr>
              <w:spacing w:after="0"/>
              <w:rPr>
                <w:sz w:val="24"/>
                <w:szCs w:val="24"/>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20"/>
                <w:szCs w:val="20"/>
                <w:b w:val="1"/>
                <w:bCs w:val="1"/>
                <w:color w:val="4B1F68"/>
              </w:rPr>
              <w:t>Barry Glickman</w:t>
            </w:r>
          </w:p>
        </w:tc>
        <w:tc>
          <w:tcPr>
            <w:tcW w:w="4380" w:type="dxa"/>
            <w:vAlign w:val="bottom"/>
            <w:shd w:val="clear" w:color="auto" w:fill="E1E2E0"/>
          </w:tcPr>
          <w:p>
            <w:pPr>
              <w:spacing w:after="0"/>
              <w:rPr>
                <w:sz w:val="24"/>
                <w:szCs w:val="24"/>
                <w:color w:val="auto"/>
              </w:rPr>
            </w:pPr>
          </w:p>
        </w:tc>
        <w:tc>
          <w:tcPr>
            <w:tcW w:w="1540" w:type="dxa"/>
            <w:vAlign w:val="bottom"/>
            <w:shd w:val="clear" w:color="auto" w:fill="E1E1DF"/>
          </w:tcPr>
          <w:p>
            <w:pPr>
              <w:spacing w:after="0"/>
              <w:rPr>
                <w:sz w:val="24"/>
                <w:szCs w:val="24"/>
                <w:color w:val="auto"/>
              </w:rPr>
            </w:pPr>
          </w:p>
        </w:tc>
      </w:tr>
      <w:tr>
        <w:trPr>
          <w:trHeight w:val="273"/>
        </w:trPr>
        <w:tc>
          <w:tcPr>
            <w:tcW w:w="1620" w:type="dxa"/>
            <w:vAlign w:val="bottom"/>
          </w:tcPr>
          <w:p>
            <w:pPr>
              <w:spacing w:after="0"/>
              <w:rPr>
                <w:sz w:val="23"/>
                <w:szCs w:val="23"/>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b w:val="1"/>
                <w:bCs w:val="1"/>
                <w:color w:val="3B3C43"/>
              </w:rPr>
              <w:t>Age: 52</w:t>
            </w:r>
          </w:p>
        </w:tc>
        <w:tc>
          <w:tcPr>
            <w:tcW w:w="4380" w:type="dxa"/>
            <w:vAlign w:val="bottom"/>
            <w:shd w:val="clear" w:color="auto" w:fill="E1E2E0"/>
          </w:tcPr>
          <w:p>
            <w:pPr>
              <w:spacing w:after="0"/>
              <w:rPr>
                <w:sz w:val="23"/>
                <w:szCs w:val="23"/>
                <w:color w:val="auto"/>
              </w:rPr>
            </w:pPr>
          </w:p>
        </w:tc>
        <w:tc>
          <w:tcPr>
            <w:tcW w:w="1540" w:type="dxa"/>
            <w:vAlign w:val="bottom"/>
            <w:shd w:val="clear" w:color="auto" w:fill="E1E1DF"/>
          </w:tcPr>
          <w:p>
            <w:pPr>
              <w:spacing w:after="0"/>
              <w:rPr>
                <w:sz w:val="23"/>
                <w:szCs w:val="23"/>
                <w:color w:val="auto"/>
              </w:rPr>
            </w:pPr>
          </w:p>
        </w:tc>
      </w:tr>
      <w:tr>
        <w:trPr>
          <w:trHeight w:val="284"/>
        </w:trPr>
        <w:tc>
          <w:tcPr>
            <w:tcW w:w="1620" w:type="dxa"/>
            <w:vAlign w:val="bottom"/>
          </w:tcPr>
          <w:p>
            <w:pPr>
              <w:spacing w:after="0"/>
              <w:rPr>
                <w:sz w:val="24"/>
                <w:szCs w:val="24"/>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b w:val="1"/>
                <w:bCs w:val="1"/>
                <w:color w:val="3B3C43"/>
              </w:rPr>
              <w:t>Position Held in 2020:</w:t>
            </w:r>
          </w:p>
        </w:tc>
        <w:tc>
          <w:tcPr>
            <w:tcW w:w="4380" w:type="dxa"/>
            <w:vAlign w:val="bottom"/>
            <w:shd w:val="clear" w:color="auto" w:fill="E1E2E0"/>
          </w:tcPr>
          <w:p>
            <w:pPr>
              <w:spacing w:after="0"/>
              <w:rPr>
                <w:sz w:val="24"/>
                <w:szCs w:val="24"/>
                <w:color w:val="auto"/>
              </w:rPr>
            </w:pPr>
          </w:p>
        </w:tc>
        <w:tc>
          <w:tcPr>
            <w:tcW w:w="1540" w:type="dxa"/>
            <w:vAlign w:val="bottom"/>
            <w:shd w:val="clear" w:color="auto" w:fill="E1E1DF"/>
          </w:tcPr>
          <w:p>
            <w:pPr>
              <w:spacing w:after="0"/>
              <w:rPr>
                <w:sz w:val="24"/>
                <w:szCs w:val="24"/>
                <w:color w:val="auto"/>
              </w:rPr>
            </w:pPr>
          </w:p>
        </w:tc>
      </w:tr>
      <w:tr>
        <w:trPr>
          <w:trHeight w:val="256"/>
        </w:trPr>
        <w:tc>
          <w:tcPr>
            <w:tcW w:w="1620" w:type="dxa"/>
            <w:vAlign w:val="bottom"/>
          </w:tcPr>
          <w:p>
            <w:pPr>
              <w:spacing w:after="0"/>
              <w:rPr>
                <w:sz w:val="22"/>
                <w:szCs w:val="22"/>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color w:val="3B3C43"/>
              </w:rPr>
              <w:t>President of Surface</w:t>
            </w:r>
          </w:p>
        </w:tc>
        <w:tc>
          <w:tcPr>
            <w:tcW w:w="4380" w:type="dxa"/>
            <w:vAlign w:val="bottom"/>
            <w:shd w:val="clear" w:color="auto" w:fill="E1E2E0"/>
          </w:tcPr>
          <w:p>
            <w:pPr>
              <w:spacing w:after="0"/>
              <w:rPr>
                <w:sz w:val="22"/>
                <w:szCs w:val="22"/>
                <w:color w:val="auto"/>
              </w:rPr>
            </w:pPr>
          </w:p>
        </w:tc>
        <w:tc>
          <w:tcPr>
            <w:tcW w:w="1540" w:type="dxa"/>
            <w:vAlign w:val="bottom"/>
            <w:shd w:val="clear" w:color="auto" w:fill="E1E1DF"/>
          </w:tcPr>
          <w:p>
            <w:pPr>
              <w:spacing w:after="0"/>
              <w:rPr>
                <w:sz w:val="22"/>
                <w:szCs w:val="22"/>
                <w:color w:val="auto"/>
              </w:rPr>
            </w:pPr>
          </w:p>
        </w:tc>
      </w:tr>
      <w:tr>
        <w:trPr>
          <w:trHeight w:val="398"/>
        </w:trPr>
        <w:tc>
          <w:tcPr>
            <w:tcW w:w="1620" w:type="dxa"/>
            <w:vAlign w:val="bottom"/>
          </w:tcPr>
          <w:p>
            <w:pPr>
              <w:spacing w:after="0"/>
              <w:rPr>
                <w:sz w:val="24"/>
                <w:szCs w:val="24"/>
                <w:color w:val="auto"/>
              </w:rPr>
            </w:pPr>
          </w:p>
        </w:tc>
        <w:tc>
          <w:tcPr>
            <w:tcW w:w="3700" w:type="dxa"/>
            <w:vAlign w:val="bottom"/>
            <w:shd w:val="clear" w:color="auto" w:fill="E1E2E0"/>
          </w:tcPr>
          <w:p>
            <w:pPr>
              <w:spacing w:after="0"/>
              <w:rPr>
                <w:sz w:val="24"/>
                <w:szCs w:val="24"/>
                <w:color w:val="auto"/>
              </w:rPr>
            </w:pPr>
          </w:p>
        </w:tc>
        <w:tc>
          <w:tcPr>
            <w:tcW w:w="4380" w:type="dxa"/>
            <w:vAlign w:val="bottom"/>
            <w:shd w:val="clear" w:color="auto" w:fill="E1E2E0"/>
          </w:tcPr>
          <w:p>
            <w:pPr>
              <w:spacing w:after="0"/>
              <w:rPr>
                <w:sz w:val="24"/>
                <w:szCs w:val="24"/>
                <w:color w:val="auto"/>
              </w:rPr>
            </w:pPr>
          </w:p>
        </w:tc>
        <w:tc>
          <w:tcPr>
            <w:tcW w:w="1540" w:type="dxa"/>
            <w:vAlign w:val="bottom"/>
            <w:shd w:val="clear" w:color="auto" w:fill="E1E1DF"/>
          </w:tcPr>
          <w:p>
            <w:pPr>
              <w:spacing w:after="0"/>
              <w:rPr>
                <w:sz w:val="24"/>
                <w:szCs w:val="24"/>
                <w:color w:val="auto"/>
              </w:rPr>
            </w:pPr>
          </w:p>
        </w:tc>
      </w:tr>
      <w:tr>
        <w:trPr>
          <w:trHeight w:val="301"/>
        </w:trPr>
        <w:tc>
          <w:tcPr>
            <w:tcW w:w="1620" w:type="dxa"/>
            <w:vAlign w:val="bottom"/>
          </w:tcPr>
          <w:p>
            <w:pPr>
              <w:spacing w:after="0"/>
              <w:rPr>
                <w:sz w:val="24"/>
                <w:szCs w:val="24"/>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20"/>
                <w:szCs w:val="20"/>
                <w:b w:val="1"/>
                <w:bCs w:val="1"/>
                <w:color w:val="4B1F68"/>
              </w:rPr>
              <w:t>Catherine MacGregor</w:t>
            </w:r>
          </w:p>
        </w:tc>
        <w:tc>
          <w:tcPr>
            <w:tcW w:w="4380" w:type="dxa"/>
            <w:vAlign w:val="bottom"/>
            <w:shd w:val="clear" w:color="auto" w:fill="F0F0F0"/>
          </w:tcPr>
          <w:p>
            <w:pPr>
              <w:spacing w:after="0"/>
              <w:rPr>
                <w:sz w:val="24"/>
                <w:szCs w:val="24"/>
                <w:color w:val="auto"/>
              </w:rPr>
            </w:pPr>
          </w:p>
        </w:tc>
        <w:tc>
          <w:tcPr>
            <w:tcW w:w="1540" w:type="dxa"/>
            <w:vAlign w:val="bottom"/>
            <w:shd w:val="clear" w:color="auto" w:fill="F0F0F0"/>
          </w:tcPr>
          <w:p>
            <w:pPr>
              <w:spacing w:after="0"/>
              <w:rPr>
                <w:sz w:val="24"/>
                <w:szCs w:val="24"/>
                <w:color w:val="auto"/>
              </w:rPr>
            </w:pPr>
          </w:p>
        </w:tc>
      </w:tr>
      <w:tr>
        <w:trPr>
          <w:trHeight w:val="273"/>
        </w:trPr>
        <w:tc>
          <w:tcPr>
            <w:tcW w:w="1620" w:type="dxa"/>
            <w:vAlign w:val="bottom"/>
          </w:tcPr>
          <w:p>
            <w:pPr>
              <w:spacing w:after="0"/>
              <w:rPr>
                <w:sz w:val="23"/>
                <w:szCs w:val="23"/>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b w:val="1"/>
                <w:bCs w:val="1"/>
                <w:color w:val="3B3C43"/>
              </w:rPr>
              <w:t>Age: 48</w:t>
            </w:r>
          </w:p>
        </w:tc>
        <w:tc>
          <w:tcPr>
            <w:tcW w:w="4380" w:type="dxa"/>
            <w:vAlign w:val="bottom"/>
            <w:shd w:val="clear" w:color="auto" w:fill="F0F0F0"/>
          </w:tcPr>
          <w:p>
            <w:pPr>
              <w:spacing w:after="0"/>
              <w:rPr>
                <w:sz w:val="23"/>
                <w:szCs w:val="23"/>
                <w:color w:val="auto"/>
              </w:rPr>
            </w:pPr>
          </w:p>
        </w:tc>
        <w:tc>
          <w:tcPr>
            <w:tcW w:w="1540" w:type="dxa"/>
            <w:vAlign w:val="bottom"/>
            <w:shd w:val="clear" w:color="auto" w:fill="F0F0F0"/>
          </w:tcPr>
          <w:p>
            <w:pPr>
              <w:spacing w:after="0"/>
              <w:rPr>
                <w:sz w:val="23"/>
                <w:szCs w:val="23"/>
                <w:color w:val="auto"/>
              </w:rPr>
            </w:pPr>
          </w:p>
        </w:tc>
      </w:tr>
      <w:tr>
        <w:trPr>
          <w:trHeight w:val="283"/>
        </w:trPr>
        <w:tc>
          <w:tcPr>
            <w:tcW w:w="1620" w:type="dxa"/>
            <w:vAlign w:val="bottom"/>
          </w:tcPr>
          <w:p>
            <w:pPr>
              <w:spacing w:after="0"/>
              <w:rPr>
                <w:sz w:val="24"/>
                <w:szCs w:val="24"/>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b w:val="1"/>
                <w:bCs w:val="1"/>
                <w:color w:val="3B3C43"/>
              </w:rPr>
              <w:t>Position Held in 2020:</w:t>
            </w:r>
          </w:p>
        </w:tc>
        <w:tc>
          <w:tcPr>
            <w:tcW w:w="4380" w:type="dxa"/>
            <w:vAlign w:val="bottom"/>
            <w:shd w:val="clear" w:color="auto" w:fill="F0F0F0"/>
          </w:tcPr>
          <w:p>
            <w:pPr>
              <w:spacing w:after="0"/>
              <w:rPr>
                <w:sz w:val="24"/>
                <w:szCs w:val="24"/>
                <w:color w:val="auto"/>
              </w:rPr>
            </w:pPr>
          </w:p>
        </w:tc>
        <w:tc>
          <w:tcPr>
            <w:tcW w:w="1540" w:type="dxa"/>
            <w:vAlign w:val="bottom"/>
            <w:shd w:val="clear" w:color="auto" w:fill="F0F0F0"/>
          </w:tcPr>
          <w:p>
            <w:pPr>
              <w:spacing w:after="0"/>
              <w:rPr>
                <w:sz w:val="24"/>
                <w:szCs w:val="24"/>
                <w:color w:val="auto"/>
              </w:rPr>
            </w:pPr>
          </w:p>
        </w:tc>
      </w:tr>
      <w:tr>
        <w:trPr>
          <w:trHeight w:val="251"/>
        </w:trPr>
        <w:tc>
          <w:tcPr>
            <w:tcW w:w="1620" w:type="dxa"/>
            <w:vAlign w:val="bottom"/>
          </w:tcPr>
          <w:p>
            <w:pPr>
              <w:spacing w:after="0"/>
              <w:rPr>
                <w:sz w:val="21"/>
                <w:szCs w:val="21"/>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color w:val="3B3C43"/>
              </w:rPr>
              <w:t>President of Technip Energies from</w:t>
            </w:r>
          </w:p>
        </w:tc>
        <w:tc>
          <w:tcPr>
            <w:tcW w:w="4380" w:type="dxa"/>
            <w:vAlign w:val="bottom"/>
            <w:shd w:val="clear" w:color="auto" w:fill="F0F0F0"/>
          </w:tcPr>
          <w:p>
            <w:pPr>
              <w:spacing w:after="0"/>
              <w:rPr>
                <w:sz w:val="21"/>
                <w:szCs w:val="21"/>
                <w:color w:val="auto"/>
              </w:rPr>
            </w:pPr>
          </w:p>
        </w:tc>
        <w:tc>
          <w:tcPr>
            <w:tcW w:w="1540" w:type="dxa"/>
            <w:vAlign w:val="bottom"/>
            <w:shd w:val="clear" w:color="auto" w:fill="F0F0F0"/>
          </w:tcPr>
          <w:p>
            <w:pPr>
              <w:spacing w:after="0"/>
              <w:rPr>
                <w:sz w:val="21"/>
                <w:szCs w:val="21"/>
                <w:color w:val="auto"/>
              </w:rPr>
            </w:pPr>
          </w:p>
        </w:tc>
      </w:tr>
      <w:tr>
        <w:trPr>
          <w:trHeight w:val="222"/>
        </w:trPr>
        <w:tc>
          <w:tcPr>
            <w:tcW w:w="1620" w:type="dxa"/>
            <w:vAlign w:val="bottom"/>
          </w:tcPr>
          <w:p>
            <w:pPr>
              <w:spacing w:after="0"/>
              <w:rPr>
                <w:sz w:val="19"/>
                <w:szCs w:val="19"/>
                <w:color w:val="auto"/>
              </w:rPr>
            </w:pPr>
          </w:p>
        </w:tc>
        <w:tc>
          <w:tcPr>
            <w:tcW w:w="3700" w:type="dxa"/>
            <w:vAlign w:val="bottom"/>
            <w:shd w:val="clear" w:color="auto" w:fill="F0F0F0"/>
          </w:tcPr>
          <w:p>
            <w:pPr>
              <w:ind w:left="200"/>
              <w:spacing w:after="0"/>
              <w:rPr>
                <w:sz w:val="20"/>
                <w:szCs w:val="20"/>
                <w:color w:val="auto"/>
              </w:rPr>
            </w:pPr>
            <w:r>
              <w:rPr>
                <w:rFonts w:ascii="Arial" w:cs="Arial" w:eastAsia="Arial" w:hAnsi="Arial"/>
                <w:sz w:val="16"/>
                <w:szCs w:val="16"/>
                <w:color w:val="3B3C43"/>
              </w:rPr>
              <w:t>January 1 through October 2, 2020</w:t>
            </w:r>
          </w:p>
        </w:tc>
        <w:tc>
          <w:tcPr>
            <w:tcW w:w="4380" w:type="dxa"/>
            <w:vAlign w:val="bottom"/>
            <w:shd w:val="clear" w:color="auto" w:fill="F0F0F0"/>
          </w:tcPr>
          <w:p>
            <w:pPr>
              <w:ind w:left="400"/>
              <w:spacing w:after="0"/>
              <w:rPr>
                <w:sz w:val="20"/>
                <w:szCs w:val="20"/>
                <w:color w:val="auto"/>
              </w:rPr>
            </w:pPr>
            <w:r>
              <w:rPr>
                <w:rFonts w:ascii="Arial" w:cs="Arial" w:eastAsia="Arial" w:hAnsi="Arial"/>
                <w:sz w:val="16"/>
                <w:szCs w:val="16"/>
                <w:color w:val="3B3C43"/>
              </w:rPr>
              <w:t>Departed from TechnipFMC on October 31, 2020</w:t>
            </w:r>
          </w:p>
        </w:tc>
        <w:tc>
          <w:tcPr>
            <w:tcW w:w="1540" w:type="dxa"/>
            <w:vAlign w:val="bottom"/>
            <w:shd w:val="clear" w:color="auto" w:fill="F0F0F0"/>
          </w:tcPr>
          <w:p>
            <w:pPr>
              <w:spacing w:after="0"/>
              <w:rPr>
                <w:sz w:val="19"/>
                <w:szCs w:val="19"/>
                <w:color w:val="auto"/>
              </w:rPr>
            </w:pPr>
          </w:p>
        </w:tc>
      </w:tr>
      <w:tr>
        <w:trPr>
          <w:trHeight w:val="263"/>
        </w:trPr>
        <w:tc>
          <w:tcPr>
            <w:tcW w:w="1620" w:type="dxa"/>
            <w:vAlign w:val="bottom"/>
          </w:tcPr>
          <w:p>
            <w:pPr>
              <w:spacing w:after="0"/>
              <w:rPr>
                <w:sz w:val="22"/>
                <w:szCs w:val="22"/>
                <w:color w:val="auto"/>
              </w:rPr>
            </w:pPr>
          </w:p>
        </w:tc>
        <w:tc>
          <w:tcPr>
            <w:tcW w:w="3700" w:type="dxa"/>
            <w:vAlign w:val="bottom"/>
            <w:shd w:val="clear" w:color="auto" w:fill="F0F0F0"/>
          </w:tcPr>
          <w:p>
            <w:pPr>
              <w:spacing w:after="0"/>
              <w:rPr>
                <w:sz w:val="22"/>
                <w:szCs w:val="22"/>
                <w:color w:val="auto"/>
              </w:rPr>
            </w:pPr>
          </w:p>
        </w:tc>
        <w:tc>
          <w:tcPr>
            <w:tcW w:w="4380" w:type="dxa"/>
            <w:vAlign w:val="bottom"/>
            <w:shd w:val="clear" w:color="auto" w:fill="F0F0F0"/>
          </w:tcPr>
          <w:p>
            <w:pPr>
              <w:spacing w:after="0"/>
              <w:rPr>
                <w:sz w:val="22"/>
                <w:szCs w:val="22"/>
                <w:color w:val="auto"/>
              </w:rPr>
            </w:pPr>
          </w:p>
        </w:tc>
        <w:tc>
          <w:tcPr>
            <w:tcW w:w="1540" w:type="dxa"/>
            <w:vAlign w:val="bottom"/>
            <w:shd w:val="clear" w:color="auto" w:fill="F0F0F0"/>
          </w:tcPr>
          <w:p>
            <w:pPr>
              <w:spacing w:after="0"/>
              <w:rPr>
                <w:sz w:val="22"/>
                <w:szCs w:val="22"/>
                <w:color w:val="auto"/>
              </w:rPr>
            </w:pPr>
          </w:p>
        </w:tc>
      </w:tr>
      <w:tr>
        <w:trPr>
          <w:trHeight w:val="301"/>
        </w:trPr>
        <w:tc>
          <w:tcPr>
            <w:tcW w:w="1620" w:type="dxa"/>
            <w:vAlign w:val="bottom"/>
          </w:tcPr>
          <w:p>
            <w:pPr>
              <w:spacing w:after="0"/>
              <w:rPr>
                <w:sz w:val="24"/>
                <w:szCs w:val="24"/>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20"/>
                <w:szCs w:val="20"/>
                <w:b w:val="1"/>
                <w:bCs w:val="1"/>
                <w:color w:val="4B1F68"/>
              </w:rPr>
              <w:t>Nello Uccelletti</w:t>
            </w:r>
          </w:p>
        </w:tc>
        <w:tc>
          <w:tcPr>
            <w:tcW w:w="4380" w:type="dxa"/>
            <w:vAlign w:val="bottom"/>
            <w:shd w:val="clear" w:color="auto" w:fill="E1E2E0"/>
          </w:tcPr>
          <w:p>
            <w:pPr>
              <w:spacing w:after="0"/>
              <w:rPr>
                <w:sz w:val="24"/>
                <w:szCs w:val="24"/>
                <w:color w:val="auto"/>
              </w:rPr>
            </w:pPr>
          </w:p>
        </w:tc>
        <w:tc>
          <w:tcPr>
            <w:tcW w:w="1540" w:type="dxa"/>
            <w:vAlign w:val="bottom"/>
            <w:shd w:val="clear" w:color="auto" w:fill="E1E1DF"/>
          </w:tcPr>
          <w:p>
            <w:pPr>
              <w:spacing w:after="0"/>
              <w:rPr>
                <w:sz w:val="24"/>
                <w:szCs w:val="24"/>
                <w:color w:val="auto"/>
              </w:rPr>
            </w:pPr>
          </w:p>
        </w:tc>
      </w:tr>
      <w:tr>
        <w:trPr>
          <w:trHeight w:val="273"/>
        </w:trPr>
        <w:tc>
          <w:tcPr>
            <w:tcW w:w="1620" w:type="dxa"/>
            <w:vAlign w:val="bottom"/>
          </w:tcPr>
          <w:p>
            <w:pPr>
              <w:spacing w:after="0"/>
              <w:rPr>
                <w:sz w:val="23"/>
                <w:szCs w:val="23"/>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b w:val="1"/>
                <w:bCs w:val="1"/>
                <w:color w:val="3B3C43"/>
              </w:rPr>
              <w:t>Age: 67</w:t>
            </w:r>
          </w:p>
        </w:tc>
        <w:tc>
          <w:tcPr>
            <w:tcW w:w="4380" w:type="dxa"/>
            <w:vAlign w:val="bottom"/>
            <w:shd w:val="clear" w:color="auto" w:fill="E1E2E0"/>
          </w:tcPr>
          <w:p>
            <w:pPr>
              <w:spacing w:after="0"/>
              <w:rPr>
                <w:sz w:val="23"/>
                <w:szCs w:val="23"/>
                <w:color w:val="auto"/>
              </w:rPr>
            </w:pPr>
          </w:p>
        </w:tc>
        <w:tc>
          <w:tcPr>
            <w:tcW w:w="1540" w:type="dxa"/>
            <w:vAlign w:val="bottom"/>
            <w:shd w:val="clear" w:color="auto" w:fill="E1E1DF"/>
          </w:tcPr>
          <w:p>
            <w:pPr>
              <w:spacing w:after="0"/>
              <w:rPr>
                <w:sz w:val="23"/>
                <w:szCs w:val="23"/>
                <w:color w:val="auto"/>
              </w:rPr>
            </w:pPr>
          </w:p>
        </w:tc>
      </w:tr>
      <w:tr>
        <w:trPr>
          <w:trHeight w:val="283"/>
        </w:trPr>
        <w:tc>
          <w:tcPr>
            <w:tcW w:w="1620" w:type="dxa"/>
            <w:vAlign w:val="bottom"/>
          </w:tcPr>
          <w:p>
            <w:pPr>
              <w:spacing w:after="0"/>
              <w:rPr>
                <w:sz w:val="24"/>
                <w:szCs w:val="24"/>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b w:val="1"/>
                <w:bCs w:val="1"/>
                <w:color w:val="3B3C43"/>
              </w:rPr>
              <w:t>Position Held in 2020:</w:t>
            </w:r>
          </w:p>
        </w:tc>
        <w:tc>
          <w:tcPr>
            <w:tcW w:w="4380" w:type="dxa"/>
            <w:vAlign w:val="bottom"/>
            <w:shd w:val="clear" w:color="auto" w:fill="E1E2E0"/>
          </w:tcPr>
          <w:p>
            <w:pPr>
              <w:spacing w:after="0"/>
              <w:rPr>
                <w:sz w:val="24"/>
                <w:szCs w:val="24"/>
                <w:color w:val="auto"/>
              </w:rPr>
            </w:pPr>
          </w:p>
        </w:tc>
        <w:tc>
          <w:tcPr>
            <w:tcW w:w="1540" w:type="dxa"/>
            <w:vAlign w:val="bottom"/>
            <w:shd w:val="clear" w:color="auto" w:fill="E1E1DF"/>
          </w:tcPr>
          <w:p>
            <w:pPr>
              <w:spacing w:after="0"/>
              <w:rPr>
                <w:sz w:val="24"/>
                <w:szCs w:val="24"/>
                <w:color w:val="auto"/>
              </w:rPr>
            </w:pPr>
          </w:p>
        </w:tc>
      </w:tr>
      <w:tr>
        <w:trPr>
          <w:trHeight w:val="251"/>
        </w:trPr>
        <w:tc>
          <w:tcPr>
            <w:tcW w:w="1620" w:type="dxa"/>
            <w:vAlign w:val="bottom"/>
          </w:tcPr>
          <w:p>
            <w:pPr>
              <w:spacing w:after="0"/>
              <w:rPr>
                <w:sz w:val="21"/>
                <w:szCs w:val="21"/>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color w:val="3B3C43"/>
              </w:rPr>
              <w:t>Advisor to the CEO from January 1 through</w:t>
            </w:r>
          </w:p>
        </w:tc>
        <w:tc>
          <w:tcPr>
            <w:tcW w:w="4380" w:type="dxa"/>
            <w:vAlign w:val="bottom"/>
            <w:shd w:val="clear" w:color="auto" w:fill="E1E2E0"/>
          </w:tcPr>
          <w:p>
            <w:pPr>
              <w:spacing w:after="0"/>
              <w:rPr>
                <w:sz w:val="21"/>
                <w:szCs w:val="21"/>
                <w:color w:val="auto"/>
              </w:rPr>
            </w:pPr>
          </w:p>
        </w:tc>
        <w:tc>
          <w:tcPr>
            <w:tcW w:w="1540" w:type="dxa"/>
            <w:vAlign w:val="bottom"/>
            <w:shd w:val="clear" w:color="auto" w:fill="E1E1DF"/>
          </w:tcPr>
          <w:p>
            <w:pPr>
              <w:spacing w:after="0"/>
              <w:rPr>
                <w:sz w:val="21"/>
                <w:szCs w:val="21"/>
                <w:color w:val="auto"/>
              </w:rPr>
            </w:pPr>
          </w:p>
        </w:tc>
      </w:tr>
      <w:tr>
        <w:trPr>
          <w:trHeight w:val="195"/>
        </w:trPr>
        <w:tc>
          <w:tcPr>
            <w:tcW w:w="1620" w:type="dxa"/>
            <w:vAlign w:val="bottom"/>
          </w:tcPr>
          <w:p>
            <w:pPr>
              <w:spacing w:after="0"/>
              <w:rPr>
                <w:sz w:val="16"/>
                <w:szCs w:val="16"/>
                <w:color w:val="auto"/>
              </w:rPr>
            </w:pPr>
          </w:p>
        </w:tc>
        <w:tc>
          <w:tcPr>
            <w:tcW w:w="3700" w:type="dxa"/>
            <w:vAlign w:val="bottom"/>
            <w:shd w:val="clear" w:color="auto" w:fill="E1E2E0"/>
          </w:tcPr>
          <w:p>
            <w:pPr>
              <w:ind w:left="200"/>
              <w:spacing w:after="0"/>
              <w:rPr>
                <w:sz w:val="20"/>
                <w:szCs w:val="20"/>
                <w:color w:val="auto"/>
              </w:rPr>
            </w:pPr>
            <w:r>
              <w:rPr>
                <w:rFonts w:ascii="Arial" w:cs="Arial" w:eastAsia="Arial" w:hAnsi="Arial"/>
                <w:sz w:val="16"/>
                <w:szCs w:val="16"/>
                <w:color w:val="3B3C43"/>
              </w:rPr>
              <w:t>February 29, 2020</w:t>
            </w:r>
          </w:p>
        </w:tc>
        <w:tc>
          <w:tcPr>
            <w:tcW w:w="4380" w:type="dxa"/>
            <w:vAlign w:val="bottom"/>
            <w:shd w:val="clear" w:color="auto" w:fill="E1E2E0"/>
          </w:tcPr>
          <w:p>
            <w:pPr>
              <w:ind w:left="400"/>
              <w:spacing w:after="0"/>
              <w:rPr>
                <w:sz w:val="20"/>
                <w:szCs w:val="20"/>
                <w:color w:val="auto"/>
              </w:rPr>
            </w:pPr>
            <w:r>
              <w:rPr>
                <w:rFonts w:ascii="Arial" w:cs="Arial" w:eastAsia="Arial" w:hAnsi="Arial"/>
                <w:sz w:val="16"/>
                <w:szCs w:val="16"/>
                <w:color w:val="3B3C43"/>
              </w:rPr>
              <w:t>Retired from TechnipFMC on February 29, 2020</w:t>
            </w:r>
          </w:p>
        </w:tc>
        <w:tc>
          <w:tcPr>
            <w:tcW w:w="1540" w:type="dxa"/>
            <w:vAlign w:val="bottom"/>
            <w:shd w:val="clear" w:color="auto" w:fill="E1E1DF"/>
          </w:tcPr>
          <w:p>
            <w:pPr>
              <w:spacing w:after="0"/>
              <w:rPr>
                <w:sz w:val="16"/>
                <w:szCs w:val="16"/>
                <w:color w:val="auto"/>
              </w:rPr>
            </w:pPr>
          </w:p>
        </w:tc>
      </w:tr>
      <w:tr>
        <w:trPr>
          <w:trHeight w:val="290"/>
        </w:trPr>
        <w:tc>
          <w:tcPr>
            <w:tcW w:w="1620" w:type="dxa"/>
            <w:vAlign w:val="bottom"/>
          </w:tcPr>
          <w:p>
            <w:pPr>
              <w:spacing w:after="0"/>
              <w:rPr>
                <w:sz w:val="24"/>
                <w:szCs w:val="24"/>
                <w:color w:val="auto"/>
              </w:rPr>
            </w:pPr>
          </w:p>
        </w:tc>
        <w:tc>
          <w:tcPr>
            <w:tcW w:w="3700" w:type="dxa"/>
            <w:vAlign w:val="bottom"/>
            <w:shd w:val="clear" w:color="auto" w:fill="E1E2E0"/>
          </w:tcPr>
          <w:p>
            <w:pPr>
              <w:spacing w:after="0"/>
              <w:rPr>
                <w:sz w:val="24"/>
                <w:szCs w:val="24"/>
                <w:color w:val="auto"/>
              </w:rPr>
            </w:pPr>
          </w:p>
        </w:tc>
        <w:tc>
          <w:tcPr>
            <w:tcW w:w="4380" w:type="dxa"/>
            <w:vAlign w:val="bottom"/>
            <w:shd w:val="clear" w:color="auto" w:fill="E1E2E0"/>
          </w:tcPr>
          <w:p>
            <w:pPr>
              <w:spacing w:after="0"/>
              <w:rPr>
                <w:sz w:val="24"/>
                <w:szCs w:val="24"/>
                <w:color w:val="auto"/>
              </w:rPr>
            </w:pPr>
          </w:p>
        </w:tc>
        <w:tc>
          <w:tcPr>
            <w:tcW w:w="1540" w:type="dxa"/>
            <w:vAlign w:val="bottom"/>
            <w:shd w:val="clear" w:color="auto" w:fill="E1E1DF"/>
          </w:tcPr>
          <w:p>
            <w:pPr>
              <w:spacing w:after="0"/>
              <w:rPr>
                <w:sz w:val="24"/>
                <w:szCs w:val="24"/>
                <w:color w:val="auto"/>
              </w:rPr>
            </w:pPr>
          </w:p>
        </w:tc>
      </w:tr>
      <w:tr>
        <w:trPr>
          <w:trHeight w:val="379"/>
        </w:trPr>
        <w:tc>
          <w:tcPr>
            <w:tcW w:w="5320" w:type="dxa"/>
            <w:vAlign w:val="bottom"/>
            <w:gridSpan w:val="2"/>
          </w:tcPr>
          <w:p>
            <w:pPr>
              <w:spacing w:after="0"/>
              <w:rPr>
                <w:sz w:val="20"/>
                <w:szCs w:val="20"/>
                <w:color w:val="auto"/>
              </w:rPr>
            </w:pPr>
            <w:r>
              <w:rPr>
                <w:rFonts w:ascii="Arial" w:cs="Arial" w:eastAsia="Arial" w:hAnsi="Arial"/>
                <w:sz w:val="14"/>
                <w:szCs w:val="14"/>
                <w:color w:val="auto"/>
              </w:rPr>
              <w:t>63  TechnipFMC</w:t>
            </w:r>
          </w:p>
        </w:tc>
        <w:tc>
          <w:tcPr>
            <w:tcW w:w="43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06"/>
        </w:trPr>
        <w:tc>
          <w:tcPr>
            <w:tcW w:w="1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8"/>
          <w:szCs w:val="38"/>
          <w:color w:val="4B1F68"/>
        </w:rPr>
        <w:t>2020 Performance and Impact</w:t>
      </w:r>
    </w:p>
    <w:p>
      <w:pPr>
        <w:spacing w:after="0"/>
        <w:rPr>
          <w:sz w:val="20"/>
          <w:szCs w:val="20"/>
          <w:color w:val="auto"/>
        </w:rPr>
      </w:pPr>
      <w:r>
        <w:rPr>
          <w:rFonts w:ascii="Arial" w:cs="Arial" w:eastAsia="Arial" w:hAnsi="Arial"/>
          <w:sz w:val="38"/>
          <w:szCs w:val="38"/>
          <w:color w:val="4B1F68"/>
        </w:rPr>
        <w:t>on Executive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Company Overview</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6"/>
          <w:szCs w:val="16"/>
          <w:color w:val="3B3C43"/>
        </w:rPr>
        <w:t>TechnipFMC plc, a public limited company incorporated and organized under the laws of England and Wales, with registered number 09909709, and with its registered office at One St. Paul’s Churchyard, London EC4M 8AP, United Kingdom, is a leading technology provider to the traditional and new energy industries, delivering fully integrated projects, products, and services.</w:t>
      </w:r>
    </w:p>
    <w:p>
      <w:pPr>
        <w:spacing w:after="0" w:line="17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3B3C43"/>
        </w:rPr>
        <w:t>With our proprietary technologies and comprehensive solutions, we are transforming our clients’ project economics, helping them unlock new possibilities to develop energy resources while reducing carbon intensity and supporting their energy transition ambitions.</w:t>
      </w:r>
    </w:p>
    <w:p>
      <w:pPr>
        <w:spacing w:after="0" w:line="168"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3B3C43"/>
        </w:rPr>
        <w:t>Organized in two business segments - Subsea and Surface Technologies - we will continue to advance the industry with our pioneering integrated ecosystems (such as iEPCI™, iFEED™ and iComplete™), technology leadership and digital innovation.</w:t>
      </w:r>
    </w:p>
    <w:p>
      <w:pPr>
        <w:spacing w:after="0" w:line="16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3B3C43"/>
        </w:rPr>
        <w:t>Each of our approximately 20,000 employees is driven by a commitment to our clients’ success, and a culture of strong execution, purposeful innovation, and challenging industry conventions.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Executive Compensation Highlights</w:t>
      </w:r>
    </w:p>
    <w:p>
      <w:pPr>
        <w:spacing w:after="0" w:line="16"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3B3C43"/>
        </w:rPr>
        <w:t>Our vision to enhance the performance of the world’s energy industry is supported by the relentless drive of every individual at TechnipFMC. We are united by one single purpose: to bring together the scope, knowledge, and determination to transform our clients’ project economics. Our executive compensation is designed to help us achieve our vision by:</w:t>
      </w:r>
    </w:p>
    <w:p>
      <w:pPr>
        <w:spacing w:after="0" w:line="174" w:lineRule="exact"/>
        <w:rPr>
          <w:sz w:val="20"/>
          <w:szCs w:val="20"/>
          <w:color w:val="auto"/>
        </w:rPr>
      </w:pPr>
    </w:p>
    <w:p>
      <w:pPr>
        <w:ind w:left="500" w:hanging="317"/>
        <w:spacing w:after="0"/>
        <w:tabs>
          <w:tab w:leader="none" w:pos="500" w:val="left"/>
        </w:tabs>
        <w:numPr>
          <w:ilvl w:val="0"/>
          <w:numId w:val="71"/>
        </w:numPr>
        <w:rPr>
          <w:rFonts w:ascii="Arial" w:cs="Arial" w:eastAsia="Arial" w:hAnsi="Arial"/>
          <w:sz w:val="16"/>
          <w:szCs w:val="16"/>
          <w:color w:val="4B1F68"/>
        </w:rPr>
      </w:pPr>
      <w:r>
        <w:rPr>
          <w:rFonts w:ascii="Arial" w:cs="Arial" w:eastAsia="Arial" w:hAnsi="Arial"/>
          <w:sz w:val="16"/>
          <w:szCs w:val="16"/>
          <w:color w:val="3B3C43"/>
        </w:rPr>
        <w:t>Motivating our executive officers to achieve and exceed our short-term and long-term goals and objectives</w:t>
      </w:r>
    </w:p>
    <w:p>
      <w:pPr>
        <w:spacing w:after="0" w:line="194" w:lineRule="exact"/>
        <w:rPr>
          <w:rFonts w:ascii="Arial" w:cs="Arial" w:eastAsia="Arial" w:hAnsi="Arial"/>
          <w:sz w:val="16"/>
          <w:szCs w:val="16"/>
          <w:color w:val="4B1F68"/>
        </w:rPr>
      </w:pPr>
    </w:p>
    <w:p>
      <w:pPr>
        <w:ind w:left="500" w:right="280" w:hanging="317"/>
        <w:spacing w:after="0" w:line="260" w:lineRule="auto"/>
        <w:tabs>
          <w:tab w:leader="none" w:pos="500" w:val="left"/>
        </w:tabs>
        <w:numPr>
          <w:ilvl w:val="0"/>
          <w:numId w:val="71"/>
        </w:numPr>
        <w:rPr>
          <w:rFonts w:ascii="Arial" w:cs="Arial" w:eastAsia="Arial" w:hAnsi="Arial"/>
          <w:sz w:val="16"/>
          <w:szCs w:val="16"/>
          <w:color w:val="4B1F68"/>
        </w:rPr>
      </w:pPr>
      <w:r>
        <w:rPr>
          <w:rFonts w:ascii="Arial" w:cs="Arial" w:eastAsia="Arial" w:hAnsi="Arial"/>
          <w:sz w:val="16"/>
          <w:szCs w:val="16"/>
          <w:color w:val="3B3C43"/>
        </w:rPr>
        <w:t>Aligning the interest of our executive officers with the interests of our shareholders by focusing our executive compensation program on drivers of sustainable shareholder value and by ensuring a majority of executive compensation is at-risk</w:t>
      </w:r>
    </w:p>
    <w:p>
      <w:pPr>
        <w:spacing w:after="0" w:line="168" w:lineRule="exact"/>
        <w:rPr>
          <w:rFonts w:ascii="Arial" w:cs="Arial" w:eastAsia="Arial" w:hAnsi="Arial"/>
          <w:sz w:val="16"/>
          <w:szCs w:val="16"/>
          <w:color w:val="4B1F68"/>
        </w:rPr>
      </w:pPr>
    </w:p>
    <w:p>
      <w:pPr>
        <w:ind w:left="500" w:hanging="317"/>
        <w:spacing w:after="0"/>
        <w:tabs>
          <w:tab w:leader="none" w:pos="500" w:val="left"/>
        </w:tabs>
        <w:numPr>
          <w:ilvl w:val="0"/>
          <w:numId w:val="71"/>
        </w:numPr>
        <w:rPr>
          <w:rFonts w:ascii="Arial" w:cs="Arial" w:eastAsia="Arial" w:hAnsi="Arial"/>
          <w:sz w:val="16"/>
          <w:szCs w:val="16"/>
          <w:color w:val="4B1F68"/>
        </w:rPr>
      </w:pPr>
      <w:r>
        <w:rPr>
          <w:rFonts w:ascii="Arial" w:cs="Arial" w:eastAsia="Arial" w:hAnsi="Arial"/>
          <w:sz w:val="16"/>
          <w:szCs w:val="16"/>
          <w:color w:val="3B3C43"/>
        </w:rPr>
        <w:t>Providing market competitive levels of compensation to help us retain and attract exceptionally talented individuals who can deliver on our vision</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64</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88" w:right="39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52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What We Do:</w:t>
            </w:r>
          </w:p>
        </w:tc>
        <w:tc>
          <w:tcPr>
            <w:tcW w:w="220" w:type="dxa"/>
            <w:vAlign w:val="bottom"/>
          </w:tcPr>
          <w:p>
            <w:pPr>
              <w:spacing w:after="0"/>
              <w:rPr>
                <w:sz w:val="24"/>
                <w:szCs w:val="24"/>
                <w:color w:val="auto"/>
              </w:rPr>
            </w:pPr>
          </w:p>
        </w:tc>
        <w:tc>
          <w:tcPr>
            <w:tcW w:w="550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What We Don’t Do</w:t>
            </w:r>
          </w:p>
        </w:tc>
        <w:tc>
          <w:tcPr>
            <w:tcW w:w="0" w:type="dxa"/>
            <w:vAlign w:val="bottom"/>
          </w:tcPr>
          <w:p>
            <w:pPr>
              <w:spacing w:after="0"/>
              <w:rPr>
                <w:sz w:val="1"/>
                <w:szCs w:val="1"/>
                <w:color w:val="auto"/>
              </w:rPr>
            </w:pPr>
          </w:p>
        </w:tc>
      </w:tr>
      <w:tr>
        <w:trPr>
          <w:trHeight w:val="73"/>
        </w:trPr>
        <w:tc>
          <w:tcPr>
            <w:tcW w:w="5520" w:type="dxa"/>
            <w:vAlign w:val="bottom"/>
            <w:shd w:val="clear" w:color="auto" w:fill="4B1F68"/>
          </w:tcPr>
          <w:p>
            <w:pPr>
              <w:spacing w:after="0"/>
              <w:rPr>
                <w:sz w:val="6"/>
                <w:szCs w:val="6"/>
                <w:color w:val="auto"/>
              </w:rPr>
            </w:pPr>
          </w:p>
        </w:tc>
        <w:tc>
          <w:tcPr>
            <w:tcW w:w="220" w:type="dxa"/>
            <w:vAlign w:val="bottom"/>
          </w:tcPr>
          <w:p>
            <w:pPr>
              <w:spacing w:after="0"/>
              <w:rPr>
                <w:sz w:val="6"/>
                <w:szCs w:val="6"/>
                <w:color w:val="auto"/>
              </w:rPr>
            </w:pPr>
          </w:p>
        </w:tc>
        <w:tc>
          <w:tcPr>
            <w:tcW w:w="5500" w:type="dxa"/>
            <w:vAlign w:val="bottom"/>
            <w:shd w:val="clear" w:color="auto" w:fill="4B1F68"/>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5520" w:type="dxa"/>
            <w:vAlign w:val="bottom"/>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Pay for performance by aligning performance measures with our</w:t>
            </w:r>
          </w:p>
        </w:tc>
        <w:tc>
          <w:tcPr>
            <w:tcW w:w="220" w:type="dxa"/>
            <w:vAlign w:val="bottom"/>
          </w:tcPr>
          <w:p>
            <w:pPr>
              <w:spacing w:after="0"/>
              <w:rPr>
                <w:sz w:val="23"/>
                <w:szCs w:val="23"/>
                <w:color w:val="auto"/>
              </w:rPr>
            </w:pPr>
          </w:p>
        </w:tc>
        <w:tc>
          <w:tcPr>
            <w:tcW w:w="5500" w:type="dxa"/>
            <w:vAlign w:val="bottom"/>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No guaranteed bonuses</w:t>
            </w:r>
          </w:p>
        </w:tc>
        <w:tc>
          <w:tcPr>
            <w:tcW w:w="0" w:type="dxa"/>
            <w:vAlign w:val="bottom"/>
          </w:tcPr>
          <w:p>
            <w:pPr>
              <w:spacing w:after="0"/>
              <w:rPr>
                <w:sz w:val="1"/>
                <w:szCs w:val="1"/>
                <w:color w:val="auto"/>
              </w:rPr>
            </w:pPr>
          </w:p>
        </w:tc>
      </w:tr>
      <w:tr>
        <w:trPr>
          <w:trHeight w:val="195"/>
        </w:trPr>
        <w:tc>
          <w:tcPr>
            <w:tcW w:w="5520" w:type="dxa"/>
            <w:vAlign w:val="bottom"/>
          </w:tcPr>
          <w:p>
            <w:pPr>
              <w:ind w:left="360"/>
              <w:spacing w:after="0"/>
              <w:rPr>
                <w:sz w:val="20"/>
                <w:szCs w:val="20"/>
                <w:color w:val="auto"/>
              </w:rPr>
            </w:pPr>
            <w:r>
              <w:rPr>
                <w:rFonts w:ascii="Arial" w:cs="Arial" w:eastAsia="Arial" w:hAnsi="Arial"/>
                <w:sz w:val="16"/>
                <w:szCs w:val="16"/>
                <w:color w:val="3B3C43"/>
              </w:rPr>
              <w:t>strategy and shareholder interests</w:t>
            </w:r>
          </w:p>
        </w:tc>
        <w:tc>
          <w:tcPr>
            <w:tcW w:w="220" w:type="dxa"/>
            <w:vAlign w:val="bottom"/>
          </w:tcPr>
          <w:p>
            <w:pPr>
              <w:spacing w:after="0"/>
              <w:rPr>
                <w:sz w:val="16"/>
                <w:szCs w:val="16"/>
                <w:color w:val="auto"/>
              </w:rPr>
            </w:pPr>
          </w:p>
        </w:tc>
        <w:tc>
          <w:tcPr>
            <w:tcW w:w="5500" w:type="dxa"/>
            <w:vAlign w:val="bottom"/>
            <w:vMerge w:val="restart"/>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No uncapped incentives</w:t>
            </w:r>
          </w:p>
        </w:tc>
        <w:tc>
          <w:tcPr>
            <w:tcW w:w="0" w:type="dxa"/>
            <w:vAlign w:val="bottom"/>
          </w:tcPr>
          <w:p>
            <w:pPr>
              <w:spacing w:after="0"/>
              <w:rPr>
                <w:sz w:val="1"/>
                <w:szCs w:val="1"/>
                <w:color w:val="auto"/>
              </w:rPr>
            </w:pPr>
          </w:p>
        </w:tc>
      </w:tr>
      <w:tr>
        <w:trPr>
          <w:trHeight w:val="189"/>
        </w:trPr>
        <w:tc>
          <w:tcPr>
            <w:tcW w:w="5520" w:type="dxa"/>
            <w:vAlign w:val="bottom"/>
            <w:vMerge w:val="restart"/>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Majority of NEO compensation is performance-based, “at-risk” long-</w:t>
            </w:r>
          </w:p>
        </w:tc>
        <w:tc>
          <w:tcPr>
            <w:tcW w:w="220" w:type="dxa"/>
            <w:vAlign w:val="bottom"/>
          </w:tcPr>
          <w:p>
            <w:pPr>
              <w:spacing w:after="0"/>
              <w:rPr>
                <w:sz w:val="16"/>
                <w:szCs w:val="16"/>
                <w:color w:val="auto"/>
              </w:rPr>
            </w:pPr>
          </w:p>
        </w:tc>
        <w:tc>
          <w:tcPr>
            <w:tcW w:w="5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20" w:type="dxa"/>
            <w:vAlign w:val="bottom"/>
          </w:tcPr>
          <w:p>
            <w:pPr>
              <w:ind w:left="360"/>
              <w:spacing w:after="0"/>
              <w:rPr>
                <w:sz w:val="20"/>
                <w:szCs w:val="20"/>
                <w:color w:val="auto"/>
              </w:rPr>
            </w:pPr>
            <w:r>
              <w:rPr>
                <w:rFonts w:ascii="Arial" w:cs="Arial" w:eastAsia="Arial" w:hAnsi="Arial"/>
                <w:sz w:val="16"/>
                <w:szCs w:val="16"/>
                <w:color w:val="3B3C43"/>
              </w:rPr>
              <w:t>term compensation</w:t>
            </w:r>
          </w:p>
        </w:tc>
        <w:tc>
          <w:tcPr>
            <w:tcW w:w="220" w:type="dxa"/>
            <w:vAlign w:val="bottom"/>
          </w:tcPr>
          <w:p>
            <w:pPr>
              <w:spacing w:after="0"/>
              <w:rPr>
                <w:sz w:val="16"/>
                <w:szCs w:val="16"/>
                <w:color w:val="auto"/>
              </w:rPr>
            </w:pPr>
          </w:p>
        </w:tc>
        <w:tc>
          <w:tcPr>
            <w:tcW w:w="5500" w:type="dxa"/>
            <w:vAlign w:val="bottom"/>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No tax gross-ups on any severance payments</w:t>
            </w:r>
          </w:p>
        </w:tc>
        <w:tc>
          <w:tcPr>
            <w:tcW w:w="0" w:type="dxa"/>
            <w:vAlign w:val="bottom"/>
          </w:tcPr>
          <w:p>
            <w:pPr>
              <w:spacing w:after="0"/>
              <w:rPr>
                <w:sz w:val="1"/>
                <w:szCs w:val="1"/>
                <w:color w:val="auto"/>
              </w:rPr>
            </w:pPr>
          </w:p>
        </w:tc>
      </w:tr>
      <w:tr>
        <w:trPr>
          <w:trHeight w:val="378"/>
        </w:trPr>
        <w:tc>
          <w:tcPr>
            <w:tcW w:w="5520" w:type="dxa"/>
            <w:vAlign w:val="bottom"/>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Maintain a clawback policy in the event of malfeasance or fraud</w:t>
            </w:r>
          </w:p>
        </w:tc>
        <w:tc>
          <w:tcPr>
            <w:tcW w:w="220" w:type="dxa"/>
            <w:vAlign w:val="bottom"/>
          </w:tcPr>
          <w:p>
            <w:pPr>
              <w:spacing w:after="0"/>
              <w:rPr>
                <w:sz w:val="24"/>
                <w:szCs w:val="24"/>
                <w:color w:val="auto"/>
              </w:rPr>
            </w:pPr>
          </w:p>
        </w:tc>
        <w:tc>
          <w:tcPr>
            <w:tcW w:w="5500" w:type="dxa"/>
            <w:vAlign w:val="bottom"/>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No excessive perquisites, benefits, or pension payments</w:t>
            </w:r>
          </w:p>
        </w:tc>
        <w:tc>
          <w:tcPr>
            <w:tcW w:w="0" w:type="dxa"/>
            <w:vAlign w:val="bottom"/>
          </w:tcPr>
          <w:p>
            <w:pPr>
              <w:spacing w:after="0"/>
              <w:rPr>
                <w:sz w:val="1"/>
                <w:szCs w:val="1"/>
                <w:color w:val="auto"/>
              </w:rPr>
            </w:pPr>
          </w:p>
        </w:tc>
      </w:tr>
      <w:tr>
        <w:trPr>
          <w:trHeight w:val="378"/>
        </w:trPr>
        <w:tc>
          <w:tcPr>
            <w:tcW w:w="5520" w:type="dxa"/>
            <w:vAlign w:val="bottom"/>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Require robust executive and director share ownership wrequirements</w:t>
            </w:r>
          </w:p>
        </w:tc>
        <w:tc>
          <w:tcPr>
            <w:tcW w:w="220" w:type="dxa"/>
            <w:vAlign w:val="bottom"/>
          </w:tcPr>
          <w:p>
            <w:pPr>
              <w:spacing w:after="0"/>
              <w:rPr>
                <w:sz w:val="24"/>
                <w:szCs w:val="24"/>
                <w:color w:val="auto"/>
              </w:rPr>
            </w:pPr>
          </w:p>
        </w:tc>
        <w:tc>
          <w:tcPr>
            <w:tcW w:w="5500" w:type="dxa"/>
            <w:vAlign w:val="bottom"/>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No discounting, reloading, or repricing of stock options</w:t>
            </w:r>
          </w:p>
        </w:tc>
        <w:tc>
          <w:tcPr>
            <w:tcW w:w="0" w:type="dxa"/>
            <w:vAlign w:val="bottom"/>
          </w:tcPr>
          <w:p>
            <w:pPr>
              <w:spacing w:after="0"/>
              <w:rPr>
                <w:sz w:val="1"/>
                <w:szCs w:val="1"/>
                <w:color w:val="auto"/>
              </w:rPr>
            </w:pPr>
          </w:p>
        </w:tc>
      </w:tr>
      <w:tr>
        <w:trPr>
          <w:trHeight w:val="378"/>
        </w:trPr>
        <w:tc>
          <w:tcPr>
            <w:tcW w:w="5520" w:type="dxa"/>
            <w:vAlign w:val="bottom"/>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Engage an independent, external compensation consultant</w:t>
            </w:r>
          </w:p>
        </w:tc>
        <w:tc>
          <w:tcPr>
            <w:tcW w:w="220" w:type="dxa"/>
            <w:vAlign w:val="bottom"/>
          </w:tcPr>
          <w:p>
            <w:pPr>
              <w:spacing w:after="0"/>
              <w:rPr>
                <w:sz w:val="24"/>
                <w:szCs w:val="24"/>
                <w:color w:val="auto"/>
              </w:rPr>
            </w:pPr>
          </w:p>
        </w:tc>
        <w:tc>
          <w:tcPr>
            <w:tcW w:w="5500" w:type="dxa"/>
            <w:vAlign w:val="bottom"/>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No hedging and pledging of Company securities</w:t>
            </w:r>
          </w:p>
        </w:tc>
        <w:tc>
          <w:tcPr>
            <w:tcW w:w="0" w:type="dxa"/>
            <w:vAlign w:val="bottom"/>
          </w:tcPr>
          <w:p>
            <w:pPr>
              <w:spacing w:after="0"/>
              <w:rPr>
                <w:sz w:val="1"/>
                <w:szCs w:val="1"/>
                <w:color w:val="auto"/>
              </w:rPr>
            </w:pPr>
          </w:p>
        </w:tc>
      </w:tr>
      <w:tr>
        <w:trPr>
          <w:trHeight w:val="372"/>
        </w:trPr>
        <w:tc>
          <w:tcPr>
            <w:tcW w:w="5520" w:type="dxa"/>
            <w:vAlign w:val="bottom"/>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Benchmark compensation against relevant global and industry peer</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520" w:type="dxa"/>
            <w:vAlign w:val="bottom"/>
          </w:tcPr>
          <w:p>
            <w:pPr>
              <w:ind w:left="360"/>
              <w:spacing w:after="0"/>
              <w:rPr>
                <w:sz w:val="20"/>
                <w:szCs w:val="20"/>
                <w:color w:val="auto"/>
              </w:rPr>
            </w:pPr>
            <w:r>
              <w:rPr>
                <w:rFonts w:ascii="Arial" w:cs="Arial" w:eastAsia="Arial" w:hAnsi="Arial"/>
                <w:sz w:val="16"/>
                <w:szCs w:val="16"/>
                <w:color w:val="3B3C43"/>
              </w:rPr>
              <w:t>groups</w:t>
            </w:r>
          </w:p>
        </w:tc>
        <w:tc>
          <w:tcPr>
            <w:tcW w:w="2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5520" w:type="dxa"/>
            <w:vAlign w:val="bottom"/>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Cap PSU payout at target when relative TSR exceeds peers’ TSR but</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520" w:type="dxa"/>
            <w:vAlign w:val="bottom"/>
          </w:tcPr>
          <w:p>
            <w:pPr>
              <w:ind w:left="360"/>
              <w:spacing w:after="0"/>
              <w:rPr>
                <w:sz w:val="20"/>
                <w:szCs w:val="20"/>
                <w:color w:val="auto"/>
              </w:rPr>
            </w:pPr>
            <w:r>
              <w:rPr>
                <w:rFonts w:ascii="Arial" w:cs="Arial" w:eastAsia="Arial" w:hAnsi="Arial"/>
                <w:sz w:val="16"/>
                <w:szCs w:val="16"/>
                <w:color w:val="3B3C43"/>
              </w:rPr>
              <w:t>absolute TSR is negative</w:t>
            </w:r>
          </w:p>
        </w:tc>
        <w:tc>
          <w:tcPr>
            <w:tcW w:w="2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5520" w:type="dxa"/>
            <w:vAlign w:val="bottom"/>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No single-trigger vesting upon a change-in-control</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3B3C43"/>
        </w:rPr>
        <w:t>As intended by our pay-for-performance program, and as outlined in the sections below, our 2020 executive compensation was directly impacted by our performance against key financial, operational, and individual measures.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Emphasize 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146050</wp:posOffset>
            </wp:positionV>
            <wp:extent cx="5829300" cy="36518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2930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3"/>
          <w:szCs w:val="13"/>
          <w:color w:val="3B3C43"/>
        </w:rPr>
      </w:pPr>
      <w:r>
        <w:rPr>
          <w:rFonts w:ascii="Arial" w:cs="Arial" w:eastAsia="Arial" w:hAnsi="Arial"/>
          <w:sz w:val="14"/>
          <w:szCs w:val="14"/>
          <w:color w:val="3B3C43"/>
        </w:rPr>
        <w:t>Excludes Ms. MacGregor and Mr. Uccelletti as they left the Company during 2020.</w:t>
      </w:r>
    </w:p>
    <w:p>
      <w:pPr>
        <w:spacing w:after="0" w:line="1" w:lineRule="exact"/>
        <w:rPr>
          <w:rFonts w:ascii="Arial" w:cs="Arial" w:eastAsia="Arial" w:hAnsi="Arial"/>
          <w:sz w:val="13"/>
          <w:szCs w:val="13"/>
          <w:color w:val="3B3C43"/>
        </w:rPr>
      </w:pPr>
    </w:p>
    <w:p>
      <w:pPr>
        <w:ind w:left="220" w:hanging="212"/>
        <w:spacing w:after="0" w:line="233" w:lineRule="auto"/>
        <w:tabs>
          <w:tab w:leader="none" w:pos="220" w:val="left"/>
        </w:tabs>
        <w:numPr>
          <w:ilvl w:val="0"/>
          <w:numId w:val="72"/>
        </w:numPr>
        <w:rPr>
          <w:rFonts w:ascii="Arial" w:cs="Arial" w:eastAsia="Arial" w:hAnsi="Arial"/>
          <w:sz w:val="13"/>
          <w:szCs w:val="13"/>
          <w:color w:val="3B3C43"/>
        </w:rPr>
      </w:pPr>
      <w:r>
        <w:rPr>
          <w:rFonts w:ascii="Arial" w:cs="Arial" w:eastAsia="Arial" w:hAnsi="Arial"/>
          <w:sz w:val="14"/>
          <w:szCs w:val="14"/>
          <w:color w:val="3B3C43"/>
        </w:rPr>
        <w:t>Base salary includes the pay reduction from May 1, 2020 to December 31, 2020 in response to the COVID-19 pandemic and associated industry downturn.</w:t>
      </w:r>
    </w:p>
    <w:p>
      <w:pPr>
        <w:ind w:left="220" w:hanging="212"/>
        <w:spacing w:after="0"/>
        <w:tabs>
          <w:tab w:leader="none" w:pos="220" w:val="left"/>
        </w:tabs>
        <w:numPr>
          <w:ilvl w:val="0"/>
          <w:numId w:val="72"/>
        </w:numPr>
        <w:rPr>
          <w:rFonts w:ascii="Arial" w:cs="Arial" w:eastAsia="Arial" w:hAnsi="Arial"/>
          <w:sz w:val="13"/>
          <w:szCs w:val="13"/>
          <w:color w:val="3B3C43"/>
        </w:rPr>
      </w:pPr>
      <w:r>
        <w:rPr>
          <w:rFonts w:ascii="Arial" w:cs="Arial" w:eastAsia="Arial" w:hAnsi="Arial"/>
          <w:sz w:val="13"/>
          <w:szCs w:val="13"/>
          <w:color w:val="3B3C43"/>
        </w:rPr>
        <w:t>RSUs are included in variable pay because their delivered value is based on share price at vesting.</w:t>
      </w:r>
    </w:p>
    <w:p>
      <w:pPr>
        <w:spacing w:after="0" w:line="19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65</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left="500" w:hanging="317"/>
        <w:spacing w:after="0"/>
        <w:tabs>
          <w:tab w:leader="none" w:pos="500" w:val="left"/>
        </w:tabs>
        <w:numPr>
          <w:ilvl w:val="0"/>
          <w:numId w:val="73"/>
        </w:numPr>
        <w:rPr>
          <w:rFonts w:ascii="Arial" w:cs="Arial" w:eastAsia="Arial" w:hAnsi="Arial"/>
          <w:sz w:val="16"/>
          <w:szCs w:val="16"/>
          <w:color w:val="4B1F68"/>
        </w:rPr>
      </w:pPr>
      <w:r>
        <w:rPr>
          <w:rFonts w:ascii="Arial" w:cs="Arial" w:eastAsia="Arial" w:hAnsi="Arial"/>
          <w:sz w:val="16"/>
          <w:szCs w:val="16"/>
          <w:color w:val="4B1F68"/>
        </w:rPr>
        <w:t>T</w:t>
      </w:r>
      <w:r>
        <w:rPr>
          <w:rFonts w:ascii="Arial" w:cs="Arial" w:eastAsia="Arial" w:hAnsi="Arial"/>
          <w:sz w:val="16"/>
          <w:szCs w:val="16"/>
          <w:color w:val="3B3C43"/>
        </w:rPr>
        <w:t>otal target compensation is made up of salary, an annual cash incentive, and long-term equity incentives.</w:t>
      </w:r>
    </w:p>
    <w:p>
      <w:pPr>
        <w:spacing w:after="0" w:line="194" w:lineRule="exact"/>
        <w:rPr>
          <w:rFonts w:ascii="Arial" w:cs="Arial" w:eastAsia="Arial" w:hAnsi="Arial"/>
          <w:sz w:val="16"/>
          <w:szCs w:val="16"/>
          <w:color w:val="4B1F68"/>
        </w:rPr>
      </w:pPr>
    </w:p>
    <w:p>
      <w:pPr>
        <w:ind w:left="500" w:hanging="317"/>
        <w:spacing w:after="0"/>
        <w:tabs>
          <w:tab w:leader="none" w:pos="500" w:val="left"/>
        </w:tabs>
        <w:numPr>
          <w:ilvl w:val="0"/>
          <w:numId w:val="73"/>
        </w:numPr>
        <w:rPr>
          <w:rFonts w:ascii="Arial" w:cs="Arial" w:eastAsia="Arial" w:hAnsi="Arial"/>
          <w:sz w:val="16"/>
          <w:szCs w:val="16"/>
          <w:color w:val="4B1F68"/>
        </w:rPr>
      </w:pPr>
      <w:r>
        <w:rPr>
          <w:rFonts w:ascii="Arial" w:cs="Arial" w:eastAsia="Arial" w:hAnsi="Arial"/>
          <w:sz w:val="16"/>
          <w:szCs w:val="16"/>
          <w:color w:val="3B3C43"/>
        </w:rPr>
        <w:t>Our compensation program is strongly linked to performance, and a majority of our NEOs’ pay is variable, at-risk compensation.</w:t>
      </w:r>
    </w:p>
    <w:p>
      <w:pPr>
        <w:spacing w:after="0" w:line="194" w:lineRule="exact"/>
        <w:rPr>
          <w:rFonts w:ascii="Arial" w:cs="Arial" w:eastAsia="Arial" w:hAnsi="Arial"/>
          <w:sz w:val="16"/>
          <w:szCs w:val="16"/>
          <w:color w:val="4B1F68"/>
        </w:rPr>
      </w:pPr>
    </w:p>
    <w:p>
      <w:pPr>
        <w:ind w:left="500" w:right="60" w:hanging="317"/>
        <w:spacing w:after="0" w:line="260" w:lineRule="auto"/>
        <w:tabs>
          <w:tab w:leader="none" w:pos="500" w:val="left"/>
        </w:tabs>
        <w:numPr>
          <w:ilvl w:val="0"/>
          <w:numId w:val="73"/>
        </w:numPr>
        <w:rPr>
          <w:rFonts w:ascii="Arial" w:cs="Arial" w:eastAsia="Arial" w:hAnsi="Arial"/>
          <w:sz w:val="16"/>
          <w:szCs w:val="16"/>
          <w:color w:val="4B1F68"/>
        </w:rPr>
      </w:pPr>
      <w:r>
        <w:rPr>
          <w:rFonts w:ascii="Arial" w:cs="Arial" w:eastAsia="Arial" w:hAnsi="Arial"/>
          <w:sz w:val="16"/>
          <w:szCs w:val="16"/>
          <w:color w:val="3B3C43"/>
        </w:rPr>
        <w:t>Total target compensation is benchmarked relative to appropriate peer groups by our independent compensation consultant and is targeted at market median.</w:t>
      </w:r>
    </w:p>
    <w:p>
      <w:pPr>
        <w:spacing w:after="0" w:line="168" w:lineRule="exact"/>
        <w:rPr>
          <w:rFonts w:ascii="Arial" w:cs="Arial" w:eastAsia="Arial" w:hAnsi="Arial"/>
          <w:sz w:val="16"/>
          <w:szCs w:val="16"/>
          <w:color w:val="4B1F68"/>
        </w:rPr>
      </w:pPr>
    </w:p>
    <w:p>
      <w:pPr>
        <w:ind w:left="500" w:hanging="317"/>
        <w:spacing w:after="0"/>
        <w:tabs>
          <w:tab w:leader="none" w:pos="500" w:val="left"/>
        </w:tabs>
        <w:numPr>
          <w:ilvl w:val="0"/>
          <w:numId w:val="73"/>
        </w:numPr>
        <w:rPr>
          <w:rFonts w:ascii="Arial" w:cs="Arial" w:eastAsia="Arial" w:hAnsi="Arial"/>
          <w:sz w:val="16"/>
          <w:szCs w:val="16"/>
          <w:color w:val="4B1F68"/>
        </w:rPr>
      </w:pPr>
      <w:r>
        <w:rPr>
          <w:rFonts w:ascii="Arial" w:cs="Arial" w:eastAsia="Arial" w:hAnsi="Arial"/>
          <w:sz w:val="16"/>
          <w:szCs w:val="16"/>
          <w:color w:val="3B3C43"/>
        </w:rPr>
        <w:t>Annual cash incentive is based on financial performance (75%) and individual performance in areas of strategic significance (25%).</w:t>
      </w:r>
    </w:p>
    <w:p>
      <w:pPr>
        <w:spacing w:after="0" w:line="194" w:lineRule="exact"/>
        <w:rPr>
          <w:rFonts w:ascii="Arial" w:cs="Arial" w:eastAsia="Arial" w:hAnsi="Arial"/>
          <w:sz w:val="16"/>
          <w:szCs w:val="16"/>
          <w:color w:val="4B1F68"/>
        </w:rPr>
      </w:pPr>
    </w:p>
    <w:p>
      <w:pPr>
        <w:ind w:left="880" w:hanging="332"/>
        <w:spacing w:after="0" w:line="250" w:lineRule="auto"/>
        <w:tabs>
          <w:tab w:leader="none" w:pos="880" w:val="left"/>
        </w:tabs>
        <w:numPr>
          <w:ilvl w:val="1"/>
          <w:numId w:val="73"/>
        </w:numPr>
        <w:rPr>
          <w:rFonts w:ascii="Arial" w:cs="Arial" w:eastAsia="Arial" w:hAnsi="Arial"/>
          <w:sz w:val="16"/>
          <w:szCs w:val="16"/>
          <w:color w:val="00ADE8"/>
        </w:rPr>
      </w:pPr>
      <w:r>
        <w:rPr>
          <w:rFonts w:ascii="Arial" w:cs="Arial" w:eastAsia="Arial" w:hAnsi="Arial"/>
          <w:sz w:val="16"/>
          <w:szCs w:val="16"/>
          <w:color w:val="3B3C43"/>
        </w:rPr>
        <w:t>Payouts for the financial portion are based on quantifiable performance. There is no payout if Company performance is below a minimum level of performance due to our emphasis on paying for performance. Payouts increase with increasing levels of performance and there is a cap on payout at maximum performance. Notably, for the 2020 annual cash incentive plan, this cap for financial performance was further reduced to a cap of 100% payout at target performance. Performance targets and goals are predetermined, communicated in advance, and disclosed publicly.</w:t>
      </w:r>
    </w:p>
    <w:p>
      <w:pPr>
        <w:spacing w:after="0" w:line="367" w:lineRule="exact"/>
        <w:rPr>
          <w:rFonts w:ascii="Arial" w:cs="Arial" w:eastAsia="Arial" w:hAnsi="Arial"/>
          <w:sz w:val="16"/>
          <w:szCs w:val="16"/>
          <w:color w:val="00ADE8"/>
        </w:rPr>
      </w:pPr>
    </w:p>
    <w:p>
      <w:pPr>
        <w:ind w:left="880" w:hanging="332"/>
        <w:spacing w:after="0"/>
        <w:tabs>
          <w:tab w:leader="none" w:pos="880" w:val="left"/>
        </w:tabs>
        <w:numPr>
          <w:ilvl w:val="1"/>
          <w:numId w:val="73"/>
        </w:numPr>
        <w:rPr>
          <w:rFonts w:ascii="Arial" w:cs="Arial" w:eastAsia="Arial" w:hAnsi="Arial"/>
          <w:sz w:val="16"/>
          <w:szCs w:val="16"/>
          <w:color w:val="00ADE8"/>
        </w:rPr>
      </w:pPr>
      <w:r>
        <w:rPr>
          <w:rFonts w:ascii="Arial" w:cs="Arial" w:eastAsia="Arial" w:hAnsi="Arial"/>
          <w:sz w:val="16"/>
          <w:szCs w:val="16"/>
          <w:color w:val="3B3C43"/>
        </w:rPr>
        <w:t>Payout for the individual performance indicators are based on rigorous, individual goal setting and year-end evaluation of performance.</w:t>
      </w:r>
    </w:p>
    <w:p>
      <w:pPr>
        <w:spacing w:after="0" w:line="194" w:lineRule="exact"/>
        <w:rPr>
          <w:rFonts w:ascii="Arial" w:cs="Arial" w:eastAsia="Arial" w:hAnsi="Arial"/>
          <w:sz w:val="16"/>
          <w:szCs w:val="16"/>
          <w:color w:val="00ADE8"/>
        </w:rPr>
      </w:pPr>
    </w:p>
    <w:p>
      <w:pPr>
        <w:ind w:left="500" w:hanging="317"/>
        <w:spacing w:after="0"/>
        <w:tabs>
          <w:tab w:leader="none" w:pos="500" w:val="left"/>
        </w:tabs>
        <w:numPr>
          <w:ilvl w:val="0"/>
          <w:numId w:val="73"/>
        </w:numPr>
        <w:rPr>
          <w:rFonts w:ascii="Arial" w:cs="Arial" w:eastAsia="Arial" w:hAnsi="Arial"/>
          <w:sz w:val="16"/>
          <w:szCs w:val="16"/>
          <w:color w:val="4B1F68"/>
        </w:rPr>
      </w:pPr>
      <w:r>
        <w:rPr>
          <w:rFonts w:ascii="Arial" w:cs="Arial" w:eastAsia="Arial" w:hAnsi="Arial"/>
          <w:sz w:val="16"/>
          <w:szCs w:val="16"/>
          <w:color w:val="3B3C43"/>
        </w:rPr>
        <w:t>PSUs comprise the majority of long-term equity incentives (70%) with vesting contingent on relative TSR performance, measured over three years.</w:t>
      </w:r>
    </w:p>
    <w:p>
      <w:pPr>
        <w:spacing w:after="0" w:line="194" w:lineRule="exact"/>
        <w:rPr>
          <w:rFonts w:ascii="Arial" w:cs="Arial" w:eastAsia="Arial" w:hAnsi="Arial"/>
          <w:sz w:val="16"/>
          <w:szCs w:val="16"/>
          <w:color w:val="4B1F68"/>
        </w:rPr>
      </w:pPr>
    </w:p>
    <w:p>
      <w:pPr>
        <w:ind w:left="880" w:right="20" w:hanging="332"/>
        <w:spacing w:after="0" w:line="251" w:lineRule="auto"/>
        <w:tabs>
          <w:tab w:leader="none" w:pos="880" w:val="left"/>
        </w:tabs>
        <w:numPr>
          <w:ilvl w:val="1"/>
          <w:numId w:val="73"/>
        </w:numPr>
        <w:rPr>
          <w:rFonts w:ascii="Arial" w:cs="Arial" w:eastAsia="Arial" w:hAnsi="Arial"/>
          <w:sz w:val="16"/>
          <w:szCs w:val="16"/>
          <w:color w:val="00ADE8"/>
        </w:rPr>
      </w:pPr>
      <w:r>
        <w:rPr>
          <w:rFonts w:ascii="Arial" w:cs="Arial" w:eastAsia="Arial" w:hAnsi="Arial"/>
          <w:sz w:val="16"/>
          <w:szCs w:val="16"/>
          <w:color w:val="3B3C43"/>
        </w:rPr>
        <w:t>Payouts for the PSU plan are based on performance. There is no payout if Company performance is below a minimum level of performance, and there is a cap on payout at maximum performance. In addition, in the case of negative absolute TSR performance, payouts are capped at target, even if our TSR performance relative to our Relative TSR Peer Group (as defined below) is above target. Performance targets and goals are pre-determined, communicated in advance, and disclosed publicly.</w:t>
      </w:r>
    </w:p>
    <w:p>
      <w:pPr>
        <w:spacing w:after="0" w:line="175" w:lineRule="exact"/>
        <w:rPr>
          <w:rFonts w:ascii="Arial" w:cs="Arial" w:eastAsia="Arial" w:hAnsi="Arial"/>
          <w:sz w:val="16"/>
          <w:szCs w:val="16"/>
          <w:color w:val="00ADE8"/>
        </w:rPr>
      </w:pPr>
    </w:p>
    <w:p>
      <w:pPr>
        <w:ind w:left="500" w:right="340" w:hanging="317"/>
        <w:spacing w:after="0" w:line="260" w:lineRule="auto"/>
        <w:tabs>
          <w:tab w:leader="none" w:pos="500" w:val="left"/>
        </w:tabs>
        <w:numPr>
          <w:ilvl w:val="0"/>
          <w:numId w:val="73"/>
        </w:numPr>
        <w:rPr>
          <w:rFonts w:ascii="Arial" w:cs="Arial" w:eastAsia="Arial" w:hAnsi="Arial"/>
          <w:sz w:val="16"/>
          <w:szCs w:val="16"/>
          <w:color w:val="4B1F68"/>
        </w:rPr>
      </w:pPr>
      <w:r>
        <w:rPr>
          <w:rFonts w:ascii="Arial" w:cs="Arial" w:eastAsia="Arial" w:hAnsi="Arial"/>
          <w:sz w:val="16"/>
          <w:szCs w:val="16"/>
          <w:color w:val="3B3C43"/>
        </w:rPr>
        <w:t>The remainder of the long-term equity incentives are delivered in the form of RSUs. The delivered value of RSUs to NEOs is also based on share price performance.</w:t>
      </w:r>
    </w:p>
    <w:p>
      <w:pPr>
        <w:spacing w:after="0" w:line="168" w:lineRule="exact"/>
        <w:rPr>
          <w:rFonts w:ascii="Arial" w:cs="Arial" w:eastAsia="Arial" w:hAnsi="Arial"/>
          <w:sz w:val="16"/>
          <w:szCs w:val="16"/>
          <w:color w:val="4B1F68"/>
        </w:rPr>
      </w:pPr>
    </w:p>
    <w:p>
      <w:pPr>
        <w:ind w:left="500" w:right="340" w:hanging="317"/>
        <w:spacing w:after="0" w:line="260" w:lineRule="auto"/>
        <w:tabs>
          <w:tab w:leader="none" w:pos="500" w:val="left"/>
        </w:tabs>
        <w:numPr>
          <w:ilvl w:val="0"/>
          <w:numId w:val="73"/>
        </w:numPr>
        <w:rPr>
          <w:rFonts w:ascii="Arial" w:cs="Arial" w:eastAsia="Arial" w:hAnsi="Arial"/>
          <w:sz w:val="16"/>
          <w:szCs w:val="16"/>
          <w:color w:val="4B1F68"/>
        </w:rPr>
      </w:pPr>
      <w:r>
        <w:rPr>
          <w:rFonts w:ascii="Arial" w:cs="Arial" w:eastAsia="Arial" w:hAnsi="Arial"/>
          <w:sz w:val="16"/>
          <w:szCs w:val="16"/>
          <w:color w:val="3B3C43"/>
        </w:rPr>
        <w:t>In 2020, stock options were removed from our executive compensation program, based on feedback from shareholders that stock options are not performance-based.</w:t>
      </w:r>
    </w:p>
    <w:p>
      <w:pPr>
        <w:spacing w:after="0" w:line="168" w:lineRule="exact"/>
        <w:rPr>
          <w:rFonts w:ascii="Arial" w:cs="Arial" w:eastAsia="Arial" w:hAnsi="Arial"/>
          <w:sz w:val="16"/>
          <w:szCs w:val="16"/>
          <w:color w:val="4B1F68"/>
        </w:rPr>
      </w:pPr>
    </w:p>
    <w:p>
      <w:pPr>
        <w:ind w:left="500" w:hanging="317"/>
        <w:spacing w:after="0"/>
        <w:tabs>
          <w:tab w:leader="none" w:pos="500" w:val="left"/>
        </w:tabs>
        <w:numPr>
          <w:ilvl w:val="0"/>
          <w:numId w:val="73"/>
        </w:numPr>
        <w:rPr>
          <w:rFonts w:ascii="Arial" w:cs="Arial" w:eastAsia="Arial" w:hAnsi="Arial"/>
          <w:sz w:val="16"/>
          <w:szCs w:val="16"/>
          <w:color w:val="4B1F68"/>
        </w:rPr>
      </w:pPr>
      <w:r>
        <w:rPr>
          <w:rFonts w:ascii="Arial" w:cs="Arial" w:eastAsia="Arial" w:hAnsi="Arial"/>
          <w:sz w:val="16"/>
          <w:szCs w:val="16"/>
          <w:color w:val="3B3C43"/>
        </w:rPr>
        <w:t>All long-term equity incentive awards vest at the end of three years, providing a significant retention incentive to NEOs.</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66</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TechnipFMC 2020 Performance</w:t>
      </w:r>
    </w:p>
    <w:p>
      <w:pPr>
        <w:spacing w:after="0" w:line="1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3B3C43"/>
        </w:rPr>
        <w:t>The record inbound orders and solid execution of 2019 gave us strong momentum into the new year, but 2020 abruptly shifted to a year of unprecedented global challenges due to the COVID-19 pandemic and the sharp drop in demand for oil and natural gas. Throughout this period, the health and well-being of our people and those of the communities in which we work remained our top priority. Still, there were many notable accomplishments in 2020 as a result of the tireless efforts and unwavering commitment of the women and men of TechnipFMC. Through their determination, innovation, and resilience, we also protected our backlog and remained focused on project execution, enabling us to deliver strong performance and achieve our financial guidance across all segments.</w:t>
      </w:r>
    </w:p>
    <w:p>
      <w:pPr>
        <w:spacing w:after="0" w:line="178"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3B3C43"/>
        </w:rPr>
        <w:t>Through collaboration, we found solutions that allowed us to move projects forward safely, earning recognition from clients, and others in the industry. Our solutions add value to some of the largest capital investments in the world. With the introduction of our Subsea integrated engineering, procurement, construction, and installation (“</w:t>
      </w:r>
      <w:r>
        <w:rPr>
          <w:rFonts w:ascii="Arial" w:cs="Arial" w:eastAsia="Arial" w:hAnsi="Arial"/>
          <w:sz w:val="16"/>
          <w:szCs w:val="16"/>
          <w:b w:val="1"/>
          <w:bCs w:val="1"/>
          <w:color w:val="3B3C43"/>
        </w:rPr>
        <w:t>iEPCI</w:t>
      </w:r>
      <w:r>
        <w:rPr>
          <w:rFonts w:ascii="Arial" w:cs="Arial" w:eastAsia="Arial" w:hAnsi="Arial"/>
          <w:sz w:val="16"/>
          <w:szCs w:val="16"/>
          <w:color w:val="3B3C43"/>
        </w:rPr>
        <w:t>™”) business model, we are changing the way projects are conceived and executed by lowering project costs and accelerating the delivery of initial hydrocarbon production.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6"/>
          <w:szCs w:val="16"/>
          <w:color w:val="3B3C43"/>
        </w:rPr>
        <w:t>The integrated business model is unlocking incremental opportunities and materially expanding the deepwater opportunity set. Since the first iEPCI™ project was awarded in 2016, market adoption of the business model has grown, and in 2019, we secured more than 70% of the industry’s integrated project awards. We received additional integrated awards in 2020, all of which came from repeat iEPCI™ customers.</w:t>
      </w:r>
    </w:p>
    <w:p>
      <w:pPr>
        <w:spacing w:after="0" w:line="17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3B3C43"/>
        </w:rPr>
        <w:t>Our Subsea front-end engineering teams remained very active, with an acceleration in front-end studies as we progressed through the second half of the year. More than 50% of these studies today are utilizing an integrated approach, leveraging the benefits of our digital Subsea Studio™ offering and positioning us well for future iEPCI™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109220</wp:posOffset>
            </wp:positionV>
            <wp:extent cx="7029450" cy="13887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2945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In November, we provided a comprehensive overview of our ESG efforts, including new initiatives to be realized through 2023 and a bold commitment to deliver a 50 percent reduction in Scope 1 and 2 equivalent GHG emissions by 2030. As part of our efforts to drive sustainable change, we introduced key elements of our digital transformation, including Subsea Studio™ and iComplete™, both of which will improve project economics, enhance performance, and reduce emissions.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TechnipFMC is well-positioned for the Energy Transition, with significant offshore opportunities in Subsea including novel wind, wave energy, carbon storage, and green hydrogen. Deep Purple™ is one such initiative, where we are leveraging our core capabilities: iEPCI™, proprietary technologies, and partner alliances. Additionally, we see future opportunities driven by our investments in early phase projects and solutions that accelerate the role of our technologies in the Energy Transition as we continue to redefine offshore energy.</w:t>
      </w:r>
    </w:p>
    <w:p>
      <w:pPr>
        <w:spacing w:after="0" w:line="17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3B3C43"/>
        </w:rPr>
        <w:t>Throughout 2020, we continued our work to separate TechnipFMC into two industry-leading, pure-play companies, with the transaction now completed through the Spin-off of Technip Energies on February 16, 2021.</w:t>
      </w:r>
    </w:p>
    <w:p>
      <w:pPr>
        <w:spacing w:after="0" w:line="16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3B3C43"/>
        </w:rPr>
        <w:t>TechnipFMC shareholders received, as a dividend, one ordinary share of Technip Energies N.V. for every five ordinary shares of TechnipFMC held at the close of business on the record date. Technip Energies is now an independent public company. Its ordinary shares are traded under the ticker symbol “TE” on the Euronext Paris Exchange and its Level 1 ADRs trade over-the-counter in the United States.</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67</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25374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53746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b w:val="1"/>
          <w:bCs w:val="1"/>
          <w:color w:val="3B3C43"/>
        </w:rPr>
        <w:t xml:space="preserve">TechnipFMC </w:t>
      </w:r>
      <w:r>
        <w:rPr>
          <w:rFonts w:ascii="Arial" w:cs="Arial" w:eastAsia="Arial" w:hAnsi="Arial"/>
          <w:sz w:val="16"/>
          <w:szCs w:val="16"/>
          <w:color w:val="3B3C43"/>
        </w:rPr>
        <w:t>is a leading technology provider to the traditional and new</w:t>
      </w:r>
      <w:r>
        <w:rPr>
          <w:rFonts w:ascii="Arial" w:cs="Arial" w:eastAsia="Arial" w:hAnsi="Arial"/>
          <w:sz w:val="16"/>
          <w:szCs w:val="16"/>
          <w:b w:val="1"/>
          <w:bCs w:val="1"/>
          <w:color w:val="3B3C43"/>
        </w:rPr>
        <w:t xml:space="preserve"> </w:t>
      </w:r>
      <w:r>
        <w:rPr>
          <w:rFonts w:ascii="Arial" w:cs="Arial" w:eastAsia="Arial" w:hAnsi="Arial"/>
          <w:sz w:val="16"/>
          <w:szCs w:val="16"/>
          <w:color w:val="3B3C43"/>
        </w:rPr>
        <w:t>energy industries, delivering fully integrated projects, products, and services.</w:t>
      </w:r>
    </w:p>
    <w:p>
      <w:pPr>
        <w:spacing w:after="0" w:line="164"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3B3C43"/>
        </w:rPr>
        <w:t>With our proprietary technologies and comprehensive solutions, we are transforming our clients’ project economics, helping them unlock new possibilities to develop energy resources while reducing carbon intensity and supporting their energy transition ambitions.</w:t>
      </w:r>
    </w:p>
    <w:p>
      <w:pPr>
        <w:spacing w:after="0" w:line="175"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6"/>
          <w:szCs w:val="16"/>
          <w:color w:val="3B3C43"/>
        </w:rPr>
        <w:t>TechnipFMC will continue to advance the industry with our pioneering integrated ecosystems (such as iEPCI™, iFEED™ and iComplete™), technology leadership, and digital innovation.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b w:val="1"/>
          <w:bCs w:val="1"/>
          <w:color w:val="3B3C43"/>
        </w:rPr>
        <w:t xml:space="preserve">Technip Energies </w:t>
      </w:r>
      <w:r>
        <w:rPr>
          <w:rFonts w:ascii="Arial" w:cs="Arial" w:eastAsia="Arial" w:hAnsi="Arial"/>
          <w:sz w:val="16"/>
          <w:szCs w:val="16"/>
          <w:color w:val="3B3C43"/>
        </w:rPr>
        <w:t>is a leading engineering and technology company,</w:t>
      </w:r>
      <w:r>
        <w:rPr>
          <w:rFonts w:ascii="Arial" w:cs="Arial" w:eastAsia="Arial" w:hAnsi="Arial"/>
          <w:sz w:val="16"/>
          <w:szCs w:val="16"/>
          <w:b w:val="1"/>
          <w:bCs w:val="1"/>
          <w:color w:val="3B3C43"/>
        </w:rPr>
        <w:t xml:space="preserve"> </w:t>
      </w:r>
      <w:r>
        <w:rPr>
          <w:rFonts w:ascii="Arial" w:cs="Arial" w:eastAsia="Arial" w:hAnsi="Arial"/>
          <w:sz w:val="16"/>
          <w:szCs w:val="16"/>
          <w:color w:val="3B3C43"/>
        </w:rPr>
        <w:t>with leadership positions in LNG, hydrogen, and ethylene, as well as growing market positions in blue and green hydrogen, sustainable chemistry, and CO</w:t>
      </w:r>
      <w:r>
        <w:rPr>
          <w:rFonts w:ascii="Arial" w:cs="Arial" w:eastAsia="Arial" w:hAnsi="Arial"/>
          <w:sz w:val="12"/>
          <w:szCs w:val="12"/>
          <w:color w:val="3B3C43"/>
        </w:rPr>
        <w:t>2</w:t>
      </w:r>
      <w:r>
        <w:rPr>
          <w:rFonts w:ascii="Arial" w:cs="Arial" w:eastAsia="Arial" w:hAnsi="Arial"/>
          <w:sz w:val="16"/>
          <w:szCs w:val="16"/>
          <w:color w:val="3B3C43"/>
        </w:rPr>
        <w:t xml:space="preserve"> management.</w:t>
      </w:r>
    </w:p>
    <w:p>
      <w:pPr>
        <w:spacing w:after="0" w:line="17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3B3C43"/>
        </w:rPr>
        <w:t>The company benefits from its robust project delivery model supported by an extensive technology, products, and services offering.</w:t>
      </w:r>
    </w:p>
    <w:p>
      <w:pPr>
        <w:spacing w:after="0" w:line="16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3B3C43"/>
        </w:rPr>
        <w:t>The new company includes Genesis - a leader in advisory services and front-end engineering.</w:t>
      </w:r>
    </w:p>
    <w:p>
      <w:pPr>
        <w:spacing w:after="0" w:line="572" w:lineRule="exact"/>
        <w:rPr>
          <w:sz w:val="20"/>
          <w:szCs w:val="20"/>
          <w:color w:val="auto"/>
        </w:rPr>
      </w:pPr>
    </w:p>
    <w:p>
      <w:pPr>
        <w:sectPr>
          <w:pgSz w:w="11900" w:h="16838" w:orient="portrait"/>
          <w:cols w:equalWidth="0" w:num="2">
            <w:col w:w="5280" w:space="680"/>
            <w:col w:w="5280"/>
          </w:cols>
          <w:pgMar w:left="320" w:top="288" w:right="3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Creating Two Industry Leaders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660" w:type="dxa"/>
            <w:vAlign w:val="bottom"/>
            <w:shd w:val="clear" w:color="auto" w:fill="4B1F68"/>
          </w:tcPr>
          <w:p>
            <w:pPr>
              <w:spacing w:after="0"/>
              <w:rPr>
                <w:sz w:val="24"/>
                <w:szCs w:val="24"/>
                <w:color w:val="auto"/>
              </w:rPr>
            </w:pPr>
          </w:p>
        </w:tc>
        <w:tc>
          <w:tcPr>
            <w:tcW w:w="5540" w:type="dxa"/>
            <w:vAlign w:val="bottom"/>
            <w:shd w:val="clear" w:color="auto" w:fill="4B1F68"/>
          </w:tcPr>
          <w:p>
            <w:pPr>
              <w:ind w:left="2780"/>
              <w:spacing w:after="0"/>
              <w:rPr>
                <w:sz w:val="20"/>
                <w:szCs w:val="20"/>
                <w:color w:val="auto"/>
              </w:rPr>
            </w:pPr>
            <w:r>
              <w:rPr>
                <w:rFonts w:ascii="Arial" w:cs="Arial" w:eastAsia="Arial" w:hAnsi="Arial"/>
                <w:sz w:val="16"/>
                <w:szCs w:val="16"/>
                <w:b w:val="1"/>
                <w:bCs w:val="1"/>
                <w:color w:val="FFFFFF"/>
              </w:rPr>
              <w:t>Creating Two Industry Leaders</w:t>
            </w:r>
          </w:p>
        </w:tc>
        <w:tc>
          <w:tcPr>
            <w:tcW w:w="4040" w:type="dxa"/>
            <w:vAlign w:val="bottom"/>
            <w:shd w:val="clear" w:color="auto" w:fill="4B1F68"/>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660" w:type="dxa"/>
            <w:vAlign w:val="bottom"/>
            <w:shd w:val="clear" w:color="auto" w:fill="4B1F68"/>
          </w:tcPr>
          <w:p>
            <w:pPr>
              <w:spacing w:after="0"/>
              <w:rPr>
                <w:sz w:val="6"/>
                <w:szCs w:val="6"/>
                <w:color w:val="auto"/>
              </w:rPr>
            </w:pPr>
          </w:p>
        </w:tc>
        <w:tc>
          <w:tcPr>
            <w:tcW w:w="5540" w:type="dxa"/>
            <w:vAlign w:val="bottom"/>
            <w:shd w:val="clear" w:color="auto" w:fill="4B1F68"/>
          </w:tcPr>
          <w:p>
            <w:pPr>
              <w:spacing w:after="0"/>
              <w:rPr>
                <w:sz w:val="6"/>
                <w:szCs w:val="6"/>
                <w:color w:val="auto"/>
              </w:rPr>
            </w:pPr>
          </w:p>
        </w:tc>
        <w:tc>
          <w:tcPr>
            <w:tcW w:w="4040" w:type="dxa"/>
            <w:vAlign w:val="bottom"/>
            <w:shd w:val="clear" w:color="auto" w:fill="4B1F68"/>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E1E2E0"/>
          </w:tcPr>
          <w:p>
            <w:pPr>
              <w:spacing w:after="0"/>
              <w:rPr>
                <w:sz w:val="16"/>
                <w:szCs w:val="16"/>
                <w:color w:val="auto"/>
              </w:rPr>
            </w:pPr>
          </w:p>
        </w:tc>
        <w:tc>
          <w:tcPr>
            <w:tcW w:w="5540" w:type="dxa"/>
            <w:vAlign w:val="bottom"/>
            <w:vMerge w:val="restart"/>
            <w:shd w:val="clear" w:color="auto" w:fill="E1E2E0"/>
          </w:tcPr>
          <w:p>
            <w:pPr>
              <w:ind w:left="180"/>
              <w:spacing w:after="0"/>
              <w:rPr>
                <w:sz w:val="20"/>
                <w:szCs w:val="20"/>
                <w:color w:val="auto"/>
              </w:rPr>
            </w:pPr>
            <w:r>
              <w:rPr>
                <w:rFonts w:ascii="Arial" w:cs="Arial" w:eastAsia="Arial" w:hAnsi="Arial"/>
                <w:sz w:val="16"/>
                <w:szCs w:val="16"/>
                <w:b w:val="1"/>
                <w:bCs w:val="1"/>
                <w:color w:val="3B3C43"/>
              </w:rPr>
              <w:t>Distinct and expanding market</w:t>
            </w:r>
          </w:p>
        </w:tc>
        <w:tc>
          <w:tcPr>
            <w:tcW w:w="4040" w:type="dxa"/>
            <w:vAlign w:val="bottom"/>
            <w:vMerge w:val="restart"/>
            <w:shd w:val="clear" w:color="auto" w:fill="E1E2E0"/>
          </w:tcPr>
          <w:p>
            <w:pPr>
              <w:ind w:left="400"/>
              <w:spacing w:after="0"/>
              <w:rPr>
                <w:sz w:val="20"/>
                <w:szCs w:val="20"/>
                <w:color w:val="auto"/>
              </w:rPr>
            </w:pPr>
            <w:r>
              <w:rPr>
                <w:rFonts w:ascii="Arial" w:cs="Arial" w:eastAsia="Arial" w:hAnsi="Arial"/>
                <w:sz w:val="16"/>
                <w:szCs w:val="16"/>
                <w:b w:val="1"/>
                <w:bCs w:val="1"/>
                <w:color w:val="3B3C43"/>
              </w:rPr>
              <w:t>Robust backlogs supporting future revenue</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5540" w:type="dxa"/>
            <w:vAlign w:val="bottom"/>
            <w:vMerge w:val="continue"/>
            <w:shd w:val="clear" w:color="auto" w:fill="E1E2E0"/>
          </w:tcPr>
          <w:p>
            <w:pPr>
              <w:spacing w:after="0"/>
              <w:rPr>
                <w:sz w:val="14"/>
                <w:szCs w:val="14"/>
                <w:color w:val="auto"/>
              </w:rPr>
            </w:pPr>
          </w:p>
        </w:tc>
        <w:tc>
          <w:tcPr>
            <w:tcW w:w="4040" w:type="dxa"/>
            <w:vAlign w:val="bottom"/>
            <w:vMerge w:val="continue"/>
            <w:shd w:val="clear" w:color="auto" w:fill="E1E2E0"/>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5540" w:type="dxa"/>
            <w:vAlign w:val="bottom"/>
            <w:shd w:val="clear" w:color="auto" w:fill="E1E2E0"/>
          </w:tcPr>
          <w:p>
            <w:pPr>
              <w:ind w:left="180"/>
              <w:spacing w:after="0"/>
              <w:rPr>
                <w:sz w:val="20"/>
                <w:szCs w:val="20"/>
                <w:color w:val="auto"/>
              </w:rPr>
            </w:pPr>
            <w:r>
              <w:rPr>
                <w:rFonts w:ascii="Arial" w:cs="Arial" w:eastAsia="Arial" w:hAnsi="Arial"/>
                <w:sz w:val="16"/>
                <w:szCs w:val="16"/>
                <w:b w:val="1"/>
                <w:bCs w:val="1"/>
                <w:color w:val="3B3C43"/>
              </w:rPr>
              <w:t>opportunities and specific customer</w:t>
            </w:r>
          </w:p>
        </w:tc>
        <w:tc>
          <w:tcPr>
            <w:tcW w:w="404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18"/>
                <w:szCs w:val="18"/>
                <w:color w:val="auto"/>
              </w:rPr>
            </w:pPr>
          </w:p>
        </w:tc>
        <w:tc>
          <w:tcPr>
            <w:tcW w:w="5540" w:type="dxa"/>
            <w:vAlign w:val="bottom"/>
            <w:shd w:val="clear" w:color="auto" w:fill="E1E2E0"/>
          </w:tcPr>
          <w:p>
            <w:pPr>
              <w:ind w:left="180"/>
              <w:spacing w:after="0"/>
              <w:rPr>
                <w:sz w:val="20"/>
                <w:szCs w:val="20"/>
                <w:color w:val="auto"/>
              </w:rPr>
            </w:pPr>
            <w:r>
              <w:rPr>
                <w:rFonts w:ascii="Arial" w:cs="Arial" w:eastAsia="Arial" w:hAnsi="Arial"/>
                <w:sz w:val="16"/>
                <w:szCs w:val="16"/>
                <w:b w:val="1"/>
                <w:bCs w:val="1"/>
                <w:color w:val="3B3C43"/>
              </w:rPr>
              <w:t>bases</w:t>
            </w:r>
          </w:p>
        </w:tc>
        <w:tc>
          <w:tcPr>
            <w:tcW w:w="4040" w:type="dxa"/>
            <w:vAlign w:val="bottom"/>
            <w:shd w:val="clear" w:color="auto" w:fill="E1E2E0"/>
          </w:tcPr>
          <w:p>
            <w:pPr>
              <w:spacing w:after="0"/>
              <w:rPr>
                <w:sz w:val="18"/>
                <w:szCs w:val="18"/>
                <w:color w:val="auto"/>
              </w:rPr>
            </w:pPr>
          </w:p>
        </w:tc>
        <w:tc>
          <w:tcPr>
            <w:tcW w:w="0" w:type="dxa"/>
            <w:vAlign w:val="bottom"/>
          </w:tcPr>
          <w:p>
            <w:pPr>
              <w:spacing w:after="0"/>
              <w:rPr>
                <w:sz w:val="1"/>
                <w:szCs w:val="1"/>
                <w:color w:val="auto"/>
              </w:rPr>
            </w:pPr>
          </w:p>
        </w:tc>
      </w:tr>
      <w:tr>
        <w:trPr>
          <w:trHeight w:val="519"/>
        </w:trPr>
        <w:tc>
          <w:tcPr>
            <w:tcW w:w="1660" w:type="dxa"/>
            <w:vAlign w:val="bottom"/>
          </w:tcPr>
          <w:p>
            <w:pPr>
              <w:spacing w:after="0"/>
              <w:rPr>
                <w:sz w:val="24"/>
                <w:szCs w:val="24"/>
                <w:color w:val="auto"/>
              </w:rPr>
            </w:pPr>
          </w:p>
        </w:tc>
        <w:tc>
          <w:tcPr>
            <w:tcW w:w="5540" w:type="dxa"/>
            <w:vAlign w:val="bottom"/>
            <w:shd w:val="clear" w:color="auto" w:fill="E1E2E0"/>
          </w:tcPr>
          <w:p>
            <w:pPr>
              <w:spacing w:after="0"/>
              <w:rPr>
                <w:sz w:val="24"/>
                <w:szCs w:val="24"/>
                <w:color w:val="auto"/>
              </w:rPr>
            </w:pPr>
          </w:p>
        </w:tc>
        <w:tc>
          <w:tcPr>
            <w:tcW w:w="4040" w:type="dxa"/>
            <w:vAlign w:val="bottom"/>
            <w:shd w:val="clear" w:color="auto" w:fill="E1E2E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-813435</wp:posOffset>
            </wp:positionV>
            <wp:extent cx="4585970" cy="21088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85970" cy="2108835"/>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529"/>
        </w:trPr>
        <w:tc>
          <w:tcPr>
            <w:tcW w:w="3940" w:type="dxa"/>
            <w:vAlign w:val="bottom"/>
          </w:tcPr>
          <w:p>
            <w:pPr>
              <w:spacing w:after="0"/>
              <w:rPr>
                <w:sz w:val="20"/>
                <w:szCs w:val="20"/>
                <w:color w:val="auto"/>
              </w:rPr>
            </w:pPr>
            <w:r>
              <w:rPr>
                <w:rFonts w:ascii="Arial" w:cs="Arial" w:eastAsia="Arial" w:hAnsi="Arial"/>
                <w:sz w:val="16"/>
                <w:szCs w:val="16"/>
                <w:b w:val="1"/>
                <w:bCs w:val="1"/>
                <w:color w:val="3B3C43"/>
              </w:rPr>
              <w:t>Enhanced focus of management,</w:t>
            </w:r>
          </w:p>
        </w:tc>
        <w:tc>
          <w:tcPr>
            <w:tcW w:w="5460" w:type="dxa"/>
            <w:vAlign w:val="bottom"/>
            <w:shd w:val="clear" w:color="auto" w:fill="E1E2E0"/>
          </w:tcPr>
          <w:p>
            <w:pPr>
              <w:ind w:left="1820"/>
              <w:spacing w:after="0"/>
              <w:rPr>
                <w:sz w:val="20"/>
                <w:szCs w:val="20"/>
                <w:color w:val="auto"/>
              </w:rPr>
            </w:pPr>
            <w:r>
              <w:rPr>
                <w:rFonts w:ascii="Arial" w:cs="Arial" w:eastAsia="Arial" w:hAnsi="Arial"/>
                <w:sz w:val="16"/>
                <w:szCs w:val="16"/>
                <w:b w:val="1"/>
                <w:bCs w:val="1"/>
                <w:color w:val="3B3C43"/>
              </w:rPr>
              <w:t>Compelling and distinct investment profiles</w:t>
            </w:r>
          </w:p>
        </w:tc>
      </w:tr>
      <w:tr>
        <w:trPr>
          <w:trHeight w:val="215"/>
        </w:trPr>
        <w:tc>
          <w:tcPr>
            <w:tcW w:w="3940" w:type="dxa"/>
            <w:vAlign w:val="bottom"/>
          </w:tcPr>
          <w:p>
            <w:pPr>
              <w:spacing w:after="0"/>
              <w:rPr>
                <w:sz w:val="20"/>
                <w:szCs w:val="20"/>
                <w:color w:val="auto"/>
              </w:rPr>
            </w:pPr>
            <w:r>
              <w:rPr>
                <w:rFonts w:ascii="Arial" w:cs="Arial" w:eastAsia="Arial" w:hAnsi="Arial"/>
                <w:sz w:val="16"/>
                <w:szCs w:val="16"/>
                <w:b w:val="1"/>
                <w:bCs w:val="1"/>
                <w:color w:val="3B3C43"/>
              </w:rPr>
              <w:t>resources and capital</w:t>
            </w:r>
          </w:p>
        </w:tc>
        <w:tc>
          <w:tcPr>
            <w:tcW w:w="5460" w:type="dxa"/>
            <w:vAlign w:val="bottom"/>
            <w:shd w:val="clear" w:color="auto" w:fill="E1E2E0"/>
          </w:tcPr>
          <w:p>
            <w:pPr>
              <w:spacing w:after="0"/>
              <w:rPr>
                <w:sz w:val="18"/>
                <w:szCs w:val="18"/>
                <w:color w:val="auto"/>
              </w:rPr>
            </w:pPr>
          </w:p>
        </w:tc>
      </w:tr>
      <w:tr>
        <w:trPr>
          <w:trHeight w:val="1275"/>
        </w:trPr>
        <w:tc>
          <w:tcPr>
            <w:tcW w:w="3940" w:type="dxa"/>
            <w:vAlign w:val="bottom"/>
          </w:tcPr>
          <w:p>
            <w:pPr>
              <w:spacing w:after="0"/>
              <w:rPr>
                <w:sz w:val="24"/>
                <w:szCs w:val="24"/>
                <w:color w:val="auto"/>
              </w:rPr>
            </w:pPr>
          </w:p>
        </w:tc>
        <w:tc>
          <w:tcPr>
            <w:tcW w:w="5460" w:type="dxa"/>
            <w:vAlign w:val="bottom"/>
            <w:shd w:val="clear" w:color="auto" w:fill="E1E2E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228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-1053465</wp:posOffset>
            </wp:positionV>
            <wp:extent cx="814705" cy="7112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000000"/>
                        </a:clrFrom>
                        <a:clrTo>
                          <a:srgbClr val="000000">
                            <a:alpha val="0"/>
                          </a:srgbClr>
                        </a:clrTo>
                      </a:clrChange>
                      <a:extLst>
                        <a:ext uri="{28A0092B-C50C-407E-A947-70E740481C1C}"/>
                      </a:extLst>
                    </a:blip>
                    <a:srcRect/>
                    <a:stretch>
                      <a:fillRect/>
                    </a:stretch>
                  </pic:blipFill>
                  <pic:spPr bwMode="auto">
                    <a:xfrm>
                      <a:off x="0" y="0"/>
                      <a:ext cx="814705" cy="71120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-1053465</wp:posOffset>
            </wp:positionV>
            <wp:extent cx="814705" cy="7112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814705" cy="71120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B3C43"/>
        </w:rPr>
        <w:t>Continuing to reshape the energy industry and create value for all stakeholders</w:t>
      </w:r>
    </w:p>
    <w:p>
      <w:pPr>
        <w:spacing w:after="0" w:line="295" w:lineRule="exact"/>
        <w:rPr>
          <w:sz w:val="20"/>
          <w:szCs w:val="20"/>
          <w:color w:val="auto"/>
        </w:rPr>
      </w:pPr>
    </w:p>
    <w:p>
      <w:pPr>
        <w:jc w:val="both"/>
        <w:ind w:right="280"/>
        <w:spacing w:after="0" w:line="260" w:lineRule="auto"/>
        <w:rPr>
          <w:sz w:val="20"/>
          <w:szCs w:val="20"/>
          <w:color w:val="auto"/>
        </w:rPr>
      </w:pPr>
      <w:r>
        <w:rPr>
          <w:rFonts w:ascii="Arial" w:cs="Arial" w:eastAsia="Arial" w:hAnsi="Arial"/>
          <w:sz w:val="16"/>
          <w:szCs w:val="16"/>
          <w:color w:val="3B3C43"/>
        </w:rPr>
        <w:t>The executive compensation programs for these two companies will continue to emphasize performance and will be tailored to each company’s business and strategy.</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68</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Key Strategic Achievements in 2020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3B3C43"/>
        </w:rPr>
        <w:t>We have summarized some of our key 2020 results and achievements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22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66040</wp:posOffset>
            </wp:positionV>
            <wp:extent cx="6412230" cy="128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12230" cy="1285875"/>
                    </a:xfrm>
                    <a:prstGeom prst="rect">
                      <a:avLst/>
                    </a:prstGeom>
                    <a:noFill/>
                  </pic:spPr>
                </pic:pic>
              </a:graphicData>
            </a:graphic>
          </wp:anchor>
        </w:drawing>
      </w:r>
    </w:p>
    <w:p>
      <w:pPr>
        <w:spacing w:after="0" w:line="167" w:lineRule="exact"/>
        <w:rPr>
          <w:sz w:val="20"/>
          <w:szCs w:val="20"/>
          <w:color w:val="auto"/>
        </w:rPr>
      </w:pPr>
    </w:p>
    <w:p>
      <w:pPr>
        <w:ind w:left="4640" w:right="2860" w:hanging="209"/>
        <w:spacing w:after="0" w:line="253" w:lineRule="auto"/>
        <w:tabs>
          <w:tab w:leader="none" w:pos="4629" w:val="left"/>
        </w:tabs>
        <w:numPr>
          <w:ilvl w:val="0"/>
          <w:numId w:val="74"/>
        </w:numPr>
        <w:rPr>
          <w:rFonts w:ascii="Arial" w:cs="Arial" w:eastAsia="Arial" w:hAnsi="Arial"/>
          <w:sz w:val="16"/>
          <w:szCs w:val="16"/>
          <w:color w:val="4B1F68"/>
        </w:rPr>
      </w:pPr>
      <w:r>
        <w:rPr>
          <w:rFonts w:ascii="Arial" w:cs="Arial" w:eastAsia="Arial" w:hAnsi="Arial"/>
          <w:sz w:val="16"/>
          <w:szCs w:val="16"/>
          <w:color w:val="3B3C43"/>
        </w:rPr>
        <w:t>Inbound orders of $4 billion, supported by higher mix of service and small project activity</w:t>
      </w:r>
    </w:p>
    <w:p>
      <w:pPr>
        <w:spacing w:after="0" w:line="174" w:lineRule="exact"/>
        <w:rPr>
          <w:rFonts w:ascii="Arial" w:cs="Arial" w:eastAsia="Arial" w:hAnsi="Arial"/>
          <w:sz w:val="16"/>
          <w:szCs w:val="16"/>
          <w:color w:val="4B1F68"/>
        </w:rPr>
      </w:pPr>
    </w:p>
    <w:p>
      <w:pPr>
        <w:ind w:left="4640" w:right="3220" w:hanging="209"/>
        <w:spacing w:after="0" w:line="260" w:lineRule="auto"/>
        <w:tabs>
          <w:tab w:leader="none" w:pos="4629" w:val="left"/>
        </w:tabs>
        <w:numPr>
          <w:ilvl w:val="0"/>
          <w:numId w:val="74"/>
        </w:numPr>
        <w:rPr>
          <w:rFonts w:ascii="Arial" w:cs="Arial" w:eastAsia="Arial" w:hAnsi="Arial"/>
          <w:sz w:val="16"/>
          <w:szCs w:val="16"/>
          <w:color w:val="4B1F68"/>
        </w:rPr>
      </w:pPr>
      <w:r>
        <w:rPr>
          <w:rFonts w:ascii="Arial" w:cs="Arial" w:eastAsia="Arial" w:hAnsi="Arial"/>
          <w:sz w:val="16"/>
          <w:szCs w:val="16"/>
          <w:color w:val="3B3C43"/>
        </w:rPr>
        <w:t>Additional integrated awards all from repeat iEPCI™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2228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Technip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66040</wp:posOffset>
            </wp:positionV>
            <wp:extent cx="6429375" cy="127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29375" cy="1277620"/>
                    </a:xfrm>
                    <a:prstGeom prst="rect">
                      <a:avLst/>
                    </a:prstGeom>
                    <a:noFill/>
                  </pic:spPr>
                </pic:pic>
              </a:graphicData>
            </a:graphic>
          </wp:anchor>
        </w:drawing>
      </w:r>
    </w:p>
    <w:p>
      <w:pPr>
        <w:spacing w:after="0" w:line="167" w:lineRule="exact"/>
        <w:rPr>
          <w:sz w:val="20"/>
          <w:szCs w:val="20"/>
          <w:color w:val="auto"/>
        </w:rPr>
      </w:pPr>
    </w:p>
    <w:p>
      <w:pPr>
        <w:ind w:left="4640" w:right="2980" w:hanging="209"/>
        <w:spacing w:after="0" w:line="253" w:lineRule="auto"/>
        <w:tabs>
          <w:tab w:leader="none" w:pos="4629" w:val="left"/>
        </w:tabs>
        <w:numPr>
          <w:ilvl w:val="0"/>
          <w:numId w:val="75"/>
        </w:numPr>
        <w:rPr>
          <w:rFonts w:ascii="Arial" w:cs="Arial" w:eastAsia="Arial" w:hAnsi="Arial"/>
          <w:sz w:val="16"/>
          <w:szCs w:val="16"/>
          <w:color w:val="4B1F68"/>
        </w:rPr>
      </w:pPr>
      <w:r>
        <w:rPr>
          <w:rFonts w:ascii="Arial" w:cs="Arial" w:eastAsia="Arial" w:hAnsi="Arial"/>
          <w:sz w:val="16"/>
          <w:szCs w:val="16"/>
          <w:color w:val="3B3C43"/>
        </w:rPr>
        <w:t>Second consecutive year of revenue growth, driven by LNG and downstream projects</w:t>
      </w:r>
    </w:p>
    <w:p>
      <w:pPr>
        <w:spacing w:after="0" w:line="174" w:lineRule="exact"/>
        <w:rPr>
          <w:rFonts w:ascii="Arial" w:cs="Arial" w:eastAsia="Arial" w:hAnsi="Arial"/>
          <w:sz w:val="16"/>
          <w:szCs w:val="16"/>
          <w:color w:val="4B1F68"/>
        </w:rPr>
      </w:pPr>
    </w:p>
    <w:p>
      <w:pPr>
        <w:jc w:val="both"/>
        <w:ind w:left="4640" w:right="2880" w:hanging="209"/>
        <w:spacing w:after="0" w:line="260" w:lineRule="auto"/>
        <w:tabs>
          <w:tab w:leader="none" w:pos="4629" w:val="left"/>
        </w:tabs>
        <w:numPr>
          <w:ilvl w:val="0"/>
          <w:numId w:val="75"/>
        </w:numPr>
        <w:rPr>
          <w:rFonts w:ascii="Arial" w:cs="Arial" w:eastAsia="Arial" w:hAnsi="Arial"/>
          <w:sz w:val="16"/>
          <w:szCs w:val="16"/>
          <w:color w:val="4B1F68"/>
        </w:rPr>
      </w:pPr>
      <w:r>
        <w:rPr>
          <w:rFonts w:ascii="Arial" w:cs="Arial" w:eastAsia="Arial" w:hAnsi="Arial"/>
          <w:sz w:val="16"/>
          <w:szCs w:val="16"/>
          <w:color w:val="3B3C43"/>
        </w:rPr>
        <w:t>Approximately 60% of total order backlog linked to energy transition, including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132320" cy="2228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66040</wp:posOffset>
            </wp:positionV>
            <wp:extent cx="6240780" cy="13798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40780" cy="1379855"/>
                    </a:xfrm>
                    <a:prstGeom prst="rect">
                      <a:avLst/>
                    </a:prstGeom>
                    <a:noFill/>
                  </pic:spPr>
                </pic:pic>
              </a:graphicData>
            </a:graphic>
          </wp:anchor>
        </w:drawing>
      </w:r>
    </w:p>
    <w:p>
      <w:pPr>
        <w:spacing w:after="0" w:line="167" w:lineRule="exact"/>
        <w:rPr>
          <w:sz w:val="20"/>
          <w:szCs w:val="20"/>
          <w:color w:val="auto"/>
        </w:rPr>
      </w:pPr>
    </w:p>
    <w:p>
      <w:pPr>
        <w:ind w:left="4640" w:right="2940" w:hanging="209"/>
        <w:spacing w:after="0" w:line="253" w:lineRule="auto"/>
        <w:tabs>
          <w:tab w:leader="none" w:pos="4629" w:val="left"/>
        </w:tabs>
        <w:numPr>
          <w:ilvl w:val="1"/>
          <w:numId w:val="76"/>
        </w:numPr>
        <w:rPr>
          <w:rFonts w:ascii="Arial" w:cs="Arial" w:eastAsia="Arial" w:hAnsi="Arial"/>
          <w:sz w:val="16"/>
          <w:szCs w:val="16"/>
          <w:color w:val="4B1F68"/>
        </w:rPr>
      </w:pPr>
      <w:r>
        <w:rPr>
          <w:rFonts w:ascii="Arial" w:cs="Arial" w:eastAsia="Arial" w:hAnsi="Arial"/>
          <w:sz w:val="16"/>
          <w:szCs w:val="16"/>
          <w:color w:val="3B3C43"/>
        </w:rPr>
        <w:t>International revenue more than 60% of total segment, with increased revenue in technology-driven businesses</w:t>
      </w:r>
    </w:p>
    <w:p>
      <w:pPr>
        <w:spacing w:after="0" w:line="174" w:lineRule="exact"/>
        <w:rPr>
          <w:rFonts w:ascii="Arial" w:cs="Arial" w:eastAsia="Arial" w:hAnsi="Arial"/>
          <w:sz w:val="16"/>
          <w:szCs w:val="16"/>
          <w:color w:val="4B1F68"/>
        </w:rPr>
      </w:pPr>
    </w:p>
    <w:p>
      <w:pPr>
        <w:jc w:val="both"/>
        <w:ind w:left="4640" w:right="3280" w:hanging="209"/>
        <w:spacing w:after="0" w:line="253" w:lineRule="auto"/>
        <w:tabs>
          <w:tab w:leader="none" w:pos="4629" w:val="left"/>
        </w:tabs>
        <w:numPr>
          <w:ilvl w:val="1"/>
          <w:numId w:val="76"/>
        </w:numPr>
        <w:rPr>
          <w:rFonts w:ascii="Arial" w:cs="Arial" w:eastAsia="Arial" w:hAnsi="Arial"/>
          <w:sz w:val="16"/>
          <w:szCs w:val="16"/>
          <w:color w:val="4B1F68"/>
        </w:rPr>
      </w:pPr>
      <w:r>
        <w:rPr>
          <w:rFonts w:ascii="Arial" w:cs="Arial" w:eastAsia="Arial" w:hAnsi="Arial"/>
          <w:sz w:val="16"/>
          <w:szCs w:val="16"/>
          <w:color w:val="3B3C43"/>
        </w:rPr>
        <w:t>Significant decline in North America market activity partially mitigated by aggressive cost reduction</w:t>
      </w:r>
    </w:p>
    <w:p>
      <w:pPr>
        <w:spacing w:after="0" w:line="200" w:lineRule="exact"/>
        <w:rPr>
          <w:rFonts w:ascii="Arial" w:cs="Arial" w:eastAsia="Arial" w:hAnsi="Arial"/>
          <w:sz w:val="16"/>
          <w:szCs w:val="16"/>
          <w:color w:val="4B1F68"/>
        </w:rPr>
      </w:pPr>
    </w:p>
    <w:p>
      <w:pPr>
        <w:spacing w:after="0" w:line="200" w:lineRule="exact"/>
        <w:rPr>
          <w:rFonts w:ascii="Arial" w:cs="Arial" w:eastAsia="Arial" w:hAnsi="Arial"/>
          <w:sz w:val="16"/>
          <w:szCs w:val="16"/>
          <w:color w:val="4B1F68"/>
        </w:rPr>
      </w:pPr>
    </w:p>
    <w:p>
      <w:pPr>
        <w:spacing w:after="0" w:line="200" w:lineRule="exact"/>
        <w:rPr>
          <w:rFonts w:ascii="Arial" w:cs="Arial" w:eastAsia="Arial" w:hAnsi="Arial"/>
          <w:sz w:val="16"/>
          <w:szCs w:val="16"/>
          <w:color w:val="4B1F68"/>
        </w:rPr>
      </w:pPr>
    </w:p>
    <w:p>
      <w:pPr>
        <w:spacing w:after="0" w:line="333" w:lineRule="exact"/>
        <w:rPr>
          <w:rFonts w:ascii="Arial" w:cs="Arial" w:eastAsia="Arial" w:hAnsi="Arial"/>
          <w:sz w:val="16"/>
          <w:szCs w:val="16"/>
          <w:color w:val="4B1F68"/>
        </w:rPr>
      </w:pPr>
    </w:p>
    <w:p>
      <w:pPr>
        <w:ind w:firstLine="8"/>
        <w:spacing w:after="0" w:line="701" w:lineRule="auto"/>
        <w:tabs>
          <w:tab w:leader="none" w:pos="216" w:val="left"/>
        </w:tabs>
        <w:numPr>
          <w:ilvl w:val="0"/>
          <w:numId w:val="76"/>
        </w:numPr>
        <w:rPr>
          <w:rFonts w:ascii="Arial" w:cs="Arial" w:eastAsia="Arial" w:hAnsi="Arial"/>
          <w:sz w:val="14"/>
          <w:szCs w:val="14"/>
          <w:color w:val="3B3C43"/>
        </w:rPr>
      </w:pPr>
      <w:r>
        <w:rPr>
          <w:rFonts w:ascii="Arial" w:cs="Arial" w:eastAsia="Arial" w:hAnsi="Arial"/>
          <w:sz w:val="14"/>
          <w:szCs w:val="14"/>
          <w:color w:val="3B3C43"/>
        </w:rPr>
        <w:t xml:space="preserve">Reported financial results for the twelve months ended December 31, 2020 and inbound and backlog as of December 31, 2020 are as reported in our Form 10-K. </w:t>
      </w:r>
      <w:r>
        <w:rPr>
          <w:rFonts w:ascii="Arial" w:cs="Arial" w:eastAsia="Arial" w:hAnsi="Arial"/>
          <w:sz w:val="14"/>
          <w:szCs w:val="14"/>
          <w:color w:val="000000"/>
        </w:rPr>
        <w:t>69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320" w:top="288" w:right="109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Market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228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3831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r>
    </w:p>
    <w:p>
      <w:pPr>
        <w:spacing w:after="0" w:line="167" w:lineRule="exact"/>
        <w:rPr>
          <w:sz w:val="20"/>
          <w:szCs w:val="20"/>
          <w:color w:val="auto"/>
        </w:rPr>
      </w:pPr>
    </w:p>
    <w:p>
      <w:pPr>
        <w:ind w:left="2340" w:hanging="204"/>
        <w:spacing w:after="0"/>
        <w:tabs>
          <w:tab w:leader="none" w:pos="2340" w:val="left"/>
        </w:tabs>
        <w:numPr>
          <w:ilvl w:val="0"/>
          <w:numId w:val="77"/>
        </w:numPr>
        <w:rPr>
          <w:rFonts w:ascii="Arial" w:cs="Arial" w:eastAsia="Arial" w:hAnsi="Arial"/>
          <w:sz w:val="16"/>
          <w:szCs w:val="16"/>
          <w:color w:val="4B1F68"/>
        </w:rPr>
      </w:pPr>
      <w:r>
        <w:rPr>
          <w:rFonts w:ascii="Arial" w:cs="Arial" w:eastAsia="Arial" w:hAnsi="Arial"/>
          <w:sz w:val="16"/>
          <w:szCs w:val="16"/>
          <w:color w:val="3B3C43"/>
        </w:rPr>
        <w:t>Achieved inbound orders of $4 billion, including contract awards for:</w:t>
      </w:r>
    </w:p>
    <w:p>
      <w:pPr>
        <w:spacing w:after="0" w:line="194" w:lineRule="exact"/>
        <w:rPr>
          <w:rFonts w:ascii="Arial" w:cs="Arial" w:eastAsia="Arial" w:hAnsi="Arial"/>
          <w:sz w:val="16"/>
          <w:szCs w:val="16"/>
          <w:color w:val="4B1F68"/>
        </w:rPr>
      </w:pPr>
    </w:p>
    <w:p>
      <w:pPr>
        <w:ind w:left="2560" w:hanging="208"/>
        <w:spacing w:after="0"/>
        <w:tabs>
          <w:tab w:leader="none" w:pos="2560" w:val="left"/>
        </w:tabs>
        <w:numPr>
          <w:ilvl w:val="1"/>
          <w:numId w:val="77"/>
        </w:numPr>
        <w:rPr>
          <w:rFonts w:ascii="Arial" w:cs="Arial" w:eastAsia="Arial" w:hAnsi="Arial"/>
          <w:sz w:val="16"/>
          <w:szCs w:val="16"/>
          <w:color w:val="00ADE8"/>
        </w:rPr>
      </w:pPr>
      <w:r>
        <w:rPr>
          <w:rFonts w:ascii="Arial" w:cs="Arial" w:eastAsia="Arial" w:hAnsi="Arial"/>
          <w:sz w:val="16"/>
          <w:szCs w:val="16"/>
          <w:color w:val="3B3C43"/>
        </w:rPr>
        <w:t>ExxonMobil Payara project in Guyana</w:t>
      </w:r>
    </w:p>
    <w:p>
      <w:pPr>
        <w:spacing w:after="0" w:line="194" w:lineRule="exact"/>
        <w:rPr>
          <w:rFonts w:ascii="Arial" w:cs="Arial" w:eastAsia="Arial" w:hAnsi="Arial"/>
          <w:sz w:val="16"/>
          <w:szCs w:val="16"/>
          <w:color w:val="00ADE8"/>
        </w:rPr>
      </w:pPr>
    </w:p>
    <w:p>
      <w:pPr>
        <w:ind w:left="2560" w:hanging="208"/>
        <w:spacing w:after="0"/>
        <w:tabs>
          <w:tab w:leader="none" w:pos="2560" w:val="left"/>
        </w:tabs>
        <w:numPr>
          <w:ilvl w:val="1"/>
          <w:numId w:val="77"/>
        </w:numPr>
        <w:rPr>
          <w:rFonts w:ascii="Arial" w:cs="Arial" w:eastAsia="Arial" w:hAnsi="Arial"/>
          <w:sz w:val="16"/>
          <w:szCs w:val="16"/>
          <w:color w:val="00ADE8"/>
        </w:rPr>
      </w:pPr>
      <w:r>
        <w:rPr>
          <w:rFonts w:ascii="Arial" w:cs="Arial" w:eastAsia="Arial" w:hAnsi="Arial"/>
          <w:sz w:val="16"/>
          <w:szCs w:val="16"/>
          <w:color w:val="3B3C43"/>
        </w:rPr>
        <w:t>Libra Consortium’s Mero 2 project in Brazil</w:t>
      </w:r>
    </w:p>
    <w:p>
      <w:pPr>
        <w:spacing w:after="0" w:line="194" w:lineRule="exact"/>
        <w:rPr>
          <w:rFonts w:ascii="Arial" w:cs="Arial" w:eastAsia="Arial" w:hAnsi="Arial"/>
          <w:sz w:val="16"/>
          <w:szCs w:val="16"/>
          <w:color w:val="00ADE8"/>
        </w:rPr>
      </w:pPr>
    </w:p>
    <w:p>
      <w:pPr>
        <w:ind w:left="2560" w:hanging="208"/>
        <w:spacing w:after="0"/>
        <w:tabs>
          <w:tab w:leader="none" w:pos="2560" w:val="left"/>
        </w:tabs>
        <w:numPr>
          <w:ilvl w:val="1"/>
          <w:numId w:val="77"/>
        </w:numPr>
        <w:rPr>
          <w:rFonts w:ascii="Arial" w:cs="Arial" w:eastAsia="Arial" w:hAnsi="Arial"/>
          <w:sz w:val="16"/>
          <w:szCs w:val="16"/>
          <w:color w:val="00ADE8"/>
        </w:rPr>
      </w:pPr>
      <w:r>
        <w:rPr>
          <w:rFonts w:ascii="Arial" w:cs="Arial" w:eastAsia="Arial" w:hAnsi="Arial"/>
          <w:sz w:val="16"/>
          <w:szCs w:val="16"/>
          <w:color w:val="3B3C43"/>
        </w:rPr>
        <w:t>BP Platina iEPCI™ project in Angola</w:t>
      </w:r>
    </w:p>
    <w:p>
      <w:pPr>
        <w:spacing w:after="0" w:line="194" w:lineRule="exact"/>
        <w:rPr>
          <w:rFonts w:ascii="Arial" w:cs="Arial" w:eastAsia="Arial" w:hAnsi="Arial"/>
          <w:sz w:val="16"/>
          <w:szCs w:val="16"/>
          <w:color w:val="00ADE8"/>
        </w:rPr>
      </w:pPr>
    </w:p>
    <w:p>
      <w:pPr>
        <w:ind w:left="2360" w:hanging="224"/>
        <w:spacing w:after="0" w:line="260" w:lineRule="auto"/>
        <w:tabs>
          <w:tab w:leader="none" w:pos="2349" w:val="left"/>
        </w:tabs>
        <w:numPr>
          <w:ilvl w:val="0"/>
          <w:numId w:val="77"/>
        </w:numPr>
        <w:rPr>
          <w:rFonts w:ascii="Arial" w:cs="Arial" w:eastAsia="Arial" w:hAnsi="Arial"/>
          <w:sz w:val="16"/>
          <w:szCs w:val="16"/>
          <w:color w:val="4B1F68"/>
        </w:rPr>
      </w:pPr>
      <w:r>
        <w:rPr>
          <w:rFonts w:ascii="Arial" w:cs="Arial" w:eastAsia="Arial" w:hAnsi="Arial"/>
          <w:sz w:val="16"/>
          <w:szCs w:val="16"/>
          <w:color w:val="3B3C43"/>
        </w:rPr>
        <w:t>Introduced Subsea Studio™, a digital front-end design offering that will be extended to incorporate the execution and field management phases of a project</w:t>
      </w:r>
    </w:p>
    <w:p>
      <w:pPr>
        <w:spacing w:after="0" w:line="168" w:lineRule="exact"/>
        <w:rPr>
          <w:rFonts w:ascii="Arial" w:cs="Arial" w:eastAsia="Arial" w:hAnsi="Arial"/>
          <w:sz w:val="16"/>
          <w:szCs w:val="16"/>
          <w:color w:val="4B1F68"/>
        </w:rPr>
      </w:pPr>
    </w:p>
    <w:p>
      <w:pPr>
        <w:ind w:left="2360" w:right="40" w:hanging="224"/>
        <w:spacing w:after="0" w:line="260" w:lineRule="auto"/>
        <w:tabs>
          <w:tab w:leader="none" w:pos="2349" w:val="left"/>
        </w:tabs>
        <w:numPr>
          <w:ilvl w:val="0"/>
          <w:numId w:val="77"/>
        </w:numPr>
        <w:rPr>
          <w:rFonts w:ascii="Arial" w:cs="Arial" w:eastAsia="Arial" w:hAnsi="Arial"/>
          <w:sz w:val="16"/>
          <w:szCs w:val="16"/>
          <w:color w:val="4B1F68"/>
        </w:rPr>
      </w:pPr>
      <w:r>
        <w:rPr>
          <w:rFonts w:ascii="Arial" w:cs="Arial" w:eastAsia="Arial" w:hAnsi="Arial"/>
          <w:sz w:val="16"/>
          <w:szCs w:val="16"/>
          <w:color w:val="3B3C43"/>
        </w:rPr>
        <w:t>Identified opportunity set for all-electric subsea production solution that may exceed $8 billion through 2030, benefiting from reduced infrastructure requirements while generating incremental tieback opportunities with a lower carbon footprint</w:t>
      </w:r>
    </w:p>
    <w:p>
      <w:pPr>
        <w:spacing w:after="0" w:line="168" w:lineRule="exact"/>
        <w:rPr>
          <w:rFonts w:ascii="Arial" w:cs="Arial" w:eastAsia="Arial" w:hAnsi="Arial"/>
          <w:sz w:val="16"/>
          <w:szCs w:val="16"/>
          <w:color w:val="4B1F68"/>
        </w:rPr>
      </w:pPr>
    </w:p>
    <w:p>
      <w:pPr>
        <w:ind w:left="2360" w:right="240" w:hanging="224"/>
        <w:spacing w:after="0" w:line="260" w:lineRule="auto"/>
        <w:tabs>
          <w:tab w:leader="none" w:pos="2349" w:val="left"/>
        </w:tabs>
        <w:numPr>
          <w:ilvl w:val="0"/>
          <w:numId w:val="77"/>
        </w:numPr>
        <w:rPr>
          <w:rFonts w:ascii="Arial" w:cs="Arial" w:eastAsia="Arial" w:hAnsi="Arial"/>
          <w:sz w:val="16"/>
          <w:szCs w:val="16"/>
          <w:color w:val="4B1F68"/>
        </w:rPr>
      </w:pPr>
      <w:r>
        <w:rPr>
          <w:rFonts w:ascii="Arial" w:cs="Arial" w:eastAsia="Arial" w:hAnsi="Arial"/>
          <w:sz w:val="16"/>
          <w:szCs w:val="16"/>
          <w:color w:val="3B3C43"/>
        </w:rPr>
        <w:t>In collaboration with Halliburton, introduced Odassea™, the first distributed acoustic sensing solution for subsea wells, enabling operators to reduce total cost ownership while improving reservoir knowledge</w:t>
      </w:r>
    </w:p>
    <w:p>
      <w:pPr>
        <w:spacing w:after="0" w:line="168" w:lineRule="exact"/>
        <w:rPr>
          <w:rFonts w:ascii="Arial" w:cs="Arial" w:eastAsia="Arial" w:hAnsi="Arial"/>
          <w:sz w:val="16"/>
          <w:szCs w:val="16"/>
          <w:color w:val="4B1F68"/>
        </w:rPr>
      </w:pPr>
    </w:p>
    <w:p>
      <w:pPr>
        <w:ind w:left="2360" w:right="20" w:hanging="224"/>
        <w:spacing w:after="0" w:line="260" w:lineRule="auto"/>
        <w:tabs>
          <w:tab w:leader="none" w:pos="2349" w:val="left"/>
        </w:tabs>
        <w:numPr>
          <w:ilvl w:val="0"/>
          <w:numId w:val="77"/>
        </w:numPr>
        <w:rPr>
          <w:rFonts w:ascii="Arial" w:cs="Arial" w:eastAsia="Arial" w:hAnsi="Arial"/>
          <w:sz w:val="16"/>
          <w:szCs w:val="16"/>
          <w:color w:val="4B1F68"/>
        </w:rPr>
      </w:pPr>
      <w:r>
        <w:rPr>
          <w:rFonts w:ascii="Arial" w:cs="Arial" w:eastAsia="Arial" w:hAnsi="Arial"/>
          <w:sz w:val="16"/>
          <w:szCs w:val="16"/>
          <w:color w:val="3B3C43"/>
        </w:rPr>
        <w:t>Introduced Deep Purple™, a collaboration with clients and partners to integrate offshore renewable electricity and subsea hydrogen storage to provide power to subsea infrastructure and clean energy to consumers when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2228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Technip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7432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2743200"/>
                    </a:xfrm>
                    <a:prstGeom prst="rect">
                      <a:avLst/>
                    </a:prstGeom>
                    <a:noFill/>
                  </pic:spPr>
                </pic:pic>
              </a:graphicData>
            </a:graphic>
          </wp:anchor>
        </w:drawing>
      </w:r>
    </w:p>
    <w:p>
      <w:pPr>
        <w:spacing w:after="0" w:line="167" w:lineRule="exact"/>
        <w:rPr>
          <w:sz w:val="20"/>
          <w:szCs w:val="20"/>
          <w:color w:val="auto"/>
        </w:rPr>
      </w:pPr>
    </w:p>
    <w:p>
      <w:pPr>
        <w:ind w:left="2340" w:hanging="204"/>
        <w:spacing w:after="0"/>
        <w:tabs>
          <w:tab w:leader="none" w:pos="2340" w:val="left"/>
        </w:tabs>
        <w:numPr>
          <w:ilvl w:val="0"/>
          <w:numId w:val="78"/>
        </w:numPr>
        <w:rPr>
          <w:rFonts w:ascii="Arial" w:cs="Arial" w:eastAsia="Arial" w:hAnsi="Arial"/>
          <w:sz w:val="16"/>
          <w:szCs w:val="16"/>
          <w:color w:val="4B1F68"/>
        </w:rPr>
      </w:pPr>
      <w:r>
        <w:rPr>
          <w:rFonts w:ascii="Arial" w:cs="Arial" w:eastAsia="Arial" w:hAnsi="Arial"/>
          <w:sz w:val="16"/>
          <w:szCs w:val="16"/>
          <w:color w:val="3B3C43"/>
        </w:rPr>
        <w:t>Inbound orders more than doubled versus the prior-year driven by EPC contract awards for:</w:t>
      </w:r>
    </w:p>
    <w:p>
      <w:pPr>
        <w:spacing w:after="0" w:line="194" w:lineRule="exact"/>
        <w:rPr>
          <w:rFonts w:ascii="Arial" w:cs="Arial" w:eastAsia="Arial" w:hAnsi="Arial"/>
          <w:sz w:val="16"/>
          <w:szCs w:val="16"/>
          <w:color w:val="4B1F68"/>
        </w:rPr>
      </w:pPr>
    </w:p>
    <w:p>
      <w:pPr>
        <w:ind w:left="2620" w:hanging="214"/>
        <w:spacing w:after="0"/>
        <w:tabs>
          <w:tab w:leader="none" w:pos="2620" w:val="left"/>
        </w:tabs>
        <w:numPr>
          <w:ilvl w:val="1"/>
          <w:numId w:val="78"/>
        </w:numPr>
        <w:rPr>
          <w:rFonts w:ascii="Arial" w:cs="Arial" w:eastAsia="Arial" w:hAnsi="Arial"/>
          <w:sz w:val="16"/>
          <w:szCs w:val="16"/>
          <w:color w:val="00ADE8"/>
        </w:rPr>
      </w:pPr>
      <w:r>
        <w:rPr>
          <w:rFonts w:ascii="Arial" w:cs="Arial" w:eastAsia="Arial" w:hAnsi="Arial"/>
          <w:sz w:val="16"/>
          <w:szCs w:val="16"/>
          <w:color w:val="3B3C43"/>
        </w:rPr>
        <w:t>Sempra LNG’s and IEnova’s Energía Costa Azul LNG Facility in Mexico</w:t>
      </w:r>
    </w:p>
    <w:p>
      <w:pPr>
        <w:spacing w:after="0" w:line="194" w:lineRule="exact"/>
        <w:rPr>
          <w:rFonts w:ascii="Arial" w:cs="Arial" w:eastAsia="Arial" w:hAnsi="Arial"/>
          <w:sz w:val="16"/>
          <w:szCs w:val="16"/>
          <w:color w:val="00ADE8"/>
        </w:rPr>
      </w:pPr>
    </w:p>
    <w:p>
      <w:pPr>
        <w:ind w:left="2620" w:hanging="214"/>
        <w:spacing w:after="0"/>
        <w:tabs>
          <w:tab w:leader="none" w:pos="2620" w:val="left"/>
        </w:tabs>
        <w:numPr>
          <w:ilvl w:val="1"/>
          <w:numId w:val="78"/>
        </w:numPr>
        <w:rPr>
          <w:rFonts w:ascii="Arial" w:cs="Arial" w:eastAsia="Arial" w:hAnsi="Arial"/>
          <w:sz w:val="16"/>
          <w:szCs w:val="16"/>
          <w:color w:val="00ADE8"/>
        </w:rPr>
      </w:pPr>
      <w:r>
        <w:rPr>
          <w:rFonts w:ascii="Arial" w:cs="Arial" w:eastAsia="Arial" w:hAnsi="Arial"/>
          <w:sz w:val="16"/>
          <w:szCs w:val="16"/>
          <w:color w:val="3B3C43"/>
        </w:rPr>
        <w:t>Assiut National Oil Processing Company project for a new hydrocracking complex in Egypt</w:t>
      </w:r>
    </w:p>
    <w:p>
      <w:pPr>
        <w:spacing w:after="0" w:line="194" w:lineRule="exact"/>
        <w:rPr>
          <w:rFonts w:ascii="Arial" w:cs="Arial" w:eastAsia="Arial" w:hAnsi="Arial"/>
          <w:sz w:val="16"/>
          <w:szCs w:val="16"/>
          <w:color w:val="00ADE8"/>
        </w:rPr>
      </w:pPr>
    </w:p>
    <w:p>
      <w:pPr>
        <w:ind w:left="2620" w:hanging="214"/>
        <w:spacing w:after="0"/>
        <w:tabs>
          <w:tab w:leader="none" w:pos="2620" w:val="left"/>
        </w:tabs>
        <w:numPr>
          <w:ilvl w:val="1"/>
          <w:numId w:val="78"/>
        </w:numPr>
        <w:rPr>
          <w:rFonts w:ascii="Arial" w:cs="Arial" w:eastAsia="Arial" w:hAnsi="Arial"/>
          <w:sz w:val="16"/>
          <w:szCs w:val="16"/>
          <w:color w:val="00ADE8"/>
        </w:rPr>
      </w:pPr>
      <w:r>
        <w:rPr>
          <w:rFonts w:ascii="Arial" w:cs="Arial" w:eastAsia="Arial" w:hAnsi="Arial"/>
          <w:sz w:val="16"/>
          <w:szCs w:val="16"/>
          <w:color w:val="3B3C43"/>
        </w:rPr>
        <w:t>Shell’s Moerdijk Plant in the Netherlands to modernize ethylene furnaces and reduce total site emissions</w:t>
      </w:r>
    </w:p>
    <w:p>
      <w:pPr>
        <w:spacing w:after="0" w:line="194" w:lineRule="exact"/>
        <w:rPr>
          <w:rFonts w:ascii="Arial" w:cs="Arial" w:eastAsia="Arial" w:hAnsi="Arial"/>
          <w:sz w:val="16"/>
          <w:szCs w:val="16"/>
          <w:color w:val="00ADE8"/>
        </w:rPr>
      </w:pPr>
    </w:p>
    <w:p>
      <w:pPr>
        <w:ind w:left="2340" w:hanging="204"/>
        <w:spacing w:after="0"/>
        <w:tabs>
          <w:tab w:leader="none" w:pos="2340" w:val="left"/>
        </w:tabs>
        <w:numPr>
          <w:ilvl w:val="0"/>
          <w:numId w:val="78"/>
        </w:numPr>
        <w:rPr>
          <w:rFonts w:ascii="Arial" w:cs="Arial" w:eastAsia="Arial" w:hAnsi="Arial"/>
          <w:sz w:val="16"/>
          <w:szCs w:val="16"/>
          <w:color w:val="4B1F68"/>
        </w:rPr>
      </w:pPr>
      <w:r>
        <w:rPr>
          <w:rFonts w:ascii="Arial" w:cs="Arial" w:eastAsia="Arial" w:hAnsi="Arial"/>
          <w:sz w:val="16"/>
          <w:szCs w:val="16"/>
          <w:color w:val="3B3C43"/>
        </w:rPr>
        <w:t>Strong momentum in sustainable chemistry across our three core areas:</w:t>
      </w:r>
    </w:p>
    <w:p>
      <w:pPr>
        <w:spacing w:after="0" w:line="194" w:lineRule="exact"/>
        <w:rPr>
          <w:rFonts w:ascii="Arial" w:cs="Arial" w:eastAsia="Arial" w:hAnsi="Arial"/>
          <w:sz w:val="16"/>
          <w:szCs w:val="16"/>
          <w:color w:val="4B1F68"/>
        </w:rPr>
      </w:pPr>
    </w:p>
    <w:p>
      <w:pPr>
        <w:ind w:left="2620" w:hanging="214"/>
        <w:spacing w:after="0"/>
        <w:tabs>
          <w:tab w:leader="none" w:pos="2620" w:val="left"/>
        </w:tabs>
        <w:numPr>
          <w:ilvl w:val="1"/>
          <w:numId w:val="78"/>
        </w:numPr>
        <w:rPr>
          <w:rFonts w:ascii="Arial" w:cs="Arial" w:eastAsia="Arial" w:hAnsi="Arial"/>
          <w:sz w:val="16"/>
          <w:szCs w:val="16"/>
          <w:color w:val="00ADE8"/>
        </w:rPr>
      </w:pPr>
      <w:r>
        <w:rPr>
          <w:rFonts w:ascii="Arial" w:cs="Arial" w:eastAsia="Arial" w:hAnsi="Arial"/>
          <w:sz w:val="16"/>
          <w:szCs w:val="16"/>
          <w:color w:val="3B3C43"/>
        </w:rPr>
        <w:t>Biofuels: Further strengthening of existing alliance with Neste for Future NEXBTL™ technology based projects</w:t>
      </w:r>
    </w:p>
    <w:p>
      <w:pPr>
        <w:spacing w:after="0" w:line="194" w:lineRule="exact"/>
        <w:rPr>
          <w:rFonts w:ascii="Arial" w:cs="Arial" w:eastAsia="Arial" w:hAnsi="Arial"/>
          <w:sz w:val="16"/>
          <w:szCs w:val="16"/>
          <w:color w:val="00ADE8"/>
        </w:rPr>
      </w:pPr>
    </w:p>
    <w:p>
      <w:pPr>
        <w:ind w:left="2620" w:right="260" w:hanging="214"/>
        <w:spacing w:after="0" w:line="260" w:lineRule="auto"/>
        <w:tabs>
          <w:tab w:leader="none" w:pos="2609" w:val="left"/>
        </w:tabs>
        <w:numPr>
          <w:ilvl w:val="1"/>
          <w:numId w:val="78"/>
        </w:numPr>
        <w:rPr>
          <w:rFonts w:ascii="Arial" w:cs="Arial" w:eastAsia="Arial" w:hAnsi="Arial"/>
          <w:sz w:val="16"/>
          <w:szCs w:val="16"/>
          <w:color w:val="00ADE8"/>
        </w:rPr>
      </w:pPr>
      <w:r>
        <w:rPr>
          <w:rFonts w:ascii="Arial" w:cs="Arial" w:eastAsia="Arial" w:hAnsi="Arial"/>
          <w:sz w:val="16"/>
          <w:szCs w:val="16"/>
          <w:color w:val="3B3C43"/>
        </w:rPr>
        <w:t>Bio-chemicals: Partnership with Carbios to build demonstration plant for depolymerization of waste PET plastics to monomers</w:t>
      </w:r>
    </w:p>
    <w:p>
      <w:pPr>
        <w:spacing w:after="0" w:line="168" w:lineRule="exact"/>
        <w:rPr>
          <w:rFonts w:ascii="Arial" w:cs="Arial" w:eastAsia="Arial" w:hAnsi="Arial"/>
          <w:sz w:val="16"/>
          <w:szCs w:val="16"/>
          <w:color w:val="00ADE8"/>
        </w:rPr>
      </w:pPr>
    </w:p>
    <w:p>
      <w:pPr>
        <w:ind w:left="2620" w:hanging="214"/>
        <w:spacing w:after="0"/>
        <w:tabs>
          <w:tab w:leader="none" w:pos="2620" w:val="left"/>
        </w:tabs>
        <w:numPr>
          <w:ilvl w:val="1"/>
          <w:numId w:val="78"/>
        </w:numPr>
        <w:rPr>
          <w:rFonts w:ascii="Arial" w:cs="Arial" w:eastAsia="Arial" w:hAnsi="Arial"/>
          <w:sz w:val="16"/>
          <w:szCs w:val="16"/>
          <w:color w:val="00ADE8"/>
        </w:rPr>
      </w:pPr>
      <w:r>
        <w:rPr>
          <w:rFonts w:ascii="Arial" w:cs="Arial" w:eastAsia="Arial" w:hAnsi="Arial"/>
          <w:sz w:val="16"/>
          <w:szCs w:val="16"/>
          <w:color w:val="3B3C43"/>
        </w:rPr>
        <w:t>Circular economy: Extended alliance with BP to include Infinia technology for difficult-to- recycle plastic waste</w:t>
      </w:r>
    </w:p>
    <w:p>
      <w:pPr>
        <w:spacing w:after="0" w:line="194" w:lineRule="exact"/>
        <w:rPr>
          <w:rFonts w:ascii="Arial" w:cs="Arial" w:eastAsia="Arial" w:hAnsi="Arial"/>
          <w:sz w:val="16"/>
          <w:szCs w:val="16"/>
          <w:color w:val="00ADE8"/>
        </w:rPr>
      </w:pPr>
    </w:p>
    <w:p>
      <w:pPr>
        <w:ind w:left="2360" w:right="680" w:hanging="224"/>
        <w:spacing w:after="0" w:line="260" w:lineRule="auto"/>
        <w:tabs>
          <w:tab w:leader="none" w:pos="2349" w:val="left"/>
        </w:tabs>
        <w:numPr>
          <w:ilvl w:val="0"/>
          <w:numId w:val="78"/>
        </w:numPr>
        <w:rPr>
          <w:rFonts w:ascii="Arial" w:cs="Arial" w:eastAsia="Arial" w:hAnsi="Arial"/>
          <w:sz w:val="16"/>
          <w:szCs w:val="16"/>
          <w:color w:val="4B1F68"/>
        </w:rPr>
      </w:pPr>
      <w:r>
        <w:rPr>
          <w:rFonts w:ascii="Arial" w:cs="Arial" w:eastAsia="Arial" w:hAnsi="Arial"/>
          <w:sz w:val="16"/>
          <w:szCs w:val="16"/>
          <w:color w:val="3B3C43"/>
        </w:rPr>
        <w:t>Announced a strategic partnership and investment with McPhy to accelerate the development of large scale and competitive green hydrogen solutions</w:t>
      </w:r>
    </w:p>
    <w:p>
      <w:pPr>
        <w:spacing w:after="0" w:line="168" w:lineRule="exact"/>
        <w:rPr>
          <w:rFonts w:ascii="Arial" w:cs="Arial" w:eastAsia="Arial" w:hAnsi="Arial"/>
          <w:sz w:val="16"/>
          <w:szCs w:val="16"/>
          <w:color w:val="4B1F68"/>
        </w:rPr>
      </w:pPr>
    </w:p>
    <w:p>
      <w:pPr>
        <w:ind w:left="2360" w:right="180" w:hanging="224"/>
        <w:spacing w:after="0" w:line="260" w:lineRule="auto"/>
        <w:tabs>
          <w:tab w:leader="none" w:pos="2349" w:val="left"/>
        </w:tabs>
        <w:numPr>
          <w:ilvl w:val="0"/>
          <w:numId w:val="78"/>
        </w:numPr>
        <w:rPr>
          <w:rFonts w:ascii="Arial" w:cs="Arial" w:eastAsia="Arial" w:hAnsi="Arial"/>
          <w:sz w:val="16"/>
          <w:szCs w:val="16"/>
          <w:color w:val="4B1F68"/>
        </w:rPr>
      </w:pPr>
      <w:r>
        <w:rPr>
          <w:rFonts w:ascii="Arial" w:cs="Arial" w:eastAsia="Arial" w:hAnsi="Arial"/>
          <w:sz w:val="16"/>
          <w:szCs w:val="16"/>
          <w:color w:val="3B3C43"/>
        </w:rPr>
        <w:t>Introduced Genesis’ new and expanded scope. which includes advisory services in both the upstream and downstream domains</w:t>
      </w:r>
    </w:p>
    <w:p>
      <w:pPr>
        <w:spacing w:after="0" w:line="252"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70</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288" w:right="5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2228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5031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167" w:lineRule="exact"/>
        <w:rPr>
          <w:sz w:val="20"/>
          <w:szCs w:val="20"/>
          <w:color w:val="auto"/>
        </w:rPr>
      </w:pPr>
    </w:p>
    <w:p>
      <w:pPr>
        <w:ind w:left="2220" w:hanging="205"/>
        <w:spacing w:after="0"/>
        <w:tabs>
          <w:tab w:leader="none" w:pos="2220" w:val="left"/>
        </w:tabs>
        <w:numPr>
          <w:ilvl w:val="0"/>
          <w:numId w:val="79"/>
        </w:numPr>
        <w:rPr>
          <w:rFonts w:ascii="Arial" w:cs="Arial" w:eastAsia="Arial" w:hAnsi="Arial"/>
          <w:sz w:val="16"/>
          <w:szCs w:val="16"/>
          <w:color w:val="4B1F68"/>
        </w:rPr>
      </w:pPr>
      <w:r>
        <w:rPr>
          <w:rFonts w:ascii="Arial" w:cs="Arial" w:eastAsia="Arial" w:hAnsi="Arial"/>
          <w:sz w:val="16"/>
          <w:szCs w:val="16"/>
          <w:color w:val="3B3C43"/>
        </w:rPr>
        <w:t>International contract award highlights:</w:t>
      </w:r>
    </w:p>
    <w:p>
      <w:pPr>
        <w:spacing w:after="0" w:line="194" w:lineRule="exact"/>
        <w:rPr>
          <w:rFonts w:ascii="Arial" w:cs="Arial" w:eastAsia="Arial" w:hAnsi="Arial"/>
          <w:sz w:val="16"/>
          <w:szCs w:val="16"/>
          <w:color w:val="4B1F68"/>
        </w:rPr>
      </w:pPr>
    </w:p>
    <w:p>
      <w:pPr>
        <w:ind w:left="2500" w:hanging="215"/>
        <w:spacing w:after="0"/>
        <w:tabs>
          <w:tab w:leader="none" w:pos="2500" w:val="left"/>
        </w:tabs>
        <w:numPr>
          <w:ilvl w:val="1"/>
          <w:numId w:val="79"/>
        </w:numPr>
        <w:rPr>
          <w:rFonts w:ascii="Arial" w:cs="Arial" w:eastAsia="Arial" w:hAnsi="Arial"/>
          <w:sz w:val="16"/>
          <w:szCs w:val="16"/>
          <w:color w:val="00ADE8"/>
        </w:rPr>
      </w:pPr>
      <w:r>
        <w:rPr>
          <w:rFonts w:ascii="Arial" w:cs="Arial" w:eastAsia="Arial" w:hAnsi="Arial"/>
          <w:sz w:val="16"/>
          <w:szCs w:val="16"/>
          <w:color w:val="3B3C43"/>
        </w:rPr>
        <w:t>New 5-year frame agreement with Petrogas Rima in the Middle East</w:t>
      </w:r>
    </w:p>
    <w:p>
      <w:pPr>
        <w:spacing w:after="0" w:line="194" w:lineRule="exact"/>
        <w:rPr>
          <w:rFonts w:ascii="Arial" w:cs="Arial" w:eastAsia="Arial" w:hAnsi="Arial"/>
          <w:sz w:val="16"/>
          <w:szCs w:val="16"/>
          <w:color w:val="00ADE8"/>
        </w:rPr>
      </w:pPr>
    </w:p>
    <w:p>
      <w:pPr>
        <w:ind w:left="2500" w:hanging="215"/>
        <w:spacing w:after="0"/>
        <w:tabs>
          <w:tab w:leader="none" w:pos="2500" w:val="left"/>
        </w:tabs>
        <w:numPr>
          <w:ilvl w:val="1"/>
          <w:numId w:val="79"/>
        </w:numPr>
        <w:rPr>
          <w:rFonts w:ascii="Arial" w:cs="Arial" w:eastAsia="Arial" w:hAnsi="Arial"/>
          <w:sz w:val="16"/>
          <w:szCs w:val="16"/>
          <w:color w:val="00ADE8"/>
        </w:rPr>
      </w:pPr>
      <w:r>
        <w:rPr>
          <w:rFonts w:ascii="Arial" w:cs="Arial" w:eastAsia="Arial" w:hAnsi="Arial"/>
          <w:sz w:val="16"/>
          <w:szCs w:val="16"/>
          <w:color w:val="3B3C43"/>
        </w:rPr>
        <w:t>Award for high-pressure gas equipment and in-country services in Kuwait</w:t>
      </w:r>
    </w:p>
    <w:p>
      <w:pPr>
        <w:spacing w:after="0" w:line="194" w:lineRule="exact"/>
        <w:rPr>
          <w:rFonts w:ascii="Arial" w:cs="Arial" w:eastAsia="Arial" w:hAnsi="Arial"/>
          <w:sz w:val="16"/>
          <w:szCs w:val="16"/>
          <w:color w:val="00ADE8"/>
        </w:rPr>
      </w:pPr>
    </w:p>
    <w:p>
      <w:pPr>
        <w:ind w:left="2500" w:hanging="215"/>
        <w:spacing w:after="0"/>
        <w:tabs>
          <w:tab w:leader="none" w:pos="2500" w:val="left"/>
        </w:tabs>
        <w:numPr>
          <w:ilvl w:val="1"/>
          <w:numId w:val="79"/>
        </w:numPr>
        <w:rPr>
          <w:rFonts w:ascii="Arial" w:cs="Arial" w:eastAsia="Arial" w:hAnsi="Arial"/>
          <w:sz w:val="16"/>
          <w:szCs w:val="16"/>
          <w:color w:val="00ADE8"/>
        </w:rPr>
      </w:pPr>
      <w:r>
        <w:rPr>
          <w:rFonts w:ascii="Arial" w:cs="Arial" w:eastAsia="Arial" w:hAnsi="Arial"/>
          <w:sz w:val="16"/>
          <w:szCs w:val="16"/>
          <w:color w:val="3B3C43"/>
        </w:rPr>
        <w:t>Orders for high-specification, clad equipment onshore and annular safety valves offshore in the United Arab Emirates</w:t>
      </w:r>
    </w:p>
    <w:p>
      <w:pPr>
        <w:spacing w:after="0" w:line="194" w:lineRule="exact"/>
        <w:rPr>
          <w:rFonts w:ascii="Arial" w:cs="Arial" w:eastAsia="Arial" w:hAnsi="Arial"/>
          <w:sz w:val="16"/>
          <w:szCs w:val="16"/>
          <w:color w:val="00ADE8"/>
        </w:rPr>
      </w:pPr>
    </w:p>
    <w:p>
      <w:pPr>
        <w:ind w:left="2500" w:hanging="215"/>
        <w:spacing w:after="0"/>
        <w:tabs>
          <w:tab w:leader="none" w:pos="2500" w:val="left"/>
        </w:tabs>
        <w:numPr>
          <w:ilvl w:val="1"/>
          <w:numId w:val="79"/>
        </w:numPr>
        <w:rPr>
          <w:rFonts w:ascii="Arial" w:cs="Arial" w:eastAsia="Arial" w:hAnsi="Arial"/>
          <w:sz w:val="16"/>
          <w:szCs w:val="16"/>
          <w:color w:val="00ADE8"/>
        </w:rPr>
      </w:pPr>
      <w:r>
        <w:rPr>
          <w:rFonts w:ascii="Arial" w:cs="Arial" w:eastAsia="Arial" w:hAnsi="Arial"/>
          <w:sz w:val="16"/>
          <w:szCs w:val="16"/>
          <w:color w:val="3B3C43"/>
        </w:rPr>
        <w:t>Contracted to supply wellheads, tree systems, and controls for a re-development project in Norway</w:t>
      </w:r>
    </w:p>
    <w:p>
      <w:pPr>
        <w:spacing w:after="0" w:line="194" w:lineRule="exact"/>
        <w:rPr>
          <w:rFonts w:ascii="Arial" w:cs="Arial" w:eastAsia="Arial" w:hAnsi="Arial"/>
          <w:sz w:val="16"/>
          <w:szCs w:val="16"/>
          <w:color w:val="00ADE8"/>
        </w:rPr>
      </w:pPr>
    </w:p>
    <w:p>
      <w:pPr>
        <w:ind w:left="2500" w:hanging="215"/>
        <w:spacing w:after="0"/>
        <w:tabs>
          <w:tab w:leader="none" w:pos="2500" w:val="left"/>
        </w:tabs>
        <w:numPr>
          <w:ilvl w:val="1"/>
          <w:numId w:val="79"/>
        </w:numPr>
        <w:rPr>
          <w:rFonts w:ascii="Arial" w:cs="Arial" w:eastAsia="Arial" w:hAnsi="Arial"/>
          <w:sz w:val="16"/>
          <w:szCs w:val="16"/>
          <w:color w:val="00ADE8"/>
        </w:rPr>
      </w:pPr>
      <w:r>
        <w:rPr>
          <w:rFonts w:ascii="Arial" w:cs="Arial" w:eastAsia="Arial" w:hAnsi="Arial"/>
          <w:sz w:val="16"/>
          <w:szCs w:val="16"/>
          <w:color w:val="3B3C43"/>
        </w:rPr>
        <w:t>Orders for 20,000 psi pressure control flowlines and well service pumps in China</w:t>
      </w:r>
    </w:p>
    <w:p>
      <w:pPr>
        <w:spacing w:after="0" w:line="194" w:lineRule="exact"/>
        <w:rPr>
          <w:rFonts w:ascii="Arial" w:cs="Arial" w:eastAsia="Arial" w:hAnsi="Arial"/>
          <w:sz w:val="16"/>
          <w:szCs w:val="16"/>
          <w:color w:val="00ADE8"/>
        </w:rPr>
      </w:pPr>
    </w:p>
    <w:p>
      <w:pPr>
        <w:ind w:left="2220" w:hanging="205"/>
        <w:spacing w:after="0"/>
        <w:tabs>
          <w:tab w:leader="none" w:pos="2220" w:val="left"/>
        </w:tabs>
        <w:numPr>
          <w:ilvl w:val="0"/>
          <w:numId w:val="79"/>
        </w:numPr>
        <w:rPr>
          <w:rFonts w:ascii="Arial" w:cs="Arial" w:eastAsia="Arial" w:hAnsi="Arial"/>
          <w:sz w:val="16"/>
          <w:szCs w:val="16"/>
          <w:color w:val="4B1F68"/>
        </w:rPr>
      </w:pPr>
      <w:r>
        <w:rPr>
          <w:rFonts w:ascii="Arial" w:cs="Arial" w:eastAsia="Arial" w:hAnsi="Arial"/>
          <w:sz w:val="16"/>
          <w:szCs w:val="16"/>
          <w:color w:val="3B3C43"/>
        </w:rPr>
        <w:t>North America business highlights:</w:t>
      </w:r>
    </w:p>
    <w:p>
      <w:pPr>
        <w:spacing w:after="0" w:line="194" w:lineRule="exact"/>
        <w:rPr>
          <w:rFonts w:ascii="Arial" w:cs="Arial" w:eastAsia="Arial" w:hAnsi="Arial"/>
          <w:sz w:val="16"/>
          <w:szCs w:val="16"/>
          <w:color w:val="4B1F68"/>
        </w:rPr>
      </w:pPr>
    </w:p>
    <w:p>
      <w:pPr>
        <w:ind w:left="2500" w:hanging="215"/>
        <w:spacing w:after="0"/>
        <w:tabs>
          <w:tab w:leader="none" w:pos="2500" w:val="left"/>
        </w:tabs>
        <w:numPr>
          <w:ilvl w:val="1"/>
          <w:numId w:val="79"/>
        </w:numPr>
        <w:rPr>
          <w:rFonts w:ascii="Arial" w:cs="Arial" w:eastAsia="Arial" w:hAnsi="Arial"/>
          <w:sz w:val="16"/>
          <w:szCs w:val="16"/>
          <w:color w:val="00ADE8"/>
        </w:rPr>
      </w:pPr>
      <w:r>
        <w:rPr>
          <w:rFonts w:ascii="Arial" w:cs="Arial" w:eastAsia="Arial" w:hAnsi="Arial"/>
          <w:sz w:val="16"/>
          <w:szCs w:val="16"/>
          <w:color w:val="3B3C43"/>
        </w:rPr>
        <w:t>Commercialization of iComplete™ ecosystem as we secured awards from operators in all major U.S. basins</w:t>
      </w:r>
    </w:p>
    <w:p>
      <w:pPr>
        <w:spacing w:after="0" w:line="194" w:lineRule="exact"/>
        <w:rPr>
          <w:rFonts w:ascii="Arial" w:cs="Arial" w:eastAsia="Arial" w:hAnsi="Arial"/>
          <w:sz w:val="16"/>
          <w:szCs w:val="16"/>
          <w:color w:val="00ADE8"/>
        </w:rPr>
      </w:pPr>
    </w:p>
    <w:p>
      <w:pPr>
        <w:ind w:left="2500" w:hanging="215"/>
        <w:spacing w:after="0"/>
        <w:tabs>
          <w:tab w:leader="none" w:pos="2500" w:val="left"/>
        </w:tabs>
        <w:numPr>
          <w:ilvl w:val="1"/>
          <w:numId w:val="79"/>
        </w:numPr>
        <w:rPr>
          <w:rFonts w:ascii="Arial" w:cs="Arial" w:eastAsia="Arial" w:hAnsi="Arial"/>
          <w:sz w:val="16"/>
          <w:szCs w:val="16"/>
          <w:color w:val="00ADE8"/>
        </w:rPr>
      </w:pPr>
      <w:r>
        <w:rPr>
          <w:rFonts w:ascii="Arial" w:cs="Arial" w:eastAsia="Arial" w:hAnsi="Arial"/>
          <w:sz w:val="16"/>
          <w:szCs w:val="16"/>
          <w:color w:val="3B3C43"/>
        </w:rPr>
        <w:t>Installation of our first iProduction™ system with a leading operator in the Permian basin</w:t>
      </w:r>
    </w:p>
    <w:p>
      <w:pPr>
        <w:spacing w:after="0" w:line="194" w:lineRule="exact"/>
        <w:rPr>
          <w:rFonts w:ascii="Arial" w:cs="Arial" w:eastAsia="Arial" w:hAnsi="Arial"/>
          <w:sz w:val="16"/>
          <w:szCs w:val="16"/>
          <w:color w:val="00ADE8"/>
        </w:rPr>
      </w:pPr>
    </w:p>
    <w:p>
      <w:pPr>
        <w:ind w:left="2500" w:right="600" w:hanging="215"/>
        <w:spacing w:after="0" w:line="260" w:lineRule="auto"/>
        <w:tabs>
          <w:tab w:leader="none" w:pos="2489" w:val="left"/>
        </w:tabs>
        <w:numPr>
          <w:ilvl w:val="1"/>
          <w:numId w:val="79"/>
        </w:numPr>
        <w:rPr>
          <w:rFonts w:ascii="Arial" w:cs="Arial" w:eastAsia="Arial" w:hAnsi="Arial"/>
          <w:sz w:val="16"/>
          <w:szCs w:val="16"/>
          <w:color w:val="00ADE8"/>
        </w:rPr>
      </w:pPr>
      <w:r>
        <w:rPr>
          <w:rFonts w:ascii="Arial" w:cs="Arial" w:eastAsia="Arial" w:hAnsi="Arial"/>
          <w:sz w:val="16"/>
          <w:szCs w:val="16"/>
          <w:color w:val="3B3C43"/>
        </w:rPr>
        <w:t>Continued transformation of our North America operations through client collaboration to drive wellsite operational efficiencies and lower GHG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2228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Response to a difficult operating environment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800" w:type="dxa"/>
            <w:vAlign w:val="bottom"/>
            <w:shd w:val="clear" w:color="auto" w:fill="E1E1DF"/>
          </w:tcPr>
          <w:p>
            <w:pPr>
              <w:ind w:left="160"/>
              <w:spacing w:after="0"/>
              <w:rPr>
                <w:sz w:val="20"/>
                <w:szCs w:val="20"/>
                <w:color w:val="auto"/>
              </w:rPr>
            </w:pPr>
            <w:r>
              <w:rPr>
                <w:rFonts w:ascii="Arial" w:cs="Arial" w:eastAsia="Arial" w:hAnsi="Arial"/>
                <w:sz w:val="16"/>
                <w:szCs w:val="16"/>
                <w:color w:val="3B3C43"/>
              </w:rPr>
              <w:t>Reduced capital outlays for 2020:</w:t>
            </w:r>
          </w:p>
        </w:tc>
        <w:tc>
          <w:tcPr>
            <w:tcW w:w="37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Implemented cost reduction plan:</w:t>
            </w:r>
          </w:p>
        </w:tc>
        <w:tc>
          <w:tcPr>
            <w:tcW w:w="3700" w:type="dxa"/>
            <w:vAlign w:val="bottom"/>
            <w:shd w:val="clear" w:color="auto" w:fill="E1E1DF"/>
          </w:tcPr>
          <w:p>
            <w:pPr>
              <w:ind w:left="140"/>
              <w:spacing w:after="0"/>
              <w:rPr>
                <w:sz w:val="20"/>
                <w:szCs w:val="20"/>
                <w:color w:val="auto"/>
              </w:rPr>
            </w:pPr>
            <w:r>
              <w:rPr>
                <w:rFonts w:ascii="Arial" w:cs="Arial" w:eastAsia="Arial" w:hAnsi="Arial"/>
                <w:sz w:val="16"/>
                <w:szCs w:val="16"/>
                <w:color w:val="3B3C43"/>
              </w:rPr>
              <w:t>Revised compensation for 2020:</w:t>
            </w:r>
          </w:p>
        </w:tc>
        <w:tc>
          <w:tcPr>
            <w:tcW w:w="0" w:type="dxa"/>
            <w:vAlign w:val="bottom"/>
          </w:tcPr>
          <w:p>
            <w:pPr>
              <w:spacing w:after="0"/>
              <w:rPr>
                <w:sz w:val="1"/>
                <w:szCs w:val="1"/>
                <w:color w:val="auto"/>
              </w:rPr>
            </w:pPr>
          </w:p>
        </w:tc>
      </w:tr>
      <w:tr>
        <w:trPr>
          <w:trHeight w:val="372"/>
        </w:trPr>
        <w:tc>
          <w:tcPr>
            <w:tcW w:w="3800" w:type="dxa"/>
            <w:vAlign w:val="bottom"/>
            <w:shd w:val="clear" w:color="auto" w:fill="E1E1DF"/>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Dividend distribution reduced 75% versus the</w:t>
            </w:r>
          </w:p>
        </w:tc>
        <w:tc>
          <w:tcPr>
            <w:tcW w:w="3740" w:type="dxa"/>
            <w:vAlign w:val="bottom"/>
            <w:shd w:val="clear" w:color="auto" w:fill="E1E1DF"/>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Achieved annualized run-rate cost savings of</w:t>
            </w:r>
          </w:p>
        </w:tc>
        <w:tc>
          <w:tcPr>
            <w:tcW w:w="3700" w:type="dxa"/>
            <w:vAlign w:val="bottom"/>
            <w:shd w:val="clear" w:color="auto" w:fill="E1E1DF"/>
          </w:tcPr>
          <w:p>
            <w:pPr>
              <w:ind w:left="14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30% reduction to both the Chairman and</w:t>
            </w:r>
          </w:p>
        </w:tc>
        <w:tc>
          <w:tcPr>
            <w:tcW w:w="0" w:type="dxa"/>
            <w:vAlign w:val="bottom"/>
          </w:tcPr>
          <w:p>
            <w:pPr>
              <w:spacing w:after="0"/>
              <w:rPr>
                <w:sz w:val="1"/>
                <w:szCs w:val="1"/>
                <w:color w:val="auto"/>
              </w:rPr>
            </w:pPr>
          </w:p>
        </w:tc>
      </w:tr>
      <w:tr>
        <w:trPr>
          <w:trHeight w:val="189"/>
        </w:trPr>
        <w:tc>
          <w:tcPr>
            <w:tcW w:w="3800" w:type="dxa"/>
            <w:vAlign w:val="bottom"/>
            <w:shd w:val="clear" w:color="auto" w:fill="E1E1DF"/>
          </w:tcPr>
          <w:p>
            <w:pPr>
              <w:ind w:left="360"/>
              <w:spacing w:after="0"/>
              <w:rPr>
                <w:sz w:val="20"/>
                <w:szCs w:val="20"/>
                <w:color w:val="auto"/>
              </w:rPr>
            </w:pPr>
            <w:r>
              <w:rPr>
                <w:rFonts w:ascii="Arial" w:cs="Arial" w:eastAsia="Arial" w:hAnsi="Arial"/>
                <w:sz w:val="16"/>
                <w:szCs w:val="16"/>
                <w:color w:val="3B3C43"/>
              </w:rPr>
              <w:t>prior year to $59 million</w:t>
            </w:r>
          </w:p>
        </w:tc>
        <w:tc>
          <w:tcPr>
            <w:tcW w:w="3740" w:type="dxa"/>
            <w:vAlign w:val="bottom"/>
            <w:shd w:val="clear" w:color="auto" w:fill="E1E1DF"/>
          </w:tcPr>
          <w:p>
            <w:pPr>
              <w:ind w:left="380"/>
              <w:spacing w:after="0"/>
              <w:rPr>
                <w:sz w:val="20"/>
                <w:szCs w:val="20"/>
                <w:color w:val="auto"/>
              </w:rPr>
            </w:pPr>
            <w:r>
              <w:rPr>
                <w:rFonts w:ascii="Arial" w:cs="Arial" w:eastAsia="Arial" w:hAnsi="Arial"/>
                <w:sz w:val="16"/>
                <w:szCs w:val="16"/>
                <w:color w:val="3B3C43"/>
              </w:rPr>
              <w:t>more than $350 million</w:t>
            </w:r>
          </w:p>
        </w:tc>
        <w:tc>
          <w:tcPr>
            <w:tcW w:w="3700" w:type="dxa"/>
            <w:vAlign w:val="bottom"/>
            <w:shd w:val="clear" w:color="auto" w:fill="E1E1DF"/>
          </w:tcPr>
          <w:p>
            <w:pPr>
              <w:ind w:left="360"/>
              <w:spacing w:after="0"/>
              <w:rPr>
                <w:sz w:val="20"/>
                <w:szCs w:val="20"/>
                <w:color w:val="auto"/>
              </w:rPr>
            </w:pPr>
            <w:r>
              <w:rPr>
                <w:rFonts w:ascii="Arial" w:cs="Arial" w:eastAsia="Arial" w:hAnsi="Arial"/>
                <w:sz w:val="16"/>
                <w:szCs w:val="16"/>
                <w:color w:val="3B3C43"/>
              </w:rPr>
              <w:t>CEO salary and in the Board of Directors’</w:t>
            </w:r>
          </w:p>
        </w:tc>
        <w:tc>
          <w:tcPr>
            <w:tcW w:w="0" w:type="dxa"/>
            <w:vAlign w:val="bottom"/>
          </w:tcPr>
          <w:p>
            <w:pPr>
              <w:spacing w:after="0"/>
              <w:rPr>
                <w:sz w:val="1"/>
                <w:szCs w:val="1"/>
                <w:color w:val="auto"/>
              </w:rPr>
            </w:pPr>
          </w:p>
        </w:tc>
      </w:tr>
      <w:tr>
        <w:trPr>
          <w:trHeight w:val="195"/>
        </w:trPr>
        <w:tc>
          <w:tcPr>
            <w:tcW w:w="3800" w:type="dxa"/>
            <w:vAlign w:val="bottom"/>
            <w:vMerge w:val="restart"/>
            <w:shd w:val="clear" w:color="auto" w:fill="E1E1DF"/>
          </w:tcPr>
          <w:p>
            <w:pPr>
              <w:ind w:left="1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Capital expenditures reduced 36% versus the</w:t>
            </w:r>
          </w:p>
        </w:tc>
        <w:tc>
          <w:tcPr>
            <w:tcW w:w="3740" w:type="dxa"/>
            <w:vAlign w:val="bottom"/>
            <w:vMerge w:val="restart"/>
            <w:shd w:val="clear" w:color="auto" w:fill="E1E1DF"/>
          </w:tcPr>
          <w:p>
            <w:pPr>
              <w:ind w:left="18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Included $100+ million in annualized cost</w:t>
            </w:r>
          </w:p>
        </w:tc>
        <w:tc>
          <w:tcPr>
            <w:tcW w:w="3700" w:type="dxa"/>
            <w:vAlign w:val="bottom"/>
            <w:shd w:val="clear" w:color="auto" w:fill="E1E1DF"/>
          </w:tcPr>
          <w:p>
            <w:pPr>
              <w:ind w:left="360"/>
              <w:spacing w:after="0"/>
              <w:rPr>
                <w:sz w:val="20"/>
                <w:szCs w:val="20"/>
                <w:color w:val="auto"/>
              </w:rPr>
            </w:pPr>
            <w:r>
              <w:rPr>
                <w:rFonts w:ascii="Arial" w:cs="Arial" w:eastAsia="Arial" w:hAnsi="Arial"/>
                <w:sz w:val="16"/>
                <w:szCs w:val="16"/>
                <w:color w:val="3B3C43"/>
              </w:rPr>
              <w:t>retainer</w:t>
            </w:r>
          </w:p>
        </w:tc>
        <w:tc>
          <w:tcPr>
            <w:tcW w:w="0" w:type="dxa"/>
            <w:vAlign w:val="bottom"/>
          </w:tcPr>
          <w:p>
            <w:pPr>
              <w:spacing w:after="0"/>
              <w:rPr>
                <w:sz w:val="1"/>
                <w:szCs w:val="1"/>
                <w:color w:val="auto"/>
              </w:rPr>
            </w:pPr>
          </w:p>
        </w:tc>
      </w:tr>
      <w:tr>
        <w:trPr>
          <w:trHeight w:val="183"/>
        </w:trPr>
        <w:tc>
          <w:tcPr>
            <w:tcW w:w="3800" w:type="dxa"/>
            <w:vAlign w:val="bottom"/>
            <w:vMerge w:val="continue"/>
            <w:shd w:val="clear" w:color="auto" w:fill="E1E1DF"/>
          </w:tcPr>
          <w:p>
            <w:pPr>
              <w:spacing w:after="0"/>
              <w:rPr>
                <w:sz w:val="15"/>
                <w:szCs w:val="15"/>
                <w:color w:val="auto"/>
              </w:rPr>
            </w:pPr>
          </w:p>
        </w:tc>
        <w:tc>
          <w:tcPr>
            <w:tcW w:w="3740" w:type="dxa"/>
            <w:vAlign w:val="bottom"/>
            <w:vMerge w:val="continue"/>
            <w:shd w:val="clear" w:color="auto" w:fill="E1E1DF"/>
          </w:tcPr>
          <w:p>
            <w:pPr>
              <w:spacing w:after="0"/>
              <w:rPr>
                <w:sz w:val="15"/>
                <w:szCs w:val="15"/>
                <w:color w:val="auto"/>
              </w:rPr>
            </w:pPr>
          </w:p>
        </w:tc>
        <w:tc>
          <w:tcPr>
            <w:tcW w:w="3700" w:type="dxa"/>
            <w:vAlign w:val="bottom"/>
            <w:shd w:val="clear" w:color="auto" w:fill="E1E1D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E1E1DF"/>
          </w:tcPr>
          <w:p>
            <w:pPr>
              <w:ind w:left="360"/>
              <w:spacing w:after="0"/>
              <w:rPr>
                <w:sz w:val="20"/>
                <w:szCs w:val="20"/>
                <w:color w:val="auto"/>
              </w:rPr>
            </w:pPr>
            <w:r>
              <w:rPr>
                <w:rFonts w:ascii="Arial" w:cs="Arial" w:eastAsia="Arial" w:hAnsi="Arial"/>
                <w:sz w:val="16"/>
                <w:szCs w:val="16"/>
                <w:color w:val="3B3C43"/>
              </w:rPr>
              <w:t>prior year to $292 million</w:t>
            </w:r>
          </w:p>
        </w:tc>
        <w:tc>
          <w:tcPr>
            <w:tcW w:w="3740" w:type="dxa"/>
            <w:vAlign w:val="bottom"/>
            <w:shd w:val="clear" w:color="auto" w:fill="E1E1DF"/>
          </w:tcPr>
          <w:p>
            <w:pPr>
              <w:ind w:left="380"/>
              <w:spacing w:after="0"/>
              <w:rPr>
                <w:sz w:val="20"/>
                <w:szCs w:val="20"/>
                <w:color w:val="auto"/>
              </w:rPr>
            </w:pPr>
            <w:r>
              <w:rPr>
                <w:rFonts w:ascii="Arial" w:cs="Arial" w:eastAsia="Arial" w:hAnsi="Arial"/>
                <w:sz w:val="16"/>
                <w:szCs w:val="16"/>
                <w:color w:val="3B3C43"/>
              </w:rPr>
              <w:t>reductions for Surface Technologies and $30</w:t>
            </w:r>
          </w:p>
        </w:tc>
        <w:tc>
          <w:tcPr>
            <w:tcW w:w="3700" w:type="dxa"/>
            <w:vAlign w:val="bottom"/>
            <w:shd w:val="clear" w:color="auto" w:fill="E1E1DF"/>
          </w:tcPr>
          <w:p>
            <w:pPr>
              <w:ind w:left="14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20% reduction to our other executive officers’</w:t>
            </w:r>
          </w:p>
        </w:tc>
        <w:tc>
          <w:tcPr>
            <w:tcW w:w="0" w:type="dxa"/>
            <w:vAlign w:val="bottom"/>
          </w:tcPr>
          <w:p>
            <w:pPr>
              <w:spacing w:after="0"/>
              <w:rPr>
                <w:sz w:val="1"/>
                <w:szCs w:val="1"/>
                <w:color w:val="auto"/>
              </w:rPr>
            </w:pPr>
          </w:p>
        </w:tc>
      </w:tr>
      <w:tr>
        <w:trPr>
          <w:trHeight w:val="195"/>
        </w:trPr>
        <w:tc>
          <w:tcPr>
            <w:tcW w:w="3800" w:type="dxa"/>
            <w:vAlign w:val="bottom"/>
            <w:shd w:val="clear" w:color="auto" w:fill="E1E1DF"/>
          </w:tcPr>
          <w:p>
            <w:pPr>
              <w:spacing w:after="0"/>
              <w:rPr>
                <w:sz w:val="16"/>
                <w:szCs w:val="16"/>
                <w:color w:val="auto"/>
              </w:rPr>
            </w:pPr>
          </w:p>
        </w:tc>
        <w:tc>
          <w:tcPr>
            <w:tcW w:w="3740" w:type="dxa"/>
            <w:vAlign w:val="bottom"/>
            <w:shd w:val="clear" w:color="auto" w:fill="E1E1DF"/>
          </w:tcPr>
          <w:p>
            <w:pPr>
              <w:ind w:left="380"/>
              <w:spacing w:after="0"/>
              <w:rPr>
                <w:sz w:val="20"/>
                <w:szCs w:val="20"/>
                <w:color w:val="auto"/>
              </w:rPr>
            </w:pPr>
            <w:r>
              <w:rPr>
                <w:rFonts w:ascii="Arial" w:cs="Arial" w:eastAsia="Arial" w:hAnsi="Arial"/>
                <w:sz w:val="16"/>
                <w:szCs w:val="16"/>
                <w:color w:val="3B3C43"/>
              </w:rPr>
              <w:t>million in Corporate expenses</w:t>
            </w:r>
          </w:p>
        </w:tc>
        <w:tc>
          <w:tcPr>
            <w:tcW w:w="3700" w:type="dxa"/>
            <w:vAlign w:val="bottom"/>
            <w:shd w:val="clear" w:color="auto" w:fill="E1E1DF"/>
          </w:tcPr>
          <w:p>
            <w:pPr>
              <w:ind w:left="360"/>
              <w:spacing w:after="0"/>
              <w:rPr>
                <w:sz w:val="20"/>
                <w:szCs w:val="20"/>
                <w:color w:val="auto"/>
              </w:rPr>
            </w:pPr>
            <w:r>
              <w:rPr>
                <w:rFonts w:ascii="Arial" w:cs="Arial" w:eastAsia="Arial" w:hAnsi="Arial"/>
                <w:sz w:val="16"/>
                <w:szCs w:val="16"/>
                <w:color w:val="3B3C43"/>
              </w:rPr>
              <w:t>salaries</w:t>
            </w:r>
          </w:p>
        </w:tc>
        <w:tc>
          <w:tcPr>
            <w:tcW w:w="0" w:type="dxa"/>
            <w:vAlign w:val="bottom"/>
          </w:tcPr>
          <w:p>
            <w:pPr>
              <w:spacing w:after="0"/>
              <w:rPr>
                <w:sz w:val="1"/>
                <w:szCs w:val="1"/>
                <w:color w:val="auto"/>
              </w:rPr>
            </w:pPr>
          </w:p>
        </w:tc>
      </w:tr>
      <w:tr>
        <w:trPr>
          <w:trHeight w:val="263"/>
        </w:trPr>
        <w:tc>
          <w:tcPr>
            <w:tcW w:w="3800" w:type="dxa"/>
            <w:vAlign w:val="bottom"/>
            <w:shd w:val="clear" w:color="auto" w:fill="E1E1DF"/>
          </w:tcPr>
          <w:p>
            <w:pPr>
              <w:spacing w:after="0"/>
              <w:rPr>
                <w:sz w:val="22"/>
                <w:szCs w:val="22"/>
                <w:color w:val="auto"/>
              </w:rPr>
            </w:pPr>
          </w:p>
        </w:tc>
        <w:tc>
          <w:tcPr>
            <w:tcW w:w="3740" w:type="dxa"/>
            <w:vAlign w:val="bottom"/>
            <w:shd w:val="clear" w:color="auto" w:fill="E1E1DF"/>
          </w:tcPr>
          <w:p>
            <w:pPr>
              <w:spacing w:after="0"/>
              <w:rPr>
                <w:sz w:val="22"/>
                <w:szCs w:val="22"/>
                <w:color w:val="auto"/>
              </w:rPr>
            </w:pPr>
          </w:p>
        </w:tc>
        <w:tc>
          <w:tcPr>
            <w:tcW w:w="3700" w:type="dxa"/>
            <w:vAlign w:val="bottom"/>
            <w:shd w:val="clear" w:color="auto" w:fill="E1E1DF"/>
          </w:tcPr>
          <w:p>
            <w:pPr>
              <w:spacing w:after="0"/>
              <w:rPr>
                <w:sz w:val="22"/>
                <w:szCs w:val="22"/>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B3C43"/>
        </w:rPr>
        <w:t>We also took aggressive actions to mitigate the impacts of the COVID-19 virus on our business. The health, safety, and well-being of our employees remained our top priority as we focused on maintaining business continuity and adopting leading-edge safety practices. The Company activated a COVID-19 Incident Management Team in order to administer a consistent response throughout our global operations and provide coordinated support to localized events. Our COVID-19 management response was recognized by customers including Shell and BP as “best in class” to emulate. Specific actions included the following:</w:t>
      </w:r>
    </w:p>
    <w:p>
      <w:pPr>
        <w:spacing w:after="0" w:line="367" w:lineRule="exact"/>
        <w:rPr>
          <w:sz w:val="20"/>
          <w:szCs w:val="20"/>
          <w:color w:val="auto"/>
        </w:rPr>
      </w:pPr>
    </w:p>
    <w:p>
      <w:pPr>
        <w:ind w:left="500" w:right="360" w:hanging="317"/>
        <w:spacing w:after="0" w:line="260" w:lineRule="auto"/>
        <w:tabs>
          <w:tab w:leader="none" w:pos="500" w:val="left"/>
        </w:tabs>
        <w:numPr>
          <w:ilvl w:val="0"/>
          <w:numId w:val="80"/>
        </w:numPr>
        <w:rPr>
          <w:rFonts w:ascii="Arial" w:cs="Arial" w:eastAsia="Arial" w:hAnsi="Arial"/>
          <w:sz w:val="16"/>
          <w:szCs w:val="16"/>
          <w:color w:val="4B1F68"/>
        </w:rPr>
      </w:pPr>
      <w:r>
        <w:rPr>
          <w:rFonts w:ascii="Arial" w:cs="Arial" w:eastAsia="Arial" w:hAnsi="Arial"/>
          <w:sz w:val="16"/>
          <w:szCs w:val="16"/>
          <w:color w:val="3B3C43"/>
        </w:rPr>
        <w:t>Established a thorough Business Continuity Planning process, which included a work from home initiative, when practical, to support continuity of operations;</w:t>
      </w:r>
    </w:p>
    <w:p>
      <w:pPr>
        <w:spacing w:after="0" w:line="168" w:lineRule="exact"/>
        <w:rPr>
          <w:rFonts w:ascii="Arial" w:cs="Arial" w:eastAsia="Arial" w:hAnsi="Arial"/>
          <w:sz w:val="16"/>
          <w:szCs w:val="16"/>
          <w:color w:val="4B1F68"/>
        </w:rPr>
      </w:pPr>
    </w:p>
    <w:p>
      <w:pPr>
        <w:ind w:left="500" w:right="80" w:hanging="317"/>
        <w:spacing w:after="0" w:line="260" w:lineRule="auto"/>
        <w:tabs>
          <w:tab w:leader="none" w:pos="500" w:val="left"/>
        </w:tabs>
        <w:numPr>
          <w:ilvl w:val="0"/>
          <w:numId w:val="80"/>
        </w:numPr>
        <w:rPr>
          <w:rFonts w:ascii="Arial" w:cs="Arial" w:eastAsia="Arial" w:hAnsi="Arial"/>
          <w:sz w:val="16"/>
          <w:szCs w:val="16"/>
          <w:color w:val="4B1F68"/>
        </w:rPr>
      </w:pPr>
      <w:r>
        <w:rPr>
          <w:rFonts w:ascii="Arial" w:cs="Arial" w:eastAsia="Arial" w:hAnsi="Arial"/>
          <w:sz w:val="16"/>
          <w:szCs w:val="16"/>
          <w:color w:val="3B3C43"/>
        </w:rPr>
        <w:t>Adopted enhanced sanitation practices across all offices and facilities, implemented measures to restrict non-essential business travel, and restricted non-essential visitors from visiting our offices and facilities;</w:t>
      </w:r>
    </w:p>
    <w:p>
      <w:pPr>
        <w:spacing w:after="0" w:line="168" w:lineRule="exact"/>
        <w:rPr>
          <w:rFonts w:ascii="Arial" w:cs="Arial" w:eastAsia="Arial" w:hAnsi="Arial"/>
          <w:sz w:val="16"/>
          <w:szCs w:val="16"/>
          <w:color w:val="4B1F68"/>
        </w:rPr>
      </w:pPr>
    </w:p>
    <w:p>
      <w:pPr>
        <w:ind w:left="500" w:right="400" w:hanging="317"/>
        <w:spacing w:after="0" w:line="260" w:lineRule="auto"/>
        <w:tabs>
          <w:tab w:leader="none" w:pos="500" w:val="left"/>
        </w:tabs>
        <w:numPr>
          <w:ilvl w:val="0"/>
          <w:numId w:val="80"/>
        </w:numPr>
        <w:rPr>
          <w:rFonts w:ascii="Arial" w:cs="Arial" w:eastAsia="Arial" w:hAnsi="Arial"/>
          <w:sz w:val="16"/>
          <w:szCs w:val="16"/>
          <w:color w:val="4B1F68"/>
        </w:rPr>
      </w:pPr>
      <w:r>
        <w:rPr>
          <w:rFonts w:ascii="Arial" w:cs="Arial" w:eastAsia="Arial" w:hAnsi="Arial"/>
          <w:sz w:val="16"/>
          <w:szCs w:val="16"/>
          <w:color w:val="3B3C43"/>
        </w:rPr>
        <w:t>Provided personal protective equipment and performed proactive health screening and testing of offshore personnel; required employees to self-quarantine when they may have been exposed to, or shown any symptoms of, COVID-19;</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71</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left="500" w:hanging="317"/>
        <w:spacing w:after="0" w:line="260" w:lineRule="auto"/>
        <w:tabs>
          <w:tab w:leader="none" w:pos="500" w:val="left"/>
        </w:tabs>
        <w:numPr>
          <w:ilvl w:val="0"/>
          <w:numId w:val="81"/>
        </w:numPr>
        <w:rPr>
          <w:rFonts w:ascii="Arial" w:cs="Arial" w:eastAsia="Arial" w:hAnsi="Arial"/>
          <w:sz w:val="16"/>
          <w:szCs w:val="16"/>
          <w:color w:val="4B1F68"/>
        </w:rPr>
      </w:pPr>
      <w:r>
        <w:rPr>
          <w:rFonts w:ascii="Arial" w:cs="Arial" w:eastAsia="Arial" w:hAnsi="Arial"/>
          <w:sz w:val="16"/>
          <w:szCs w:val="16"/>
          <w:color w:val="3B3C43"/>
        </w:rPr>
        <w:t>Collaborated more closely with clients to mitigate COVID-19 impacts in order to advance projects and meet customer requirements, albeit at reduced productivity in some instances;</w:t>
      </w:r>
    </w:p>
    <w:p>
      <w:pPr>
        <w:spacing w:after="0" w:line="168" w:lineRule="exact"/>
        <w:rPr>
          <w:rFonts w:ascii="Arial" w:cs="Arial" w:eastAsia="Arial" w:hAnsi="Arial"/>
          <w:sz w:val="16"/>
          <w:szCs w:val="16"/>
          <w:color w:val="4B1F68"/>
        </w:rPr>
      </w:pPr>
    </w:p>
    <w:p>
      <w:pPr>
        <w:ind w:left="500" w:hanging="317"/>
        <w:spacing w:after="0"/>
        <w:tabs>
          <w:tab w:leader="none" w:pos="500" w:val="left"/>
        </w:tabs>
        <w:numPr>
          <w:ilvl w:val="0"/>
          <w:numId w:val="81"/>
        </w:numPr>
        <w:rPr>
          <w:rFonts w:ascii="Arial" w:cs="Arial" w:eastAsia="Arial" w:hAnsi="Arial"/>
          <w:sz w:val="16"/>
          <w:szCs w:val="16"/>
          <w:color w:val="4B1F68"/>
        </w:rPr>
      </w:pPr>
      <w:r>
        <w:rPr>
          <w:rFonts w:ascii="Arial" w:cs="Arial" w:eastAsia="Arial" w:hAnsi="Arial"/>
          <w:sz w:val="16"/>
          <w:szCs w:val="16"/>
          <w:color w:val="3B3C43"/>
        </w:rPr>
        <w:t>Engaged with critical vendors regarding their own pandemic preparedness plans to minimize the impact to our business operations;</w:t>
      </w:r>
    </w:p>
    <w:p>
      <w:pPr>
        <w:spacing w:after="0" w:line="194" w:lineRule="exact"/>
        <w:rPr>
          <w:rFonts w:ascii="Arial" w:cs="Arial" w:eastAsia="Arial" w:hAnsi="Arial"/>
          <w:sz w:val="16"/>
          <w:szCs w:val="16"/>
          <w:color w:val="4B1F68"/>
        </w:rPr>
      </w:pPr>
    </w:p>
    <w:p>
      <w:pPr>
        <w:ind w:left="500" w:right="160" w:hanging="317"/>
        <w:spacing w:after="0" w:line="260" w:lineRule="auto"/>
        <w:tabs>
          <w:tab w:leader="none" w:pos="500" w:val="left"/>
        </w:tabs>
        <w:numPr>
          <w:ilvl w:val="0"/>
          <w:numId w:val="81"/>
        </w:numPr>
        <w:rPr>
          <w:rFonts w:ascii="Arial" w:cs="Arial" w:eastAsia="Arial" w:hAnsi="Arial"/>
          <w:sz w:val="16"/>
          <w:szCs w:val="16"/>
          <w:color w:val="4B1F68"/>
        </w:rPr>
      </w:pPr>
      <w:r>
        <w:rPr>
          <w:rFonts w:ascii="Arial" w:cs="Arial" w:eastAsia="Arial" w:hAnsi="Arial"/>
          <w:sz w:val="16"/>
          <w:szCs w:val="16"/>
          <w:color w:val="3B3C43"/>
        </w:rPr>
        <w:t>Implemented global initiatives on mental health, including a mental health month in October, mental health and well-being webinars on our learning portal, mental health campaign of “it’s OK not to be OK,” and reinforcement of employee assistance programs and flex work policies; and</w:t>
      </w:r>
    </w:p>
    <w:p>
      <w:pPr>
        <w:spacing w:after="0" w:line="168" w:lineRule="exact"/>
        <w:rPr>
          <w:rFonts w:ascii="Arial" w:cs="Arial" w:eastAsia="Arial" w:hAnsi="Arial"/>
          <w:sz w:val="16"/>
          <w:szCs w:val="16"/>
          <w:color w:val="4B1F68"/>
        </w:rPr>
      </w:pPr>
    </w:p>
    <w:p>
      <w:pPr>
        <w:ind w:left="500" w:right="260" w:hanging="317"/>
        <w:spacing w:after="0" w:line="260" w:lineRule="auto"/>
        <w:tabs>
          <w:tab w:leader="none" w:pos="500" w:val="left"/>
        </w:tabs>
        <w:numPr>
          <w:ilvl w:val="0"/>
          <w:numId w:val="81"/>
        </w:numPr>
        <w:rPr>
          <w:rFonts w:ascii="Arial" w:cs="Arial" w:eastAsia="Arial" w:hAnsi="Arial"/>
          <w:sz w:val="16"/>
          <w:szCs w:val="16"/>
          <w:color w:val="4B1F68"/>
        </w:rPr>
      </w:pPr>
      <w:r>
        <w:rPr>
          <w:rFonts w:ascii="Arial" w:cs="Arial" w:eastAsia="Arial" w:hAnsi="Arial"/>
          <w:sz w:val="16"/>
          <w:szCs w:val="16"/>
          <w:color w:val="3B3C43"/>
        </w:rPr>
        <w:t>Established a global Incident Management Team sponsored by our executive officers and including representatives from HSE, Security, People &amp; Culture, Legal, Communications, Finance, Medical, and major projects teams to assist in regularly updating our Board on COVID-19 impacts.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TechnipFMC TSR Performance</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3B3C43"/>
        </w:rPr>
        <w:t>70% of our long-term equity incentive plan is based on relative TSR performance versus the Relative TSR Peer Group for the year of grant. As such, the figures below indicate the Company’s TSR performance against our Relative TSR Peer Group and against the Philadelphia Oil Service Sector (OSX) index. Note that the OSX index is not used for plan payout, but provided as a reference point to demonstrate TSR performance for the oil service industry as a whole during this period.</w:t>
      </w:r>
    </w:p>
    <w:p>
      <w:pPr>
        <w:spacing w:after="0" w:line="17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3B3C43"/>
        </w:rPr>
        <w:t>For the 2017-2020 performance period our TSR performance has been above the median for the OSX index. For the same period, our TSR performance has been above the median of our Relative TSR Peer Group for the 2017-2019 period, and below the median of our Relative TSR Peer Group in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3B3C43"/>
        </w:rPr>
        <w:t>This TSR performance is reflected in the payout under the relative TSR component of our PSU awards.</w:t>
      </w:r>
    </w:p>
    <w:p>
      <w:pPr>
        <w:spacing w:after="0" w:line="194" w:lineRule="exact"/>
        <w:rPr>
          <w:sz w:val="20"/>
          <w:szCs w:val="20"/>
          <w:color w:val="auto"/>
        </w:rPr>
      </w:pPr>
    </w:p>
    <w:p>
      <w:pPr>
        <w:ind w:left="500" w:right="460" w:hanging="317"/>
        <w:spacing w:after="0" w:line="260" w:lineRule="auto"/>
        <w:tabs>
          <w:tab w:leader="none" w:pos="500" w:val="left"/>
        </w:tabs>
        <w:numPr>
          <w:ilvl w:val="0"/>
          <w:numId w:val="82"/>
        </w:numPr>
        <w:rPr>
          <w:rFonts w:ascii="Arial" w:cs="Arial" w:eastAsia="Arial" w:hAnsi="Arial"/>
          <w:sz w:val="16"/>
          <w:szCs w:val="16"/>
          <w:color w:val="4B1F68"/>
        </w:rPr>
      </w:pPr>
      <w:r>
        <w:rPr>
          <w:rFonts w:ascii="Arial" w:cs="Arial" w:eastAsia="Arial" w:hAnsi="Arial"/>
          <w:sz w:val="16"/>
          <w:szCs w:val="16"/>
          <w:color w:val="3B3C43"/>
        </w:rPr>
        <w:t>Although our 2017-2019 relative TSR performance was above median, the payout for the relative TSR component was capped at 100% due to negative absolute TSR performance. Payout for the ROIC component was at 0%, and therefore, the overall payout for PSU awards was 50%.</w:t>
      </w:r>
    </w:p>
    <w:p>
      <w:pPr>
        <w:spacing w:after="0" w:line="168" w:lineRule="exact"/>
        <w:rPr>
          <w:rFonts w:ascii="Arial" w:cs="Arial" w:eastAsia="Arial" w:hAnsi="Arial"/>
          <w:sz w:val="16"/>
          <w:szCs w:val="16"/>
          <w:color w:val="4B1F68"/>
        </w:rPr>
      </w:pPr>
    </w:p>
    <w:p>
      <w:pPr>
        <w:ind w:left="500" w:right="180" w:hanging="317"/>
        <w:spacing w:after="0" w:line="260" w:lineRule="auto"/>
        <w:tabs>
          <w:tab w:leader="none" w:pos="500" w:val="left"/>
        </w:tabs>
        <w:numPr>
          <w:ilvl w:val="0"/>
          <w:numId w:val="82"/>
        </w:numPr>
        <w:rPr>
          <w:rFonts w:ascii="Arial" w:cs="Arial" w:eastAsia="Arial" w:hAnsi="Arial"/>
          <w:sz w:val="16"/>
          <w:szCs w:val="16"/>
          <w:color w:val="4B1F68"/>
        </w:rPr>
      </w:pPr>
      <w:r>
        <w:rPr>
          <w:rFonts w:ascii="Arial" w:cs="Arial" w:eastAsia="Arial" w:hAnsi="Arial"/>
          <w:sz w:val="16"/>
          <w:szCs w:val="16"/>
          <w:color w:val="3B3C43"/>
        </w:rPr>
        <w:t>Our 2018-2020 relative TSR performance was at the 25th percentile of the Relative TSR Peer Group, and the resulting payout for the relative TSR component was 50%. Payout for the ROIC component was at 0%, and therefore, the overall payout for PSU awards was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72</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88" w:right="41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394970</wp:posOffset>
            </wp:positionV>
            <wp:extent cx="5143500" cy="28289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B3C43"/>
        </w:rPr>
        <w:t>For detailed information regarding our 2020 results, please see our Form 10-K, which reports our results using U.S. generally accepted accounting principles (“</w:t>
      </w:r>
      <w:r>
        <w:rPr>
          <w:rFonts w:ascii="Arial" w:cs="Arial" w:eastAsia="Arial" w:hAnsi="Arial"/>
          <w:sz w:val="16"/>
          <w:szCs w:val="16"/>
          <w:b w:val="1"/>
          <w:bCs w:val="1"/>
          <w:color w:val="3B3C43"/>
        </w:rPr>
        <w:t>GAAP</w:t>
      </w:r>
      <w:r>
        <w:rPr>
          <w:rFonts w:ascii="Arial" w:cs="Arial" w:eastAsia="Arial" w:hAnsi="Arial"/>
          <w:sz w:val="16"/>
          <w:szCs w:val="16"/>
          <w:color w:val="3B3C43"/>
        </w:rPr>
        <w:t>”), and our U.K. Annual Report and Accounts, which reports our results using international financial reporting standards (as adopted by the European Union).</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73</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2020 Performance Impact on Compensation</w:t>
      </w:r>
    </w:p>
    <w:p>
      <w:pPr>
        <w:spacing w:after="0" w:line="232"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3B3C43"/>
        </w:rPr>
        <w:t xml:space="preserve">The table below outlines the elements of our compensation program that are directly tied to Company performance, along with 2020 performance and resulting payouts. For additional details, including calculations and payout scales, please see the sections </w:t>
      </w:r>
      <w:r>
        <w:rPr>
          <w:rFonts w:ascii="Arial" w:cs="Arial" w:eastAsia="Arial" w:hAnsi="Arial"/>
          <w:sz w:val="16"/>
          <w:szCs w:val="16"/>
          <w:i w:val="1"/>
          <w:iCs w:val="1"/>
          <w:color w:val="3B3C43"/>
        </w:rPr>
        <w:t>“</w:t>
      </w:r>
      <w:r>
        <w:rPr>
          <w:rFonts w:ascii="Arial" w:cs="Arial" w:eastAsia="Arial" w:hAnsi="Arial"/>
          <w:sz w:val="14"/>
          <w:szCs w:val="14"/>
          <w:i w:val="1"/>
          <w:iCs w:val="1"/>
          <w:color w:val="3B3C43"/>
        </w:rPr>
        <w:t>-Elements of 2020 Executive Compensation-Annual</w:t>
      </w:r>
      <w:r>
        <w:rPr>
          <w:rFonts w:ascii="Arial" w:cs="Arial" w:eastAsia="Arial" w:hAnsi="Arial"/>
          <w:sz w:val="16"/>
          <w:szCs w:val="16"/>
          <w:color w:val="3B3C43"/>
        </w:rPr>
        <w:t xml:space="preserve"> </w:t>
      </w:r>
      <w:r>
        <w:rPr>
          <w:rFonts w:ascii="Arial" w:cs="Arial" w:eastAsia="Arial" w:hAnsi="Arial"/>
          <w:sz w:val="14"/>
          <w:szCs w:val="14"/>
          <w:i w:val="1"/>
          <w:iCs w:val="1"/>
          <w:color w:val="3B3C43"/>
        </w:rPr>
        <w:t xml:space="preserve">Cash Incentive” </w:t>
      </w:r>
      <w:r>
        <w:rPr>
          <w:rFonts w:ascii="Arial" w:cs="Arial" w:eastAsia="Arial" w:hAnsi="Arial"/>
          <w:sz w:val="16"/>
          <w:szCs w:val="16"/>
          <w:color w:val="3B3C43"/>
        </w:rPr>
        <w:t>and</w:t>
      </w:r>
      <w:r>
        <w:rPr>
          <w:rFonts w:ascii="Arial" w:cs="Arial" w:eastAsia="Arial" w:hAnsi="Arial"/>
          <w:sz w:val="14"/>
          <w:szCs w:val="14"/>
          <w:i w:val="1"/>
          <w:iCs w:val="1"/>
          <w:color w:val="3B3C43"/>
        </w:rPr>
        <w:t xml:space="preserve"> “-Elements of 2020 Executive Compensation-Long-Term Equity Incentives-Vesting of 2018 PSU Awards</w:t>
      </w:r>
      <w:r>
        <w:rPr>
          <w:rFonts w:ascii="Arial" w:cs="Arial" w:eastAsia="Arial" w:hAnsi="Arial"/>
          <w:sz w:val="16"/>
          <w:szCs w:val="16"/>
          <w:i w:val="1"/>
          <w:iCs w:val="1"/>
          <w:color w:val="3B3C4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4080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82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Compensation</w:t>
            </w:r>
          </w:p>
        </w:tc>
        <w:tc>
          <w:tcPr>
            <w:tcW w:w="2020" w:type="dxa"/>
            <w:vAlign w:val="bottom"/>
            <w:shd w:val="clear" w:color="auto" w:fill="4A1F67"/>
          </w:tcPr>
          <w:p>
            <w:pPr>
              <w:spacing w:after="0"/>
              <w:rPr>
                <w:sz w:val="21"/>
                <w:szCs w:val="21"/>
                <w:color w:val="auto"/>
              </w:rPr>
            </w:pPr>
          </w:p>
        </w:tc>
        <w:tc>
          <w:tcPr>
            <w:tcW w:w="2480" w:type="dxa"/>
            <w:vAlign w:val="bottom"/>
            <w:shd w:val="clear" w:color="auto" w:fill="4A1F67"/>
          </w:tcPr>
          <w:p>
            <w:pPr>
              <w:spacing w:after="0"/>
              <w:rPr>
                <w:sz w:val="21"/>
                <w:szCs w:val="21"/>
                <w:color w:val="auto"/>
              </w:rPr>
            </w:pPr>
          </w:p>
        </w:tc>
        <w:tc>
          <w:tcPr>
            <w:tcW w:w="460" w:type="dxa"/>
            <w:vAlign w:val="bottom"/>
            <w:shd w:val="clear" w:color="auto" w:fill="4A1F67"/>
          </w:tcPr>
          <w:p>
            <w:pPr>
              <w:spacing w:after="0"/>
              <w:rPr>
                <w:sz w:val="21"/>
                <w:szCs w:val="21"/>
                <w:color w:val="auto"/>
              </w:rPr>
            </w:pPr>
          </w:p>
        </w:tc>
        <w:tc>
          <w:tcPr>
            <w:tcW w:w="2000" w:type="dxa"/>
            <w:vAlign w:val="bottom"/>
            <w:shd w:val="clear" w:color="auto" w:fill="4A1F67"/>
          </w:tcPr>
          <w:p>
            <w:pPr>
              <w:spacing w:after="0"/>
              <w:rPr>
                <w:sz w:val="21"/>
                <w:szCs w:val="21"/>
                <w:color w:val="auto"/>
              </w:rPr>
            </w:pPr>
          </w:p>
        </w:tc>
        <w:tc>
          <w:tcPr>
            <w:tcW w:w="440" w:type="dxa"/>
            <w:vAlign w:val="bottom"/>
            <w:shd w:val="clear" w:color="auto" w:fill="4A1F67"/>
          </w:tcPr>
          <w:p>
            <w:pPr>
              <w:spacing w:after="0"/>
              <w:rPr>
                <w:sz w:val="21"/>
                <w:szCs w:val="21"/>
                <w:color w:val="auto"/>
              </w:rPr>
            </w:pPr>
          </w:p>
        </w:tc>
        <w:tc>
          <w:tcPr>
            <w:tcW w:w="2020" w:type="dxa"/>
            <w:vAlign w:val="bottom"/>
            <w:shd w:val="clear" w:color="auto" w:fill="4A1F6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82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Element</w:t>
            </w:r>
          </w:p>
        </w:tc>
        <w:tc>
          <w:tcPr>
            <w:tcW w:w="202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Objective</w:t>
            </w:r>
          </w:p>
        </w:tc>
        <w:tc>
          <w:tcPr>
            <w:tcW w:w="248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2020 Measures</w:t>
            </w:r>
          </w:p>
        </w:tc>
        <w:tc>
          <w:tcPr>
            <w:tcW w:w="460" w:type="dxa"/>
            <w:vAlign w:val="bottom"/>
            <w:shd w:val="clear" w:color="auto" w:fill="4A1F67"/>
          </w:tcPr>
          <w:p>
            <w:pPr>
              <w:spacing w:after="0"/>
              <w:rPr>
                <w:sz w:val="18"/>
                <w:szCs w:val="18"/>
                <w:color w:val="auto"/>
              </w:rPr>
            </w:pPr>
          </w:p>
        </w:tc>
        <w:tc>
          <w:tcPr>
            <w:tcW w:w="200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2020 Performance</w:t>
            </w:r>
          </w:p>
        </w:tc>
        <w:tc>
          <w:tcPr>
            <w:tcW w:w="440" w:type="dxa"/>
            <w:vAlign w:val="bottom"/>
            <w:shd w:val="clear" w:color="auto" w:fill="4A1F67"/>
          </w:tcPr>
          <w:p>
            <w:pPr>
              <w:spacing w:after="0"/>
              <w:rPr>
                <w:sz w:val="18"/>
                <w:szCs w:val="18"/>
                <w:color w:val="auto"/>
              </w:rPr>
            </w:pPr>
          </w:p>
        </w:tc>
        <w:tc>
          <w:tcPr>
            <w:tcW w:w="2020" w:type="dxa"/>
            <w:vAlign w:val="bottom"/>
            <w:shd w:val="clear" w:color="auto" w:fill="4A1F67"/>
          </w:tcPr>
          <w:p>
            <w:pPr>
              <w:ind w:left="120"/>
              <w:spacing w:after="0"/>
              <w:rPr>
                <w:sz w:val="20"/>
                <w:szCs w:val="20"/>
                <w:color w:val="auto"/>
              </w:rPr>
            </w:pPr>
            <w:r>
              <w:rPr>
                <w:rFonts w:ascii="Arial" w:cs="Arial" w:eastAsia="Arial" w:hAnsi="Arial"/>
                <w:sz w:val="16"/>
                <w:szCs w:val="16"/>
                <w:b w:val="1"/>
                <w:bCs w:val="1"/>
                <w:color w:val="FFFFFF"/>
              </w:rPr>
              <w:t>2020 Payout</w:t>
            </w:r>
          </w:p>
        </w:tc>
        <w:tc>
          <w:tcPr>
            <w:tcW w:w="0" w:type="dxa"/>
            <w:vAlign w:val="bottom"/>
          </w:tcPr>
          <w:p>
            <w:pPr>
              <w:spacing w:after="0"/>
              <w:rPr>
                <w:sz w:val="1"/>
                <w:szCs w:val="1"/>
                <w:color w:val="auto"/>
              </w:rPr>
            </w:pPr>
          </w:p>
        </w:tc>
      </w:tr>
      <w:tr>
        <w:trPr>
          <w:trHeight w:val="73"/>
        </w:trPr>
        <w:tc>
          <w:tcPr>
            <w:tcW w:w="1820" w:type="dxa"/>
            <w:vAlign w:val="bottom"/>
            <w:shd w:val="clear" w:color="auto" w:fill="4A1F67"/>
          </w:tcPr>
          <w:p>
            <w:pPr>
              <w:spacing w:after="0"/>
              <w:rPr>
                <w:sz w:val="6"/>
                <w:szCs w:val="6"/>
                <w:color w:val="auto"/>
              </w:rPr>
            </w:pPr>
          </w:p>
        </w:tc>
        <w:tc>
          <w:tcPr>
            <w:tcW w:w="2020" w:type="dxa"/>
            <w:vAlign w:val="bottom"/>
            <w:shd w:val="clear" w:color="auto" w:fill="4A1F67"/>
          </w:tcPr>
          <w:p>
            <w:pPr>
              <w:spacing w:after="0"/>
              <w:rPr>
                <w:sz w:val="6"/>
                <w:szCs w:val="6"/>
                <w:color w:val="auto"/>
              </w:rPr>
            </w:pPr>
          </w:p>
        </w:tc>
        <w:tc>
          <w:tcPr>
            <w:tcW w:w="2480" w:type="dxa"/>
            <w:vAlign w:val="bottom"/>
            <w:shd w:val="clear" w:color="auto" w:fill="4A1F67"/>
          </w:tcPr>
          <w:p>
            <w:pPr>
              <w:spacing w:after="0"/>
              <w:rPr>
                <w:sz w:val="6"/>
                <w:szCs w:val="6"/>
                <w:color w:val="auto"/>
              </w:rPr>
            </w:pPr>
          </w:p>
        </w:tc>
        <w:tc>
          <w:tcPr>
            <w:tcW w:w="460" w:type="dxa"/>
            <w:vAlign w:val="bottom"/>
            <w:shd w:val="clear" w:color="auto" w:fill="4A1F67"/>
          </w:tcPr>
          <w:p>
            <w:pPr>
              <w:spacing w:after="0"/>
              <w:rPr>
                <w:sz w:val="6"/>
                <w:szCs w:val="6"/>
                <w:color w:val="auto"/>
              </w:rPr>
            </w:pPr>
          </w:p>
        </w:tc>
        <w:tc>
          <w:tcPr>
            <w:tcW w:w="2000" w:type="dxa"/>
            <w:vAlign w:val="bottom"/>
            <w:shd w:val="clear" w:color="auto" w:fill="4A1F67"/>
          </w:tcPr>
          <w:p>
            <w:pPr>
              <w:spacing w:after="0"/>
              <w:rPr>
                <w:sz w:val="6"/>
                <w:szCs w:val="6"/>
                <w:color w:val="auto"/>
              </w:rPr>
            </w:pPr>
          </w:p>
        </w:tc>
        <w:tc>
          <w:tcPr>
            <w:tcW w:w="440" w:type="dxa"/>
            <w:vAlign w:val="bottom"/>
            <w:shd w:val="clear" w:color="auto" w:fill="4A1F67"/>
          </w:tcPr>
          <w:p>
            <w:pPr>
              <w:spacing w:after="0"/>
              <w:rPr>
                <w:sz w:val="6"/>
                <w:szCs w:val="6"/>
                <w:color w:val="auto"/>
              </w:rPr>
            </w:pPr>
          </w:p>
        </w:tc>
        <w:tc>
          <w:tcPr>
            <w:tcW w:w="2020" w:type="dxa"/>
            <w:vAlign w:val="bottom"/>
            <w:shd w:val="clear" w:color="auto" w:fill="4A1F67"/>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82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Long-Term Equity</w:t>
            </w:r>
          </w:p>
        </w:tc>
        <w:tc>
          <w:tcPr>
            <w:tcW w:w="20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To drive and reward the</w:t>
            </w: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50% PSUs:</w:t>
            </w:r>
          </w:p>
        </w:tc>
        <w:tc>
          <w:tcPr>
            <w:tcW w:w="460" w:type="dxa"/>
            <w:vAlign w:val="bottom"/>
            <w:vMerge w:val="restart"/>
            <w:shd w:val="clear" w:color="auto" w:fill="E1E1DF"/>
          </w:tcPr>
          <w:p>
            <w:pPr>
              <w:jc w:val="right"/>
              <w:ind w:right="74"/>
              <w:spacing w:after="0"/>
              <w:rPr>
                <w:sz w:val="20"/>
                <w:szCs w:val="20"/>
                <w:color w:val="auto"/>
              </w:rPr>
            </w:pPr>
            <w:r>
              <w:rPr>
                <w:rFonts w:ascii="Arial" w:cs="Arial" w:eastAsia="Arial" w:hAnsi="Arial"/>
                <w:sz w:val="25"/>
                <w:szCs w:val="25"/>
                <w:b w:val="1"/>
                <w:bCs w:val="1"/>
                <w:color w:val="4B1F68"/>
              </w:rPr>
              <w:t>&gt;</w:t>
            </w:r>
          </w:p>
        </w:tc>
        <w:tc>
          <w:tcPr>
            <w:tcW w:w="2000" w:type="dxa"/>
            <w:vAlign w:val="bottom"/>
            <w:shd w:val="clear" w:color="auto" w:fill="E1E1DF"/>
          </w:tcPr>
          <w:p>
            <w:pPr>
              <w:ind w:left="80"/>
              <w:spacing w:after="0"/>
              <w:rPr>
                <w:sz w:val="20"/>
                <w:szCs w:val="20"/>
                <w:color w:val="auto"/>
              </w:rPr>
            </w:pPr>
            <w:r>
              <w:rPr>
                <w:rFonts w:ascii="Arial" w:cs="Arial" w:eastAsia="Arial" w:hAnsi="Arial"/>
                <w:sz w:val="14"/>
                <w:szCs w:val="14"/>
                <w:color w:val="3B3C43"/>
              </w:rPr>
              <w:t>2018-2020 performance of</w:t>
            </w:r>
          </w:p>
        </w:tc>
        <w:tc>
          <w:tcPr>
            <w:tcW w:w="440" w:type="dxa"/>
            <w:vAlign w:val="bottom"/>
            <w:vMerge w:val="restart"/>
            <w:shd w:val="clear" w:color="auto" w:fill="E1E1DF"/>
          </w:tcPr>
          <w:p>
            <w:pPr>
              <w:jc w:val="right"/>
              <w:ind w:right="54"/>
              <w:spacing w:after="0"/>
              <w:rPr>
                <w:sz w:val="20"/>
                <w:szCs w:val="20"/>
                <w:color w:val="auto"/>
              </w:rPr>
            </w:pPr>
            <w:r>
              <w:rPr>
                <w:rFonts w:ascii="Arial" w:cs="Arial" w:eastAsia="Arial" w:hAnsi="Arial"/>
                <w:sz w:val="25"/>
                <w:szCs w:val="25"/>
                <w:b w:val="1"/>
                <w:bCs w:val="1"/>
                <w:color w:val="4B1F68"/>
              </w:rPr>
              <w:t>&gt;</w:t>
            </w:r>
          </w:p>
        </w:tc>
        <w:tc>
          <w:tcPr>
            <w:tcW w:w="2020" w:type="dxa"/>
            <w:vAlign w:val="bottom"/>
            <w:shd w:val="clear" w:color="auto" w:fill="E1E1DF"/>
          </w:tcPr>
          <w:p>
            <w:pPr>
              <w:ind w:left="100"/>
              <w:spacing w:after="0" w:line="230" w:lineRule="exact"/>
              <w:rPr>
                <w:sz w:val="20"/>
                <w:szCs w:val="20"/>
                <w:color w:val="auto"/>
              </w:rPr>
            </w:pPr>
            <w:r>
              <w:rPr>
                <w:rFonts w:ascii="Arial" w:cs="Arial" w:eastAsia="Arial" w:hAnsi="Arial"/>
                <w:sz w:val="14"/>
                <w:szCs w:val="14"/>
                <w:color w:val="3B3C43"/>
              </w:rPr>
              <w:t>50% of target</w:t>
            </w:r>
            <w:r>
              <w:rPr>
                <w:rFonts w:ascii="Arial" w:cs="Arial" w:eastAsia="Arial" w:hAnsi="Arial"/>
                <w:sz w:val="23"/>
                <w:szCs w:val="23"/>
                <w:color w:val="3B3C43"/>
                <w:vertAlign w:val="superscript"/>
              </w:rPr>
              <w:t>1</w:t>
            </w:r>
          </w:p>
        </w:tc>
        <w:tc>
          <w:tcPr>
            <w:tcW w:w="0" w:type="dxa"/>
            <w:vAlign w:val="bottom"/>
          </w:tcPr>
          <w:p>
            <w:pPr>
              <w:spacing w:after="0"/>
              <w:rPr>
                <w:sz w:val="1"/>
                <w:szCs w:val="1"/>
                <w:color w:val="auto"/>
              </w:rPr>
            </w:pPr>
          </w:p>
        </w:tc>
      </w:tr>
      <w:tr>
        <w:trPr>
          <w:trHeight w:val="231"/>
        </w:trPr>
        <w:tc>
          <w:tcPr>
            <w:tcW w:w="1820" w:type="dxa"/>
            <w:vAlign w:val="bottom"/>
            <w:vMerge w:val="restart"/>
            <w:shd w:val="clear" w:color="auto" w:fill="E1E1DF"/>
          </w:tcPr>
          <w:p>
            <w:pPr>
              <w:ind w:left="100"/>
              <w:spacing w:after="0"/>
              <w:rPr>
                <w:sz w:val="20"/>
                <w:szCs w:val="20"/>
                <w:color w:val="auto"/>
              </w:rPr>
            </w:pPr>
            <w:r>
              <w:rPr>
                <w:rFonts w:ascii="Arial" w:cs="Arial" w:eastAsia="Arial" w:hAnsi="Arial"/>
                <w:sz w:val="16"/>
                <w:szCs w:val="16"/>
                <w:b w:val="1"/>
                <w:bCs w:val="1"/>
                <w:color w:val="3B3C43"/>
              </w:rPr>
              <w:t>(70% PSUs and 30%</w:t>
            </w:r>
          </w:p>
        </w:tc>
        <w:tc>
          <w:tcPr>
            <w:tcW w:w="20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achievement of long-term</w:t>
            </w: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3-year Relative TSR</w:t>
            </w:r>
          </w:p>
        </w:tc>
        <w:tc>
          <w:tcPr>
            <w:tcW w:w="460" w:type="dxa"/>
            <w:vAlign w:val="bottom"/>
            <w:vMerge w:val="continue"/>
            <w:shd w:val="clear" w:color="auto" w:fill="E1E1DF"/>
          </w:tcPr>
          <w:p>
            <w:pPr>
              <w:spacing w:after="0"/>
              <w:rPr>
                <w:sz w:val="20"/>
                <w:szCs w:val="20"/>
                <w:color w:val="auto"/>
              </w:rPr>
            </w:pPr>
          </w:p>
        </w:tc>
        <w:tc>
          <w:tcPr>
            <w:tcW w:w="2000" w:type="dxa"/>
            <w:vAlign w:val="bottom"/>
            <w:shd w:val="clear" w:color="auto" w:fill="E1E1DF"/>
          </w:tcPr>
          <w:p>
            <w:pPr>
              <w:ind w:left="80"/>
              <w:spacing w:after="0" w:line="231" w:lineRule="exact"/>
              <w:rPr>
                <w:sz w:val="20"/>
                <w:szCs w:val="20"/>
                <w:color w:val="auto"/>
              </w:rPr>
            </w:pPr>
            <w:r>
              <w:rPr>
                <w:rFonts w:ascii="Arial" w:cs="Arial" w:eastAsia="Arial" w:hAnsi="Arial"/>
                <w:sz w:val="14"/>
                <w:szCs w:val="14"/>
                <w:color w:val="3B3C43"/>
              </w:rPr>
              <w:t>25th percentile</w:t>
            </w:r>
            <w:r>
              <w:rPr>
                <w:rFonts w:ascii="Arial" w:cs="Arial" w:eastAsia="Arial" w:hAnsi="Arial"/>
                <w:sz w:val="23"/>
                <w:szCs w:val="23"/>
                <w:color w:val="3B3C43"/>
                <w:vertAlign w:val="superscript"/>
              </w:rPr>
              <w:t>1</w:t>
            </w:r>
          </w:p>
        </w:tc>
        <w:tc>
          <w:tcPr>
            <w:tcW w:w="440" w:type="dxa"/>
            <w:vAlign w:val="bottom"/>
            <w:vMerge w:val="continue"/>
            <w:shd w:val="clear" w:color="auto" w:fill="E1E1DF"/>
          </w:tcPr>
          <w:p>
            <w:pPr>
              <w:spacing w:after="0"/>
              <w:rPr>
                <w:sz w:val="20"/>
                <w:szCs w:val="20"/>
                <w:color w:val="auto"/>
              </w:rPr>
            </w:pPr>
          </w:p>
        </w:tc>
        <w:tc>
          <w:tcPr>
            <w:tcW w:w="2020" w:type="dxa"/>
            <w:vAlign w:val="bottom"/>
            <w:shd w:val="clear" w:color="auto" w:fill="E1E1D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820" w:type="dxa"/>
            <w:vAlign w:val="bottom"/>
            <w:vMerge w:val="continue"/>
            <w:shd w:val="clear" w:color="auto" w:fill="E1E1DF"/>
          </w:tcPr>
          <w:p>
            <w:pPr>
              <w:spacing w:after="0"/>
              <w:rPr>
                <w:sz w:val="16"/>
                <w:szCs w:val="16"/>
                <w:color w:val="auto"/>
              </w:rPr>
            </w:pPr>
          </w:p>
        </w:tc>
        <w:tc>
          <w:tcPr>
            <w:tcW w:w="20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results and align</w:t>
            </w:r>
          </w:p>
        </w:tc>
        <w:tc>
          <w:tcPr>
            <w:tcW w:w="2480" w:type="dxa"/>
            <w:vAlign w:val="bottom"/>
            <w:shd w:val="clear" w:color="auto" w:fill="E1E1DF"/>
          </w:tcPr>
          <w:p>
            <w:pPr>
              <w:spacing w:after="0"/>
              <w:rPr>
                <w:sz w:val="16"/>
                <w:szCs w:val="16"/>
                <w:color w:val="auto"/>
              </w:rPr>
            </w:pPr>
          </w:p>
        </w:tc>
        <w:tc>
          <w:tcPr>
            <w:tcW w:w="460" w:type="dxa"/>
            <w:vAlign w:val="bottom"/>
            <w:shd w:val="clear" w:color="auto" w:fill="E1E1DF"/>
          </w:tcPr>
          <w:p>
            <w:pPr>
              <w:spacing w:after="0"/>
              <w:rPr>
                <w:sz w:val="16"/>
                <w:szCs w:val="16"/>
                <w:color w:val="auto"/>
              </w:rPr>
            </w:pPr>
          </w:p>
        </w:tc>
        <w:tc>
          <w:tcPr>
            <w:tcW w:w="2000" w:type="dxa"/>
            <w:vAlign w:val="bottom"/>
            <w:shd w:val="clear" w:color="auto" w:fill="E1E1DF"/>
          </w:tcPr>
          <w:p>
            <w:pPr>
              <w:spacing w:after="0"/>
              <w:rPr>
                <w:sz w:val="16"/>
                <w:szCs w:val="16"/>
                <w:color w:val="auto"/>
              </w:rPr>
            </w:pPr>
          </w:p>
        </w:tc>
        <w:tc>
          <w:tcPr>
            <w:tcW w:w="440" w:type="dxa"/>
            <w:vAlign w:val="bottom"/>
            <w:shd w:val="clear" w:color="auto" w:fill="E1E1DF"/>
          </w:tcPr>
          <w:p>
            <w:pPr>
              <w:spacing w:after="0"/>
              <w:rPr>
                <w:sz w:val="16"/>
                <w:szCs w:val="16"/>
                <w:color w:val="auto"/>
              </w:rPr>
            </w:pPr>
          </w:p>
        </w:tc>
        <w:tc>
          <w:tcPr>
            <w:tcW w:w="2020" w:type="dxa"/>
            <w:vAlign w:val="bottom"/>
            <w:shd w:val="clear" w:color="auto" w:fill="E1E1D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2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RSUs)</w:t>
            </w:r>
          </w:p>
        </w:tc>
        <w:tc>
          <w:tcPr>
            <w:tcW w:w="20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interests of NEOs with</w:t>
            </w:r>
          </w:p>
        </w:tc>
        <w:tc>
          <w:tcPr>
            <w:tcW w:w="2480" w:type="dxa"/>
            <w:vAlign w:val="bottom"/>
            <w:vMerge w:val="restart"/>
            <w:shd w:val="clear" w:color="auto" w:fill="E1E1DF"/>
          </w:tcPr>
          <w:p>
            <w:pPr>
              <w:ind w:left="100"/>
              <w:spacing w:after="0"/>
              <w:rPr>
                <w:sz w:val="20"/>
                <w:szCs w:val="20"/>
                <w:color w:val="auto"/>
              </w:rPr>
            </w:pPr>
            <w:r>
              <w:rPr>
                <w:rFonts w:ascii="Arial" w:cs="Arial" w:eastAsia="Arial" w:hAnsi="Arial"/>
                <w:sz w:val="14"/>
                <w:szCs w:val="14"/>
                <w:color w:val="3B3C43"/>
              </w:rPr>
              <w:t>50% PSUs:</w:t>
            </w:r>
          </w:p>
        </w:tc>
        <w:tc>
          <w:tcPr>
            <w:tcW w:w="460" w:type="dxa"/>
            <w:vAlign w:val="bottom"/>
            <w:vMerge w:val="restart"/>
            <w:shd w:val="clear" w:color="auto" w:fill="E1E1DF"/>
          </w:tcPr>
          <w:p>
            <w:pPr>
              <w:jc w:val="right"/>
              <w:ind w:right="74"/>
              <w:spacing w:after="0"/>
              <w:rPr>
                <w:sz w:val="20"/>
                <w:szCs w:val="20"/>
                <w:color w:val="auto"/>
              </w:rPr>
            </w:pPr>
            <w:r>
              <w:rPr>
                <w:rFonts w:ascii="Arial" w:cs="Arial" w:eastAsia="Arial" w:hAnsi="Arial"/>
                <w:sz w:val="25"/>
                <w:szCs w:val="25"/>
                <w:b w:val="1"/>
                <w:bCs w:val="1"/>
                <w:color w:val="4B1F68"/>
              </w:rPr>
              <w:t>&gt;</w:t>
            </w:r>
          </w:p>
        </w:tc>
        <w:tc>
          <w:tcPr>
            <w:tcW w:w="2000" w:type="dxa"/>
            <w:vAlign w:val="bottom"/>
            <w:vMerge w:val="restart"/>
            <w:shd w:val="clear" w:color="auto" w:fill="E1E1DF"/>
          </w:tcPr>
          <w:p>
            <w:pPr>
              <w:ind w:left="80"/>
              <w:spacing w:after="0"/>
              <w:rPr>
                <w:sz w:val="20"/>
                <w:szCs w:val="20"/>
                <w:color w:val="auto"/>
              </w:rPr>
            </w:pPr>
            <w:r>
              <w:rPr>
                <w:rFonts w:ascii="Arial" w:cs="Arial" w:eastAsia="Arial" w:hAnsi="Arial"/>
                <w:sz w:val="14"/>
                <w:szCs w:val="14"/>
                <w:color w:val="3B3C43"/>
              </w:rPr>
              <w:t>2018-2020 performance of</w:t>
            </w:r>
          </w:p>
        </w:tc>
        <w:tc>
          <w:tcPr>
            <w:tcW w:w="440" w:type="dxa"/>
            <w:vAlign w:val="bottom"/>
            <w:vMerge w:val="restart"/>
            <w:shd w:val="clear" w:color="auto" w:fill="E1E1DF"/>
          </w:tcPr>
          <w:p>
            <w:pPr>
              <w:jc w:val="right"/>
              <w:ind w:right="54"/>
              <w:spacing w:after="0"/>
              <w:rPr>
                <w:sz w:val="20"/>
                <w:szCs w:val="20"/>
                <w:color w:val="auto"/>
              </w:rPr>
            </w:pPr>
            <w:r>
              <w:rPr>
                <w:rFonts w:ascii="Arial" w:cs="Arial" w:eastAsia="Arial" w:hAnsi="Arial"/>
                <w:sz w:val="25"/>
                <w:szCs w:val="25"/>
                <w:b w:val="1"/>
                <w:bCs w:val="1"/>
                <w:color w:val="4B1F68"/>
              </w:rPr>
              <w:t>&gt;</w:t>
            </w:r>
          </w:p>
        </w:tc>
        <w:tc>
          <w:tcPr>
            <w:tcW w:w="2020" w:type="dxa"/>
            <w:vAlign w:val="bottom"/>
            <w:vMerge w:val="restart"/>
            <w:shd w:val="clear" w:color="auto" w:fill="E1E1DF"/>
          </w:tcPr>
          <w:p>
            <w:pPr>
              <w:ind w:left="100"/>
              <w:spacing w:after="0" w:line="243" w:lineRule="exact"/>
              <w:rPr>
                <w:sz w:val="20"/>
                <w:szCs w:val="20"/>
                <w:color w:val="auto"/>
              </w:rPr>
            </w:pPr>
            <w:r>
              <w:rPr>
                <w:rFonts w:ascii="Arial" w:cs="Arial" w:eastAsia="Arial" w:hAnsi="Arial"/>
                <w:sz w:val="14"/>
                <w:szCs w:val="14"/>
                <w:color w:val="3B3C43"/>
              </w:rPr>
              <w:t>0% of target</w:t>
            </w:r>
            <w:r>
              <w:rPr>
                <w:rFonts w:ascii="Arial" w:cs="Arial" w:eastAsia="Arial" w:hAnsi="Arial"/>
                <w:sz w:val="23"/>
                <w:szCs w:val="23"/>
                <w:color w:val="3B3C43"/>
                <w:vertAlign w:val="superscript"/>
              </w:rPr>
              <w:t>1</w:t>
            </w:r>
          </w:p>
        </w:tc>
        <w:tc>
          <w:tcPr>
            <w:tcW w:w="0" w:type="dxa"/>
            <w:vAlign w:val="bottom"/>
          </w:tcPr>
          <w:p>
            <w:pPr>
              <w:spacing w:after="0"/>
              <w:rPr>
                <w:sz w:val="1"/>
                <w:szCs w:val="1"/>
                <w:color w:val="auto"/>
              </w:rPr>
            </w:pPr>
          </w:p>
        </w:tc>
      </w:tr>
      <w:tr>
        <w:trPr>
          <w:trHeight w:val="52"/>
        </w:trPr>
        <w:tc>
          <w:tcPr>
            <w:tcW w:w="1820" w:type="dxa"/>
            <w:vAlign w:val="bottom"/>
            <w:shd w:val="clear" w:color="auto" w:fill="E1E1DF"/>
          </w:tcPr>
          <w:p>
            <w:pPr>
              <w:spacing w:after="0"/>
              <w:rPr>
                <w:sz w:val="4"/>
                <w:szCs w:val="4"/>
                <w:color w:val="auto"/>
              </w:rPr>
            </w:pPr>
          </w:p>
        </w:tc>
        <w:tc>
          <w:tcPr>
            <w:tcW w:w="202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shareholders’ interests</w:t>
            </w:r>
          </w:p>
        </w:tc>
        <w:tc>
          <w:tcPr>
            <w:tcW w:w="2480" w:type="dxa"/>
            <w:vAlign w:val="bottom"/>
            <w:vMerge w:val="continue"/>
            <w:shd w:val="clear" w:color="auto" w:fill="E1E1DF"/>
          </w:tcPr>
          <w:p>
            <w:pPr>
              <w:spacing w:after="0"/>
              <w:rPr>
                <w:sz w:val="4"/>
                <w:szCs w:val="4"/>
                <w:color w:val="auto"/>
              </w:rPr>
            </w:pPr>
          </w:p>
        </w:tc>
        <w:tc>
          <w:tcPr>
            <w:tcW w:w="460" w:type="dxa"/>
            <w:vAlign w:val="bottom"/>
            <w:vMerge w:val="continue"/>
            <w:shd w:val="clear" w:color="auto" w:fill="E1E1DF"/>
          </w:tcPr>
          <w:p>
            <w:pPr>
              <w:spacing w:after="0"/>
              <w:rPr>
                <w:sz w:val="4"/>
                <w:szCs w:val="4"/>
                <w:color w:val="auto"/>
              </w:rPr>
            </w:pPr>
          </w:p>
        </w:tc>
        <w:tc>
          <w:tcPr>
            <w:tcW w:w="2000" w:type="dxa"/>
            <w:vAlign w:val="bottom"/>
            <w:vMerge w:val="continue"/>
            <w:shd w:val="clear" w:color="auto" w:fill="E1E1DF"/>
          </w:tcPr>
          <w:p>
            <w:pPr>
              <w:spacing w:after="0"/>
              <w:rPr>
                <w:sz w:val="4"/>
                <w:szCs w:val="4"/>
                <w:color w:val="auto"/>
              </w:rPr>
            </w:pPr>
          </w:p>
        </w:tc>
        <w:tc>
          <w:tcPr>
            <w:tcW w:w="440" w:type="dxa"/>
            <w:vAlign w:val="bottom"/>
            <w:vMerge w:val="continue"/>
            <w:shd w:val="clear" w:color="auto" w:fill="E1E1DF"/>
          </w:tcPr>
          <w:p>
            <w:pPr>
              <w:spacing w:after="0"/>
              <w:rPr>
                <w:sz w:val="4"/>
                <w:szCs w:val="4"/>
                <w:color w:val="auto"/>
              </w:rPr>
            </w:pPr>
          </w:p>
        </w:tc>
        <w:tc>
          <w:tcPr>
            <w:tcW w:w="2020" w:type="dxa"/>
            <w:vAlign w:val="bottom"/>
            <w:vMerge w:val="continue"/>
            <w:shd w:val="clear" w:color="auto" w:fill="E1E1D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820" w:type="dxa"/>
            <w:vAlign w:val="bottom"/>
            <w:shd w:val="clear" w:color="auto" w:fill="E1E1DF"/>
          </w:tcPr>
          <w:p>
            <w:pPr>
              <w:spacing w:after="0"/>
              <w:rPr>
                <w:sz w:val="22"/>
                <w:szCs w:val="22"/>
                <w:color w:val="auto"/>
              </w:rPr>
            </w:pPr>
          </w:p>
        </w:tc>
        <w:tc>
          <w:tcPr>
            <w:tcW w:w="2020" w:type="dxa"/>
            <w:vAlign w:val="bottom"/>
            <w:vMerge w:val="continue"/>
            <w:shd w:val="clear" w:color="auto" w:fill="E1E1DF"/>
          </w:tcPr>
          <w:p>
            <w:pPr>
              <w:spacing w:after="0"/>
              <w:rPr>
                <w:sz w:val="22"/>
                <w:szCs w:val="22"/>
                <w:color w:val="auto"/>
              </w:rPr>
            </w:pP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3-Year ROIC</w:t>
            </w:r>
          </w:p>
        </w:tc>
        <w:tc>
          <w:tcPr>
            <w:tcW w:w="460" w:type="dxa"/>
            <w:vAlign w:val="bottom"/>
            <w:vMerge w:val="continue"/>
            <w:shd w:val="clear" w:color="auto" w:fill="E1E1DF"/>
          </w:tcPr>
          <w:p>
            <w:pPr>
              <w:spacing w:after="0"/>
              <w:rPr>
                <w:sz w:val="22"/>
                <w:szCs w:val="22"/>
                <w:color w:val="auto"/>
              </w:rPr>
            </w:pPr>
          </w:p>
        </w:tc>
        <w:tc>
          <w:tcPr>
            <w:tcW w:w="2000" w:type="dxa"/>
            <w:vAlign w:val="bottom"/>
            <w:shd w:val="clear" w:color="auto" w:fill="E1E1DF"/>
          </w:tcPr>
          <w:p>
            <w:pPr>
              <w:ind w:left="80"/>
              <w:spacing w:after="0" w:line="257" w:lineRule="exact"/>
              <w:rPr>
                <w:sz w:val="20"/>
                <w:szCs w:val="20"/>
                <w:color w:val="auto"/>
              </w:rPr>
            </w:pPr>
            <w:r>
              <w:rPr>
                <w:rFonts w:ascii="Arial" w:cs="Arial" w:eastAsia="Arial" w:hAnsi="Arial"/>
                <w:sz w:val="14"/>
                <w:szCs w:val="14"/>
                <w:color w:val="3B3C43"/>
              </w:rPr>
              <w:t>3.3%</w:t>
            </w:r>
            <w:r>
              <w:rPr>
                <w:rFonts w:ascii="Arial" w:cs="Arial" w:eastAsia="Arial" w:hAnsi="Arial"/>
                <w:sz w:val="23"/>
                <w:szCs w:val="23"/>
                <w:color w:val="3B3C43"/>
                <w:vertAlign w:val="superscript"/>
              </w:rPr>
              <w:t>1</w:t>
            </w:r>
          </w:p>
        </w:tc>
        <w:tc>
          <w:tcPr>
            <w:tcW w:w="440" w:type="dxa"/>
            <w:vAlign w:val="bottom"/>
            <w:vMerge w:val="continue"/>
            <w:shd w:val="clear" w:color="auto" w:fill="E1E1DF"/>
          </w:tcPr>
          <w:p>
            <w:pPr>
              <w:spacing w:after="0"/>
              <w:rPr>
                <w:sz w:val="22"/>
                <w:szCs w:val="22"/>
                <w:color w:val="auto"/>
              </w:rPr>
            </w:pPr>
          </w:p>
        </w:tc>
        <w:tc>
          <w:tcPr>
            <w:tcW w:w="2020" w:type="dxa"/>
            <w:vAlign w:val="bottom"/>
            <w:shd w:val="clear" w:color="auto" w:fill="E1E1D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820" w:type="dxa"/>
            <w:vAlign w:val="bottom"/>
            <w:shd w:val="clear" w:color="auto" w:fill="E1E1DF"/>
          </w:tcPr>
          <w:p>
            <w:pPr>
              <w:spacing w:after="0"/>
              <w:rPr>
                <w:sz w:val="22"/>
                <w:szCs w:val="22"/>
                <w:color w:val="auto"/>
              </w:rPr>
            </w:pPr>
          </w:p>
        </w:tc>
        <w:tc>
          <w:tcPr>
            <w:tcW w:w="9420" w:type="dxa"/>
            <w:vAlign w:val="bottom"/>
            <w:gridSpan w:val="6"/>
            <w:shd w:val="clear" w:color="auto" w:fill="E1E1DF"/>
          </w:tcPr>
          <w:p>
            <w:pPr>
              <w:ind w:left="100"/>
              <w:spacing w:after="0"/>
              <w:rPr>
                <w:sz w:val="20"/>
                <w:szCs w:val="20"/>
                <w:color w:val="auto"/>
              </w:rPr>
            </w:pPr>
            <w:r>
              <w:rPr>
                <w:rFonts w:ascii="Arial" w:cs="Arial" w:eastAsia="Arial" w:hAnsi="Arial"/>
                <w:sz w:val="14"/>
                <w:szCs w:val="14"/>
                <w:color w:val="3B3C43"/>
              </w:rPr>
              <w:t>30% of the long-term equity incentive was delivered in the form of RSUs, the delivered value of which will also depend on share price</w:t>
            </w:r>
          </w:p>
        </w:tc>
        <w:tc>
          <w:tcPr>
            <w:tcW w:w="0" w:type="dxa"/>
            <w:vAlign w:val="bottom"/>
          </w:tcPr>
          <w:p>
            <w:pPr>
              <w:spacing w:after="0"/>
              <w:rPr>
                <w:sz w:val="1"/>
                <w:szCs w:val="1"/>
                <w:color w:val="auto"/>
              </w:rPr>
            </w:pPr>
          </w:p>
        </w:tc>
      </w:tr>
      <w:tr>
        <w:trPr>
          <w:trHeight w:val="172"/>
        </w:trPr>
        <w:tc>
          <w:tcPr>
            <w:tcW w:w="1820" w:type="dxa"/>
            <w:vAlign w:val="bottom"/>
            <w:shd w:val="clear" w:color="auto" w:fill="E1E1DF"/>
          </w:tcPr>
          <w:p>
            <w:pPr>
              <w:spacing w:after="0"/>
              <w:rPr>
                <w:sz w:val="14"/>
                <w:szCs w:val="14"/>
                <w:color w:val="auto"/>
              </w:rPr>
            </w:pPr>
          </w:p>
        </w:tc>
        <w:tc>
          <w:tcPr>
            <w:tcW w:w="4500" w:type="dxa"/>
            <w:vAlign w:val="bottom"/>
            <w:gridSpan w:val="2"/>
            <w:shd w:val="clear" w:color="auto" w:fill="E1E1DF"/>
          </w:tcPr>
          <w:p>
            <w:pPr>
              <w:ind w:left="100"/>
              <w:spacing w:after="0"/>
              <w:rPr>
                <w:sz w:val="20"/>
                <w:szCs w:val="20"/>
                <w:color w:val="auto"/>
              </w:rPr>
            </w:pPr>
            <w:r>
              <w:rPr>
                <w:rFonts w:ascii="Arial" w:cs="Arial" w:eastAsia="Arial" w:hAnsi="Arial"/>
                <w:sz w:val="14"/>
                <w:szCs w:val="14"/>
                <w:color w:val="3B3C43"/>
              </w:rPr>
              <w:t>appreciation, and thus is aligned with shareholder interests.</w:t>
            </w:r>
          </w:p>
        </w:tc>
        <w:tc>
          <w:tcPr>
            <w:tcW w:w="460" w:type="dxa"/>
            <w:vAlign w:val="bottom"/>
            <w:shd w:val="clear" w:color="auto" w:fill="E1E1DF"/>
          </w:tcPr>
          <w:p>
            <w:pPr>
              <w:spacing w:after="0"/>
              <w:rPr>
                <w:sz w:val="14"/>
                <w:szCs w:val="14"/>
                <w:color w:val="auto"/>
              </w:rPr>
            </w:pPr>
          </w:p>
        </w:tc>
        <w:tc>
          <w:tcPr>
            <w:tcW w:w="2000" w:type="dxa"/>
            <w:vAlign w:val="bottom"/>
            <w:shd w:val="clear" w:color="auto" w:fill="E1E1DF"/>
          </w:tcPr>
          <w:p>
            <w:pPr>
              <w:spacing w:after="0"/>
              <w:rPr>
                <w:sz w:val="14"/>
                <w:szCs w:val="14"/>
                <w:color w:val="auto"/>
              </w:rPr>
            </w:pPr>
          </w:p>
        </w:tc>
        <w:tc>
          <w:tcPr>
            <w:tcW w:w="440" w:type="dxa"/>
            <w:vAlign w:val="bottom"/>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82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Annual Cash</w:t>
            </w:r>
          </w:p>
        </w:tc>
        <w:tc>
          <w:tcPr>
            <w:tcW w:w="20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To drive and reward the</w:t>
            </w:r>
          </w:p>
        </w:tc>
        <w:tc>
          <w:tcPr>
            <w:tcW w:w="24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1Q 2020</w:t>
            </w:r>
          </w:p>
        </w:tc>
        <w:tc>
          <w:tcPr>
            <w:tcW w:w="460" w:type="dxa"/>
            <w:vAlign w:val="bottom"/>
            <w:shd w:val="clear" w:color="auto" w:fill="E1E1DF"/>
          </w:tcPr>
          <w:p>
            <w:pPr>
              <w:spacing w:after="0"/>
              <w:rPr>
                <w:sz w:val="24"/>
                <w:szCs w:val="24"/>
                <w:color w:val="auto"/>
              </w:rPr>
            </w:pPr>
          </w:p>
        </w:tc>
        <w:tc>
          <w:tcPr>
            <w:tcW w:w="2000" w:type="dxa"/>
            <w:vAlign w:val="bottom"/>
            <w:shd w:val="clear" w:color="auto" w:fill="E1E1DF"/>
          </w:tcPr>
          <w:p>
            <w:pPr>
              <w:spacing w:after="0"/>
              <w:rPr>
                <w:sz w:val="24"/>
                <w:szCs w:val="24"/>
                <w:color w:val="auto"/>
              </w:rPr>
            </w:pPr>
          </w:p>
        </w:tc>
        <w:tc>
          <w:tcPr>
            <w:tcW w:w="440" w:type="dxa"/>
            <w:vAlign w:val="bottom"/>
            <w:shd w:val="clear" w:color="auto" w:fill="E1E1DF"/>
          </w:tcPr>
          <w:p>
            <w:pPr>
              <w:spacing w:after="0"/>
              <w:rPr>
                <w:sz w:val="24"/>
                <w:szCs w:val="24"/>
                <w:color w:val="auto"/>
              </w:rPr>
            </w:pPr>
          </w:p>
        </w:tc>
        <w:tc>
          <w:tcPr>
            <w:tcW w:w="2020" w:type="dxa"/>
            <w:vAlign w:val="bottom"/>
            <w:shd w:val="clear" w:color="auto" w:fill="E1E1D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82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Incentive</w:t>
            </w:r>
          </w:p>
        </w:tc>
        <w:tc>
          <w:tcPr>
            <w:tcW w:w="20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achievement of short-</w:t>
            </w:r>
          </w:p>
        </w:tc>
        <w:tc>
          <w:tcPr>
            <w:tcW w:w="2480" w:type="dxa"/>
            <w:vAlign w:val="bottom"/>
            <w:vMerge w:val="restart"/>
            <w:shd w:val="clear" w:color="auto" w:fill="E1E1DF"/>
          </w:tcPr>
          <w:p>
            <w:pPr>
              <w:ind w:left="100"/>
              <w:spacing w:after="0"/>
              <w:rPr>
                <w:sz w:val="20"/>
                <w:szCs w:val="20"/>
                <w:color w:val="auto"/>
              </w:rPr>
            </w:pPr>
            <w:r>
              <w:rPr>
                <w:rFonts w:ascii="Arial" w:cs="Arial" w:eastAsia="Arial" w:hAnsi="Arial"/>
                <w:sz w:val="14"/>
                <w:szCs w:val="14"/>
                <w:color w:val="3B3C43"/>
              </w:rPr>
              <w:t>EBITDA 25%</w:t>
            </w:r>
          </w:p>
        </w:tc>
        <w:tc>
          <w:tcPr>
            <w:tcW w:w="460" w:type="dxa"/>
            <w:vAlign w:val="bottom"/>
            <w:vMerge w:val="restart"/>
            <w:shd w:val="clear" w:color="auto" w:fill="E1E1DF"/>
          </w:tcPr>
          <w:p>
            <w:pPr>
              <w:jc w:val="right"/>
              <w:ind w:right="74"/>
              <w:spacing w:after="0"/>
              <w:rPr>
                <w:sz w:val="20"/>
                <w:szCs w:val="20"/>
                <w:color w:val="auto"/>
              </w:rPr>
            </w:pPr>
            <w:r>
              <w:rPr>
                <w:rFonts w:ascii="Arial" w:cs="Arial" w:eastAsia="Arial" w:hAnsi="Arial"/>
                <w:sz w:val="25"/>
                <w:szCs w:val="25"/>
                <w:b w:val="1"/>
                <w:bCs w:val="1"/>
                <w:color w:val="4B1F68"/>
              </w:rPr>
              <w:t>&gt;</w:t>
            </w:r>
          </w:p>
        </w:tc>
        <w:tc>
          <w:tcPr>
            <w:tcW w:w="2000" w:type="dxa"/>
            <w:vAlign w:val="bottom"/>
            <w:vMerge w:val="restart"/>
            <w:shd w:val="clear" w:color="auto" w:fill="E1E1DF"/>
          </w:tcPr>
          <w:p>
            <w:pPr>
              <w:ind w:left="80"/>
              <w:spacing w:after="0"/>
              <w:rPr>
                <w:sz w:val="20"/>
                <w:szCs w:val="20"/>
                <w:color w:val="auto"/>
              </w:rPr>
            </w:pPr>
            <w:r>
              <w:rPr>
                <w:rFonts w:ascii="Arial" w:cs="Arial" w:eastAsia="Arial" w:hAnsi="Arial"/>
                <w:sz w:val="14"/>
                <w:szCs w:val="14"/>
                <w:color w:val="3B3C43"/>
              </w:rPr>
              <w:t>N/A</w:t>
            </w:r>
            <w:r>
              <w:rPr>
                <w:rFonts w:ascii="Arial" w:cs="Arial" w:eastAsia="Arial" w:hAnsi="Arial"/>
                <w:sz w:val="23"/>
                <w:szCs w:val="23"/>
                <w:color w:val="3B3C43"/>
                <w:vertAlign w:val="superscript"/>
              </w:rPr>
              <w:t>2</w:t>
            </w:r>
          </w:p>
        </w:tc>
        <w:tc>
          <w:tcPr>
            <w:tcW w:w="440" w:type="dxa"/>
            <w:vAlign w:val="bottom"/>
            <w:vMerge w:val="restart"/>
            <w:shd w:val="clear" w:color="auto" w:fill="E1E1DF"/>
          </w:tcPr>
          <w:p>
            <w:pPr>
              <w:jc w:val="right"/>
              <w:ind w:right="54"/>
              <w:spacing w:after="0"/>
              <w:rPr>
                <w:sz w:val="20"/>
                <w:szCs w:val="20"/>
                <w:color w:val="auto"/>
              </w:rPr>
            </w:pPr>
            <w:r>
              <w:rPr>
                <w:rFonts w:ascii="Arial" w:cs="Arial" w:eastAsia="Arial" w:hAnsi="Arial"/>
                <w:sz w:val="25"/>
                <w:szCs w:val="25"/>
                <w:b w:val="1"/>
                <w:bCs w:val="1"/>
                <w:color w:val="4B1F68"/>
              </w:rPr>
              <w:t>&gt;</w:t>
            </w:r>
          </w:p>
        </w:tc>
        <w:tc>
          <w:tcPr>
            <w:tcW w:w="2020" w:type="dxa"/>
            <w:vAlign w:val="bottom"/>
            <w:vMerge w:val="restart"/>
            <w:shd w:val="clear" w:color="auto" w:fill="E1E1DF"/>
          </w:tcPr>
          <w:p>
            <w:pPr>
              <w:ind w:left="100"/>
              <w:spacing w:after="0"/>
              <w:rPr>
                <w:sz w:val="20"/>
                <w:szCs w:val="20"/>
                <w:color w:val="auto"/>
              </w:rPr>
            </w:pPr>
            <w:r>
              <w:rPr>
                <w:rFonts w:ascii="Arial" w:cs="Arial" w:eastAsia="Arial" w:hAnsi="Arial"/>
                <w:sz w:val="14"/>
                <w:szCs w:val="14"/>
                <w:color w:val="3B3C43"/>
              </w:rPr>
              <w:t>0% of target</w:t>
            </w:r>
          </w:p>
        </w:tc>
        <w:tc>
          <w:tcPr>
            <w:tcW w:w="0" w:type="dxa"/>
            <w:vAlign w:val="bottom"/>
          </w:tcPr>
          <w:p>
            <w:pPr>
              <w:spacing w:after="0"/>
              <w:rPr>
                <w:sz w:val="1"/>
                <w:szCs w:val="1"/>
                <w:color w:val="auto"/>
              </w:rPr>
            </w:pPr>
          </w:p>
        </w:tc>
      </w:tr>
      <w:tr>
        <w:trPr>
          <w:trHeight w:val="189"/>
        </w:trPr>
        <w:tc>
          <w:tcPr>
            <w:tcW w:w="1820" w:type="dxa"/>
            <w:vAlign w:val="bottom"/>
            <w:shd w:val="clear" w:color="auto" w:fill="E1E1DF"/>
          </w:tcPr>
          <w:p>
            <w:pPr>
              <w:spacing w:after="0"/>
              <w:rPr>
                <w:sz w:val="16"/>
                <w:szCs w:val="16"/>
                <w:color w:val="auto"/>
              </w:rPr>
            </w:pPr>
          </w:p>
        </w:tc>
        <w:tc>
          <w:tcPr>
            <w:tcW w:w="20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term Company strategic</w:t>
            </w:r>
          </w:p>
        </w:tc>
        <w:tc>
          <w:tcPr>
            <w:tcW w:w="2480" w:type="dxa"/>
            <w:vAlign w:val="bottom"/>
            <w:vMerge w:val="continue"/>
            <w:shd w:val="clear" w:color="auto" w:fill="E1E1DF"/>
          </w:tcPr>
          <w:p>
            <w:pPr>
              <w:spacing w:after="0"/>
              <w:rPr>
                <w:sz w:val="16"/>
                <w:szCs w:val="16"/>
                <w:color w:val="auto"/>
              </w:rPr>
            </w:pPr>
          </w:p>
        </w:tc>
        <w:tc>
          <w:tcPr>
            <w:tcW w:w="460" w:type="dxa"/>
            <w:vAlign w:val="bottom"/>
            <w:vMerge w:val="continue"/>
            <w:shd w:val="clear" w:color="auto" w:fill="E1E1DF"/>
          </w:tcPr>
          <w:p>
            <w:pPr>
              <w:spacing w:after="0"/>
              <w:rPr>
                <w:sz w:val="16"/>
                <w:szCs w:val="16"/>
                <w:color w:val="auto"/>
              </w:rPr>
            </w:pPr>
          </w:p>
        </w:tc>
        <w:tc>
          <w:tcPr>
            <w:tcW w:w="2000" w:type="dxa"/>
            <w:vAlign w:val="bottom"/>
            <w:vMerge w:val="continue"/>
            <w:shd w:val="clear" w:color="auto" w:fill="E1E1DF"/>
          </w:tcPr>
          <w:p>
            <w:pPr>
              <w:spacing w:after="0"/>
              <w:rPr>
                <w:sz w:val="16"/>
                <w:szCs w:val="16"/>
                <w:color w:val="auto"/>
              </w:rPr>
            </w:pPr>
          </w:p>
        </w:tc>
        <w:tc>
          <w:tcPr>
            <w:tcW w:w="440" w:type="dxa"/>
            <w:vAlign w:val="bottom"/>
            <w:vMerge w:val="continue"/>
            <w:shd w:val="clear" w:color="auto" w:fill="E1E1DF"/>
          </w:tcPr>
          <w:p>
            <w:pPr>
              <w:spacing w:after="0"/>
              <w:rPr>
                <w:sz w:val="16"/>
                <w:szCs w:val="16"/>
                <w:color w:val="auto"/>
              </w:rPr>
            </w:pPr>
          </w:p>
        </w:tc>
        <w:tc>
          <w:tcPr>
            <w:tcW w:w="2020" w:type="dxa"/>
            <w:vAlign w:val="bottom"/>
            <w:vMerge w:val="continue"/>
            <w:shd w:val="clear" w:color="auto" w:fill="E1E1D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820" w:type="dxa"/>
            <w:vAlign w:val="bottom"/>
            <w:shd w:val="clear" w:color="auto" w:fill="E1E1DF"/>
          </w:tcPr>
          <w:p>
            <w:pPr>
              <w:spacing w:after="0"/>
              <w:rPr>
                <w:sz w:val="15"/>
                <w:szCs w:val="15"/>
                <w:color w:val="auto"/>
              </w:rPr>
            </w:pPr>
          </w:p>
        </w:tc>
        <w:tc>
          <w:tcPr>
            <w:tcW w:w="2020" w:type="dxa"/>
            <w:vAlign w:val="bottom"/>
            <w:shd w:val="clear" w:color="auto" w:fill="E1E1DF"/>
          </w:tcPr>
          <w:p>
            <w:pPr>
              <w:ind w:left="100"/>
              <w:spacing w:after="0" w:line="174" w:lineRule="exact"/>
              <w:rPr>
                <w:sz w:val="20"/>
                <w:szCs w:val="20"/>
                <w:color w:val="auto"/>
              </w:rPr>
            </w:pPr>
            <w:r>
              <w:rPr>
                <w:rFonts w:ascii="Arial" w:cs="Arial" w:eastAsia="Arial" w:hAnsi="Arial"/>
                <w:sz w:val="16"/>
                <w:szCs w:val="16"/>
                <w:color w:val="3B3C43"/>
              </w:rPr>
              <w:t>goals and individual</w:t>
            </w:r>
          </w:p>
        </w:tc>
        <w:tc>
          <w:tcPr>
            <w:tcW w:w="2480" w:type="dxa"/>
            <w:vAlign w:val="bottom"/>
            <w:shd w:val="clear" w:color="auto" w:fill="E1E1DF"/>
          </w:tcPr>
          <w:p>
            <w:pPr>
              <w:spacing w:after="0"/>
              <w:rPr>
                <w:sz w:val="15"/>
                <w:szCs w:val="15"/>
                <w:color w:val="auto"/>
              </w:rPr>
            </w:pPr>
          </w:p>
        </w:tc>
        <w:tc>
          <w:tcPr>
            <w:tcW w:w="460" w:type="dxa"/>
            <w:vAlign w:val="bottom"/>
            <w:shd w:val="clear" w:color="auto" w:fill="E1E1DF"/>
          </w:tcPr>
          <w:p>
            <w:pPr>
              <w:spacing w:after="0"/>
              <w:rPr>
                <w:sz w:val="15"/>
                <w:szCs w:val="15"/>
                <w:color w:val="auto"/>
              </w:rPr>
            </w:pPr>
          </w:p>
        </w:tc>
        <w:tc>
          <w:tcPr>
            <w:tcW w:w="2000" w:type="dxa"/>
            <w:vAlign w:val="bottom"/>
            <w:shd w:val="clear" w:color="auto" w:fill="E1E1DF"/>
          </w:tcPr>
          <w:p>
            <w:pPr>
              <w:spacing w:after="0"/>
              <w:rPr>
                <w:sz w:val="15"/>
                <w:szCs w:val="15"/>
                <w:color w:val="auto"/>
              </w:rPr>
            </w:pPr>
          </w:p>
        </w:tc>
        <w:tc>
          <w:tcPr>
            <w:tcW w:w="440" w:type="dxa"/>
            <w:vAlign w:val="bottom"/>
            <w:shd w:val="clear" w:color="auto" w:fill="E1E1DF"/>
          </w:tcPr>
          <w:p>
            <w:pPr>
              <w:spacing w:after="0"/>
              <w:rPr>
                <w:sz w:val="15"/>
                <w:szCs w:val="15"/>
                <w:color w:val="auto"/>
              </w:rPr>
            </w:pPr>
          </w:p>
        </w:tc>
        <w:tc>
          <w:tcPr>
            <w:tcW w:w="2020" w:type="dxa"/>
            <w:vAlign w:val="bottom"/>
            <w:shd w:val="clear" w:color="auto" w:fill="E1E1D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820" w:type="dxa"/>
            <w:vAlign w:val="bottom"/>
            <w:shd w:val="clear" w:color="auto" w:fill="E1E1DF"/>
          </w:tcPr>
          <w:p>
            <w:pPr>
              <w:spacing w:after="0"/>
              <w:rPr>
                <w:sz w:val="22"/>
                <w:szCs w:val="22"/>
                <w:color w:val="auto"/>
              </w:rPr>
            </w:pPr>
          </w:p>
        </w:tc>
        <w:tc>
          <w:tcPr>
            <w:tcW w:w="202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contributions</w:t>
            </w: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EBITDA as a Percentage of</w:t>
            </w:r>
          </w:p>
        </w:tc>
        <w:tc>
          <w:tcPr>
            <w:tcW w:w="460" w:type="dxa"/>
            <w:vAlign w:val="bottom"/>
            <w:vMerge w:val="restart"/>
            <w:shd w:val="clear" w:color="auto" w:fill="E1E1DF"/>
          </w:tcPr>
          <w:p>
            <w:pPr>
              <w:jc w:val="right"/>
              <w:ind w:right="74"/>
              <w:spacing w:after="0"/>
              <w:rPr>
                <w:sz w:val="20"/>
                <w:szCs w:val="20"/>
                <w:color w:val="auto"/>
              </w:rPr>
            </w:pPr>
            <w:r>
              <w:rPr>
                <w:rFonts w:ascii="Arial" w:cs="Arial" w:eastAsia="Arial" w:hAnsi="Arial"/>
                <w:sz w:val="25"/>
                <w:szCs w:val="25"/>
                <w:b w:val="1"/>
                <w:bCs w:val="1"/>
                <w:color w:val="4B1F68"/>
              </w:rPr>
              <w:t>&gt;</w:t>
            </w:r>
          </w:p>
        </w:tc>
        <w:tc>
          <w:tcPr>
            <w:tcW w:w="2000" w:type="dxa"/>
            <w:vAlign w:val="bottom"/>
            <w:shd w:val="clear" w:color="auto" w:fill="E1E1DF"/>
          </w:tcPr>
          <w:p>
            <w:pPr>
              <w:ind w:left="80"/>
              <w:spacing w:after="0" w:line="262" w:lineRule="exact"/>
              <w:rPr>
                <w:sz w:val="20"/>
                <w:szCs w:val="20"/>
                <w:color w:val="auto"/>
              </w:rPr>
            </w:pPr>
            <w:r>
              <w:rPr>
                <w:rFonts w:ascii="Arial" w:cs="Arial" w:eastAsia="Arial" w:hAnsi="Arial"/>
                <w:sz w:val="14"/>
                <w:szCs w:val="14"/>
                <w:color w:val="3B3C43"/>
              </w:rPr>
              <w:t>N/A</w:t>
            </w:r>
            <w:r>
              <w:rPr>
                <w:rFonts w:ascii="Arial" w:cs="Arial" w:eastAsia="Arial" w:hAnsi="Arial"/>
                <w:sz w:val="23"/>
                <w:szCs w:val="23"/>
                <w:color w:val="3B3C43"/>
                <w:vertAlign w:val="superscript"/>
              </w:rPr>
              <w:t>2</w:t>
            </w:r>
          </w:p>
        </w:tc>
        <w:tc>
          <w:tcPr>
            <w:tcW w:w="440" w:type="dxa"/>
            <w:vAlign w:val="bottom"/>
            <w:vMerge w:val="restart"/>
            <w:shd w:val="clear" w:color="auto" w:fill="E1E1DF"/>
          </w:tcPr>
          <w:p>
            <w:pPr>
              <w:jc w:val="right"/>
              <w:ind w:right="54"/>
              <w:spacing w:after="0"/>
              <w:rPr>
                <w:sz w:val="20"/>
                <w:szCs w:val="20"/>
                <w:color w:val="auto"/>
              </w:rPr>
            </w:pPr>
            <w:r>
              <w:rPr>
                <w:rFonts w:ascii="Arial" w:cs="Arial" w:eastAsia="Arial" w:hAnsi="Arial"/>
                <w:sz w:val="25"/>
                <w:szCs w:val="25"/>
                <w:b w:val="1"/>
                <w:bCs w:val="1"/>
                <w:color w:val="4B1F68"/>
              </w:rPr>
              <w:t>&gt;</w:t>
            </w:r>
          </w:p>
        </w:tc>
        <w:tc>
          <w:tcPr>
            <w:tcW w:w="202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0% of target</w:t>
            </w:r>
          </w:p>
        </w:tc>
        <w:tc>
          <w:tcPr>
            <w:tcW w:w="0" w:type="dxa"/>
            <w:vAlign w:val="bottom"/>
          </w:tcPr>
          <w:p>
            <w:pPr>
              <w:spacing w:after="0"/>
              <w:rPr>
                <w:sz w:val="1"/>
                <w:szCs w:val="1"/>
                <w:color w:val="auto"/>
              </w:rPr>
            </w:pPr>
          </w:p>
        </w:tc>
      </w:tr>
      <w:tr>
        <w:trPr>
          <w:trHeight w:val="172"/>
        </w:trPr>
        <w:tc>
          <w:tcPr>
            <w:tcW w:w="1820" w:type="dxa"/>
            <w:vAlign w:val="bottom"/>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Revenue 25%</w:t>
            </w:r>
          </w:p>
        </w:tc>
        <w:tc>
          <w:tcPr>
            <w:tcW w:w="460" w:type="dxa"/>
            <w:vAlign w:val="bottom"/>
            <w:vMerge w:val="continue"/>
            <w:shd w:val="clear" w:color="auto" w:fill="E1E1DF"/>
          </w:tcPr>
          <w:p>
            <w:pPr>
              <w:spacing w:after="0"/>
              <w:rPr>
                <w:sz w:val="14"/>
                <w:szCs w:val="14"/>
                <w:color w:val="auto"/>
              </w:rPr>
            </w:pPr>
          </w:p>
        </w:tc>
        <w:tc>
          <w:tcPr>
            <w:tcW w:w="2000" w:type="dxa"/>
            <w:vAlign w:val="bottom"/>
            <w:shd w:val="clear" w:color="auto" w:fill="E1E1DF"/>
          </w:tcPr>
          <w:p>
            <w:pPr>
              <w:spacing w:after="0"/>
              <w:rPr>
                <w:sz w:val="14"/>
                <w:szCs w:val="14"/>
                <w:color w:val="auto"/>
              </w:rPr>
            </w:pPr>
          </w:p>
        </w:tc>
        <w:tc>
          <w:tcPr>
            <w:tcW w:w="440" w:type="dxa"/>
            <w:vAlign w:val="bottom"/>
            <w:vMerge w:val="continue"/>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820" w:type="dxa"/>
            <w:vAlign w:val="bottom"/>
            <w:shd w:val="clear" w:color="auto" w:fill="E1E1DF"/>
          </w:tcPr>
          <w:p>
            <w:pPr>
              <w:spacing w:after="0"/>
              <w:rPr>
                <w:sz w:val="24"/>
                <w:szCs w:val="24"/>
                <w:color w:val="auto"/>
              </w:rPr>
            </w:pPr>
          </w:p>
        </w:tc>
        <w:tc>
          <w:tcPr>
            <w:tcW w:w="2020" w:type="dxa"/>
            <w:vAlign w:val="bottom"/>
            <w:shd w:val="clear" w:color="auto" w:fill="E1E1DF"/>
          </w:tcPr>
          <w:p>
            <w:pPr>
              <w:spacing w:after="0"/>
              <w:rPr>
                <w:sz w:val="24"/>
                <w:szCs w:val="24"/>
                <w:color w:val="auto"/>
              </w:rPr>
            </w:pP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Working Capital Days 25%</w:t>
            </w:r>
          </w:p>
        </w:tc>
        <w:tc>
          <w:tcPr>
            <w:tcW w:w="460" w:type="dxa"/>
            <w:vAlign w:val="bottom"/>
            <w:shd w:val="clear" w:color="auto" w:fill="E1E1DF"/>
          </w:tcPr>
          <w:p>
            <w:pPr>
              <w:jc w:val="right"/>
              <w:ind w:right="74"/>
              <w:spacing w:after="0"/>
              <w:rPr>
                <w:sz w:val="20"/>
                <w:szCs w:val="20"/>
                <w:color w:val="auto"/>
              </w:rPr>
            </w:pPr>
            <w:r>
              <w:rPr>
                <w:rFonts w:ascii="Arial" w:cs="Arial" w:eastAsia="Arial" w:hAnsi="Arial"/>
                <w:sz w:val="25"/>
                <w:szCs w:val="25"/>
                <w:b w:val="1"/>
                <w:bCs w:val="1"/>
                <w:color w:val="4B1F68"/>
              </w:rPr>
              <w:t>&gt;</w:t>
            </w:r>
          </w:p>
        </w:tc>
        <w:tc>
          <w:tcPr>
            <w:tcW w:w="2000" w:type="dxa"/>
            <w:vAlign w:val="bottom"/>
            <w:shd w:val="clear" w:color="auto" w:fill="E1E1DF"/>
          </w:tcPr>
          <w:p>
            <w:pPr>
              <w:ind w:left="80"/>
              <w:spacing w:after="0"/>
              <w:rPr>
                <w:sz w:val="20"/>
                <w:szCs w:val="20"/>
                <w:color w:val="auto"/>
              </w:rPr>
            </w:pPr>
            <w:r>
              <w:rPr>
                <w:rFonts w:ascii="Arial" w:cs="Arial" w:eastAsia="Arial" w:hAnsi="Arial"/>
                <w:sz w:val="14"/>
                <w:szCs w:val="14"/>
                <w:color w:val="3B3C43"/>
              </w:rPr>
              <w:t>N/A</w:t>
            </w:r>
            <w:r>
              <w:rPr>
                <w:rFonts w:ascii="Arial" w:cs="Arial" w:eastAsia="Arial" w:hAnsi="Arial"/>
                <w:sz w:val="23"/>
                <w:szCs w:val="23"/>
                <w:color w:val="3B3C43"/>
                <w:vertAlign w:val="superscript"/>
              </w:rPr>
              <w:t>2</w:t>
            </w:r>
          </w:p>
        </w:tc>
        <w:tc>
          <w:tcPr>
            <w:tcW w:w="440" w:type="dxa"/>
            <w:vAlign w:val="bottom"/>
            <w:shd w:val="clear" w:color="auto" w:fill="E1E1DF"/>
          </w:tcPr>
          <w:p>
            <w:pPr>
              <w:jc w:val="right"/>
              <w:ind w:right="54"/>
              <w:spacing w:after="0"/>
              <w:rPr>
                <w:sz w:val="20"/>
                <w:szCs w:val="20"/>
                <w:color w:val="auto"/>
              </w:rPr>
            </w:pPr>
            <w:r>
              <w:rPr>
                <w:rFonts w:ascii="Arial" w:cs="Arial" w:eastAsia="Arial" w:hAnsi="Arial"/>
                <w:sz w:val="25"/>
                <w:szCs w:val="25"/>
                <w:b w:val="1"/>
                <w:bCs w:val="1"/>
                <w:color w:val="4B1F68"/>
              </w:rPr>
              <w:t>&gt;</w:t>
            </w:r>
          </w:p>
        </w:tc>
        <w:tc>
          <w:tcPr>
            <w:tcW w:w="202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0% of target</w:t>
            </w:r>
          </w:p>
        </w:tc>
        <w:tc>
          <w:tcPr>
            <w:tcW w:w="0" w:type="dxa"/>
            <w:vAlign w:val="bottom"/>
          </w:tcPr>
          <w:p>
            <w:pPr>
              <w:spacing w:after="0"/>
              <w:rPr>
                <w:sz w:val="1"/>
                <w:szCs w:val="1"/>
                <w:color w:val="auto"/>
              </w:rPr>
            </w:pPr>
          </w:p>
        </w:tc>
      </w:tr>
      <w:tr>
        <w:trPr>
          <w:trHeight w:val="334"/>
        </w:trPr>
        <w:tc>
          <w:tcPr>
            <w:tcW w:w="1820" w:type="dxa"/>
            <w:vAlign w:val="bottom"/>
            <w:shd w:val="clear" w:color="auto" w:fill="E1E1DF"/>
          </w:tcPr>
          <w:p>
            <w:pPr>
              <w:spacing w:after="0"/>
              <w:rPr>
                <w:sz w:val="24"/>
                <w:szCs w:val="24"/>
                <w:color w:val="auto"/>
              </w:rPr>
            </w:pPr>
          </w:p>
        </w:tc>
        <w:tc>
          <w:tcPr>
            <w:tcW w:w="2020" w:type="dxa"/>
            <w:vAlign w:val="bottom"/>
            <w:shd w:val="clear" w:color="auto" w:fill="E1E1DF"/>
          </w:tcPr>
          <w:p>
            <w:pPr>
              <w:spacing w:after="0"/>
              <w:rPr>
                <w:sz w:val="24"/>
                <w:szCs w:val="24"/>
                <w:color w:val="auto"/>
              </w:rPr>
            </w:pP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Annual Individual Performance 25%</w:t>
            </w:r>
          </w:p>
        </w:tc>
        <w:tc>
          <w:tcPr>
            <w:tcW w:w="460" w:type="dxa"/>
            <w:vAlign w:val="bottom"/>
            <w:vMerge w:val="restart"/>
            <w:shd w:val="clear" w:color="auto" w:fill="E1E1DF"/>
          </w:tcPr>
          <w:p>
            <w:pPr>
              <w:jc w:val="right"/>
              <w:ind w:right="74"/>
              <w:spacing w:after="0"/>
              <w:rPr>
                <w:sz w:val="20"/>
                <w:szCs w:val="20"/>
                <w:color w:val="auto"/>
              </w:rPr>
            </w:pPr>
            <w:r>
              <w:rPr>
                <w:rFonts w:ascii="Arial" w:cs="Arial" w:eastAsia="Arial" w:hAnsi="Arial"/>
                <w:sz w:val="25"/>
                <w:szCs w:val="25"/>
                <w:b w:val="1"/>
                <w:bCs w:val="1"/>
                <w:color w:val="4B1F68"/>
              </w:rPr>
              <w:t>&gt;</w:t>
            </w:r>
          </w:p>
        </w:tc>
        <w:tc>
          <w:tcPr>
            <w:tcW w:w="2000" w:type="dxa"/>
            <w:vAlign w:val="bottom"/>
            <w:shd w:val="clear" w:color="auto" w:fill="E1E1DF"/>
          </w:tcPr>
          <w:p>
            <w:pPr>
              <w:ind w:left="80"/>
              <w:spacing w:after="0"/>
              <w:rPr>
                <w:sz w:val="20"/>
                <w:szCs w:val="20"/>
                <w:color w:val="auto"/>
              </w:rPr>
            </w:pPr>
            <w:r>
              <w:rPr>
                <w:rFonts w:ascii="Arial" w:cs="Arial" w:eastAsia="Arial" w:hAnsi="Arial"/>
                <w:sz w:val="14"/>
                <w:szCs w:val="14"/>
                <w:color w:val="3B3C43"/>
              </w:rPr>
              <w:t>Ranging from 100% to</w:t>
            </w:r>
          </w:p>
        </w:tc>
        <w:tc>
          <w:tcPr>
            <w:tcW w:w="440" w:type="dxa"/>
            <w:vAlign w:val="bottom"/>
            <w:vMerge w:val="restart"/>
            <w:shd w:val="clear" w:color="auto" w:fill="E1E1DF"/>
          </w:tcPr>
          <w:p>
            <w:pPr>
              <w:jc w:val="right"/>
              <w:ind w:right="54"/>
              <w:spacing w:after="0"/>
              <w:rPr>
                <w:sz w:val="20"/>
                <w:szCs w:val="20"/>
                <w:color w:val="auto"/>
              </w:rPr>
            </w:pPr>
            <w:r>
              <w:rPr>
                <w:rFonts w:ascii="Arial" w:cs="Arial" w:eastAsia="Arial" w:hAnsi="Arial"/>
                <w:sz w:val="25"/>
                <w:szCs w:val="25"/>
                <w:b w:val="1"/>
                <w:bCs w:val="1"/>
                <w:color w:val="4B1F68"/>
              </w:rPr>
              <w:t>&gt;</w:t>
            </w:r>
          </w:p>
        </w:tc>
        <w:tc>
          <w:tcPr>
            <w:tcW w:w="202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100% to 175% of target</w:t>
            </w:r>
          </w:p>
        </w:tc>
        <w:tc>
          <w:tcPr>
            <w:tcW w:w="0" w:type="dxa"/>
            <w:vAlign w:val="bottom"/>
          </w:tcPr>
          <w:p>
            <w:pPr>
              <w:spacing w:after="0"/>
              <w:rPr>
                <w:sz w:val="1"/>
                <w:szCs w:val="1"/>
                <w:color w:val="auto"/>
              </w:rPr>
            </w:pPr>
          </w:p>
        </w:tc>
      </w:tr>
      <w:tr>
        <w:trPr>
          <w:trHeight w:val="172"/>
        </w:trPr>
        <w:tc>
          <w:tcPr>
            <w:tcW w:w="1820" w:type="dxa"/>
            <w:vAlign w:val="bottom"/>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2480" w:type="dxa"/>
            <w:vAlign w:val="bottom"/>
            <w:shd w:val="clear" w:color="auto" w:fill="E1E1DF"/>
          </w:tcPr>
          <w:p>
            <w:pPr>
              <w:spacing w:after="0"/>
              <w:rPr>
                <w:sz w:val="14"/>
                <w:szCs w:val="14"/>
                <w:color w:val="auto"/>
              </w:rPr>
            </w:pPr>
          </w:p>
        </w:tc>
        <w:tc>
          <w:tcPr>
            <w:tcW w:w="460" w:type="dxa"/>
            <w:vAlign w:val="bottom"/>
            <w:vMerge w:val="continue"/>
            <w:shd w:val="clear" w:color="auto" w:fill="E1E1DF"/>
          </w:tcPr>
          <w:p>
            <w:pPr>
              <w:spacing w:after="0"/>
              <w:rPr>
                <w:sz w:val="14"/>
                <w:szCs w:val="14"/>
                <w:color w:val="auto"/>
              </w:rPr>
            </w:pPr>
          </w:p>
        </w:tc>
        <w:tc>
          <w:tcPr>
            <w:tcW w:w="2000" w:type="dxa"/>
            <w:vAlign w:val="bottom"/>
            <w:shd w:val="clear" w:color="auto" w:fill="E1E1DF"/>
          </w:tcPr>
          <w:p>
            <w:pPr>
              <w:ind w:left="80"/>
              <w:spacing w:after="0"/>
              <w:rPr>
                <w:sz w:val="20"/>
                <w:szCs w:val="20"/>
                <w:color w:val="auto"/>
              </w:rPr>
            </w:pPr>
            <w:r>
              <w:rPr>
                <w:rFonts w:ascii="Arial" w:cs="Arial" w:eastAsia="Arial" w:hAnsi="Arial"/>
                <w:sz w:val="14"/>
                <w:szCs w:val="14"/>
                <w:color w:val="3B3C43"/>
              </w:rPr>
              <w:t>175% performance</w:t>
            </w:r>
          </w:p>
        </w:tc>
        <w:tc>
          <w:tcPr>
            <w:tcW w:w="440" w:type="dxa"/>
            <w:vAlign w:val="bottom"/>
            <w:vMerge w:val="continue"/>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1820" w:type="dxa"/>
            <w:vAlign w:val="bottom"/>
            <w:shd w:val="clear" w:color="auto" w:fill="E1E1DF"/>
          </w:tcPr>
          <w:p>
            <w:pPr>
              <w:spacing w:after="0"/>
              <w:rPr>
                <w:sz w:val="24"/>
                <w:szCs w:val="24"/>
                <w:color w:val="auto"/>
              </w:rPr>
            </w:pPr>
          </w:p>
        </w:tc>
        <w:tc>
          <w:tcPr>
            <w:tcW w:w="2020" w:type="dxa"/>
            <w:vAlign w:val="bottom"/>
            <w:shd w:val="clear" w:color="auto" w:fill="E1E1DF"/>
          </w:tcPr>
          <w:p>
            <w:pPr>
              <w:spacing w:after="0"/>
              <w:rPr>
                <w:sz w:val="24"/>
                <w:szCs w:val="24"/>
                <w:color w:val="auto"/>
              </w:rPr>
            </w:pPr>
          </w:p>
        </w:tc>
        <w:tc>
          <w:tcPr>
            <w:tcW w:w="24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2Q-4Q 2020</w:t>
            </w:r>
          </w:p>
        </w:tc>
        <w:tc>
          <w:tcPr>
            <w:tcW w:w="460" w:type="dxa"/>
            <w:vAlign w:val="bottom"/>
            <w:shd w:val="clear" w:color="auto" w:fill="E1E1DF"/>
          </w:tcPr>
          <w:p>
            <w:pPr>
              <w:spacing w:after="0"/>
              <w:rPr>
                <w:sz w:val="24"/>
                <w:szCs w:val="24"/>
                <w:color w:val="auto"/>
              </w:rPr>
            </w:pPr>
          </w:p>
        </w:tc>
        <w:tc>
          <w:tcPr>
            <w:tcW w:w="2000" w:type="dxa"/>
            <w:vAlign w:val="bottom"/>
            <w:shd w:val="clear" w:color="auto" w:fill="E1E1DF"/>
          </w:tcPr>
          <w:p>
            <w:pPr>
              <w:spacing w:after="0"/>
              <w:rPr>
                <w:sz w:val="24"/>
                <w:szCs w:val="24"/>
                <w:color w:val="auto"/>
              </w:rPr>
            </w:pPr>
          </w:p>
        </w:tc>
        <w:tc>
          <w:tcPr>
            <w:tcW w:w="440" w:type="dxa"/>
            <w:vAlign w:val="bottom"/>
            <w:shd w:val="clear" w:color="auto" w:fill="E1E1DF"/>
          </w:tcPr>
          <w:p>
            <w:pPr>
              <w:spacing w:after="0"/>
              <w:rPr>
                <w:sz w:val="24"/>
                <w:szCs w:val="24"/>
                <w:color w:val="auto"/>
              </w:rPr>
            </w:pPr>
          </w:p>
        </w:tc>
        <w:tc>
          <w:tcPr>
            <w:tcW w:w="2020" w:type="dxa"/>
            <w:vAlign w:val="bottom"/>
            <w:shd w:val="clear" w:color="auto" w:fill="E1E1DF"/>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1820" w:type="dxa"/>
            <w:vAlign w:val="bottom"/>
            <w:shd w:val="clear" w:color="auto" w:fill="E1E1DF"/>
          </w:tcPr>
          <w:p>
            <w:pPr>
              <w:spacing w:after="0"/>
              <w:rPr>
                <w:sz w:val="24"/>
                <w:szCs w:val="24"/>
                <w:color w:val="auto"/>
              </w:rPr>
            </w:pPr>
          </w:p>
        </w:tc>
        <w:tc>
          <w:tcPr>
            <w:tcW w:w="2020" w:type="dxa"/>
            <w:vAlign w:val="bottom"/>
            <w:shd w:val="clear" w:color="auto" w:fill="E1E1DF"/>
          </w:tcPr>
          <w:p>
            <w:pPr>
              <w:spacing w:after="0"/>
              <w:rPr>
                <w:sz w:val="24"/>
                <w:szCs w:val="24"/>
                <w:color w:val="auto"/>
              </w:rPr>
            </w:pP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Q2 - Q4 Incremental Cost Savings</w:t>
            </w:r>
          </w:p>
        </w:tc>
        <w:tc>
          <w:tcPr>
            <w:tcW w:w="460" w:type="dxa"/>
            <w:vAlign w:val="bottom"/>
            <w:vMerge w:val="restart"/>
            <w:shd w:val="clear" w:color="auto" w:fill="E1E1DF"/>
          </w:tcPr>
          <w:p>
            <w:pPr>
              <w:jc w:val="right"/>
              <w:ind w:right="74"/>
              <w:spacing w:after="0"/>
              <w:rPr>
                <w:sz w:val="20"/>
                <w:szCs w:val="20"/>
                <w:color w:val="auto"/>
              </w:rPr>
            </w:pPr>
            <w:r>
              <w:rPr>
                <w:rFonts w:ascii="Arial" w:cs="Arial" w:eastAsia="Arial" w:hAnsi="Arial"/>
                <w:sz w:val="25"/>
                <w:szCs w:val="25"/>
                <w:b w:val="1"/>
                <w:bCs w:val="1"/>
                <w:color w:val="4B1F68"/>
              </w:rPr>
              <w:t>&gt;</w:t>
            </w:r>
          </w:p>
        </w:tc>
        <w:tc>
          <w:tcPr>
            <w:tcW w:w="2000" w:type="dxa"/>
            <w:vAlign w:val="bottom"/>
            <w:shd w:val="clear" w:color="auto" w:fill="E1E1DF"/>
          </w:tcPr>
          <w:p>
            <w:pPr>
              <w:ind w:left="80"/>
              <w:spacing w:after="0"/>
              <w:rPr>
                <w:sz w:val="20"/>
                <w:szCs w:val="20"/>
                <w:color w:val="auto"/>
              </w:rPr>
            </w:pPr>
            <w:r>
              <w:rPr>
                <w:rFonts w:ascii="Arial" w:cs="Arial" w:eastAsia="Arial" w:hAnsi="Arial"/>
                <w:sz w:val="14"/>
                <w:szCs w:val="14"/>
                <w:color w:val="3B3C43"/>
              </w:rPr>
              <w:t>Exceeded $400 million -</w:t>
            </w:r>
          </w:p>
        </w:tc>
        <w:tc>
          <w:tcPr>
            <w:tcW w:w="440" w:type="dxa"/>
            <w:vAlign w:val="bottom"/>
            <w:vMerge w:val="restart"/>
            <w:shd w:val="clear" w:color="auto" w:fill="E1E1DF"/>
          </w:tcPr>
          <w:p>
            <w:pPr>
              <w:jc w:val="right"/>
              <w:ind w:right="54"/>
              <w:spacing w:after="0"/>
              <w:rPr>
                <w:sz w:val="20"/>
                <w:szCs w:val="20"/>
                <w:color w:val="auto"/>
              </w:rPr>
            </w:pPr>
            <w:r>
              <w:rPr>
                <w:rFonts w:ascii="Arial" w:cs="Arial" w:eastAsia="Arial" w:hAnsi="Arial"/>
                <w:sz w:val="25"/>
                <w:szCs w:val="25"/>
                <w:b w:val="1"/>
                <w:bCs w:val="1"/>
                <w:color w:val="4B1F68"/>
              </w:rPr>
              <w:t>&gt;</w:t>
            </w:r>
          </w:p>
        </w:tc>
        <w:tc>
          <w:tcPr>
            <w:tcW w:w="202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100% of target</w:t>
            </w:r>
            <w:r>
              <w:rPr>
                <w:rFonts w:ascii="Arial" w:cs="Arial" w:eastAsia="Arial" w:hAnsi="Arial"/>
                <w:sz w:val="23"/>
                <w:szCs w:val="23"/>
                <w:color w:val="3B3C43"/>
                <w:vertAlign w:val="superscript"/>
              </w:rPr>
              <w:t>3</w:t>
            </w:r>
          </w:p>
        </w:tc>
        <w:tc>
          <w:tcPr>
            <w:tcW w:w="0" w:type="dxa"/>
            <w:vAlign w:val="bottom"/>
          </w:tcPr>
          <w:p>
            <w:pPr>
              <w:spacing w:after="0"/>
              <w:rPr>
                <w:sz w:val="1"/>
                <w:szCs w:val="1"/>
                <w:color w:val="auto"/>
              </w:rPr>
            </w:pPr>
          </w:p>
        </w:tc>
      </w:tr>
      <w:tr>
        <w:trPr>
          <w:trHeight w:val="162"/>
        </w:trPr>
        <w:tc>
          <w:tcPr>
            <w:tcW w:w="1820" w:type="dxa"/>
            <w:vAlign w:val="bottom"/>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37.5%</w:t>
            </w:r>
          </w:p>
        </w:tc>
        <w:tc>
          <w:tcPr>
            <w:tcW w:w="460" w:type="dxa"/>
            <w:vAlign w:val="bottom"/>
            <w:vMerge w:val="continue"/>
            <w:shd w:val="clear" w:color="auto" w:fill="E1E1DF"/>
          </w:tcPr>
          <w:p>
            <w:pPr>
              <w:spacing w:after="0"/>
              <w:rPr>
                <w:sz w:val="14"/>
                <w:szCs w:val="14"/>
                <w:color w:val="auto"/>
              </w:rPr>
            </w:pPr>
          </w:p>
        </w:tc>
        <w:tc>
          <w:tcPr>
            <w:tcW w:w="2000" w:type="dxa"/>
            <w:vAlign w:val="bottom"/>
            <w:shd w:val="clear" w:color="auto" w:fill="E1E1DF"/>
          </w:tcPr>
          <w:p>
            <w:pPr>
              <w:ind w:left="80"/>
              <w:spacing w:after="0"/>
              <w:rPr>
                <w:sz w:val="20"/>
                <w:szCs w:val="20"/>
                <w:color w:val="auto"/>
              </w:rPr>
            </w:pPr>
            <w:r>
              <w:rPr>
                <w:rFonts w:ascii="Arial" w:cs="Arial" w:eastAsia="Arial" w:hAnsi="Arial"/>
                <w:sz w:val="14"/>
                <w:szCs w:val="14"/>
                <w:color w:val="3B3C43"/>
              </w:rPr>
              <w:t>Exceeded maximum</w:t>
            </w:r>
          </w:p>
        </w:tc>
        <w:tc>
          <w:tcPr>
            <w:tcW w:w="440" w:type="dxa"/>
            <w:vAlign w:val="bottom"/>
            <w:vMerge w:val="continue"/>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20" w:type="dxa"/>
            <w:vAlign w:val="bottom"/>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2480" w:type="dxa"/>
            <w:vAlign w:val="bottom"/>
            <w:shd w:val="clear" w:color="auto" w:fill="E1E1DF"/>
          </w:tcPr>
          <w:p>
            <w:pPr>
              <w:spacing w:after="0"/>
              <w:rPr>
                <w:sz w:val="14"/>
                <w:szCs w:val="14"/>
                <w:color w:val="auto"/>
              </w:rPr>
            </w:pPr>
          </w:p>
        </w:tc>
        <w:tc>
          <w:tcPr>
            <w:tcW w:w="460" w:type="dxa"/>
            <w:vAlign w:val="bottom"/>
            <w:shd w:val="clear" w:color="auto" w:fill="E1E1DF"/>
          </w:tcPr>
          <w:p>
            <w:pPr>
              <w:spacing w:after="0"/>
              <w:rPr>
                <w:sz w:val="14"/>
                <w:szCs w:val="14"/>
                <w:color w:val="auto"/>
              </w:rPr>
            </w:pPr>
          </w:p>
        </w:tc>
        <w:tc>
          <w:tcPr>
            <w:tcW w:w="2000" w:type="dxa"/>
            <w:vAlign w:val="bottom"/>
            <w:shd w:val="clear" w:color="auto" w:fill="E1E1DF"/>
          </w:tcPr>
          <w:p>
            <w:pPr>
              <w:ind w:left="80"/>
              <w:spacing w:after="0"/>
              <w:rPr>
                <w:sz w:val="20"/>
                <w:szCs w:val="20"/>
                <w:color w:val="auto"/>
              </w:rPr>
            </w:pPr>
            <w:r>
              <w:rPr>
                <w:rFonts w:ascii="Arial" w:cs="Arial" w:eastAsia="Arial" w:hAnsi="Arial"/>
                <w:sz w:val="14"/>
                <w:szCs w:val="14"/>
                <w:color w:val="3B3C43"/>
              </w:rPr>
              <w:t>performance</w:t>
            </w:r>
          </w:p>
        </w:tc>
        <w:tc>
          <w:tcPr>
            <w:tcW w:w="440" w:type="dxa"/>
            <w:vAlign w:val="bottom"/>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1820" w:type="dxa"/>
            <w:vAlign w:val="bottom"/>
            <w:shd w:val="clear" w:color="auto" w:fill="E1E1DF"/>
          </w:tcPr>
          <w:p>
            <w:pPr>
              <w:spacing w:after="0"/>
              <w:rPr>
                <w:sz w:val="24"/>
                <w:szCs w:val="24"/>
                <w:color w:val="auto"/>
              </w:rPr>
            </w:pPr>
          </w:p>
        </w:tc>
        <w:tc>
          <w:tcPr>
            <w:tcW w:w="2020" w:type="dxa"/>
            <w:vAlign w:val="bottom"/>
            <w:shd w:val="clear" w:color="auto" w:fill="E1E1DF"/>
          </w:tcPr>
          <w:p>
            <w:pPr>
              <w:spacing w:after="0"/>
              <w:rPr>
                <w:sz w:val="24"/>
                <w:szCs w:val="24"/>
                <w:color w:val="auto"/>
              </w:rPr>
            </w:pP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Q2 - Q4 Free Cash Flow</w:t>
            </w:r>
          </w:p>
        </w:tc>
        <w:tc>
          <w:tcPr>
            <w:tcW w:w="460" w:type="dxa"/>
            <w:vAlign w:val="bottom"/>
            <w:vMerge w:val="restart"/>
            <w:shd w:val="clear" w:color="auto" w:fill="E1E1DF"/>
          </w:tcPr>
          <w:p>
            <w:pPr>
              <w:jc w:val="right"/>
              <w:ind w:right="74"/>
              <w:spacing w:after="0"/>
              <w:rPr>
                <w:sz w:val="20"/>
                <w:szCs w:val="20"/>
                <w:color w:val="auto"/>
              </w:rPr>
            </w:pPr>
            <w:r>
              <w:rPr>
                <w:rFonts w:ascii="Arial" w:cs="Arial" w:eastAsia="Arial" w:hAnsi="Arial"/>
                <w:sz w:val="25"/>
                <w:szCs w:val="25"/>
                <w:b w:val="1"/>
                <w:bCs w:val="1"/>
                <w:color w:val="4B1F68"/>
              </w:rPr>
              <w:t>&gt;</w:t>
            </w:r>
          </w:p>
        </w:tc>
        <w:tc>
          <w:tcPr>
            <w:tcW w:w="2000" w:type="dxa"/>
            <w:vAlign w:val="bottom"/>
            <w:shd w:val="clear" w:color="auto" w:fill="E1E1DF"/>
          </w:tcPr>
          <w:p>
            <w:pPr>
              <w:ind w:left="80"/>
              <w:spacing w:after="0"/>
              <w:rPr>
                <w:sz w:val="20"/>
                <w:szCs w:val="20"/>
                <w:color w:val="auto"/>
              </w:rPr>
            </w:pPr>
            <w:r>
              <w:rPr>
                <w:rFonts w:ascii="Arial" w:cs="Arial" w:eastAsia="Arial" w:hAnsi="Arial"/>
                <w:sz w:val="14"/>
                <w:szCs w:val="14"/>
                <w:color w:val="3B3C43"/>
              </w:rPr>
              <w:t>Exceeded 75% - Exceeded</w:t>
            </w:r>
          </w:p>
        </w:tc>
        <w:tc>
          <w:tcPr>
            <w:tcW w:w="440" w:type="dxa"/>
            <w:vAlign w:val="bottom"/>
            <w:vMerge w:val="restart"/>
            <w:shd w:val="clear" w:color="auto" w:fill="E1E1DF"/>
          </w:tcPr>
          <w:p>
            <w:pPr>
              <w:jc w:val="right"/>
              <w:ind w:right="54"/>
              <w:spacing w:after="0"/>
              <w:rPr>
                <w:sz w:val="20"/>
                <w:szCs w:val="20"/>
                <w:color w:val="auto"/>
              </w:rPr>
            </w:pPr>
            <w:r>
              <w:rPr>
                <w:rFonts w:ascii="Arial" w:cs="Arial" w:eastAsia="Arial" w:hAnsi="Arial"/>
                <w:sz w:val="25"/>
                <w:szCs w:val="25"/>
                <w:b w:val="1"/>
                <w:bCs w:val="1"/>
                <w:color w:val="4B1F68"/>
              </w:rPr>
              <w:t>&gt;</w:t>
            </w:r>
          </w:p>
        </w:tc>
        <w:tc>
          <w:tcPr>
            <w:tcW w:w="202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100% of target</w:t>
            </w:r>
            <w:r>
              <w:rPr>
                <w:rFonts w:ascii="Arial" w:cs="Arial" w:eastAsia="Arial" w:hAnsi="Arial"/>
                <w:sz w:val="23"/>
                <w:szCs w:val="23"/>
                <w:color w:val="3B3C43"/>
                <w:vertAlign w:val="superscript"/>
              </w:rPr>
              <w:t>3</w:t>
            </w:r>
          </w:p>
        </w:tc>
        <w:tc>
          <w:tcPr>
            <w:tcW w:w="0" w:type="dxa"/>
            <w:vAlign w:val="bottom"/>
          </w:tcPr>
          <w:p>
            <w:pPr>
              <w:spacing w:after="0"/>
              <w:rPr>
                <w:sz w:val="1"/>
                <w:szCs w:val="1"/>
                <w:color w:val="auto"/>
              </w:rPr>
            </w:pPr>
          </w:p>
        </w:tc>
      </w:tr>
      <w:tr>
        <w:trPr>
          <w:trHeight w:val="172"/>
        </w:trPr>
        <w:tc>
          <w:tcPr>
            <w:tcW w:w="1820" w:type="dxa"/>
            <w:vAlign w:val="bottom"/>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Conversion Ratio 37.5%</w:t>
            </w:r>
          </w:p>
        </w:tc>
        <w:tc>
          <w:tcPr>
            <w:tcW w:w="460" w:type="dxa"/>
            <w:vAlign w:val="bottom"/>
            <w:vMerge w:val="continue"/>
            <w:shd w:val="clear" w:color="auto" w:fill="E1E1DF"/>
          </w:tcPr>
          <w:p>
            <w:pPr>
              <w:spacing w:after="0"/>
              <w:rPr>
                <w:sz w:val="14"/>
                <w:szCs w:val="14"/>
                <w:color w:val="auto"/>
              </w:rPr>
            </w:pPr>
          </w:p>
        </w:tc>
        <w:tc>
          <w:tcPr>
            <w:tcW w:w="2000" w:type="dxa"/>
            <w:vAlign w:val="bottom"/>
            <w:shd w:val="clear" w:color="auto" w:fill="E1E1DF"/>
          </w:tcPr>
          <w:p>
            <w:pPr>
              <w:ind w:left="80"/>
              <w:spacing w:after="0"/>
              <w:rPr>
                <w:sz w:val="20"/>
                <w:szCs w:val="20"/>
                <w:color w:val="auto"/>
              </w:rPr>
            </w:pPr>
            <w:r>
              <w:rPr>
                <w:rFonts w:ascii="Arial" w:cs="Arial" w:eastAsia="Arial" w:hAnsi="Arial"/>
                <w:sz w:val="14"/>
                <w:szCs w:val="14"/>
                <w:color w:val="3B3C43"/>
              </w:rPr>
              <w:t>maximum performance</w:t>
            </w:r>
          </w:p>
        </w:tc>
        <w:tc>
          <w:tcPr>
            <w:tcW w:w="440" w:type="dxa"/>
            <w:vAlign w:val="bottom"/>
            <w:vMerge w:val="continue"/>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1820" w:type="dxa"/>
            <w:vAlign w:val="bottom"/>
            <w:shd w:val="clear" w:color="auto" w:fill="E1E1DF"/>
          </w:tcPr>
          <w:p>
            <w:pPr>
              <w:spacing w:after="0"/>
              <w:rPr>
                <w:sz w:val="24"/>
                <w:szCs w:val="24"/>
                <w:color w:val="auto"/>
              </w:rPr>
            </w:pPr>
          </w:p>
        </w:tc>
        <w:tc>
          <w:tcPr>
            <w:tcW w:w="2020" w:type="dxa"/>
            <w:vAlign w:val="bottom"/>
            <w:shd w:val="clear" w:color="auto" w:fill="E1E1DF"/>
          </w:tcPr>
          <w:p>
            <w:pPr>
              <w:spacing w:after="0"/>
              <w:rPr>
                <w:sz w:val="24"/>
                <w:szCs w:val="24"/>
                <w:color w:val="auto"/>
              </w:rPr>
            </w:pPr>
          </w:p>
        </w:tc>
        <w:tc>
          <w:tcPr>
            <w:tcW w:w="248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Annual Individual Performance 25%</w:t>
            </w:r>
          </w:p>
        </w:tc>
        <w:tc>
          <w:tcPr>
            <w:tcW w:w="460" w:type="dxa"/>
            <w:vAlign w:val="bottom"/>
            <w:vMerge w:val="restart"/>
            <w:shd w:val="clear" w:color="auto" w:fill="E1E1DF"/>
          </w:tcPr>
          <w:p>
            <w:pPr>
              <w:jc w:val="right"/>
              <w:ind w:right="74"/>
              <w:spacing w:after="0"/>
              <w:rPr>
                <w:sz w:val="20"/>
                <w:szCs w:val="20"/>
                <w:color w:val="auto"/>
              </w:rPr>
            </w:pPr>
            <w:r>
              <w:rPr>
                <w:rFonts w:ascii="Arial" w:cs="Arial" w:eastAsia="Arial" w:hAnsi="Arial"/>
                <w:sz w:val="25"/>
                <w:szCs w:val="25"/>
                <w:b w:val="1"/>
                <w:bCs w:val="1"/>
                <w:color w:val="4B1F68"/>
              </w:rPr>
              <w:t>&gt;</w:t>
            </w:r>
          </w:p>
        </w:tc>
        <w:tc>
          <w:tcPr>
            <w:tcW w:w="2000" w:type="dxa"/>
            <w:vAlign w:val="bottom"/>
            <w:shd w:val="clear" w:color="auto" w:fill="E1E1DF"/>
          </w:tcPr>
          <w:p>
            <w:pPr>
              <w:ind w:left="80"/>
              <w:spacing w:after="0"/>
              <w:rPr>
                <w:sz w:val="20"/>
                <w:szCs w:val="20"/>
                <w:color w:val="auto"/>
              </w:rPr>
            </w:pPr>
            <w:r>
              <w:rPr>
                <w:rFonts w:ascii="Arial" w:cs="Arial" w:eastAsia="Arial" w:hAnsi="Arial"/>
                <w:sz w:val="14"/>
                <w:szCs w:val="14"/>
                <w:color w:val="3B3C43"/>
              </w:rPr>
              <w:t>Ranging from 100% to</w:t>
            </w:r>
          </w:p>
        </w:tc>
        <w:tc>
          <w:tcPr>
            <w:tcW w:w="440" w:type="dxa"/>
            <w:vAlign w:val="bottom"/>
            <w:vMerge w:val="restart"/>
            <w:shd w:val="clear" w:color="auto" w:fill="E1E1DF"/>
          </w:tcPr>
          <w:p>
            <w:pPr>
              <w:jc w:val="right"/>
              <w:ind w:right="54"/>
              <w:spacing w:after="0"/>
              <w:rPr>
                <w:sz w:val="20"/>
                <w:szCs w:val="20"/>
                <w:color w:val="auto"/>
              </w:rPr>
            </w:pPr>
            <w:r>
              <w:rPr>
                <w:rFonts w:ascii="Arial" w:cs="Arial" w:eastAsia="Arial" w:hAnsi="Arial"/>
                <w:sz w:val="25"/>
                <w:szCs w:val="25"/>
                <w:b w:val="1"/>
                <w:bCs w:val="1"/>
                <w:color w:val="4B1F68"/>
              </w:rPr>
              <w:t>&gt;</w:t>
            </w:r>
          </w:p>
        </w:tc>
        <w:tc>
          <w:tcPr>
            <w:tcW w:w="2020" w:type="dxa"/>
            <w:vAlign w:val="bottom"/>
            <w:shd w:val="clear" w:color="auto" w:fill="E1E1DF"/>
          </w:tcPr>
          <w:p>
            <w:pPr>
              <w:ind w:left="100"/>
              <w:spacing w:after="0"/>
              <w:rPr>
                <w:sz w:val="20"/>
                <w:szCs w:val="20"/>
                <w:color w:val="auto"/>
              </w:rPr>
            </w:pPr>
            <w:r>
              <w:rPr>
                <w:rFonts w:ascii="Arial" w:cs="Arial" w:eastAsia="Arial" w:hAnsi="Arial"/>
                <w:sz w:val="14"/>
                <w:szCs w:val="14"/>
                <w:color w:val="3B3C43"/>
              </w:rPr>
              <w:t>100% to 175% of target</w:t>
            </w:r>
          </w:p>
        </w:tc>
        <w:tc>
          <w:tcPr>
            <w:tcW w:w="0" w:type="dxa"/>
            <w:vAlign w:val="bottom"/>
          </w:tcPr>
          <w:p>
            <w:pPr>
              <w:spacing w:after="0"/>
              <w:rPr>
                <w:sz w:val="1"/>
                <w:szCs w:val="1"/>
                <w:color w:val="auto"/>
              </w:rPr>
            </w:pPr>
          </w:p>
        </w:tc>
      </w:tr>
      <w:tr>
        <w:trPr>
          <w:trHeight w:val="172"/>
        </w:trPr>
        <w:tc>
          <w:tcPr>
            <w:tcW w:w="1820" w:type="dxa"/>
            <w:vAlign w:val="bottom"/>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2480" w:type="dxa"/>
            <w:vAlign w:val="bottom"/>
            <w:shd w:val="clear" w:color="auto" w:fill="E1E1DF"/>
          </w:tcPr>
          <w:p>
            <w:pPr>
              <w:spacing w:after="0"/>
              <w:rPr>
                <w:sz w:val="14"/>
                <w:szCs w:val="14"/>
                <w:color w:val="auto"/>
              </w:rPr>
            </w:pPr>
          </w:p>
        </w:tc>
        <w:tc>
          <w:tcPr>
            <w:tcW w:w="460" w:type="dxa"/>
            <w:vAlign w:val="bottom"/>
            <w:vMerge w:val="continue"/>
            <w:shd w:val="clear" w:color="auto" w:fill="E1E1DF"/>
          </w:tcPr>
          <w:p>
            <w:pPr>
              <w:spacing w:after="0"/>
              <w:rPr>
                <w:sz w:val="14"/>
                <w:szCs w:val="14"/>
                <w:color w:val="auto"/>
              </w:rPr>
            </w:pPr>
          </w:p>
        </w:tc>
        <w:tc>
          <w:tcPr>
            <w:tcW w:w="2000" w:type="dxa"/>
            <w:vAlign w:val="bottom"/>
            <w:shd w:val="clear" w:color="auto" w:fill="E1E1DF"/>
          </w:tcPr>
          <w:p>
            <w:pPr>
              <w:ind w:left="80"/>
              <w:spacing w:after="0"/>
              <w:rPr>
                <w:sz w:val="20"/>
                <w:szCs w:val="20"/>
                <w:color w:val="auto"/>
              </w:rPr>
            </w:pPr>
            <w:r>
              <w:rPr>
                <w:rFonts w:ascii="Arial" w:cs="Arial" w:eastAsia="Arial" w:hAnsi="Arial"/>
                <w:sz w:val="14"/>
                <w:szCs w:val="14"/>
                <w:color w:val="3B3C43"/>
              </w:rPr>
              <w:t>175% performance</w:t>
            </w:r>
          </w:p>
        </w:tc>
        <w:tc>
          <w:tcPr>
            <w:tcW w:w="440" w:type="dxa"/>
            <w:vAlign w:val="bottom"/>
            <w:vMerge w:val="continue"/>
            <w:shd w:val="clear" w:color="auto" w:fill="E1E1DF"/>
          </w:tcPr>
          <w:p>
            <w:pPr>
              <w:spacing w:after="0"/>
              <w:rPr>
                <w:sz w:val="14"/>
                <w:szCs w:val="14"/>
                <w:color w:val="auto"/>
              </w:rPr>
            </w:pPr>
          </w:p>
        </w:tc>
        <w:tc>
          <w:tcPr>
            <w:tcW w:w="2020" w:type="dxa"/>
            <w:vAlign w:val="bottom"/>
            <w:shd w:val="clear" w:color="auto" w:fill="E1E1DF"/>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820" w:type="dxa"/>
            <w:vAlign w:val="bottom"/>
            <w:shd w:val="clear" w:color="auto" w:fill="E1E1DF"/>
          </w:tcPr>
          <w:p>
            <w:pPr>
              <w:spacing w:after="0"/>
              <w:rPr>
                <w:sz w:val="5"/>
                <w:szCs w:val="5"/>
                <w:color w:val="auto"/>
              </w:rPr>
            </w:pPr>
          </w:p>
        </w:tc>
        <w:tc>
          <w:tcPr>
            <w:tcW w:w="2020" w:type="dxa"/>
            <w:vAlign w:val="bottom"/>
            <w:shd w:val="clear" w:color="auto" w:fill="E1E1DF"/>
          </w:tcPr>
          <w:p>
            <w:pPr>
              <w:spacing w:after="0"/>
              <w:rPr>
                <w:sz w:val="5"/>
                <w:szCs w:val="5"/>
                <w:color w:val="auto"/>
              </w:rPr>
            </w:pPr>
          </w:p>
        </w:tc>
        <w:tc>
          <w:tcPr>
            <w:tcW w:w="2480" w:type="dxa"/>
            <w:vAlign w:val="bottom"/>
            <w:shd w:val="clear" w:color="auto" w:fill="E1E1DF"/>
          </w:tcPr>
          <w:p>
            <w:pPr>
              <w:spacing w:after="0"/>
              <w:rPr>
                <w:sz w:val="5"/>
                <w:szCs w:val="5"/>
                <w:color w:val="auto"/>
              </w:rPr>
            </w:pPr>
          </w:p>
        </w:tc>
        <w:tc>
          <w:tcPr>
            <w:tcW w:w="460" w:type="dxa"/>
            <w:vAlign w:val="bottom"/>
            <w:shd w:val="clear" w:color="auto" w:fill="E1E1DF"/>
          </w:tcPr>
          <w:p>
            <w:pPr>
              <w:spacing w:after="0"/>
              <w:rPr>
                <w:sz w:val="5"/>
                <w:szCs w:val="5"/>
                <w:color w:val="auto"/>
              </w:rPr>
            </w:pPr>
          </w:p>
        </w:tc>
        <w:tc>
          <w:tcPr>
            <w:tcW w:w="2000" w:type="dxa"/>
            <w:vAlign w:val="bottom"/>
            <w:shd w:val="clear" w:color="auto" w:fill="E1E1DF"/>
          </w:tcPr>
          <w:p>
            <w:pPr>
              <w:spacing w:after="0"/>
              <w:rPr>
                <w:sz w:val="5"/>
                <w:szCs w:val="5"/>
                <w:color w:val="auto"/>
              </w:rPr>
            </w:pPr>
          </w:p>
        </w:tc>
        <w:tc>
          <w:tcPr>
            <w:tcW w:w="440" w:type="dxa"/>
            <w:vAlign w:val="bottom"/>
            <w:shd w:val="clear" w:color="auto" w:fill="E1E1DF"/>
          </w:tcPr>
          <w:p>
            <w:pPr>
              <w:spacing w:after="0"/>
              <w:rPr>
                <w:sz w:val="5"/>
                <w:szCs w:val="5"/>
                <w:color w:val="auto"/>
              </w:rPr>
            </w:pPr>
          </w:p>
        </w:tc>
        <w:tc>
          <w:tcPr>
            <w:tcW w:w="2020" w:type="dxa"/>
            <w:vAlign w:val="bottom"/>
            <w:shd w:val="clear" w:color="auto" w:fill="E1E1DF"/>
          </w:tcPr>
          <w:p>
            <w:pPr>
              <w:spacing w:after="0"/>
              <w:rPr>
                <w:sz w:val="5"/>
                <w:szCs w:val="5"/>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20" w:right="460" w:hanging="212"/>
        <w:spacing w:after="0" w:line="241" w:lineRule="auto"/>
        <w:tabs>
          <w:tab w:leader="none" w:pos="220" w:val="left"/>
        </w:tabs>
        <w:numPr>
          <w:ilvl w:val="0"/>
          <w:numId w:val="83"/>
        </w:numPr>
        <w:rPr>
          <w:rFonts w:ascii="Arial" w:cs="Arial" w:eastAsia="Arial" w:hAnsi="Arial"/>
          <w:sz w:val="14"/>
          <w:szCs w:val="14"/>
          <w:color w:val="3B3C43"/>
        </w:rPr>
      </w:pPr>
      <w:r>
        <w:rPr>
          <w:rFonts w:ascii="Arial" w:cs="Arial" w:eastAsia="Arial" w:hAnsi="Arial"/>
          <w:sz w:val="14"/>
          <w:szCs w:val="14"/>
          <w:color w:val="3B3C43"/>
        </w:rPr>
        <w:t>Payout for the 2018 grant has been provided instead of payout for the 2020 grant, since payout for the latter is not yet determined based on a 2020-2022 performance period.</w:t>
      </w:r>
    </w:p>
    <w:p>
      <w:pPr>
        <w:ind w:left="220" w:hanging="212"/>
        <w:spacing w:after="0"/>
        <w:tabs>
          <w:tab w:leader="none" w:pos="220" w:val="left"/>
        </w:tabs>
        <w:numPr>
          <w:ilvl w:val="0"/>
          <w:numId w:val="83"/>
        </w:numPr>
        <w:rPr>
          <w:rFonts w:ascii="Arial" w:cs="Arial" w:eastAsia="Arial" w:hAnsi="Arial"/>
          <w:sz w:val="14"/>
          <w:szCs w:val="14"/>
          <w:color w:val="3B3C43"/>
        </w:rPr>
      </w:pPr>
      <w:r>
        <w:rPr>
          <w:rFonts w:ascii="Arial" w:cs="Arial" w:eastAsia="Arial" w:hAnsi="Arial"/>
          <w:sz w:val="14"/>
          <w:szCs w:val="14"/>
          <w:color w:val="3B3C43"/>
        </w:rPr>
        <w:t>Due to the COVID-19 pandemic and the volatility in the oil and gas market, the Compensation Committee set the payout for the Q1 targets at 0%</w:t>
      </w:r>
    </w:p>
    <w:p>
      <w:pPr>
        <w:spacing w:after="0" w:line="1" w:lineRule="exact"/>
        <w:rPr>
          <w:rFonts w:ascii="Arial" w:cs="Arial" w:eastAsia="Arial" w:hAnsi="Arial"/>
          <w:sz w:val="14"/>
          <w:szCs w:val="14"/>
          <w:color w:val="3B3C43"/>
        </w:rPr>
      </w:pPr>
    </w:p>
    <w:p>
      <w:pPr>
        <w:ind w:left="220" w:hanging="212"/>
        <w:spacing w:after="0"/>
        <w:tabs>
          <w:tab w:leader="none" w:pos="220" w:val="left"/>
        </w:tabs>
        <w:numPr>
          <w:ilvl w:val="0"/>
          <w:numId w:val="83"/>
        </w:numPr>
        <w:rPr>
          <w:rFonts w:ascii="Arial" w:cs="Arial" w:eastAsia="Arial" w:hAnsi="Arial"/>
          <w:sz w:val="14"/>
          <w:szCs w:val="14"/>
          <w:color w:val="3B3C43"/>
        </w:rPr>
      </w:pPr>
      <w:r>
        <w:rPr>
          <w:rFonts w:ascii="Arial" w:cs="Arial" w:eastAsia="Arial" w:hAnsi="Arial"/>
          <w:sz w:val="14"/>
          <w:szCs w:val="14"/>
          <w:color w:val="3B3C43"/>
        </w:rPr>
        <w:t>Payout for business performance indicators was capped at a maximum of target (100%) for 2020.</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74</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3B3C43"/>
        </w:rPr>
        <w:t>Our pay-for-performance program aims to motivate our executive officers to achieve and exceed both our short-term and long-term goals and objectives by including an appropriate mix of long-term equity compensation and annual cash incentive compensation. As intended by our program, our NEO compensation was directly impacted by our performance.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2020 Performance Impact on Long-Term Equity</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B3C43"/>
        </w:rPr>
        <w:t>The majority of our executives’ variable compensation is in the form of long-term equity compensation, comprising 85% and 75% of 2020 total target variable compensation for our CEO and other NEOs, respectively. Our NEOs achieved a payout of 25% of target on their 2018 performance-based, long-term equity incentive awards, based on the following:</w:t>
      </w:r>
    </w:p>
    <w:p>
      <w:pPr>
        <w:spacing w:after="0" w:line="174" w:lineRule="exact"/>
        <w:rPr>
          <w:sz w:val="20"/>
          <w:szCs w:val="20"/>
          <w:color w:val="auto"/>
        </w:rPr>
      </w:pPr>
    </w:p>
    <w:p>
      <w:pPr>
        <w:ind w:left="500" w:right="100" w:hanging="317"/>
        <w:spacing w:after="0" w:line="253" w:lineRule="auto"/>
        <w:tabs>
          <w:tab w:leader="none" w:pos="500" w:val="left"/>
        </w:tabs>
        <w:numPr>
          <w:ilvl w:val="0"/>
          <w:numId w:val="84"/>
        </w:numPr>
        <w:rPr>
          <w:rFonts w:ascii="Arial" w:cs="Arial" w:eastAsia="Arial" w:hAnsi="Arial"/>
          <w:sz w:val="16"/>
          <w:szCs w:val="16"/>
          <w:color w:val="4B1F68"/>
        </w:rPr>
      </w:pPr>
      <w:r>
        <w:rPr>
          <w:rFonts w:ascii="Arial" w:cs="Arial" w:eastAsia="Arial" w:hAnsi="Arial"/>
          <w:sz w:val="16"/>
          <w:szCs w:val="16"/>
          <w:color w:val="3B3C43"/>
        </w:rPr>
        <w:t>For the three-year relative TSR measure, we achieved 25th percentile performance for relative TSR for the 2018-2020 performance period based on our performance relative to our 2018 Relative TSR Peer Group, and as a result, the relative TSR component of the 2018 PSU awards paid out at 50%.</w:t>
      </w:r>
    </w:p>
    <w:p>
      <w:pPr>
        <w:spacing w:after="0" w:line="174" w:lineRule="exact"/>
        <w:rPr>
          <w:rFonts w:ascii="Arial" w:cs="Arial" w:eastAsia="Arial" w:hAnsi="Arial"/>
          <w:sz w:val="16"/>
          <w:szCs w:val="16"/>
          <w:color w:val="4B1F68"/>
        </w:rPr>
      </w:pPr>
    </w:p>
    <w:p>
      <w:pPr>
        <w:ind w:left="500" w:right="180" w:hanging="317"/>
        <w:spacing w:after="0" w:line="260" w:lineRule="auto"/>
        <w:tabs>
          <w:tab w:leader="none" w:pos="500" w:val="left"/>
        </w:tabs>
        <w:numPr>
          <w:ilvl w:val="0"/>
          <w:numId w:val="84"/>
        </w:numPr>
        <w:rPr>
          <w:rFonts w:ascii="Arial" w:cs="Arial" w:eastAsia="Arial" w:hAnsi="Arial"/>
          <w:sz w:val="16"/>
          <w:szCs w:val="16"/>
          <w:color w:val="4B1F68"/>
        </w:rPr>
      </w:pPr>
      <w:r>
        <w:rPr>
          <w:rFonts w:ascii="Arial" w:cs="Arial" w:eastAsia="Arial" w:hAnsi="Arial"/>
          <w:sz w:val="16"/>
          <w:szCs w:val="16"/>
          <w:color w:val="3B3C43"/>
        </w:rPr>
        <w:t>For the ROIC measure, we did not meet the threshold performance for the 2018-2020 performance period, and as a result, the ROIC component of the 2018 PSU awards paid out at 0%.</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2020 Performance Impact on Annual Cash Incentive</w:t>
      </w:r>
    </w:p>
    <w:p>
      <w:pPr>
        <w:spacing w:after="0" w:line="16"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3B3C43"/>
        </w:rPr>
        <w:t>The annual cash incentive comprises 15% and 25% of 2020 total target variable compensation for our CEO and other NEOs, respectively. Our NEOs achieved a payout ranging from 81% to 100% of target for the annual cash incentive, based on the following:</w:t>
      </w:r>
    </w:p>
    <w:p>
      <w:pPr>
        <w:spacing w:after="0" w:line="168" w:lineRule="exact"/>
        <w:rPr>
          <w:sz w:val="20"/>
          <w:szCs w:val="20"/>
          <w:color w:val="auto"/>
        </w:rPr>
      </w:pPr>
    </w:p>
    <w:p>
      <w:pPr>
        <w:ind w:left="500" w:hanging="317"/>
        <w:spacing w:after="0"/>
        <w:tabs>
          <w:tab w:leader="none" w:pos="500" w:val="left"/>
        </w:tabs>
        <w:numPr>
          <w:ilvl w:val="0"/>
          <w:numId w:val="85"/>
        </w:numPr>
        <w:rPr>
          <w:rFonts w:ascii="Arial" w:cs="Arial" w:eastAsia="Arial" w:hAnsi="Arial"/>
          <w:sz w:val="16"/>
          <w:szCs w:val="16"/>
          <w:color w:val="4B1F68"/>
        </w:rPr>
      </w:pPr>
      <w:r>
        <w:rPr>
          <w:rFonts w:ascii="Arial" w:cs="Arial" w:eastAsia="Arial" w:hAnsi="Arial"/>
          <w:sz w:val="16"/>
          <w:szCs w:val="16"/>
          <w:color w:val="3B3C43"/>
        </w:rPr>
        <w:t>The payout for the business performance indicators (which makes up 75% of the annual cash incentive plan) was 75%.</w:t>
      </w:r>
    </w:p>
    <w:p>
      <w:pPr>
        <w:spacing w:after="0" w:line="194" w:lineRule="exact"/>
        <w:rPr>
          <w:rFonts w:ascii="Arial" w:cs="Arial" w:eastAsia="Arial" w:hAnsi="Arial"/>
          <w:sz w:val="16"/>
          <w:szCs w:val="16"/>
          <w:color w:val="4B1F68"/>
        </w:rPr>
      </w:pPr>
    </w:p>
    <w:p>
      <w:pPr>
        <w:ind w:left="880" w:right="1020" w:hanging="332"/>
        <w:spacing w:after="0" w:line="260" w:lineRule="auto"/>
        <w:tabs>
          <w:tab w:leader="none" w:pos="880" w:val="left"/>
        </w:tabs>
        <w:numPr>
          <w:ilvl w:val="1"/>
          <w:numId w:val="85"/>
        </w:numPr>
        <w:rPr>
          <w:rFonts w:ascii="Arial" w:cs="Arial" w:eastAsia="Arial" w:hAnsi="Arial"/>
          <w:sz w:val="16"/>
          <w:szCs w:val="16"/>
          <w:color w:val="00ADE8"/>
        </w:rPr>
      </w:pPr>
      <w:r>
        <w:rPr>
          <w:rFonts w:ascii="Arial" w:cs="Arial" w:eastAsia="Arial" w:hAnsi="Arial"/>
          <w:sz w:val="16"/>
          <w:szCs w:val="16"/>
          <w:color w:val="3B3C43"/>
        </w:rPr>
        <w:t>For Q1 2020, our performance for EBITDA, EBITDA as a Percentage of Revenue, and Working Capital Days was set at 0% by the Compensation Committee.</w:t>
      </w:r>
    </w:p>
    <w:p>
      <w:pPr>
        <w:spacing w:after="0" w:line="168" w:lineRule="exact"/>
        <w:rPr>
          <w:rFonts w:ascii="Arial" w:cs="Arial" w:eastAsia="Arial" w:hAnsi="Arial"/>
          <w:sz w:val="16"/>
          <w:szCs w:val="16"/>
          <w:color w:val="00ADE8"/>
        </w:rPr>
      </w:pPr>
    </w:p>
    <w:p>
      <w:pPr>
        <w:jc w:val="both"/>
        <w:ind w:left="880" w:right="200" w:hanging="332"/>
        <w:spacing w:after="0" w:line="253" w:lineRule="auto"/>
        <w:tabs>
          <w:tab w:leader="none" w:pos="880" w:val="left"/>
        </w:tabs>
        <w:numPr>
          <w:ilvl w:val="1"/>
          <w:numId w:val="85"/>
        </w:numPr>
        <w:rPr>
          <w:rFonts w:ascii="Arial" w:cs="Arial" w:eastAsia="Arial" w:hAnsi="Arial"/>
          <w:sz w:val="16"/>
          <w:szCs w:val="16"/>
          <w:color w:val="00ADE8"/>
        </w:rPr>
      </w:pPr>
      <w:r>
        <w:rPr>
          <w:rFonts w:ascii="Arial" w:cs="Arial" w:eastAsia="Arial" w:hAnsi="Arial"/>
          <w:sz w:val="16"/>
          <w:szCs w:val="16"/>
          <w:color w:val="3B3C43"/>
        </w:rPr>
        <w:t>In Q2-Q4 2020, our performance far exceeded the maximum of the performance range for the Incremental Cost Savings and Free Cash Flow Conversion measures. Therefore, payout for the business performance indicators was 100% for Q2-Q4 (payouts were capped at 100% for Q2 through Q4, even for above target performance).</w:t>
      </w:r>
    </w:p>
    <w:p>
      <w:pPr>
        <w:spacing w:after="0" w:line="174" w:lineRule="exact"/>
        <w:rPr>
          <w:rFonts w:ascii="Arial" w:cs="Arial" w:eastAsia="Arial" w:hAnsi="Arial"/>
          <w:sz w:val="16"/>
          <w:szCs w:val="16"/>
          <w:color w:val="00ADE8"/>
        </w:rPr>
      </w:pPr>
    </w:p>
    <w:p>
      <w:pPr>
        <w:ind w:left="500" w:hanging="317"/>
        <w:spacing w:after="0"/>
        <w:tabs>
          <w:tab w:leader="none" w:pos="500" w:val="left"/>
        </w:tabs>
        <w:numPr>
          <w:ilvl w:val="0"/>
          <w:numId w:val="85"/>
        </w:numPr>
        <w:rPr>
          <w:rFonts w:ascii="Arial" w:cs="Arial" w:eastAsia="Arial" w:hAnsi="Arial"/>
          <w:sz w:val="16"/>
          <w:szCs w:val="16"/>
          <w:color w:val="4B1F68"/>
        </w:rPr>
      </w:pPr>
      <w:r>
        <w:rPr>
          <w:rFonts w:ascii="Arial" w:cs="Arial" w:eastAsia="Arial" w:hAnsi="Arial"/>
          <w:sz w:val="16"/>
          <w:szCs w:val="16"/>
          <w:color w:val="3B3C43"/>
        </w:rPr>
        <w:t>The payout for the individual annual performance indicators (which makes up 25% of the annual incentive plan) ranged from 100% to 175%.</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75</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Compensation Governance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Role of the Compensation Committee</w:t>
      </w:r>
    </w:p>
    <w:p>
      <w:pPr>
        <w:spacing w:after="0" w:line="23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3B3C43"/>
        </w:rPr>
        <w:t>Our Compensation Committee comprising independent non-executive directors oversees our executive compensation program and determines the compensation for our executive officers on behalf of the Board. The Compensation Committee is responsible for, among other things, reviewing, evaluating, and approving:</w:t>
      </w:r>
    </w:p>
    <w:p>
      <w:pPr>
        <w:spacing w:after="0" w:line="174" w:lineRule="exact"/>
        <w:rPr>
          <w:sz w:val="20"/>
          <w:szCs w:val="20"/>
          <w:color w:val="auto"/>
        </w:rPr>
      </w:pPr>
    </w:p>
    <w:p>
      <w:pPr>
        <w:ind w:left="500" w:right="140" w:hanging="317"/>
        <w:spacing w:after="0" w:line="260" w:lineRule="auto"/>
        <w:tabs>
          <w:tab w:leader="none" w:pos="500" w:val="left"/>
        </w:tabs>
        <w:numPr>
          <w:ilvl w:val="0"/>
          <w:numId w:val="86"/>
        </w:numPr>
        <w:rPr>
          <w:rFonts w:ascii="Arial" w:cs="Arial" w:eastAsia="Arial" w:hAnsi="Arial"/>
          <w:sz w:val="16"/>
          <w:szCs w:val="16"/>
          <w:color w:val="4B1F68"/>
        </w:rPr>
      </w:pPr>
      <w:r>
        <w:rPr>
          <w:rFonts w:ascii="Arial" w:cs="Arial" w:eastAsia="Arial" w:hAnsi="Arial"/>
          <w:sz w:val="16"/>
          <w:szCs w:val="16"/>
          <w:color w:val="3B3C43"/>
        </w:rPr>
        <w:t>The agreements, plans, policies, and programs of the Company to compensate its independent directors, Chairman and CEO, and other officers, as applicable; and</w:t>
      </w:r>
    </w:p>
    <w:p>
      <w:pPr>
        <w:spacing w:after="0" w:line="168" w:lineRule="exact"/>
        <w:rPr>
          <w:rFonts w:ascii="Arial" w:cs="Arial" w:eastAsia="Arial" w:hAnsi="Arial"/>
          <w:sz w:val="16"/>
          <w:szCs w:val="16"/>
          <w:color w:val="4B1F68"/>
        </w:rPr>
      </w:pPr>
    </w:p>
    <w:p>
      <w:pPr>
        <w:ind w:left="500" w:right="40" w:hanging="317"/>
        <w:spacing w:after="0" w:line="260" w:lineRule="auto"/>
        <w:tabs>
          <w:tab w:leader="none" w:pos="500" w:val="left"/>
        </w:tabs>
        <w:numPr>
          <w:ilvl w:val="0"/>
          <w:numId w:val="86"/>
        </w:numPr>
        <w:rPr>
          <w:rFonts w:ascii="Arial" w:cs="Arial" w:eastAsia="Arial" w:hAnsi="Arial"/>
          <w:sz w:val="16"/>
          <w:szCs w:val="16"/>
          <w:color w:val="4B1F68"/>
        </w:rPr>
      </w:pPr>
      <w:r>
        <w:rPr>
          <w:rFonts w:ascii="Arial" w:cs="Arial" w:eastAsia="Arial" w:hAnsi="Arial"/>
          <w:sz w:val="16"/>
          <w:szCs w:val="16"/>
          <w:color w:val="3B3C43"/>
        </w:rPr>
        <w:t>All awards of equity securities or equity derivatives to executive officers of the Company, as well as the total number of equity securities or equity derivatives to be allocated to all other employees at the discretion of the CEO, consistent with equity plans approved by the Company’s shareholders.</w:t>
      </w:r>
    </w:p>
    <w:p>
      <w:pPr>
        <w:spacing w:after="0" w:line="16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3B3C43"/>
        </w:rPr>
        <w:t>The Compensation Committee also reviews the Company’s incentive compensation arrangements to ensure that they do not incentivize excessive risk-taking and evaluates compensation policies and practices that could mitigate any such risk.</w:t>
      </w:r>
    </w:p>
    <w:p>
      <w:pPr>
        <w:spacing w:after="0" w:line="152"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3B3C43"/>
        </w:rPr>
        <w:t xml:space="preserve">Additional information on the roles and responsibilities of the Compensation Committee is provided in the section </w:t>
      </w:r>
      <w:r>
        <w:rPr>
          <w:rFonts w:ascii="Arial" w:cs="Arial" w:eastAsia="Arial" w:hAnsi="Arial"/>
          <w:sz w:val="16"/>
          <w:szCs w:val="16"/>
          <w:i w:val="1"/>
          <w:iCs w:val="1"/>
          <w:color w:val="3B3C43"/>
        </w:rPr>
        <w:t>“</w:t>
      </w:r>
      <w:r>
        <w:rPr>
          <w:rFonts w:ascii="Arial" w:cs="Arial" w:eastAsia="Arial" w:hAnsi="Arial"/>
          <w:sz w:val="14"/>
          <w:szCs w:val="14"/>
          <w:i w:val="1"/>
          <w:iCs w:val="1"/>
          <w:color w:val="3B3C43"/>
        </w:rPr>
        <w:t>Corporate Governance-Committees of the</w:t>
      </w:r>
      <w:r>
        <w:rPr>
          <w:rFonts w:ascii="Arial" w:cs="Arial" w:eastAsia="Arial" w:hAnsi="Arial"/>
          <w:sz w:val="16"/>
          <w:szCs w:val="16"/>
          <w:color w:val="3B3C43"/>
        </w:rPr>
        <w:t xml:space="preserve"> </w:t>
      </w:r>
      <w:r>
        <w:rPr>
          <w:rFonts w:ascii="Arial" w:cs="Arial" w:eastAsia="Arial" w:hAnsi="Arial"/>
          <w:sz w:val="14"/>
          <w:szCs w:val="14"/>
          <w:i w:val="1"/>
          <w:iCs w:val="1"/>
          <w:color w:val="3B3C43"/>
        </w:rPr>
        <w:t>Board of Directors-Compensation Committee,</w:t>
      </w:r>
      <w:r>
        <w:rPr>
          <w:rFonts w:ascii="Arial" w:cs="Arial" w:eastAsia="Arial" w:hAnsi="Arial"/>
          <w:sz w:val="16"/>
          <w:szCs w:val="16"/>
          <w:i w:val="1"/>
          <w:iCs w:val="1"/>
          <w:color w:val="3B3C43"/>
        </w:rPr>
        <w:t>”</w:t>
      </w:r>
      <w:r>
        <w:rPr>
          <w:rFonts w:ascii="Arial" w:cs="Arial" w:eastAsia="Arial" w:hAnsi="Arial"/>
          <w:sz w:val="14"/>
          <w:szCs w:val="14"/>
          <w:i w:val="1"/>
          <w:iCs w:val="1"/>
          <w:color w:val="3B3C43"/>
        </w:rPr>
        <w:t xml:space="preserve"> </w:t>
      </w:r>
      <w:r>
        <w:rPr>
          <w:rFonts w:ascii="Arial" w:cs="Arial" w:eastAsia="Arial" w:hAnsi="Arial"/>
          <w:sz w:val="16"/>
          <w:szCs w:val="16"/>
          <w:color w:val="3B3C43"/>
        </w:rPr>
        <w:t>and the charter of the Compensation Committee may be viewed on our website at</w:t>
      </w:r>
      <w:r>
        <w:rPr>
          <w:rFonts w:ascii="Arial" w:cs="Arial" w:eastAsia="Arial" w:hAnsi="Arial"/>
          <w:sz w:val="14"/>
          <w:szCs w:val="14"/>
          <w:i w:val="1"/>
          <w:iCs w:val="1"/>
          <w:color w:val="3B3C43"/>
        </w:rPr>
        <w:t xml:space="preserve"> </w:t>
      </w:r>
      <w:r>
        <w:rPr>
          <w:rFonts w:ascii="Arial" w:cs="Arial" w:eastAsia="Arial" w:hAnsi="Arial"/>
          <w:sz w:val="14"/>
          <w:szCs w:val="14"/>
          <w:b w:val="1"/>
          <w:bCs w:val="1"/>
          <w:i w:val="1"/>
          <w:iCs w:val="1"/>
          <w:color w:val="4B1F68"/>
        </w:rPr>
        <w:t>www.technipfmc.com</w:t>
      </w:r>
      <w:r>
        <w:rPr>
          <w:rFonts w:ascii="Arial" w:cs="Arial" w:eastAsia="Arial" w:hAnsi="Arial"/>
          <w:sz w:val="14"/>
          <w:szCs w:val="14"/>
          <w:i w:val="1"/>
          <w:iCs w:val="1"/>
          <w:color w:val="3B3C43"/>
        </w:rPr>
        <w:t xml:space="preserve"> </w:t>
      </w:r>
      <w:r>
        <w:rPr>
          <w:rFonts w:ascii="Arial" w:cs="Arial" w:eastAsia="Arial" w:hAnsi="Arial"/>
          <w:sz w:val="16"/>
          <w:szCs w:val="16"/>
          <w:color w:val="3B3C43"/>
        </w:rPr>
        <w:t>under the</w:t>
      </w:r>
      <w:r>
        <w:rPr>
          <w:rFonts w:ascii="Arial" w:cs="Arial" w:eastAsia="Arial" w:hAnsi="Arial"/>
          <w:sz w:val="14"/>
          <w:szCs w:val="14"/>
          <w:i w:val="1"/>
          <w:iCs w:val="1"/>
          <w:color w:val="3B3C43"/>
        </w:rPr>
        <w:t xml:space="preserve"> </w:t>
      </w:r>
      <w:r>
        <w:rPr>
          <w:rFonts w:ascii="Arial" w:cs="Arial" w:eastAsia="Arial" w:hAnsi="Arial"/>
          <w:sz w:val="16"/>
          <w:szCs w:val="16"/>
          <w:color w:val="3B3C43"/>
        </w:rPr>
        <w:t xml:space="preserve">heading </w:t>
      </w:r>
      <w:r>
        <w:rPr>
          <w:rFonts w:ascii="Arial" w:cs="Arial" w:eastAsia="Arial" w:hAnsi="Arial"/>
          <w:sz w:val="16"/>
          <w:szCs w:val="16"/>
          <w:i w:val="1"/>
          <w:iCs w:val="1"/>
          <w:color w:val="3B3C43"/>
        </w:rPr>
        <w:t>“</w:t>
      </w:r>
      <w:r>
        <w:rPr>
          <w:rFonts w:ascii="Arial" w:cs="Arial" w:eastAsia="Arial" w:hAnsi="Arial"/>
          <w:sz w:val="14"/>
          <w:szCs w:val="14"/>
          <w:i w:val="1"/>
          <w:iCs w:val="1"/>
          <w:color w:val="3B3C43"/>
        </w:rPr>
        <w:t>Who we are &gt; Governance</w:t>
      </w:r>
      <w:r>
        <w:rPr>
          <w:rFonts w:ascii="Arial" w:cs="Arial" w:eastAsia="Arial" w:hAnsi="Arial"/>
          <w:sz w:val="16"/>
          <w:szCs w:val="16"/>
          <w:i w:val="1"/>
          <w:iCs w:val="1"/>
          <w:color w:val="3B3C43"/>
        </w:rPr>
        <w: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Role of the Compensation Committee’s Independent Consultant</w:t>
      </w:r>
    </w:p>
    <w:p>
      <w:pPr>
        <w:spacing w:after="0" w:line="16" w:lineRule="exact"/>
        <w:rPr>
          <w:sz w:val="20"/>
          <w:szCs w:val="20"/>
          <w:color w:val="auto"/>
        </w:rPr>
      </w:pPr>
    </w:p>
    <w:p>
      <w:pPr>
        <w:jc w:val="both"/>
        <w:ind w:right="180"/>
        <w:spacing w:after="0" w:line="251" w:lineRule="auto"/>
        <w:rPr>
          <w:sz w:val="20"/>
          <w:szCs w:val="20"/>
          <w:color w:val="auto"/>
        </w:rPr>
      </w:pPr>
      <w:r>
        <w:rPr>
          <w:rFonts w:ascii="Arial" w:cs="Arial" w:eastAsia="Arial" w:hAnsi="Arial"/>
          <w:sz w:val="16"/>
          <w:szCs w:val="16"/>
          <w:color w:val="3B3C43"/>
        </w:rPr>
        <w:t xml:space="preserve">Under its charter, the Compensation Committee has the sole authority to retain and terminate any compensation consultant, outside counsel, or any other advisors engaged to assist in the evaluation of compensation of directors or executive officers, including the sole authority to approve the consultant’s fees and its terms. The Compensation Committee considers appropriate standards in selecting its compensation consultants consistent with NYSE rules, SEC rules, and requirements under the Dodd-Frank Wall Street Reform and Consumer Protection Act (the </w:t>
      </w:r>
      <w:r>
        <w:rPr>
          <w:rFonts w:ascii="Arial" w:cs="Arial" w:eastAsia="Arial" w:hAnsi="Arial"/>
          <w:sz w:val="16"/>
          <w:szCs w:val="16"/>
          <w:b w:val="1"/>
          <w:bCs w:val="1"/>
          <w:color w:val="3B3C43"/>
        </w:rPr>
        <w:t>“Dodd-Frank Act</w:t>
      </w:r>
      <w:r>
        <w:rPr>
          <w:rFonts w:ascii="Arial" w:cs="Arial" w:eastAsia="Arial" w:hAnsi="Arial"/>
          <w:sz w:val="16"/>
          <w:szCs w:val="16"/>
          <w:color w:val="3B3C43"/>
        </w:rPr>
        <w:t>”).</w:t>
      </w:r>
    </w:p>
    <w:p>
      <w:pPr>
        <w:spacing w:after="0" w:line="175"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3B3C43"/>
        </w:rPr>
        <w:t>In 2020, the Compensation Committee retained Willis Towers Watson as its principal compensation consultant to provide information and advice to the Compensation Committee on executive and director compensation and related governance matters. This included evaluating our director and executive compensation programs against general market and peer data and providing updates on current executive compensation trends and applicable legislative and governance activity. In 2020, Willis Towers Watson was paid approximately $313,000 in fees related to executive compensation services. In addition, Willis Towers Watson provided non-executive compensation services in 2020 totaling $1,694,000 in fees, which included retirement benefit consultant services, health and group benefits consulting services, and corporate risk and broking services to management.</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3B3C43"/>
        </w:rPr>
        <w:t>In February 2021, the Compensation Committee considered the independence of Willis Towers Watson pursuant to the SEC rules and NYSE listing standards. At the request of the Compensation Committee, Willis Towers Watson prepared a letter providing data on the following factors relevant to assessing independence: (a) other services provided to the Company by Willis Towers Watson; (b) fees paid by the Company as a percentage of Willis Towers Watson’s total revenue; (c) policies and procedures maintained by Willis Towers Watson that are designed to prevent a conflict of interest; (d) any business or personal relationships between the individual consultants involved in the engagement and a member of the Compensation Committee; (e) any Ordinary Shares owned by the individual consultants involved in the engagement or their immediate family members; and (f) any business or personal relationships between our executive officers and Willis Towers Watson or the individual consultants involved in the engagement. The Compensation Committee also considered that the Willis Towers Watson consultants advising the Compensation Committee derived no economic benefit from the fees paid for the non-executive compensation services. The Compensation Committee discussed these considerations and concluded that the work of Willis Towers Watson and the consultants involved in the engagement did not raise any conflict of interest.</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76</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The Annual Process</w:t>
      </w:r>
    </w:p>
    <w:p>
      <w:pPr>
        <w:spacing w:after="0" w:line="1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3B3C43"/>
        </w:rPr>
        <w:t>Each year the Compensation Committee approves an annual calendar which sets out the key activities in accordance with its charter. The key activities of the committee in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741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741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82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Q1</w:t>
            </w:r>
          </w:p>
        </w:tc>
        <w:tc>
          <w:tcPr>
            <w:tcW w:w="3720" w:type="dxa"/>
            <w:vAlign w:val="bottom"/>
            <w:shd w:val="clear" w:color="auto" w:fill="00ACE8"/>
          </w:tcPr>
          <w:p>
            <w:pPr>
              <w:ind w:left="120"/>
              <w:spacing w:after="0"/>
              <w:rPr>
                <w:sz w:val="20"/>
                <w:szCs w:val="20"/>
                <w:color w:val="auto"/>
              </w:rPr>
            </w:pPr>
            <w:r>
              <w:rPr>
                <w:rFonts w:ascii="Arial" w:cs="Arial" w:eastAsia="Arial" w:hAnsi="Arial"/>
                <w:sz w:val="16"/>
                <w:szCs w:val="16"/>
                <w:b w:val="1"/>
                <w:bCs w:val="1"/>
                <w:color w:val="FFFFFF"/>
              </w:rPr>
              <w:t>Q2-Q3</w:t>
            </w:r>
          </w:p>
        </w:tc>
        <w:tc>
          <w:tcPr>
            <w:tcW w:w="3700" w:type="dxa"/>
            <w:vAlign w:val="bottom"/>
            <w:shd w:val="clear" w:color="auto" w:fill="D21D23"/>
          </w:tcPr>
          <w:p>
            <w:pPr>
              <w:ind w:left="100"/>
              <w:spacing w:after="0"/>
              <w:rPr>
                <w:sz w:val="20"/>
                <w:szCs w:val="20"/>
                <w:color w:val="auto"/>
              </w:rPr>
            </w:pPr>
            <w:r>
              <w:rPr>
                <w:rFonts w:ascii="Arial" w:cs="Arial" w:eastAsia="Arial" w:hAnsi="Arial"/>
                <w:sz w:val="16"/>
                <w:szCs w:val="16"/>
                <w:b w:val="1"/>
                <w:bCs w:val="1"/>
                <w:color w:val="FFFFFF"/>
              </w:rPr>
              <w:t>Q4</w:t>
            </w:r>
          </w:p>
        </w:tc>
        <w:tc>
          <w:tcPr>
            <w:tcW w:w="0" w:type="dxa"/>
            <w:vAlign w:val="bottom"/>
          </w:tcPr>
          <w:p>
            <w:pPr>
              <w:spacing w:after="0"/>
              <w:rPr>
                <w:sz w:val="1"/>
                <w:szCs w:val="1"/>
                <w:color w:val="auto"/>
              </w:rPr>
            </w:pPr>
          </w:p>
        </w:tc>
      </w:tr>
      <w:tr>
        <w:trPr>
          <w:trHeight w:val="73"/>
        </w:trPr>
        <w:tc>
          <w:tcPr>
            <w:tcW w:w="3820" w:type="dxa"/>
            <w:vAlign w:val="bottom"/>
            <w:shd w:val="clear" w:color="auto" w:fill="4B1F68"/>
          </w:tcPr>
          <w:p>
            <w:pPr>
              <w:spacing w:after="0"/>
              <w:rPr>
                <w:sz w:val="6"/>
                <w:szCs w:val="6"/>
                <w:color w:val="auto"/>
              </w:rPr>
            </w:pPr>
          </w:p>
        </w:tc>
        <w:tc>
          <w:tcPr>
            <w:tcW w:w="3720" w:type="dxa"/>
            <w:vAlign w:val="bottom"/>
            <w:shd w:val="clear" w:color="auto" w:fill="00ACE8"/>
          </w:tcPr>
          <w:p>
            <w:pPr>
              <w:spacing w:after="0"/>
              <w:rPr>
                <w:sz w:val="6"/>
                <w:szCs w:val="6"/>
                <w:color w:val="auto"/>
              </w:rPr>
            </w:pPr>
          </w:p>
        </w:tc>
        <w:tc>
          <w:tcPr>
            <w:tcW w:w="3700" w:type="dxa"/>
            <w:vAlign w:val="bottom"/>
            <w:shd w:val="clear" w:color="auto" w:fill="D21D23"/>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Approve compensation decisions and equity</w:t>
            </w:r>
          </w:p>
        </w:tc>
        <w:tc>
          <w:tcPr>
            <w:tcW w:w="3720" w:type="dxa"/>
            <w:vAlign w:val="bottom"/>
            <w:shd w:val="clear" w:color="auto" w:fill="E1E2E0"/>
          </w:tcPr>
          <w:p>
            <w:pPr>
              <w:ind w:left="120"/>
              <w:spacing w:after="0"/>
              <w:rPr>
                <w:sz w:val="20"/>
                <w:szCs w:val="20"/>
                <w:color w:val="auto"/>
              </w:rPr>
            </w:pPr>
            <w:r>
              <w:rPr>
                <w:rFonts w:ascii="Arial" w:cs="Arial" w:eastAsia="Arial" w:hAnsi="Arial"/>
                <w:sz w:val="16"/>
                <w:szCs w:val="16"/>
                <w:color w:val="3B3C43"/>
              </w:rPr>
              <w:t>Review executive officer share ownership</w:t>
            </w:r>
          </w:p>
        </w:tc>
        <w:tc>
          <w:tcPr>
            <w:tcW w:w="370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Review internal governance policies (e.g.,</w:t>
            </w:r>
          </w:p>
        </w:tc>
        <w:tc>
          <w:tcPr>
            <w:tcW w:w="0" w:type="dxa"/>
            <w:vAlign w:val="bottom"/>
          </w:tcPr>
          <w:p>
            <w:pPr>
              <w:spacing w:after="0"/>
              <w:rPr>
                <w:sz w:val="1"/>
                <w:szCs w:val="1"/>
                <w:color w:val="auto"/>
              </w:rPr>
            </w:pPr>
          </w:p>
        </w:tc>
      </w:tr>
      <w:tr>
        <w:trPr>
          <w:trHeight w:val="189"/>
        </w:trPr>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awards for directors and officers</w:t>
            </w:r>
          </w:p>
        </w:tc>
        <w:tc>
          <w:tcPr>
            <w:tcW w:w="3720" w:type="dxa"/>
            <w:vAlign w:val="bottom"/>
            <w:shd w:val="clear" w:color="auto" w:fill="E1E2E0"/>
          </w:tcPr>
          <w:p>
            <w:pPr>
              <w:ind w:left="120"/>
              <w:spacing w:after="0"/>
              <w:rPr>
                <w:sz w:val="20"/>
                <w:szCs w:val="20"/>
                <w:color w:val="auto"/>
              </w:rPr>
            </w:pPr>
            <w:r>
              <w:rPr>
                <w:rFonts w:ascii="Arial" w:cs="Arial" w:eastAsia="Arial" w:hAnsi="Arial"/>
                <w:sz w:val="16"/>
                <w:szCs w:val="16"/>
                <w:color w:val="3B3C43"/>
              </w:rPr>
              <w:t>guidelines and compliance</w:t>
            </w:r>
          </w:p>
        </w:tc>
        <w:tc>
          <w:tcPr>
            <w:tcW w:w="370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clawback, insider trading policy, anti-hedging,</w:t>
            </w:r>
          </w:p>
        </w:tc>
        <w:tc>
          <w:tcPr>
            <w:tcW w:w="0" w:type="dxa"/>
            <w:vAlign w:val="bottom"/>
          </w:tcPr>
          <w:p>
            <w:pPr>
              <w:spacing w:after="0"/>
              <w:rPr>
                <w:sz w:val="1"/>
                <w:szCs w:val="1"/>
                <w:color w:val="auto"/>
              </w:rPr>
            </w:pPr>
          </w:p>
        </w:tc>
      </w:tr>
      <w:tr>
        <w:trPr>
          <w:trHeight w:val="195"/>
        </w:trPr>
        <w:tc>
          <w:tcPr>
            <w:tcW w:w="382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3B3C43"/>
              </w:rPr>
              <w:t>Approve Company performance achievements for</w:t>
            </w:r>
          </w:p>
        </w:tc>
        <w:tc>
          <w:tcPr>
            <w:tcW w:w="3720" w:type="dxa"/>
            <w:vAlign w:val="bottom"/>
            <w:vMerge w:val="restart"/>
            <w:shd w:val="clear" w:color="auto" w:fill="E1E2E0"/>
          </w:tcPr>
          <w:p>
            <w:pPr>
              <w:ind w:left="120"/>
              <w:spacing w:after="0"/>
              <w:rPr>
                <w:sz w:val="20"/>
                <w:szCs w:val="20"/>
                <w:color w:val="auto"/>
              </w:rPr>
            </w:pPr>
            <w:r>
              <w:rPr>
                <w:rFonts w:ascii="Arial" w:cs="Arial" w:eastAsia="Arial" w:hAnsi="Arial"/>
                <w:sz w:val="16"/>
                <w:szCs w:val="16"/>
                <w:color w:val="3B3C43"/>
              </w:rPr>
              <w:t>Discuss shareholder engagement outcomes and</w:t>
            </w:r>
          </w:p>
        </w:tc>
        <w:tc>
          <w:tcPr>
            <w:tcW w:w="370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pledging) and compliance</w:t>
            </w:r>
          </w:p>
        </w:tc>
        <w:tc>
          <w:tcPr>
            <w:tcW w:w="0" w:type="dxa"/>
            <w:vAlign w:val="bottom"/>
          </w:tcPr>
          <w:p>
            <w:pPr>
              <w:spacing w:after="0"/>
              <w:rPr>
                <w:sz w:val="1"/>
                <w:szCs w:val="1"/>
                <w:color w:val="auto"/>
              </w:rPr>
            </w:pPr>
          </w:p>
        </w:tc>
      </w:tr>
      <w:tr>
        <w:trPr>
          <w:trHeight w:val="183"/>
        </w:trPr>
        <w:tc>
          <w:tcPr>
            <w:tcW w:w="3820" w:type="dxa"/>
            <w:vAlign w:val="bottom"/>
            <w:vMerge w:val="continue"/>
            <w:shd w:val="clear" w:color="auto" w:fill="E1E2E0"/>
          </w:tcPr>
          <w:p>
            <w:pPr>
              <w:spacing w:after="0"/>
              <w:rPr>
                <w:sz w:val="15"/>
                <w:szCs w:val="15"/>
                <w:color w:val="auto"/>
              </w:rPr>
            </w:pPr>
          </w:p>
        </w:tc>
        <w:tc>
          <w:tcPr>
            <w:tcW w:w="3720" w:type="dxa"/>
            <w:vAlign w:val="bottom"/>
            <w:vMerge w:val="continue"/>
            <w:shd w:val="clear" w:color="auto" w:fill="E1E2E0"/>
          </w:tcPr>
          <w:p>
            <w:pPr>
              <w:spacing w:after="0"/>
              <w:rPr>
                <w:sz w:val="15"/>
                <w:szCs w:val="15"/>
                <w:color w:val="auto"/>
              </w:rPr>
            </w:pPr>
          </w:p>
        </w:tc>
        <w:tc>
          <w:tcPr>
            <w:tcW w:w="3700" w:type="dxa"/>
            <w:vAlign w:val="bottom"/>
            <w:shd w:val="clear" w:color="auto" w:fill="E1E2E0"/>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prior year in relation to annual and long-term</w:t>
            </w:r>
          </w:p>
        </w:tc>
        <w:tc>
          <w:tcPr>
            <w:tcW w:w="3720" w:type="dxa"/>
            <w:vAlign w:val="bottom"/>
            <w:shd w:val="clear" w:color="auto" w:fill="E1E2E0"/>
          </w:tcPr>
          <w:p>
            <w:pPr>
              <w:ind w:left="120"/>
              <w:spacing w:after="0"/>
              <w:rPr>
                <w:sz w:val="20"/>
                <w:szCs w:val="20"/>
                <w:color w:val="auto"/>
              </w:rPr>
            </w:pPr>
            <w:r>
              <w:rPr>
                <w:rFonts w:ascii="Arial" w:cs="Arial" w:eastAsia="Arial" w:hAnsi="Arial"/>
                <w:sz w:val="16"/>
                <w:szCs w:val="16"/>
                <w:color w:val="3B3C43"/>
              </w:rPr>
              <w:t>review annual meeting vote results</w:t>
            </w:r>
          </w:p>
        </w:tc>
        <w:tc>
          <w:tcPr>
            <w:tcW w:w="370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Approve equity programs, annual equity budget</w:t>
            </w:r>
          </w:p>
        </w:tc>
        <w:tc>
          <w:tcPr>
            <w:tcW w:w="0" w:type="dxa"/>
            <w:vAlign w:val="bottom"/>
          </w:tcPr>
          <w:p>
            <w:pPr>
              <w:spacing w:after="0"/>
              <w:rPr>
                <w:sz w:val="1"/>
                <w:szCs w:val="1"/>
                <w:color w:val="auto"/>
              </w:rPr>
            </w:pPr>
          </w:p>
        </w:tc>
      </w:tr>
      <w:tr>
        <w:trPr>
          <w:trHeight w:val="189"/>
        </w:trPr>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incentive plans</w:t>
            </w:r>
          </w:p>
        </w:tc>
        <w:tc>
          <w:tcPr>
            <w:tcW w:w="3720" w:type="dxa"/>
            <w:vAlign w:val="bottom"/>
            <w:shd w:val="clear" w:color="auto" w:fill="E1E2E0"/>
          </w:tcPr>
          <w:p>
            <w:pPr>
              <w:spacing w:after="0"/>
              <w:rPr>
                <w:sz w:val="16"/>
                <w:szCs w:val="16"/>
                <w:color w:val="auto"/>
              </w:rPr>
            </w:pPr>
          </w:p>
        </w:tc>
        <w:tc>
          <w:tcPr>
            <w:tcW w:w="370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for non-executives, and impact on shareholder</w:t>
            </w:r>
          </w:p>
        </w:tc>
        <w:tc>
          <w:tcPr>
            <w:tcW w:w="0" w:type="dxa"/>
            <w:vAlign w:val="bottom"/>
          </w:tcPr>
          <w:p>
            <w:pPr>
              <w:spacing w:after="0"/>
              <w:rPr>
                <w:sz w:val="1"/>
                <w:szCs w:val="1"/>
                <w:color w:val="auto"/>
              </w:rPr>
            </w:pPr>
          </w:p>
        </w:tc>
      </w:tr>
      <w:tr>
        <w:trPr>
          <w:trHeight w:val="195"/>
        </w:trPr>
        <w:tc>
          <w:tcPr>
            <w:tcW w:w="382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3B3C43"/>
              </w:rPr>
              <w:t>Review and discuss executive compensation</w:t>
            </w:r>
          </w:p>
        </w:tc>
        <w:tc>
          <w:tcPr>
            <w:tcW w:w="3720" w:type="dxa"/>
            <w:vAlign w:val="bottom"/>
            <w:shd w:val="clear" w:color="auto" w:fill="E1E2E0"/>
          </w:tcPr>
          <w:p>
            <w:pPr>
              <w:spacing w:after="0"/>
              <w:rPr>
                <w:sz w:val="16"/>
                <w:szCs w:val="16"/>
                <w:color w:val="auto"/>
              </w:rPr>
            </w:pPr>
          </w:p>
        </w:tc>
        <w:tc>
          <w:tcPr>
            <w:tcW w:w="370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dilution</w:t>
            </w:r>
          </w:p>
        </w:tc>
        <w:tc>
          <w:tcPr>
            <w:tcW w:w="0" w:type="dxa"/>
            <w:vAlign w:val="bottom"/>
          </w:tcPr>
          <w:p>
            <w:pPr>
              <w:spacing w:after="0"/>
              <w:rPr>
                <w:sz w:val="1"/>
                <w:szCs w:val="1"/>
                <w:color w:val="auto"/>
              </w:rPr>
            </w:pPr>
          </w:p>
        </w:tc>
      </w:tr>
      <w:tr>
        <w:trPr>
          <w:trHeight w:val="183"/>
        </w:trPr>
        <w:tc>
          <w:tcPr>
            <w:tcW w:w="3820" w:type="dxa"/>
            <w:vAlign w:val="bottom"/>
            <w:vMerge w:val="continue"/>
            <w:shd w:val="clear" w:color="auto" w:fill="E1E2E0"/>
          </w:tcPr>
          <w:p>
            <w:pPr>
              <w:spacing w:after="0"/>
              <w:rPr>
                <w:sz w:val="15"/>
                <w:szCs w:val="15"/>
                <w:color w:val="auto"/>
              </w:rPr>
            </w:pPr>
          </w:p>
        </w:tc>
        <w:tc>
          <w:tcPr>
            <w:tcW w:w="3720" w:type="dxa"/>
            <w:vAlign w:val="bottom"/>
            <w:shd w:val="clear" w:color="auto" w:fill="E1E2E0"/>
          </w:tcPr>
          <w:p>
            <w:pPr>
              <w:spacing w:after="0"/>
              <w:rPr>
                <w:sz w:val="15"/>
                <w:szCs w:val="15"/>
                <w:color w:val="auto"/>
              </w:rPr>
            </w:pPr>
          </w:p>
        </w:tc>
        <w:tc>
          <w:tcPr>
            <w:tcW w:w="3700" w:type="dxa"/>
            <w:vAlign w:val="bottom"/>
            <w:shd w:val="clear" w:color="auto" w:fill="E1E2E0"/>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strategy, structure, and programs</w:t>
            </w:r>
          </w:p>
        </w:tc>
        <w:tc>
          <w:tcPr>
            <w:tcW w:w="3720" w:type="dxa"/>
            <w:vAlign w:val="bottom"/>
            <w:shd w:val="clear" w:color="auto" w:fill="E1E2E0"/>
          </w:tcPr>
          <w:p>
            <w:pPr>
              <w:spacing w:after="0"/>
              <w:rPr>
                <w:sz w:val="16"/>
                <w:szCs w:val="16"/>
                <w:color w:val="auto"/>
              </w:rPr>
            </w:pPr>
          </w:p>
        </w:tc>
        <w:tc>
          <w:tcPr>
            <w:tcW w:w="370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Review of peer compensation practices</w:t>
            </w:r>
          </w:p>
        </w:tc>
        <w:tc>
          <w:tcPr>
            <w:tcW w:w="0" w:type="dxa"/>
            <w:vAlign w:val="bottom"/>
          </w:tcPr>
          <w:p>
            <w:pPr>
              <w:spacing w:after="0"/>
              <w:rPr>
                <w:sz w:val="1"/>
                <w:szCs w:val="1"/>
                <w:color w:val="auto"/>
              </w:rPr>
            </w:pPr>
          </w:p>
        </w:tc>
      </w:tr>
      <w:tr>
        <w:trPr>
          <w:trHeight w:val="372"/>
        </w:trPr>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Approve annual compensation disclosures in</w:t>
            </w:r>
          </w:p>
        </w:tc>
        <w:tc>
          <w:tcPr>
            <w:tcW w:w="3720" w:type="dxa"/>
            <w:vAlign w:val="bottom"/>
            <w:shd w:val="clear" w:color="auto" w:fill="E1E2E0"/>
          </w:tcPr>
          <w:p>
            <w:pPr>
              <w:spacing w:after="0"/>
              <w:rPr>
                <w:sz w:val="24"/>
                <w:szCs w:val="24"/>
                <w:color w:val="auto"/>
              </w:rPr>
            </w:pPr>
          </w:p>
        </w:tc>
        <w:tc>
          <w:tcPr>
            <w:tcW w:w="3700" w:type="dxa"/>
            <w:vAlign w:val="bottom"/>
            <w:shd w:val="clear" w:color="auto" w:fill="E1E2E0"/>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3B3C43"/>
              </w:rPr>
              <w:t>Company proxy statement and U.K. annual report</w:t>
            </w:r>
          </w:p>
        </w:tc>
        <w:tc>
          <w:tcPr>
            <w:tcW w:w="3720" w:type="dxa"/>
            <w:vAlign w:val="bottom"/>
            <w:shd w:val="clear" w:color="auto" w:fill="E1E2E0"/>
          </w:tcPr>
          <w:p>
            <w:pPr>
              <w:spacing w:after="0"/>
              <w:rPr>
                <w:sz w:val="16"/>
                <w:szCs w:val="16"/>
                <w:color w:val="auto"/>
              </w:rPr>
            </w:pPr>
          </w:p>
        </w:tc>
        <w:tc>
          <w:tcPr>
            <w:tcW w:w="370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820" w:type="dxa"/>
            <w:vAlign w:val="bottom"/>
            <w:shd w:val="clear" w:color="auto" w:fill="E1E2E0"/>
          </w:tcPr>
          <w:p>
            <w:pPr>
              <w:spacing w:after="0"/>
              <w:rPr>
                <w:sz w:val="6"/>
                <w:szCs w:val="6"/>
                <w:color w:val="auto"/>
              </w:rPr>
            </w:pPr>
          </w:p>
        </w:tc>
        <w:tc>
          <w:tcPr>
            <w:tcW w:w="3720" w:type="dxa"/>
            <w:vAlign w:val="bottom"/>
            <w:shd w:val="clear" w:color="auto" w:fill="E1E2E0"/>
          </w:tcPr>
          <w:p>
            <w:pPr>
              <w:spacing w:after="0"/>
              <w:rPr>
                <w:sz w:val="6"/>
                <w:szCs w:val="6"/>
                <w:color w:val="auto"/>
              </w:rPr>
            </w:pPr>
          </w:p>
        </w:tc>
        <w:tc>
          <w:tcPr>
            <w:tcW w:w="3700" w:type="dxa"/>
            <w:vAlign w:val="bottom"/>
            <w:shd w:val="clear" w:color="auto" w:fill="E1E2E0"/>
          </w:tcPr>
          <w:p>
            <w:pPr>
              <w:spacing w:after="0"/>
              <w:rPr>
                <w:sz w:val="6"/>
                <w:szCs w:val="6"/>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Compensation Decisions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Compensation Peer Groups</w:t>
      </w:r>
    </w:p>
    <w:p>
      <w:pPr>
        <w:spacing w:after="0" w:line="25"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3B3C43"/>
        </w:rPr>
        <w:t>In making decisions about target compensation levels, the Compensation Committee reviews data from two distinct peer groups. We believe that it is important to consider both global companies of similar size, complexity, and capital-intensive nature, as well as companies within the same industry with significant U.S. operations, for a comprehensive view of who we compete with for talent.</w:t>
      </w:r>
    </w:p>
    <w:p>
      <w:pPr>
        <w:spacing w:after="0" w:line="18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3B3C43"/>
        </w:rPr>
        <w:t>These two peer groups are combined to provide a holistic view of the market for compensation benchmarking, but the Compensation Committee also looks at each peer group separately in order to gain insight into variations between the two groups.</w:t>
      </w:r>
    </w:p>
    <w:p>
      <w:pPr>
        <w:spacing w:after="0" w:line="182" w:lineRule="exact"/>
        <w:rPr>
          <w:sz w:val="20"/>
          <w:szCs w:val="20"/>
          <w:color w:val="auto"/>
        </w:rPr>
      </w:pPr>
    </w:p>
    <w:p>
      <w:pPr>
        <w:ind w:left="420" w:right="20" w:hanging="266"/>
        <w:spacing w:after="0" w:line="239" w:lineRule="auto"/>
        <w:tabs>
          <w:tab w:leader="none" w:pos="420" w:val="left"/>
        </w:tabs>
        <w:numPr>
          <w:ilvl w:val="0"/>
          <w:numId w:val="87"/>
        </w:numPr>
        <w:rPr>
          <w:rFonts w:ascii="Arial" w:cs="Arial" w:eastAsia="Arial" w:hAnsi="Arial"/>
          <w:sz w:val="18"/>
          <w:szCs w:val="18"/>
          <w:color w:val="4B1F68"/>
        </w:rPr>
      </w:pPr>
      <w:r>
        <w:rPr>
          <w:rFonts w:ascii="Arial" w:cs="Arial" w:eastAsia="Arial" w:hAnsi="Arial"/>
          <w:sz w:val="16"/>
          <w:szCs w:val="16"/>
          <w:color w:val="3B3C43"/>
        </w:rPr>
        <w:t>The Global Peer Group comprises a broadly equal weighting of U.S. and European headquartered companies, of similar size to the Company (in terms of revenue) who compete for executive talent in capital intensive industries similar to the Company, including the oil and gas industry, construction and engineering, and industrial manufacturing.</w:t>
      </w:r>
    </w:p>
    <w:p>
      <w:pPr>
        <w:spacing w:after="0" w:line="196" w:lineRule="exact"/>
        <w:rPr>
          <w:rFonts w:ascii="Arial" w:cs="Arial" w:eastAsia="Arial" w:hAnsi="Arial"/>
          <w:sz w:val="18"/>
          <w:szCs w:val="18"/>
          <w:color w:val="4B1F68"/>
        </w:rPr>
      </w:pPr>
    </w:p>
    <w:p>
      <w:pPr>
        <w:ind w:left="420" w:right="460" w:hanging="266"/>
        <w:spacing w:after="0" w:line="235" w:lineRule="auto"/>
        <w:tabs>
          <w:tab w:leader="none" w:pos="420" w:val="left"/>
        </w:tabs>
        <w:numPr>
          <w:ilvl w:val="0"/>
          <w:numId w:val="87"/>
        </w:numPr>
        <w:rPr>
          <w:rFonts w:ascii="Arial" w:cs="Arial" w:eastAsia="Arial" w:hAnsi="Arial"/>
          <w:sz w:val="18"/>
          <w:szCs w:val="18"/>
          <w:color w:val="4B1F68"/>
        </w:rPr>
      </w:pPr>
      <w:r>
        <w:rPr>
          <w:rFonts w:ascii="Arial" w:cs="Arial" w:eastAsia="Arial" w:hAnsi="Arial"/>
          <w:sz w:val="16"/>
          <w:szCs w:val="16"/>
          <w:color w:val="3B3C43"/>
        </w:rPr>
        <w:t>The Industry Peer Group is focused more closely on our sub-industry and is drawn from companies in the oilfield services and oil exploration and production sectors, as well as heavy engineering organizations with greater (but not exclusive) focus on North America.</w:t>
      </w:r>
    </w:p>
    <w:p>
      <w:pPr>
        <w:spacing w:after="0" w:line="19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3B3C43"/>
        </w:rPr>
        <w:t>The Compensation Committee does not place a specific weight on the data from either peer group, but considers the data in light of all the circumstances relevant to each executive under review, as well as the Company’s compensation philosophy.</w:t>
      </w:r>
    </w:p>
    <w:p>
      <w:pPr>
        <w:spacing w:after="0" w:line="18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3B3C43"/>
        </w:rPr>
        <w:t>For both sets of peers, we use a range of selection criteria that include, among other factors, financial indicators such as revenue and market capitalization, number of employees, company size, industry, end markets, complexity, geographic footprint, and headquarters location.</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77</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70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Peer Group</w:t>
            </w:r>
          </w:p>
        </w:tc>
        <w:tc>
          <w:tcPr>
            <w:tcW w:w="954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Purpose</w:t>
            </w:r>
          </w:p>
        </w:tc>
        <w:tc>
          <w:tcPr>
            <w:tcW w:w="0" w:type="dxa"/>
            <w:vAlign w:val="bottom"/>
          </w:tcPr>
          <w:p>
            <w:pPr>
              <w:spacing w:after="0"/>
              <w:rPr>
                <w:sz w:val="1"/>
                <w:szCs w:val="1"/>
                <w:color w:val="auto"/>
              </w:rPr>
            </w:pPr>
          </w:p>
        </w:tc>
      </w:tr>
      <w:tr>
        <w:trPr>
          <w:trHeight w:val="80"/>
        </w:trPr>
        <w:tc>
          <w:tcPr>
            <w:tcW w:w="1700" w:type="dxa"/>
            <w:vAlign w:val="bottom"/>
            <w:shd w:val="clear" w:color="auto" w:fill="4A1F67"/>
          </w:tcPr>
          <w:p>
            <w:pPr>
              <w:spacing w:after="0"/>
              <w:rPr>
                <w:sz w:val="6"/>
                <w:szCs w:val="6"/>
                <w:color w:val="auto"/>
              </w:rPr>
            </w:pPr>
          </w:p>
        </w:tc>
        <w:tc>
          <w:tcPr>
            <w:tcW w:w="9540" w:type="dxa"/>
            <w:vAlign w:val="bottom"/>
            <w:shd w:val="clear" w:color="auto" w:fill="00ADE9"/>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7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Global Peer Group</w:t>
            </w:r>
          </w:p>
        </w:tc>
        <w:tc>
          <w:tcPr>
            <w:tcW w:w="95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Similarly sized, complex, and capital-intensive global companies, including those based outside the United States</w:t>
            </w:r>
          </w:p>
        </w:tc>
        <w:tc>
          <w:tcPr>
            <w:tcW w:w="0" w:type="dxa"/>
            <w:vAlign w:val="bottom"/>
          </w:tcPr>
          <w:p>
            <w:pPr>
              <w:spacing w:after="0"/>
              <w:rPr>
                <w:sz w:val="1"/>
                <w:szCs w:val="1"/>
                <w:color w:val="auto"/>
              </w:rPr>
            </w:pPr>
          </w:p>
        </w:tc>
      </w:tr>
      <w:tr>
        <w:trPr>
          <w:trHeight w:val="80"/>
        </w:trPr>
        <w:tc>
          <w:tcPr>
            <w:tcW w:w="1700" w:type="dxa"/>
            <w:vAlign w:val="bottom"/>
            <w:shd w:val="clear" w:color="auto" w:fill="E1E1DF"/>
          </w:tcPr>
          <w:p>
            <w:pPr>
              <w:spacing w:after="0"/>
              <w:rPr>
                <w:sz w:val="6"/>
                <w:szCs w:val="6"/>
                <w:color w:val="auto"/>
              </w:rPr>
            </w:pPr>
          </w:p>
        </w:tc>
        <w:tc>
          <w:tcPr>
            <w:tcW w:w="954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17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00ADE8"/>
              </w:rPr>
              <w:t>Industry Peer</w:t>
            </w:r>
          </w:p>
        </w:tc>
        <w:tc>
          <w:tcPr>
            <w:tcW w:w="95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Companies within the same industry, with a greater (but not exclusive) emphasis on oilfield services companies in North America.</w:t>
            </w:r>
          </w:p>
        </w:tc>
        <w:tc>
          <w:tcPr>
            <w:tcW w:w="0" w:type="dxa"/>
            <w:vAlign w:val="bottom"/>
          </w:tcPr>
          <w:p>
            <w:pPr>
              <w:spacing w:after="0"/>
              <w:rPr>
                <w:sz w:val="1"/>
                <w:szCs w:val="1"/>
                <w:color w:val="auto"/>
              </w:rPr>
            </w:pPr>
          </w:p>
        </w:tc>
      </w:tr>
      <w:tr>
        <w:trPr>
          <w:trHeight w:val="120"/>
        </w:trPr>
        <w:tc>
          <w:tcPr>
            <w:tcW w:w="1700" w:type="dxa"/>
            <w:vAlign w:val="bottom"/>
            <w:vMerge w:val="restart"/>
            <w:shd w:val="clear" w:color="auto" w:fill="E1E1DF"/>
          </w:tcPr>
          <w:p>
            <w:pPr>
              <w:ind w:left="100"/>
              <w:spacing w:after="0"/>
              <w:rPr>
                <w:sz w:val="20"/>
                <w:szCs w:val="20"/>
                <w:color w:val="auto"/>
              </w:rPr>
            </w:pPr>
            <w:r>
              <w:rPr>
                <w:rFonts w:ascii="Arial" w:cs="Arial" w:eastAsia="Arial" w:hAnsi="Arial"/>
                <w:sz w:val="16"/>
                <w:szCs w:val="16"/>
                <w:b w:val="1"/>
                <w:bCs w:val="1"/>
                <w:color w:val="00ADE8"/>
              </w:rPr>
              <w:t>Group</w:t>
            </w:r>
          </w:p>
        </w:tc>
        <w:tc>
          <w:tcPr>
            <w:tcW w:w="9540" w:type="dxa"/>
            <w:vAlign w:val="bottom"/>
            <w:vMerge w:val="continue"/>
            <w:shd w:val="clear" w:color="auto" w:fill="E1E1D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00" w:type="dxa"/>
            <w:vAlign w:val="bottom"/>
            <w:vMerge w:val="continue"/>
            <w:shd w:val="clear" w:color="auto" w:fill="E1E1DF"/>
          </w:tcPr>
          <w:p>
            <w:pPr>
              <w:spacing w:after="0"/>
              <w:rPr>
                <w:sz w:val="8"/>
                <w:szCs w:val="8"/>
                <w:color w:val="auto"/>
              </w:rPr>
            </w:pPr>
          </w:p>
        </w:tc>
        <w:tc>
          <w:tcPr>
            <w:tcW w:w="9540" w:type="dxa"/>
            <w:vAlign w:val="bottom"/>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700" w:type="dxa"/>
            <w:vAlign w:val="bottom"/>
            <w:shd w:val="clear" w:color="auto" w:fill="E1E1DF"/>
          </w:tcPr>
          <w:p>
            <w:pPr>
              <w:spacing w:after="0"/>
              <w:rPr>
                <w:sz w:val="6"/>
                <w:szCs w:val="6"/>
                <w:color w:val="auto"/>
              </w:rPr>
            </w:pPr>
          </w:p>
        </w:tc>
        <w:tc>
          <w:tcPr>
            <w:tcW w:w="954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3B3C43"/>
        </w:rPr>
        <w:t>The Compensation Committee reviewed our 2019 Compensation Peer Group as defined in our 2020 Proxy Statement, and the following companies were removed from the Peer Group: Chicago Bridge &amp; Iron Company N.V. (due to merger/ acquisition activity), Anadarko Petroleum Corporation (due to acquisition), and Weatherford International plc (due to Chapter 11 bankruptcy).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3B3C43"/>
        </w:rPr>
        <w:t>Accordingly, the companies below comprised the 2020 Compensation Peer Group, including both global and industry peers.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740" w:type="dxa"/>
            <w:vAlign w:val="bottom"/>
            <w:shd w:val="clear" w:color="auto" w:fill="4A1F67"/>
          </w:tcPr>
          <w:p>
            <w:pPr>
              <w:spacing w:after="0"/>
              <w:rPr>
                <w:sz w:val="24"/>
                <w:szCs w:val="24"/>
                <w:color w:val="auto"/>
              </w:rPr>
            </w:pPr>
          </w:p>
        </w:tc>
        <w:tc>
          <w:tcPr>
            <w:tcW w:w="8500" w:type="dxa"/>
            <w:vAlign w:val="bottom"/>
            <w:gridSpan w:val="2"/>
            <w:shd w:val="clear" w:color="auto" w:fill="4A1F67"/>
          </w:tcPr>
          <w:p>
            <w:pPr>
              <w:ind w:left="720"/>
              <w:spacing w:after="0"/>
              <w:rPr>
                <w:sz w:val="20"/>
                <w:szCs w:val="20"/>
                <w:color w:val="auto"/>
              </w:rPr>
            </w:pPr>
            <w:r>
              <w:rPr>
                <w:rFonts w:ascii="Arial" w:cs="Arial" w:eastAsia="Arial" w:hAnsi="Arial"/>
                <w:sz w:val="16"/>
                <w:szCs w:val="16"/>
                <w:b w:val="1"/>
                <w:bCs w:val="1"/>
                <w:color w:val="FFFFFF"/>
              </w:rPr>
              <w:t>2020 Combined Compensation Peer Group Constituents</w:t>
            </w:r>
          </w:p>
        </w:tc>
      </w:tr>
      <w:tr>
        <w:trPr>
          <w:trHeight w:val="80"/>
        </w:trPr>
        <w:tc>
          <w:tcPr>
            <w:tcW w:w="2740" w:type="dxa"/>
            <w:vAlign w:val="bottom"/>
            <w:shd w:val="clear" w:color="auto" w:fill="4A1F67"/>
          </w:tcPr>
          <w:p>
            <w:pPr>
              <w:spacing w:after="0"/>
              <w:rPr>
                <w:sz w:val="6"/>
                <w:szCs w:val="6"/>
                <w:color w:val="auto"/>
              </w:rPr>
            </w:pPr>
          </w:p>
        </w:tc>
        <w:tc>
          <w:tcPr>
            <w:tcW w:w="2580" w:type="dxa"/>
            <w:vAlign w:val="bottom"/>
            <w:tcBorders>
              <w:right w:val="single" w:sz="8" w:color="4A1F67"/>
            </w:tcBorders>
            <w:shd w:val="clear" w:color="auto" w:fill="4A1F67"/>
          </w:tcPr>
          <w:p>
            <w:pPr>
              <w:spacing w:after="0"/>
              <w:rPr>
                <w:sz w:val="6"/>
                <w:szCs w:val="6"/>
                <w:color w:val="auto"/>
              </w:rPr>
            </w:pPr>
          </w:p>
        </w:tc>
        <w:tc>
          <w:tcPr>
            <w:tcW w:w="5920" w:type="dxa"/>
            <w:vAlign w:val="bottom"/>
            <w:shd w:val="clear" w:color="auto" w:fill="4A1F67"/>
          </w:tcPr>
          <w:p>
            <w:pPr>
              <w:spacing w:after="0"/>
              <w:rPr>
                <w:sz w:val="6"/>
                <w:szCs w:val="6"/>
                <w:color w:val="auto"/>
              </w:rPr>
            </w:pPr>
          </w:p>
        </w:tc>
      </w:tr>
      <w:tr>
        <w:trPr>
          <w:trHeight w:val="284"/>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Air Liquide S.A</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3B3C43"/>
              </w:rPr>
              <w:t>Ingersoll-Rand plc</w:t>
            </w:r>
          </w:p>
        </w:tc>
      </w:tr>
      <w:tr>
        <w:trPr>
          <w:trHeight w:val="351"/>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Alstom S.A.</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00ADE8"/>
              </w:rPr>
              <w:t>Jacobs Engineering Group Inc.</w:t>
            </w:r>
          </w:p>
        </w:tc>
      </w:tr>
      <w:tr>
        <w:trPr>
          <w:trHeight w:val="351"/>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00ADE8"/>
              </w:rPr>
              <w:t>Apache Corporation</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00ADE8"/>
              </w:rPr>
              <w:t>John Wood Group plc</w:t>
            </w:r>
          </w:p>
        </w:tc>
      </w:tr>
      <w:tr>
        <w:trPr>
          <w:trHeight w:val="351"/>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00ADE8"/>
              </w:rPr>
              <w:t>Baker Hughes Company</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00ADE8"/>
              </w:rPr>
              <w:t>McDermott International, Inc.</w:t>
            </w:r>
          </w:p>
        </w:tc>
      </w:tr>
      <w:tr>
        <w:trPr>
          <w:trHeight w:val="351"/>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Caterpillar Inc.</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00ADE8"/>
              </w:rPr>
              <w:t>National Oilwell Varco, Inc.</w:t>
            </w:r>
          </w:p>
        </w:tc>
      </w:tr>
      <w:tr>
        <w:trPr>
          <w:trHeight w:val="351"/>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00ADE8"/>
              </w:rPr>
              <w:t>ConocoPhillips</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3B3C43"/>
              </w:rPr>
              <w:t>Petrofac Limited</w:t>
            </w:r>
          </w:p>
        </w:tc>
      </w:tr>
      <w:tr>
        <w:trPr>
          <w:trHeight w:val="351"/>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00ADE8"/>
              </w:rPr>
              <w:t>Cummins Inc.</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3B3C43"/>
              </w:rPr>
              <w:t>Repsol, S.A.</w:t>
            </w:r>
          </w:p>
        </w:tc>
      </w:tr>
      <w:tr>
        <w:trPr>
          <w:trHeight w:val="351"/>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00ADE8"/>
              </w:rPr>
              <w:t>Devon Energy Corporation</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00ADE8"/>
              </w:rPr>
              <w:t>Saipem S.p.A.</w:t>
            </w:r>
          </w:p>
        </w:tc>
      </w:tr>
      <w:tr>
        <w:trPr>
          <w:trHeight w:val="351"/>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00ADE8"/>
              </w:rPr>
              <w:t>Dover Corporation</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00ADE8"/>
              </w:rPr>
              <w:t>Schlumberger Limited</w:t>
            </w:r>
          </w:p>
        </w:tc>
      </w:tr>
      <w:tr>
        <w:trPr>
          <w:trHeight w:val="351"/>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Enbridge, Inc.</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00ADE8"/>
              </w:rPr>
              <w:t>Subsea 7 S.A.</w:t>
            </w:r>
          </w:p>
        </w:tc>
      </w:tr>
      <w:tr>
        <w:trPr>
          <w:trHeight w:val="351"/>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00ADE8"/>
              </w:rPr>
              <w:t>Fluor Corporation</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00ADE8"/>
              </w:rPr>
              <w:t>Transocean Ltd.</w:t>
            </w:r>
          </w:p>
        </w:tc>
      </w:tr>
      <w:tr>
        <w:trPr>
          <w:trHeight w:val="351"/>
        </w:trPr>
        <w:tc>
          <w:tcPr>
            <w:tcW w:w="2740" w:type="dxa"/>
            <w:vAlign w:val="bottom"/>
            <w:shd w:val="clear" w:color="auto" w:fill="E1E1DF"/>
          </w:tcPr>
          <w:p>
            <w:pPr>
              <w:ind w:left="100"/>
              <w:spacing w:after="0"/>
              <w:rPr>
                <w:sz w:val="20"/>
                <w:szCs w:val="20"/>
                <w:color w:val="auto"/>
              </w:rPr>
            </w:pPr>
            <w:r>
              <w:rPr>
                <w:rFonts w:ascii="Arial" w:cs="Arial" w:eastAsia="Arial" w:hAnsi="Arial"/>
                <w:sz w:val="16"/>
                <w:szCs w:val="16"/>
                <w:color w:val="00ADE8"/>
              </w:rPr>
              <w:t>Halliburton Company</w:t>
            </w:r>
          </w:p>
        </w:tc>
        <w:tc>
          <w:tcPr>
            <w:tcW w:w="2580" w:type="dxa"/>
            <w:vAlign w:val="bottom"/>
            <w:tcBorders>
              <w:right w:val="single" w:sz="8" w:color="EEF8FE"/>
            </w:tcBorders>
            <w:shd w:val="clear" w:color="auto" w:fill="E1E1DF"/>
          </w:tcPr>
          <w:p>
            <w:pPr>
              <w:spacing w:after="0"/>
              <w:rPr>
                <w:sz w:val="24"/>
                <w:szCs w:val="24"/>
                <w:color w:val="auto"/>
              </w:rPr>
            </w:pPr>
          </w:p>
        </w:tc>
        <w:tc>
          <w:tcPr>
            <w:tcW w:w="5920" w:type="dxa"/>
            <w:vAlign w:val="bottom"/>
            <w:shd w:val="clear" w:color="auto" w:fill="E1E1DF"/>
          </w:tcPr>
          <w:p>
            <w:pPr>
              <w:ind w:left="80"/>
              <w:spacing w:after="0"/>
              <w:rPr>
                <w:sz w:val="20"/>
                <w:szCs w:val="20"/>
                <w:color w:val="auto"/>
              </w:rPr>
            </w:pPr>
            <w:r>
              <w:rPr>
                <w:rFonts w:ascii="Arial" w:cs="Arial" w:eastAsia="Arial" w:hAnsi="Arial"/>
                <w:sz w:val="16"/>
                <w:szCs w:val="16"/>
                <w:color w:val="3B3C43"/>
              </w:rPr>
              <w:t>VINCI S.A.</w:t>
            </w:r>
          </w:p>
        </w:tc>
      </w:tr>
      <w:tr>
        <w:trPr>
          <w:trHeight w:val="73"/>
        </w:trPr>
        <w:tc>
          <w:tcPr>
            <w:tcW w:w="2740" w:type="dxa"/>
            <w:vAlign w:val="bottom"/>
            <w:shd w:val="clear" w:color="auto" w:fill="E1E1DF"/>
          </w:tcPr>
          <w:p>
            <w:pPr>
              <w:spacing w:after="0"/>
              <w:rPr>
                <w:sz w:val="6"/>
                <w:szCs w:val="6"/>
                <w:color w:val="auto"/>
              </w:rPr>
            </w:pPr>
          </w:p>
        </w:tc>
        <w:tc>
          <w:tcPr>
            <w:tcW w:w="2580" w:type="dxa"/>
            <w:vAlign w:val="bottom"/>
            <w:tcBorders>
              <w:right w:val="single" w:sz="8" w:color="EEF8FE"/>
            </w:tcBorders>
            <w:shd w:val="clear" w:color="auto" w:fill="E1E1DF"/>
          </w:tcPr>
          <w:p>
            <w:pPr>
              <w:spacing w:after="0"/>
              <w:rPr>
                <w:sz w:val="6"/>
                <w:szCs w:val="6"/>
                <w:color w:val="auto"/>
              </w:rPr>
            </w:pPr>
          </w:p>
        </w:tc>
        <w:tc>
          <w:tcPr>
            <w:tcW w:w="5920" w:type="dxa"/>
            <w:vAlign w:val="bottom"/>
            <w:shd w:val="clear" w:color="auto" w:fill="E1E1DF"/>
          </w:tcPr>
          <w:p>
            <w:pPr>
              <w:spacing w:after="0"/>
              <w:rPr>
                <w:sz w:val="6"/>
                <w:szCs w:val="6"/>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3B3C43"/>
        </w:rPr>
        <w:t xml:space="preserve">Companies in </w:t>
      </w:r>
      <w:r>
        <w:rPr>
          <w:rFonts w:ascii="Arial" w:cs="Arial" w:eastAsia="Arial" w:hAnsi="Arial"/>
          <w:sz w:val="14"/>
          <w:szCs w:val="14"/>
          <w:b w:val="1"/>
          <w:bCs w:val="1"/>
          <w:color w:val="00ADE8"/>
        </w:rPr>
        <w:t>blue bold</w:t>
      </w:r>
      <w:r>
        <w:rPr>
          <w:rFonts w:ascii="Arial" w:cs="Arial" w:eastAsia="Arial" w:hAnsi="Arial"/>
          <w:sz w:val="14"/>
          <w:szCs w:val="14"/>
          <w:color w:val="3B3C43"/>
        </w:rPr>
        <w:t xml:space="preserve"> comprise the Industry Peer Group.</w:t>
      </w:r>
    </w:p>
    <w:p>
      <w:pPr>
        <w:spacing w:after="0" w:line="20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3B3C43"/>
        </w:rPr>
        <w:t>For 2020 compensation decisions, McDermott International, Inc. was included; however, we anticipate that it will be removed from our peer groups for 2021 compensation decisions due to its Chapter 11 bankruptcy filing in January 2020.</w:t>
      </w:r>
    </w:p>
    <w:p>
      <w:pPr>
        <w:spacing w:after="0" w:line="16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3B3C43"/>
        </w:rPr>
        <w:t>When 2020 compensation decisions were made, the median revenue and median market capitalization for each of the peer groups used and the Company’s relative ranking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105410</wp:posOffset>
            </wp:positionV>
            <wp:extent cx="8255" cy="4629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4629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105410</wp:posOffset>
            </wp:positionV>
            <wp:extent cx="8255" cy="4629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46291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105410</wp:posOffset>
            </wp:positionV>
            <wp:extent cx="8255" cy="4629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46291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105410</wp:posOffset>
            </wp:positionV>
            <wp:extent cx="8890" cy="4629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520" w:type="dxa"/>
            <w:vAlign w:val="bottom"/>
            <w:shd w:val="clear" w:color="auto" w:fill="4A1F67"/>
          </w:tcPr>
          <w:p>
            <w:pPr>
              <w:spacing w:after="0"/>
              <w:rPr>
                <w:sz w:val="23"/>
                <w:szCs w:val="23"/>
                <w:color w:val="auto"/>
              </w:rPr>
            </w:pPr>
          </w:p>
        </w:tc>
        <w:tc>
          <w:tcPr>
            <w:tcW w:w="2320" w:type="dxa"/>
            <w:vAlign w:val="bottom"/>
            <w:shd w:val="clear" w:color="auto" w:fill="4A1F67"/>
          </w:tcPr>
          <w:p>
            <w:pPr>
              <w:spacing w:after="0"/>
              <w:rPr>
                <w:sz w:val="23"/>
                <w:szCs w:val="23"/>
                <w:color w:val="auto"/>
              </w:rPr>
            </w:pPr>
          </w:p>
        </w:tc>
        <w:tc>
          <w:tcPr>
            <w:tcW w:w="2440" w:type="dxa"/>
            <w:vAlign w:val="bottom"/>
            <w:shd w:val="clear" w:color="auto" w:fill="4A1F67"/>
          </w:tcPr>
          <w:p>
            <w:pPr>
              <w:spacing w:after="0"/>
              <w:rPr>
                <w:sz w:val="23"/>
                <w:szCs w:val="23"/>
                <w:color w:val="auto"/>
              </w:rPr>
            </w:pPr>
          </w:p>
        </w:tc>
        <w:tc>
          <w:tcPr>
            <w:tcW w:w="1980" w:type="dxa"/>
            <w:vAlign w:val="bottom"/>
            <w:shd w:val="clear" w:color="auto" w:fill="4A1F67"/>
          </w:tcPr>
          <w:p>
            <w:pPr>
              <w:spacing w:after="0"/>
              <w:rPr>
                <w:sz w:val="23"/>
                <w:szCs w:val="23"/>
                <w:color w:val="auto"/>
              </w:rPr>
            </w:pPr>
          </w:p>
        </w:tc>
        <w:tc>
          <w:tcPr>
            <w:tcW w:w="198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TechnipFMC Market</w:t>
            </w:r>
          </w:p>
        </w:tc>
      </w:tr>
      <w:tr>
        <w:trPr>
          <w:trHeight w:val="171"/>
        </w:trPr>
        <w:tc>
          <w:tcPr>
            <w:tcW w:w="2520" w:type="dxa"/>
            <w:vAlign w:val="bottom"/>
            <w:shd w:val="clear" w:color="auto" w:fill="4A1F67"/>
          </w:tcPr>
          <w:p>
            <w:pPr>
              <w:spacing w:after="0"/>
              <w:rPr>
                <w:sz w:val="14"/>
                <w:szCs w:val="14"/>
                <w:color w:val="auto"/>
              </w:rPr>
            </w:pPr>
          </w:p>
        </w:tc>
        <w:tc>
          <w:tcPr>
            <w:tcW w:w="2320" w:type="dxa"/>
            <w:vAlign w:val="bottom"/>
            <w:shd w:val="clear" w:color="auto" w:fill="4A1F67"/>
          </w:tcPr>
          <w:p>
            <w:pPr>
              <w:spacing w:after="0"/>
              <w:rPr>
                <w:sz w:val="14"/>
                <w:szCs w:val="14"/>
                <w:color w:val="auto"/>
              </w:rPr>
            </w:pPr>
          </w:p>
        </w:tc>
        <w:tc>
          <w:tcPr>
            <w:tcW w:w="2440" w:type="dxa"/>
            <w:vAlign w:val="bottom"/>
            <w:shd w:val="clear" w:color="auto" w:fill="4A1F67"/>
          </w:tcPr>
          <w:p>
            <w:pPr>
              <w:jc w:val="right"/>
              <w:ind w:right="419"/>
              <w:spacing w:after="0" w:line="171" w:lineRule="exact"/>
              <w:rPr>
                <w:sz w:val="20"/>
                <w:szCs w:val="20"/>
                <w:color w:val="auto"/>
              </w:rPr>
            </w:pPr>
            <w:r>
              <w:rPr>
                <w:rFonts w:ascii="Arial" w:cs="Arial" w:eastAsia="Arial" w:hAnsi="Arial"/>
                <w:sz w:val="16"/>
                <w:szCs w:val="16"/>
                <w:b w:val="1"/>
                <w:bCs w:val="1"/>
                <w:color w:val="FFFFFF"/>
              </w:rPr>
              <w:t>TechnipFMC</w:t>
            </w:r>
          </w:p>
        </w:tc>
        <w:tc>
          <w:tcPr>
            <w:tcW w:w="1980" w:type="dxa"/>
            <w:vAlign w:val="bottom"/>
            <w:shd w:val="clear" w:color="auto" w:fill="4A1F67"/>
          </w:tcPr>
          <w:p>
            <w:pPr>
              <w:jc w:val="right"/>
              <w:ind w:right="279"/>
              <w:spacing w:after="0" w:line="171" w:lineRule="exact"/>
              <w:rPr>
                <w:sz w:val="20"/>
                <w:szCs w:val="20"/>
                <w:color w:val="auto"/>
              </w:rPr>
            </w:pPr>
            <w:r>
              <w:rPr>
                <w:rFonts w:ascii="Arial" w:cs="Arial" w:eastAsia="Arial" w:hAnsi="Arial"/>
                <w:sz w:val="16"/>
                <w:szCs w:val="16"/>
                <w:b w:val="1"/>
                <w:bCs w:val="1"/>
                <w:color w:val="FFFFFF"/>
              </w:rPr>
              <w:t>Median Market</w:t>
            </w:r>
          </w:p>
        </w:tc>
        <w:tc>
          <w:tcPr>
            <w:tcW w:w="1980" w:type="dxa"/>
            <w:vAlign w:val="bottom"/>
            <w:shd w:val="clear" w:color="auto" w:fill="4A1F67"/>
          </w:tcPr>
          <w:p>
            <w:pPr>
              <w:jc w:val="right"/>
              <w:ind w:right="59"/>
              <w:spacing w:after="0" w:line="171" w:lineRule="exact"/>
              <w:rPr>
                <w:sz w:val="20"/>
                <w:szCs w:val="20"/>
                <w:color w:val="auto"/>
              </w:rPr>
            </w:pPr>
            <w:r>
              <w:rPr>
                <w:rFonts w:ascii="Arial" w:cs="Arial" w:eastAsia="Arial" w:hAnsi="Arial"/>
                <w:sz w:val="16"/>
                <w:szCs w:val="16"/>
                <w:b w:val="1"/>
                <w:bCs w:val="1"/>
                <w:color w:val="FFFFFF"/>
              </w:rPr>
              <w:t>Capitalization</w:t>
            </w:r>
          </w:p>
        </w:tc>
      </w:tr>
      <w:tr>
        <w:trPr>
          <w:trHeight w:val="207"/>
        </w:trPr>
        <w:tc>
          <w:tcPr>
            <w:tcW w:w="252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Peer Group</w:t>
            </w:r>
          </w:p>
        </w:tc>
        <w:tc>
          <w:tcPr>
            <w:tcW w:w="2320" w:type="dxa"/>
            <w:vAlign w:val="bottom"/>
            <w:shd w:val="clear" w:color="auto" w:fill="4A1F67"/>
          </w:tcPr>
          <w:p>
            <w:pPr>
              <w:jc w:val="right"/>
              <w:ind w:right="119"/>
              <w:spacing w:after="0"/>
              <w:rPr>
                <w:sz w:val="20"/>
                <w:szCs w:val="20"/>
                <w:color w:val="auto"/>
              </w:rPr>
            </w:pPr>
            <w:r>
              <w:rPr>
                <w:rFonts w:ascii="Arial" w:cs="Arial" w:eastAsia="Arial" w:hAnsi="Arial"/>
                <w:sz w:val="16"/>
                <w:szCs w:val="16"/>
                <w:b w:val="1"/>
                <w:bCs w:val="1"/>
                <w:color w:val="FFFFFF"/>
              </w:rPr>
              <w:t>Median Revenue</w:t>
            </w:r>
          </w:p>
        </w:tc>
        <w:tc>
          <w:tcPr>
            <w:tcW w:w="2440" w:type="dxa"/>
            <w:vAlign w:val="bottom"/>
            <w:shd w:val="clear" w:color="auto" w:fill="4A1F67"/>
          </w:tcPr>
          <w:p>
            <w:pPr>
              <w:jc w:val="right"/>
              <w:ind w:right="419"/>
              <w:spacing w:after="0"/>
              <w:rPr>
                <w:sz w:val="20"/>
                <w:szCs w:val="20"/>
                <w:color w:val="auto"/>
              </w:rPr>
            </w:pPr>
            <w:r>
              <w:rPr>
                <w:rFonts w:ascii="Arial" w:cs="Arial" w:eastAsia="Arial" w:hAnsi="Arial"/>
                <w:sz w:val="16"/>
                <w:szCs w:val="16"/>
                <w:b w:val="1"/>
                <w:bCs w:val="1"/>
                <w:color w:val="FFFFFF"/>
              </w:rPr>
              <w:t>Revenue Ranking</w:t>
            </w:r>
          </w:p>
        </w:tc>
        <w:tc>
          <w:tcPr>
            <w:tcW w:w="1980" w:type="dxa"/>
            <w:vAlign w:val="bottom"/>
            <w:shd w:val="clear" w:color="auto" w:fill="4A1F67"/>
          </w:tcPr>
          <w:p>
            <w:pPr>
              <w:jc w:val="right"/>
              <w:ind w:right="279"/>
              <w:spacing w:after="0"/>
              <w:rPr>
                <w:sz w:val="20"/>
                <w:szCs w:val="20"/>
                <w:color w:val="auto"/>
              </w:rPr>
            </w:pPr>
            <w:r>
              <w:rPr>
                <w:rFonts w:ascii="Arial" w:cs="Arial" w:eastAsia="Arial" w:hAnsi="Arial"/>
                <w:sz w:val="16"/>
                <w:szCs w:val="16"/>
                <w:b w:val="1"/>
                <w:bCs w:val="1"/>
                <w:color w:val="FFFFFF"/>
              </w:rPr>
              <w:t>Capitalization</w:t>
            </w:r>
          </w:p>
        </w:tc>
        <w:tc>
          <w:tcPr>
            <w:tcW w:w="198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Ranking</w:t>
            </w:r>
          </w:p>
        </w:tc>
      </w:tr>
      <w:tr>
        <w:trPr>
          <w:trHeight w:val="81"/>
        </w:trPr>
        <w:tc>
          <w:tcPr>
            <w:tcW w:w="2520" w:type="dxa"/>
            <w:vAlign w:val="bottom"/>
            <w:shd w:val="clear" w:color="auto" w:fill="4A1F67"/>
          </w:tcPr>
          <w:p>
            <w:pPr>
              <w:spacing w:after="0"/>
              <w:rPr>
                <w:sz w:val="7"/>
                <w:szCs w:val="7"/>
                <w:color w:val="auto"/>
              </w:rPr>
            </w:pPr>
          </w:p>
        </w:tc>
        <w:tc>
          <w:tcPr>
            <w:tcW w:w="2320" w:type="dxa"/>
            <w:vAlign w:val="bottom"/>
            <w:shd w:val="clear" w:color="auto" w:fill="4A1F67"/>
          </w:tcPr>
          <w:p>
            <w:pPr>
              <w:spacing w:after="0"/>
              <w:rPr>
                <w:sz w:val="7"/>
                <w:szCs w:val="7"/>
                <w:color w:val="auto"/>
              </w:rPr>
            </w:pPr>
          </w:p>
        </w:tc>
        <w:tc>
          <w:tcPr>
            <w:tcW w:w="2440" w:type="dxa"/>
            <w:vAlign w:val="bottom"/>
            <w:shd w:val="clear" w:color="auto" w:fill="4A1F67"/>
          </w:tcPr>
          <w:p>
            <w:pPr>
              <w:spacing w:after="0"/>
              <w:rPr>
                <w:sz w:val="7"/>
                <w:szCs w:val="7"/>
                <w:color w:val="auto"/>
              </w:rPr>
            </w:pPr>
          </w:p>
        </w:tc>
        <w:tc>
          <w:tcPr>
            <w:tcW w:w="1980" w:type="dxa"/>
            <w:vAlign w:val="bottom"/>
            <w:shd w:val="clear" w:color="auto" w:fill="4A1F67"/>
          </w:tcPr>
          <w:p>
            <w:pPr>
              <w:spacing w:after="0"/>
              <w:rPr>
                <w:sz w:val="7"/>
                <w:szCs w:val="7"/>
                <w:color w:val="auto"/>
              </w:rPr>
            </w:pPr>
          </w:p>
        </w:tc>
        <w:tc>
          <w:tcPr>
            <w:tcW w:w="1980" w:type="dxa"/>
            <w:vAlign w:val="bottom"/>
            <w:shd w:val="clear" w:color="auto" w:fill="4A1F67"/>
          </w:tcPr>
          <w:p>
            <w:pPr>
              <w:spacing w:after="0"/>
              <w:rPr>
                <w:sz w:val="7"/>
                <w:szCs w:val="7"/>
                <w:color w:val="auto"/>
              </w:rPr>
            </w:pPr>
          </w:p>
        </w:tc>
      </w:tr>
      <w:tr>
        <w:trPr>
          <w:trHeight w:val="278"/>
        </w:trPr>
        <w:tc>
          <w:tcPr>
            <w:tcW w:w="2520" w:type="dxa"/>
            <w:vAlign w:val="bottom"/>
          </w:tcPr>
          <w:p>
            <w:pPr>
              <w:ind w:left="100"/>
              <w:spacing w:after="0"/>
              <w:rPr>
                <w:sz w:val="20"/>
                <w:szCs w:val="20"/>
                <w:color w:val="auto"/>
              </w:rPr>
            </w:pPr>
            <w:r>
              <w:rPr>
                <w:rFonts w:ascii="Arial" w:cs="Arial" w:eastAsia="Arial" w:hAnsi="Arial"/>
                <w:sz w:val="16"/>
                <w:szCs w:val="16"/>
                <w:b w:val="1"/>
                <w:bCs w:val="1"/>
                <w:color w:val="3B3C43"/>
              </w:rPr>
              <w:t>Global Peer Group</w:t>
            </w:r>
          </w:p>
        </w:tc>
        <w:tc>
          <w:tcPr>
            <w:tcW w:w="2320" w:type="dxa"/>
            <w:vAlign w:val="bottom"/>
          </w:tcPr>
          <w:p>
            <w:pPr>
              <w:jc w:val="right"/>
              <w:ind w:right="119"/>
              <w:spacing w:after="0"/>
              <w:rPr>
                <w:sz w:val="20"/>
                <w:szCs w:val="20"/>
                <w:color w:val="auto"/>
              </w:rPr>
            </w:pPr>
            <w:r>
              <w:rPr>
                <w:rFonts w:ascii="Arial" w:cs="Arial" w:eastAsia="Arial" w:hAnsi="Arial"/>
                <w:sz w:val="16"/>
                <w:szCs w:val="16"/>
                <w:color w:val="3B3C43"/>
              </w:rPr>
              <w:t>$18.4 billion</w:t>
            </w:r>
          </w:p>
        </w:tc>
        <w:tc>
          <w:tcPr>
            <w:tcW w:w="2440" w:type="dxa"/>
            <w:vAlign w:val="bottom"/>
          </w:tcPr>
          <w:p>
            <w:pPr>
              <w:jc w:val="right"/>
              <w:ind w:right="419"/>
              <w:spacing w:after="0"/>
              <w:rPr>
                <w:sz w:val="20"/>
                <w:szCs w:val="20"/>
                <w:color w:val="auto"/>
              </w:rPr>
            </w:pPr>
            <w:r>
              <w:rPr>
                <w:rFonts w:ascii="Arial" w:cs="Arial" w:eastAsia="Arial" w:hAnsi="Arial"/>
                <w:sz w:val="16"/>
                <w:szCs w:val="16"/>
                <w:color w:val="3B3C43"/>
              </w:rPr>
              <w:t>44th percentile</w:t>
            </w:r>
          </w:p>
        </w:tc>
        <w:tc>
          <w:tcPr>
            <w:tcW w:w="1980" w:type="dxa"/>
            <w:vAlign w:val="bottom"/>
          </w:tcPr>
          <w:p>
            <w:pPr>
              <w:jc w:val="right"/>
              <w:ind w:right="279"/>
              <w:spacing w:after="0"/>
              <w:rPr>
                <w:sz w:val="20"/>
                <w:szCs w:val="20"/>
                <w:color w:val="auto"/>
              </w:rPr>
            </w:pPr>
            <w:r>
              <w:rPr>
                <w:rFonts w:ascii="Arial" w:cs="Arial" w:eastAsia="Arial" w:hAnsi="Arial"/>
                <w:sz w:val="16"/>
                <w:szCs w:val="16"/>
                <w:color w:val="3B3C43"/>
              </w:rPr>
              <w:t>$14.3 billion</w:t>
            </w:r>
          </w:p>
        </w:tc>
        <w:tc>
          <w:tcPr>
            <w:tcW w:w="1980" w:type="dxa"/>
            <w:vAlign w:val="bottom"/>
          </w:tcPr>
          <w:p>
            <w:pPr>
              <w:jc w:val="right"/>
              <w:spacing w:after="0"/>
              <w:rPr>
                <w:sz w:val="20"/>
                <w:szCs w:val="20"/>
                <w:color w:val="auto"/>
              </w:rPr>
            </w:pPr>
            <w:r>
              <w:rPr>
                <w:rFonts w:ascii="Arial" w:cs="Arial" w:eastAsia="Arial" w:hAnsi="Arial"/>
                <w:sz w:val="16"/>
                <w:szCs w:val="16"/>
                <w:color w:val="3B3C43"/>
              </w:rPr>
              <w:t>31st percentile</w:t>
            </w:r>
          </w:p>
        </w:tc>
      </w:tr>
      <w:tr>
        <w:trPr>
          <w:trHeight w:val="74"/>
        </w:trPr>
        <w:tc>
          <w:tcPr>
            <w:tcW w:w="2520" w:type="dxa"/>
            <w:vAlign w:val="bottom"/>
            <w:tcBorders>
              <w:bottom w:val="single" w:sz="8" w:color="E1E2E0"/>
            </w:tcBorders>
          </w:tcPr>
          <w:p>
            <w:pPr>
              <w:spacing w:after="0"/>
              <w:rPr>
                <w:sz w:val="6"/>
                <w:szCs w:val="6"/>
                <w:color w:val="auto"/>
              </w:rPr>
            </w:pPr>
          </w:p>
        </w:tc>
        <w:tc>
          <w:tcPr>
            <w:tcW w:w="2320" w:type="dxa"/>
            <w:vAlign w:val="bottom"/>
            <w:tcBorders>
              <w:bottom w:val="single" w:sz="8" w:color="E1E2E0"/>
            </w:tcBorders>
          </w:tcPr>
          <w:p>
            <w:pPr>
              <w:spacing w:after="0"/>
              <w:rPr>
                <w:sz w:val="6"/>
                <w:szCs w:val="6"/>
                <w:color w:val="auto"/>
              </w:rPr>
            </w:pPr>
          </w:p>
        </w:tc>
        <w:tc>
          <w:tcPr>
            <w:tcW w:w="2440" w:type="dxa"/>
            <w:vAlign w:val="bottom"/>
            <w:tcBorders>
              <w:bottom w:val="single" w:sz="8" w:color="E1E2E0"/>
            </w:tcBorders>
          </w:tcPr>
          <w:p>
            <w:pPr>
              <w:spacing w:after="0"/>
              <w:rPr>
                <w:sz w:val="6"/>
                <w:szCs w:val="6"/>
                <w:color w:val="auto"/>
              </w:rPr>
            </w:pPr>
          </w:p>
        </w:tc>
        <w:tc>
          <w:tcPr>
            <w:tcW w:w="1980" w:type="dxa"/>
            <w:vAlign w:val="bottom"/>
            <w:tcBorders>
              <w:bottom w:val="single" w:sz="8" w:color="E1E2E0"/>
            </w:tcBorders>
          </w:tcPr>
          <w:p>
            <w:pPr>
              <w:spacing w:after="0"/>
              <w:rPr>
                <w:sz w:val="6"/>
                <w:szCs w:val="6"/>
                <w:color w:val="auto"/>
              </w:rPr>
            </w:pPr>
          </w:p>
        </w:tc>
        <w:tc>
          <w:tcPr>
            <w:tcW w:w="1980" w:type="dxa"/>
            <w:vAlign w:val="bottom"/>
            <w:tcBorders>
              <w:bottom w:val="single" w:sz="8" w:color="E1E2E0"/>
            </w:tcBorders>
          </w:tcPr>
          <w:p>
            <w:pPr>
              <w:spacing w:after="0"/>
              <w:rPr>
                <w:sz w:val="6"/>
                <w:szCs w:val="6"/>
                <w:color w:val="auto"/>
              </w:rPr>
            </w:pPr>
          </w:p>
        </w:tc>
      </w:tr>
      <w:tr>
        <w:trPr>
          <w:trHeight w:val="271"/>
        </w:trPr>
        <w:tc>
          <w:tcPr>
            <w:tcW w:w="2520" w:type="dxa"/>
            <w:vAlign w:val="bottom"/>
          </w:tcPr>
          <w:p>
            <w:pPr>
              <w:ind w:left="100"/>
              <w:spacing w:after="0"/>
              <w:rPr>
                <w:sz w:val="20"/>
                <w:szCs w:val="20"/>
                <w:color w:val="auto"/>
              </w:rPr>
            </w:pPr>
            <w:r>
              <w:rPr>
                <w:rFonts w:ascii="Arial" w:cs="Arial" w:eastAsia="Arial" w:hAnsi="Arial"/>
                <w:sz w:val="16"/>
                <w:szCs w:val="16"/>
                <w:b w:val="1"/>
                <w:bCs w:val="1"/>
                <w:color w:val="3B3C43"/>
              </w:rPr>
              <w:t>Industry Peer Group</w:t>
            </w:r>
          </w:p>
        </w:tc>
        <w:tc>
          <w:tcPr>
            <w:tcW w:w="2320" w:type="dxa"/>
            <w:vAlign w:val="bottom"/>
          </w:tcPr>
          <w:p>
            <w:pPr>
              <w:jc w:val="right"/>
              <w:ind w:right="119"/>
              <w:spacing w:after="0"/>
              <w:rPr>
                <w:sz w:val="20"/>
                <w:szCs w:val="20"/>
                <w:color w:val="auto"/>
              </w:rPr>
            </w:pPr>
            <w:r>
              <w:rPr>
                <w:rFonts w:ascii="Arial" w:cs="Arial" w:eastAsia="Arial" w:hAnsi="Arial"/>
                <w:sz w:val="16"/>
                <w:szCs w:val="16"/>
                <w:color w:val="3B3C43"/>
              </w:rPr>
              <w:t>$10.1 billion</w:t>
            </w:r>
          </w:p>
        </w:tc>
        <w:tc>
          <w:tcPr>
            <w:tcW w:w="2440" w:type="dxa"/>
            <w:vAlign w:val="bottom"/>
          </w:tcPr>
          <w:p>
            <w:pPr>
              <w:jc w:val="right"/>
              <w:ind w:right="419"/>
              <w:spacing w:after="0"/>
              <w:rPr>
                <w:sz w:val="20"/>
                <w:szCs w:val="20"/>
                <w:color w:val="auto"/>
              </w:rPr>
            </w:pPr>
            <w:r>
              <w:rPr>
                <w:rFonts w:ascii="Arial" w:cs="Arial" w:eastAsia="Arial" w:hAnsi="Arial"/>
                <w:sz w:val="16"/>
                <w:szCs w:val="16"/>
                <w:color w:val="3B3C43"/>
              </w:rPr>
              <w:t>63rd percentile</w:t>
            </w:r>
          </w:p>
        </w:tc>
        <w:tc>
          <w:tcPr>
            <w:tcW w:w="1980" w:type="dxa"/>
            <w:vAlign w:val="bottom"/>
          </w:tcPr>
          <w:p>
            <w:pPr>
              <w:jc w:val="right"/>
              <w:ind w:right="279"/>
              <w:spacing w:after="0"/>
              <w:rPr>
                <w:sz w:val="20"/>
                <w:szCs w:val="20"/>
                <w:color w:val="auto"/>
              </w:rPr>
            </w:pPr>
            <w:r>
              <w:rPr>
                <w:rFonts w:ascii="Arial" w:cs="Arial" w:eastAsia="Arial" w:hAnsi="Arial"/>
                <w:sz w:val="16"/>
                <w:szCs w:val="16"/>
                <w:color w:val="3B3C43"/>
              </w:rPr>
              <w:t>$9.8 billion</w:t>
            </w:r>
          </w:p>
        </w:tc>
        <w:tc>
          <w:tcPr>
            <w:tcW w:w="1980" w:type="dxa"/>
            <w:vAlign w:val="bottom"/>
          </w:tcPr>
          <w:p>
            <w:pPr>
              <w:jc w:val="right"/>
              <w:spacing w:after="0"/>
              <w:rPr>
                <w:sz w:val="20"/>
                <w:szCs w:val="20"/>
                <w:color w:val="auto"/>
              </w:rPr>
            </w:pPr>
            <w:r>
              <w:rPr>
                <w:rFonts w:ascii="Arial" w:cs="Arial" w:eastAsia="Arial" w:hAnsi="Arial"/>
                <w:sz w:val="16"/>
                <w:szCs w:val="16"/>
                <w:color w:val="3B3C43"/>
              </w:rPr>
              <w:t>40th percentile</w:t>
            </w:r>
          </w:p>
        </w:tc>
      </w:tr>
      <w:tr>
        <w:trPr>
          <w:trHeight w:val="73"/>
        </w:trPr>
        <w:tc>
          <w:tcPr>
            <w:tcW w:w="2520" w:type="dxa"/>
            <w:vAlign w:val="bottom"/>
            <w:tcBorders>
              <w:bottom w:val="single" w:sz="8" w:color="E1E2E0"/>
            </w:tcBorders>
          </w:tcPr>
          <w:p>
            <w:pPr>
              <w:spacing w:after="0"/>
              <w:rPr>
                <w:sz w:val="6"/>
                <w:szCs w:val="6"/>
                <w:color w:val="auto"/>
              </w:rPr>
            </w:pPr>
          </w:p>
        </w:tc>
        <w:tc>
          <w:tcPr>
            <w:tcW w:w="2320" w:type="dxa"/>
            <w:vAlign w:val="bottom"/>
            <w:tcBorders>
              <w:bottom w:val="single" w:sz="8" w:color="E1E2E0"/>
            </w:tcBorders>
          </w:tcPr>
          <w:p>
            <w:pPr>
              <w:spacing w:after="0"/>
              <w:rPr>
                <w:sz w:val="6"/>
                <w:szCs w:val="6"/>
                <w:color w:val="auto"/>
              </w:rPr>
            </w:pPr>
          </w:p>
        </w:tc>
        <w:tc>
          <w:tcPr>
            <w:tcW w:w="2440" w:type="dxa"/>
            <w:vAlign w:val="bottom"/>
            <w:tcBorders>
              <w:bottom w:val="single" w:sz="8" w:color="E1E2E0"/>
            </w:tcBorders>
          </w:tcPr>
          <w:p>
            <w:pPr>
              <w:spacing w:after="0"/>
              <w:rPr>
                <w:sz w:val="6"/>
                <w:szCs w:val="6"/>
                <w:color w:val="auto"/>
              </w:rPr>
            </w:pPr>
          </w:p>
        </w:tc>
        <w:tc>
          <w:tcPr>
            <w:tcW w:w="1980" w:type="dxa"/>
            <w:vAlign w:val="bottom"/>
            <w:tcBorders>
              <w:bottom w:val="single" w:sz="8" w:color="E1E2E0"/>
            </w:tcBorders>
          </w:tcPr>
          <w:p>
            <w:pPr>
              <w:spacing w:after="0"/>
              <w:rPr>
                <w:sz w:val="6"/>
                <w:szCs w:val="6"/>
                <w:color w:val="auto"/>
              </w:rPr>
            </w:pPr>
          </w:p>
        </w:tc>
        <w:tc>
          <w:tcPr>
            <w:tcW w:w="1980" w:type="dxa"/>
            <w:vAlign w:val="bottom"/>
            <w:tcBorders>
              <w:bottom w:val="single" w:sz="8" w:color="E1E2E0"/>
            </w:tcBorders>
          </w:tcPr>
          <w:p>
            <w:pPr>
              <w:spacing w:after="0"/>
              <w:rPr>
                <w:sz w:val="6"/>
                <w:szCs w:val="6"/>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78</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3B3C43"/>
        </w:rPr>
        <w:t>Accordingly, the Compensation Committee agreed that this group of companies was reasonable in terms of size for market median comparisons. Where possible, the Compensation Committee’s consultant size-adjusts data to account for differences in size between the Company and the Compensation Peer Group.</w:t>
      </w:r>
    </w:p>
    <w:p>
      <w:pPr>
        <w:spacing w:after="0" w:line="17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3B3C43"/>
        </w:rPr>
        <w:t>In 2021, following the completed separation of TechnipFMC and Technip Energies, the Compensation Committee anticipates a review of TechnipFMC’s peer group based on its industry peers as a standalone, fully integrated technology and services provider.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Setting Target Executive Compensation</w:t>
      </w:r>
    </w:p>
    <w:p>
      <w:pPr>
        <w:spacing w:after="0" w:line="25"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3B3C43"/>
        </w:rPr>
        <w:t>In determining the target compensation package for each NEO, the Compensation Committee compares each element and combined total of an NEO’s compensation to data for relevant roles within the Compensation Peer Group. To provide additional perspectives, the Compensation Committee also considers internal relativities between the CEO and the NEOs.</w:t>
      </w:r>
    </w:p>
    <w:p>
      <w:pPr>
        <w:spacing w:after="0" w:line="174"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3B3C43"/>
        </w:rPr>
        <w:t>In setting target compensation, the Compensation Committee also considers market median data, as well as other factors including the experience, tenure, role criticality, and performance of the incumbent NEOs. In addition, any changes to the CEO’s target compensation are in accordance with the shareholder-approved Directors’ Remuneration Policy.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3B3C43"/>
        </w:rPr>
        <w:t>No executive participates in any discussion that relates to his or her own compensation.</w:t>
      </w:r>
    </w:p>
    <w:p>
      <w:pPr>
        <w:spacing w:after="0" w:line="194" w:lineRule="exact"/>
        <w:rPr>
          <w:sz w:val="20"/>
          <w:szCs w:val="20"/>
          <w:color w:val="auto"/>
        </w:rPr>
      </w:pPr>
    </w:p>
    <w:p>
      <w:pPr>
        <w:ind w:left="500" w:right="60" w:hanging="317"/>
        <w:spacing w:after="0" w:line="260" w:lineRule="auto"/>
        <w:tabs>
          <w:tab w:leader="none" w:pos="500" w:val="left"/>
        </w:tabs>
        <w:numPr>
          <w:ilvl w:val="0"/>
          <w:numId w:val="88"/>
        </w:numPr>
        <w:rPr>
          <w:rFonts w:ascii="Arial" w:cs="Arial" w:eastAsia="Arial" w:hAnsi="Arial"/>
          <w:sz w:val="16"/>
          <w:szCs w:val="16"/>
          <w:color w:val="4B1F68"/>
        </w:rPr>
      </w:pPr>
      <w:r>
        <w:rPr>
          <w:rFonts w:ascii="Arial" w:cs="Arial" w:eastAsia="Arial" w:hAnsi="Arial"/>
          <w:sz w:val="16"/>
          <w:szCs w:val="16"/>
          <w:color w:val="3B3C43"/>
        </w:rPr>
        <w:t>The Compensation Committee, in partnership with its independent advisor, determines and approves any changes to compensation for the Chairman and CEO, who is not present during these discussions.</w:t>
      </w:r>
    </w:p>
    <w:p>
      <w:pPr>
        <w:spacing w:after="0" w:line="168" w:lineRule="exact"/>
        <w:rPr>
          <w:rFonts w:ascii="Arial" w:cs="Arial" w:eastAsia="Arial" w:hAnsi="Arial"/>
          <w:sz w:val="16"/>
          <w:szCs w:val="16"/>
          <w:color w:val="4B1F68"/>
        </w:rPr>
      </w:pPr>
    </w:p>
    <w:p>
      <w:pPr>
        <w:ind w:left="500" w:right="340" w:hanging="317"/>
        <w:spacing w:after="0" w:line="260" w:lineRule="auto"/>
        <w:tabs>
          <w:tab w:leader="none" w:pos="500" w:val="left"/>
        </w:tabs>
        <w:numPr>
          <w:ilvl w:val="0"/>
          <w:numId w:val="88"/>
        </w:numPr>
        <w:rPr>
          <w:rFonts w:ascii="Arial" w:cs="Arial" w:eastAsia="Arial" w:hAnsi="Arial"/>
          <w:sz w:val="16"/>
          <w:szCs w:val="16"/>
          <w:color w:val="4B1F68"/>
        </w:rPr>
      </w:pPr>
      <w:r>
        <w:rPr>
          <w:rFonts w:ascii="Arial" w:cs="Arial" w:eastAsia="Arial" w:hAnsi="Arial"/>
          <w:sz w:val="16"/>
          <w:szCs w:val="16"/>
          <w:color w:val="3B3C43"/>
        </w:rPr>
        <w:t>The CEO recommends changes to compensation for the other NEOs without them present, which are approved by the Compensation Committee with input from its independent compensation consultant.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Use of Compensation Tally Sheets</w:t>
      </w:r>
    </w:p>
    <w:p>
      <w:pPr>
        <w:spacing w:after="0" w:line="25"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The Compensation Committee uses tally sheets to ensure they receive the information necessary to evaluate the total compensation of an NEO. Tally sheets list each component of an executive’s compensation throughout a range of alternative scenarios (e.g., termination, change-in-control transaction, etc.). The compensatory amounts include cash compensation, accumulated deferred compensation balances, outstanding equity awards, benefits, perquisites, and any other item, as well as projected values of equity awards under various performance and termination scenarios, realized stock option and stock gains, and total wealth accumulation.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Establishing Performance Measures and Goals</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3B3C43"/>
        </w:rPr>
        <w:t>In setting performance goals, the Compensation Committee considers the Company’s annual financial plans, strategic initiatives, and projections, which are impacted by the following factors:</w:t>
      </w:r>
    </w:p>
    <w:p>
      <w:pPr>
        <w:spacing w:after="0" w:line="166" w:lineRule="exact"/>
        <w:rPr>
          <w:sz w:val="20"/>
          <w:szCs w:val="20"/>
          <w:color w:val="auto"/>
        </w:rPr>
      </w:pPr>
    </w:p>
    <w:p>
      <w:pPr>
        <w:ind w:left="500" w:hanging="317"/>
        <w:spacing w:after="0"/>
        <w:tabs>
          <w:tab w:leader="none" w:pos="500" w:val="left"/>
        </w:tabs>
        <w:numPr>
          <w:ilvl w:val="0"/>
          <w:numId w:val="89"/>
        </w:numPr>
        <w:rPr>
          <w:rFonts w:ascii="Arial" w:cs="Arial" w:eastAsia="Arial" w:hAnsi="Arial"/>
          <w:sz w:val="18"/>
          <w:szCs w:val="18"/>
          <w:color w:val="4B1F68"/>
        </w:rPr>
      </w:pPr>
      <w:r>
        <w:rPr>
          <w:rFonts w:ascii="Arial" w:cs="Arial" w:eastAsia="Arial" w:hAnsi="Arial"/>
          <w:sz w:val="18"/>
          <w:szCs w:val="18"/>
          <w:color w:val="3B3C43"/>
        </w:rPr>
        <w:t>The overall business climate and the cyclical nature of our business</w:t>
      </w:r>
    </w:p>
    <w:p>
      <w:pPr>
        <w:spacing w:after="0" w:line="279" w:lineRule="exact"/>
        <w:rPr>
          <w:rFonts w:ascii="Arial" w:cs="Arial" w:eastAsia="Arial" w:hAnsi="Arial"/>
          <w:sz w:val="18"/>
          <w:szCs w:val="18"/>
          <w:color w:val="4B1F68"/>
        </w:rPr>
      </w:pPr>
    </w:p>
    <w:p>
      <w:pPr>
        <w:ind w:left="500" w:hanging="317"/>
        <w:spacing w:after="0"/>
        <w:tabs>
          <w:tab w:leader="none" w:pos="500" w:val="left"/>
        </w:tabs>
        <w:numPr>
          <w:ilvl w:val="0"/>
          <w:numId w:val="89"/>
        </w:numPr>
        <w:rPr>
          <w:rFonts w:ascii="Arial" w:cs="Arial" w:eastAsia="Arial" w:hAnsi="Arial"/>
          <w:sz w:val="18"/>
          <w:szCs w:val="18"/>
          <w:color w:val="4B1F68"/>
        </w:rPr>
      </w:pPr>
      <w:r>
        <w:rPr>
          <w:rFonts w:ascii="Arial" w:cs="Arial" w:eastAsia="Arial" w:hAnsi="Arial"/>
          <w:sz w:val="18"/>
          <w:szCs w:val="18"/>
          <w:color w:val="3B3C43"/>
        </w:rPr>
        <w:t>Underlying market conditions for our products and services</w:t>
      </w:r>
    </w:p>
    <w:p>
      <w:pPr>
        <w:spacing w:after="0" w:line="279" w:lineRule="exact"/>
        <w:rPr>
          <w:rFonts w:ascii="Arial" w:cs="Arial" w:eastAsia="Arial" w:hAnsi="Arial"/>
          <w:sz w:val="18"/>
          <w:szCs w:val="18"/>
          <w:color w:val="4B1F68"/>
        </w:rPr>
      </w:pPr>
    </w:p>
    <w:p>
      <w:pPr>
        <w:ind w:left="500" w:hanging="317"/>
        <w:spacing w:after="0"/>
        <w:tabs>
          <w:tab w:leader="none" w:pos="500" w:val="left"/>
        </w:tabs>
        <w:numPr>
          <w:ilvl w:val="0"/>
          <w:numId w:val="89"/>
        </w:numPr>
        <w:rPr>
          <w:rFonts w:ascii="Arial" w:cs="Arial" w:eastAsia="Arial" w:hAnsi="Arial"/>
          <w:sz w:val="18"/>
          <w:szCs w:val="18"/>
          <w:color w:val="4B1F68"/>
        </w:rPr>
      </w:pPr>
      <w:r>
        <w:rPr>
          <w:rFonts w:ascii="Arial" w:cs="Arial" w:eastAsia="Arial" w:hAnsi="Arial"/>
          <w:sz w:val="18"/>
          <w:szCs w:val="18"/>
          <w:color w:val="3B3C43"/>
        </w:rPr>
        <w:t>Volatility in commodity prices</w:t>
      </w:r>
    </w:p>
    <w:p>
      <w:pPr>
        <w:spacing w:after="0" w:line="279" w:lineRule="exact"/>
        <w:rPr>
          <w:rFonts w:ascii="Arial" w:cs="Arial" w:eastAsia="Arial" w:hAnsi="Arial"/>
          <w:sz w:val="18"/>
          <w:szCs w:val="18"/>
          <w:color w:val="4B1F68"/>
        </w:rPr>
      </w:pPr>
    </w:p>
    <w:p>
      <w:pPr>
        <w:ind w:left="500" w:hanging="317"/>
        <w:spacing w:after="0"/>
        <w:tabs>
          <w:tab w:leader="none" w:pos="500" w:val="left"/>
        </w:tabs>
        <w:numPr>
          <w:ilvl w:val="0"/>
          <w:numId w:val="89"/>
        </w:numPr>
        <w:rPr>
          <w:rFonts w:ascii="Arial" w:cs="Arial" w:eastAsia="Arial" w:hAnsi="Arial"/>
          <w:sz w:val="18"/>
          <w:szCs w:val="18"/>
          <w:color w:val="4B1F68"/>
        </w:rPr>
      </w:pPr>
      <w:r>
        <w:rPr>
          <w:rFonts w:ascii="Arial" w:cs="Arial" w:eastAsia="Arial" w:hAnsi="Arial"/>
          <w:sz w:val="18"/>
          <w:szCs w:val="18"/>
          <w:color w:val="3B3C43"/>
        </w:rPr>
        <w:t>Our competitors’ performance</w:t>
      </w:r>
    </w:p>
    <w:p>
      <w:pPr>
        <w:spacing w:after="0" w:line="279" w:lineRule="exact"/>
        <w:rPr>
          <w:rFonts w:ascii="Arial" w:cs="Arial" w:eastAsia="Arial" w:hAnsi="Arial"/>
          <w:sz w:val="18"/>
          <w:szCs w:val="18"/>
          <w:color w:val="4B1F68"/>
        </w:rPr>
      </w:pPr>
    </w:p>
    <w:p>
      <w:pPr>
        <w:ind w:left="500" w:hanging="317"/>
        <w:spacing w:after="0"/>
        <w:tabs>
          <w:tab w:leader="none" w:pos="500" w:val="left"/>
        </w:tabs>
        <w:numPr>
          <w:ilvl w:val="0"/>
          <w:numId w:val="89"/>
        </w:numPr>
        <w:rPr>
          <w:rFonts w:ascii="Arial" w:cs="Arial" w:eastAsia="Arial" w:hAnsi="Arial"/>
          <w:sz w:val="18"/>
          <w:szCs w:val="18"/>
          <w:color w:val="4B1F68"/>
        </w:rPr>
      </w:pPr>
      <w:r>
        <w:rPr>
          <w:rFonts w:ascii="Arial" w:cs="Arial" w:eastAsia="Arial" w:hAnsi="Arial"/>
          <w:sz w:val="18"/>
          <w:szCs w:val="18"/>
          <w:color w:val="3B3C43"/>
        </w:rPr>
        <w:t>Anticipated changes in customer activity</w:t>
      </w:r>
    </w:p>
    <w:p>
      <w:pPr>
        <w:spacing w:after="0" w:line="279" w:lineRule="exact"/>
        <w:rPr>
          <w:rFonts w:ascii="Arial" w:cs="Arial" w:eastAsia="Arial" w:hAnsi="Arial"/>
          <w:sz w:val="18"/>
          <w:szCs w:val="18"/>
          <w:color w:val="4B1F68"/>
        </w:rPr>
      </w:pPr>
    </w:p>
    <w:p>
      <w:pPr>
        <w:ind w:left="500" w:hanging="317"/>
        <w:spacing w:after="0"/>
        <w:tabs>
          <w:tab w:leader="none" w:pos="500" w:val="left"/>
        </w:tabs>
        <w:numPr>
          <w:ilvl w:val="0"/>
          <w:numId w:val="89"/>
        </w:numPr>
        <w:rPr>
          <w:rFonts w:ascii="Arial" w:cs="Arial" w:eastAsia="Arial" w:hAnsi="Arial"/>
          <w:sz w:val="18"/>
          <w:szCs w:val="18"/>
          <w:color w:val="4B1F68"/>
        </w:rPr>
      </w:pPr>
      <w:r>
        <w:rPr>
          <w:rFonts w:ascii="Arial" w:cs="Arial" w:eastAsia="Arial" w:hAnsi="Arial"/>
          <w:sz w:val="18"/>
          <w:szCs w:val="18"/>
          <w:color w:val="3B3C43"/>
        </w:rPr>
        <w:t>Our prior-year performance</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3B3C43"/>
        </w:rPr>
        <w:t>These inputs inform discussions regarding both the targets and the ranges around the targets to ensure the goals are sufficiently difficult without incentivizing inappropriate risk taking.</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79</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385" w:lineRule="exact"/>
        <w:rPr>
          <w:sz w:val="20"/>
          <w:szCs w:val="20"/>
          <w:color w:val="auto"/>
        </w:rPr>
      </w:pPr>
    </w:p>
    <w:p>
      <w:pPr>
        <w:spacing w:after="0"/>
        <w:rPr>
          <w:sz w:val="20"/>
          <w:szCs w:val="20"/>
          <w:color w:val="auto"/>
        </w:rPr>
      </w:pPr>
      <w:r>
        <w:rPr>
          <w:rFonts w:ascii="Arial" w:cs="Arial" w:eastAsia="Arial" w:hAnsi="Arial"/>
          <w:sz w:val="36"/>
          <w:szCs w:val="36"/>
          <w:b w:val="1"/>
          <w:bCs w:val="1"/>
          <w:color w:val="4B1F68"/>
        </w:rPr>
        <w:t>Elements of 2020 Executive Compensation</w:t>
      </w:r>
    </w:p>
    <w:p>
      <w:pPr>
        <w:spacing w:after="0" w:line="5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3B3C43"/>
        </w:rPr>
        <w:t>Our executive compensation program comprises three primary elements of base salary, annual cash incentive, and longterm equity awards, along with the provision of market competitive benefits and perquisites.</w:t>
      </w:r>
    </w:p>
    <w:p>
      <w:pPr>
        <w:spacing w:after="0" w:line="1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3B3C43"/>
        </w:rPr>
        <w:t>In the first quarter of 2020, the global COVID-19 pandemic, sharp decline in oil prices, and equity market volatility materially changed the business environment and outlook for TechnipFMC. In March 2020, we announced that while the rationale for the Spin-off remained unchanged, we would delay the Spin-off until markets sufficiently recovered. We also decided to accelerate our cost reduction and efficiency efforts worldwide to reinforce the Company through the downturn.</w:t>
      </w:r>
    </w:p>
    <w:p>
      <w:pPr>
        <w:spacing w:after="0" w:line="17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3B3C43"/>
        </w:rPr>
        <w:t>The Compensation Committee took swift and decisive actions in response to these events, and made changes to our executive compensation program, including the following:</w:t>
      </w:r>
    </w:p>
    <w:p>
      <w:pPr>
        <w:spacing w:after="0" w:line="148" w:lineRule="exact"/>
        <w:rPr>
          <w:sz w:val="20"/>
          <w:szCs w:val="20"/>
          <w:color w:val="auto"/>
        </w:rPr>
      </w:pPr>
    </w:p>
    <w:p>
      <w:pPr>
        <w:ind w:left="500" w:right="340" w:hanging="317"/>
        <w:spacing w:after="0" w:line="286" w:lineRule="auto"/>
        <w:tabs>
          <w:tab w:leader="none" w:pos="500" w:val="left"/>
        </w:tabs>
        <w:numPr>
          <w:ilvl w:val="0"/>
          <w:numId w:val="90"/>
        </w:numPr>
        <w:rPr>
          <w:rFonts w:ascii="Arial" w:cs="Arial" w:eastAsia="Arial" w:hAnsi="Arial"/>
          <w:sz w:val="16"/>
          <w:szCs w:val="16"/>
          <w:color w:val="4B1F68"/>
        </w:rPr>
      </w:pPr>
      <w:r>
        <w:rPr>
          <w:rFonts w:ascii="Arial" w:cs="Arial" w:eastAsia="Arial" w:hAnsi="Arial"/>
          <w:sz w:val="16"/>
          <w:szCs w:val="16"/>
          <w:b w:val="1"/>
          <w:bCs w:val="1"/>
          <w:color w:val="3B3C43"/>
        </w:rPr>
        <w:t>Reduced the annual base salary for the Chairman and CEO by 30% and for other executive officers by 20% for the remainder of 2020, effective May 1, 2020.</w:t>
      </w:r>
    </w:p>
    <w:p>
      <w:pPr>
        <w:spacing w:after="0" w:line="128" w:lineRule="exact"/>
        <w:rPr>
          <w:rFonts w:ascii="Arial" w:cs="Arial" w:eastAsia="Arial" w:hAnsi="Arial"/>
          <w:sz w:val="16"/>
          <w:szCs w:val="16"/>
          <w:color w:val="4B1F68"/>
        </w:rPr>
      </w:pPr>
    </w:p>
    <w:p>
      <w:pPr>
        <w:ind w:left="500" w:hanging="317"/>
        <w:spacing w:after="0"/>
        <w:tabs>
          <w:tab w:leader="none" w:pos="500" w:val="left"/>
        </w:tabs>
        <w:numPr>
          <w:ilvl w:val="0"/>
          <w:numId w:val="90"/>
        </w:numPr>
        <w:rPr>
          <w:rFonts w:ascii="Arial" w:cs="Arial" w:eastAsia="Arial" w:hAnsi="Arial"/>
          <w:sz w:val="16"/>
          <w:szCs w:val="16"/>
          <w:color w:val="4B1F68"/>
        </w:rPr>
      </w:pPr>
      <w:r>
        <w:rPr>
          <w:rFonts w:ascii="Arial" w:cs="Arial" w:eastAsia="Arial" w:hAnsi="Arial"/>
          <w:sz w:val="16"/>
          <w:szCs w:val="16"/>
          <w:b w:val="1"/>
          <w:bCs w:val="1"/>
          <w:color w:val="3B3C43"/>
        </w:rPr>
        <w:t>Reduced annual cash retainers for the Board of Directors by 30% for the remainder of 2020, effective May 1, 2020.</w:t>
      </w:r>
    </w:p>
    <w:p>
      <w:pPr>
        <w:spacing w:after="0" w:line="194" w:lineRule="exact"/>
        <w:rPr>
          <w:rFonts w:ascii="Arial" w:cs="Arial" w:eastAsia="Arial" w:hAnsi="Arial"/>
          <w:sz w:val="16"/>
          <w:szCs w:val="16"/>
          <w:color w:val="4B1F68"/>
        </w:rPr>
      </w:pPr>
    </w:p>
    <w:p>
      <w:pPr>
        <w:ind w:left="500" w:hanging="317"/>
        <w:spacing w:after="0" w:line="286" w:lineRule="auto"/>
        <w:tabs>
          <w:tab w:leader="none" w:pos="500" w:val="left"/>
        </w:tabs>
        <w:numPr>
          <w:ilvl w:val="0"/>
          <w:numId w:val="90"/>
        </w:numPr>
        <w:rPr>
          <w:rFonts w:ascii="Arial" w:cs="Arial" w:eastAsia="Arial" w:hAnsi="Arial"/>
          <w:sz w:val="16"/>
          <w:szCs w:val="16"/>
          <w:color w:val="4B1F68"/>
        </w:rPr>
      </w:pPr>
      <w:r>
        <w:rPr>
          <w:rFonts w:ascii="Arial" w:cs="Arial" w:eastAsia="Arial" w:hAnsi="Arial"/>
          <w:sz w:val="16"/>
          <w:szCs w:val="16"/>
          <w:b w:val="1"/>
          <w:bCs w:val="1"/>
          <w:color w:val="3B3C43"/>
        </w:rPr>
        <w:t>Due to the COVID-19 pandemic and business downturn and shift in the Company’s strategic priorities, updated our annual cash incentive plan measures effective April 1, 2020 and applied a cap on payout under the plan.</w:t>
      </w:r>
    </w:p>
    <w:p>
      <w:pPr>
        <w:spacing w:after="0" w:line="128" w:lineRule="exact"/>
        <w:rPr>
          <w:rFonts w:ascii="Arial" w:cs="Arial" w:eastAsia="Arial" w:hAnsi="Arial"/>
          <w:sz w:val="16"/>
          <w:szCs w:val="16"/>
          <w:color w:val="4B1F68"/>
        </w:rPr>
      </w:pPr>
    </w:p>
    <w:p>
      <w:pPr>
        <w:ind w:left="500" w:hanging="317"/>
        <w:spacing w:after="0"/>
        <w:tabs>
          <w:tab w:leader="none" w:pos="500" w:val="left"/>
        </w:tabs>
        <w:numPr>
          <w:ilvl w:val="0"/>
          <w:numId w:val="90"/>
        </w:numPr>
        <w:rPr>
          <w:rFonts w:ascii="Arial" w:cs="Arial" w:eastAsia="Arial" w:hAnsi="Arial"/>
          <w:sz w:val="16"/>
          <w:szCs w:val="16"/>
          <w:color w:val="4B1F68"/>
        </w:rPr>
      </w:pPr>
      <w:r>
        <w:rPr>
          <w:rFonts w:ascii="Arial" w:cs="Arial" w:eastAsia="Arial" w:hAnsi="Arial"/>
          <w:sz w:val="16"/>
          <w:szCs w:val="16"/>
          <w:b w:val="1"/>
          <w:bCs w:val="1"/>
          <w:color w:val="3B3C43"/>
        </w:rPr>
        <w:t>No changes were made to the annual equity awards previously granted and not vested.</w:t>
      </w:r>
    </w:p>
    <w:p>
      <w:pPr>
        <w:spacing w:after="0" w:line="21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80</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3B3C43"/>
        </w:rPr>
        <w:t>The table below summarizes these elements, along with their purpose and key characteristics. However, a more detailed explanation is available in further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59493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594931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38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Element</w:t>
            </w:r>
          </w:p>
        </w:tc>
        <w:tc>
          <w:tcPr>
            <w:tcW w:w="246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Purpose</w:t>
            </w:r>
          </w:p>
        </w:tc>
        <w:tc>
          <w:tcPr>
            <w:tcW w:w="6400" w:type="dxa"/>
            <w:vAlign w:val="bottom"/>
            <w:gridSpan w:val="2"/>
            <w:shd w:val="clear" w:color="auto" w:fill="D21D22"/>
          </w:tcPr>
          <w:p>
            <w:pPr>
              <w:ind w:left="100"/>
              <w:spacing w:after="0"/>
              <w:rPr>
                <w:sz w:val="20"/>
                <w:szCs w:val="20"/>
                <w:color w:val="auto"/>
              </w:rPr>
            </w:pPr>
            <w:r>
              <w:rPr>
                <w:rFonts w:ascii="Arial" w:cs="Arial" w:eastAsia="Arial" w:hAnsi="Arial"/>
                <w:sz w:val="16"/>
                <w:szCs w:val="16"/>
                <w:b w:val="1"/>
                <w:bCs w:val="1"/>
                <w:color w:val="FFFFFF"/>
              </w:rPr>
              <w:t>Key Characteristics</w:t>
            </w:r>
          </w:p>
        </w:tc>
        <w:tc>
          <w:tcPr>
            <w:tcW w:w="0" w:type="dxa"/>
            <w:vAlign w:val="bottom"/>
          </w:tcPr>
          <w:p>
            <w:pPr>
              <w:spacing w:after="0"/>
              <w:rPr>
                <w:sz w:val="1"/>
                <w:szCs w:val="1"/>
                <w:color w:val="auto"/>
              </w:rPr>
            </w:pPr>
          </w:p>
        </w:tc>
      </w:tr>
      <w:tr>
        <w:trPr>
          <w:trHeight w:val="73"/>
        </w:trPr>
        <w:tc>
          <w:tcPr>
            <w:tcW w:w="2380" w:type="dxa"/>
            <w:vAlign w:val="bottom"/>
            <w:shd w:val="clear" w:color="auto" w:fill="4A1F67"/>
          </w:tcPr>
          <w:p>
            <w:pPr>
              <w:spacing w:after="0"/>
              <w:rPr>
                <w:sz w:val="6"/>
                <w:szCs w:val="6"/>
                <w:color w:val="auto"/>
              </w:rPr>
            </w:pPr>
          </w:p>
        </w:tc>
        <w:tc>
          <w:tcPr>
            <w:tcW w:w="2460" w:type="dxa"/>
            <w:vAlign w:val="bottom"/>
            <w:shd w:val="clear" w:color="auto" w:fill="00ADE9"/>
          </w:tcPr>
          <w:p>
            <w:pPr>
              <w:spacing w:after="0"/>
              <w:rPr>
                <w:sz w:val="6"/>
                <w:szCs w:val="6"/>
                <w:color w:val="auto"/>
              </w:rPr>
            </w:pPr>
          </w:p>
        </w:tc>
        <w:tc>
          <w:tcPr>
            <w:tcW w:w="560" w:type="dxa"/>
            <w:vAlign w:val="bottom"/>
            <w:shd w:val="clear" w:color="auto" w:fill="D21D22"/>
          </w:tcPr>
          <w:p>
            <w:pPr>
              <w:spacing w:after="0"/>
              <w:rPr>
                <w:sz w:val="6"/>
                <w:szCs w:val="6"/>
                <w:color w:val="auto"/>
              </w:rPr>
            </w:pPr>
          </w:p>
        </w:tc>
        <w:tc>
          <w:tcPr>
            <w:tcW w:w="5840" w:type="dxa"/>
            <w:vAlign w:val="bottom"/>
            <w:shd w:val="clear" w:color="auto" w:fill="D21D22"/>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38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Base Salary</w:t>
            </w: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To provide market competitive</w:t>
            </w: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Fixed cash compensation</w:t>
            </w:r>
          </w:p>
        </w:tc>
        <w:tc>
          <w:tcPr>
            <w:tcW w:w="0" w:type="dxa"/>
            <w:vAlign w:val="bottom"/>
          </w:tcPr>
          <w:p>
            <w:pPr>
              <w:spacing w:after="0"/>
              <w:rPr>
                <w:sz w:val="1"/>
                <w:szCs w:val="1"/>
                <w:color w:val="auto"/>
              </w:rPr>
            </w:pPr>
          </w:p>
        </w:tc>
      </w:tr>
      <w:tr>
        <w:trPr>
          <w:trHeight w:val="189"/>
        </w:trPr>
        <w:tc>
          <w:tcPr>
            <w:tcW w:w="2380" w:type="dxa"/>
            <w:vAlign w:val="bottom"/>
            <w:shd w:val="clear" w:color="auto" w:fill="E1E1DF"/>
          </w:tcPr>
          <w:p>
            <w:pPr>
              <w:spacing w:after="0"/>
              <w:rPr>
                <w:sz w:val="16"/>
                <w:szCs w:val="16"/>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compensation for</w:t>
            </w:r>
          </w:p>
        </w:tc>
        <w:tc>
          <w:tcPr>
            <w:tcW w:w="6400" w:type="dxa"/>
            <w:vAlign w:val="bottom"/>
            <w:gridSpan w:val="2"/>
            <w:vMerge w:val="restart"/>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Reflects major responsibilities of an NEO’s role</w:t>
            </w:r>
          </w:p>
        </w:tc>
        <w:tc>
          <w:tcPr>
            <w:tcW w:w="0" w:type="dxa"/>
            <w:vAlign w:val="bottom"/>
          </w:tcPr>
          <w:p>
            <w:pPr>
              <w:spacing w:after="0"/>
              <w:rPr>
                <w:sz w:val="1"/>
                <w:szCs w:val="1"/>
                <w:color w:val="auto"/>
              </w:rPr>
            </w:pPr>
          </w:p>
        </w:tc>
      </w:tr>
      <w:tr>
        <w:trPr>
          <w:trHeight w:val="100"/>
        </w:trPr>
        <w:tc>
          <w:tcPr>
            <w:tcW w:w="2380" w:type="dxa"/>
            <w:vAlign w:val="bottom"/>
            <w:shd w:val="clear" w:color="auto" w:fill="E1E1DF"/>
          </w:tcPr>
          <w:p>
            <w:pPr>
              <w:spacing w:after="0"/>
              <w:rPr>
                <w:sz w:val="8"/>
                <w:szCs w:val="8"/>
                <w:color w:val="auto"/>
              </w:rPr>
            </w:pPr>
          </w:p>
        </w:tc>
        <w:tc>
          <w:tcPr>
            <w:tcW w:w="246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the role</w:t>
            </w:r>
          </w:p>
        </w:tc>
        <w:tc>
          <w:tcPr>
            <w:tcW w:w="6400" w:type="dxa"/>
            <w:vAlign w:val="bottom"/>
            <w:gridSpan w:val="2"/>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380" w:type="dxa"/>
            <w:vAlign w:val="bottom"/>
            <w:shd w:val="clear" w:color="auto" w:fill="E1E1DF"/>
          </w:tcPr>
          <w:p>
            <w:pPr>
              <w:spacing w:after="0"/>
              <w:rPr>
                <w:sz w:val="8"/>
                <w:szCs w:val="8"/>
                <w:color w:val="auto"/>
              </w:rPr>
            </w:pPr>
          </w:p>
        </w:tc>
        <w:tc>
          <w:tcPr>
            <w:tcW w:w="2460" w:type="dxa"/>
            <w:vAlign w:val="bottom"/>
            <w:vMerge w:val="continue"/>
            <w:shd w:val="clear" w:color="auto" w:fill="E1E1DF"/>
          </w:tcPr>
          <w:p>
            <w:pPr>
              <w:spacing w:after="0"/>
              <w:rPr>
                <w:sz w:val="8"/>
                <w:szCs w:val="8"/>
                <w:color w:val="auto"/>
              </w:rPr>
            </w:pPr>
          </w:p>
        </w:tc>
        <w:tc>
          <w:tcPr>
            <w:tcW w:w="6400" w:type="dxa"/>
            <w:vAlign w:val="bottom"/>
            <w:gridSpan w:val="2"/>
            <w:vMerge w:val="restart"/>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Set with reference to market median, based on responsibility, experience, and</w:t>
            </w:r>
          </w:p>
        </w:tc>
        <w:tc>
          <w:tcPr>
            <w:tcW w:w="0" w:type="dxa"/>
            <w:vAlign w:val="bottom"/>
          </w:tcPr>
          <w:p>
            <w:pPr>
              <w:spacing w:after="0"/>
              <w:rPr>
                <w:sz w:val="1"/>
                <w:szCs w:val="1"/>
                <w:color w:val="auto"/>
              </w:rPr>
            </w:pPr>
          </w:p>
        </w:tc>
      </w:tr>
      <w:tr>
        <w:trPr>
          <w:trHeight w:val="170"/>
        </w:trPr>
        <w:tc>
          <w:tcPr>
            <w:tcW w:w="2380" w:type="dxa"/>
            <w:vAlign w:val="bottom"/>
            <w:shd w:val="clear" w:color="auto" w:fill="E1E1DF"/>
          </w:tcPr>
          <w:p>
            <w:pPr>
              <w:spacing w:after="0"/>
              <w:rPr>
                <w:sz w:val="14"/>
                <w:szCs w:val="14"/>
                <w:color w:val="auto"/>
              </w:rPr>
            </w:pPr>
          </w:p>
        </w:tc>
        <w:tc>
          <w:tcPr>
            <w:tcW w:w="2460" w:type="dxa"/>
            <w:vAlign w:val="bottom"/>
            <w:shd w:val="clear" w:color="auto" w:fill="E1E1DF"/>
          </w:tcPr>
          <w:p>
            <w:pPr>
              <w:spacing w:after="0"/>
              <w:rPr>
                <w:sz w:val="14"/>
                <w:szCs w:val="14"/>
                <w:color w:val="auto"/>
              </w:rPr>
            </w:pPr>
          </w:p>
        </w:tc>
        <w:tc>
          <w:tcPr>
            <w:tcW w:w="6400" w:type="dxa"/>
            <w:vAlign w:val="bottom"/>
            <w:gridSpan w:val="2"/>
            <w:vMerge w:val="continue"/>
            <w:shd w:val="clear" w:color="auto" w:fill="E1E1D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380" w:type="dxa"/>
            <w:vAlign w:val="bottom"/>
            <w:shd w:val="clear" w:color="auto" w:fill="E1E1DF"/>
          </w:tcPr>
          <w:p>
            <w:pPr>
              <w:spacing w:after="0"/>
              <w:rPr>
                <w:sz w:val="16"/>
                <w:szCs w:val="16"/>
                <w:color w:val="auto"/>
              </w:rPr>
            </w:pPr>
          </w:p>
        </w:tc>
        <w:tc>
          <w:tcPr>
            <w:tcW w:w="2460" w:type="dxa"/>
            <w:vAlign w:val="bottom"/>
            <w:shd w:val="clear" w:color="auto" w:fill="E1E1DF"/>
          </w:tcPr>
          <w:p>
            <w:pPr>
              <w:spacing w:after="0"/>
              <w:rPr>
                <w:sz w:val="16"/>
                <w:szCs w:val="16"/>
                <w:color w:val="auto"/>
              </w:rPr>
            </w:pPr>
          </w:p>
        </w:tc>
        <w:tc>
          <w:tcPr>
            <w:tcW w:w="6400" w:type="dxa"/>
            <w:vAlign w:val="bottom"/>
            <w:gridSpan w:val="2"/>
            <w:shd w:val="clear" w:color="auto" w:fill="E1E1DF"/>
          </w:tcPr>
          <w:p>
            <w:pPr>
              <w:ind w:left="320"/>
              <w:spacing w:after="0"/>
              <w:rPr>
                <w:sz w:val="20"/>
                <w:szCs w:val="20"/>
                <w:color w:val="auto"/>
              </w:rPr>
            </w:pPr>
            <w:r>
              <w:rPr>
                <w:rFonts w:ascii="Arial" w:cs="Arial" w:eastAsia="Arial" w:hAnsi="Arial"/>
                <w:sz w:val="16"/>
                <w:szCs w:val="16"/>
                <w:color w:val="3B3C43"/>
              </w:rPr>
              <w:t>performance</w:t>
            </w:r>
          </w:p>
        </w:tc>
        <w:tc>
          <w:tcPr>
            <w:tcW w:w="0" w:type="dxa"/>
            <w:vAlign w:val="bottom"/>
          </w:tcPr>
          <w:p>
            <w:pPr>
              <w:spacing w:after="0"/>
              <w:rPr>
                <w:sz w:val="1"/>
                <w:szCs w:val="1"/>
                <w:color w:val="auto"/>
              </w:rPr>
            </w:pPr>
          </w:p>
        </w:tc>
      </w:tr>
      <w:tr>
        <w:trPr>
          <w:trHeight w:val="278"/>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Effective May 1, 2020 to the end of the year, base pay was reduced by 30% for our</w:t>
            </w:r>
          </w:p>
        </w:tc>
        <w:tc>
          <w:tcPr>
            <w:tcW w:w="0" w:type="dxa"/>
            <w:vAlign w:val="bottom"/>
          </w:tcPr>
          <w:p>
            <w:pPr>
              <w:spacing w:after="0"/>
              <w:rPr>
                <w:sz w:val="1"/>
                <w:szCs w:val="1"/>
                <w:color w:val="auto"/>
              </w:rPr>
            </w:pPr>
          </w:p>
        </w:tc>
      </w:tr>
      <w:tr>
        <w:trPr>
          <w:trHeight w:val="195"/>
        </w:trPr>
        <w:tc>
          <w:tcPr>
            <w:tcW w:w="2380" w:type="dxa"/>
            <w:vAlign w:val="bottom"/>
            <w:shd w:val="clear" w:color="auto" w:fill="E1E1DF"/>
          </w:tcPr>
          <w:p>
            <w:pPr>
              <w:spacing w:after="0"/>
              <w:rPr>
                <w:sz w:val="16"/>
                <w:szCs w:val="16"/>
                <w:color w:val="auto"/>
              </w:rPr>
            </w:pPr>
          </w:p>
        </w:tc>
        <w:tc>
          <w:tcPr>
            <w:tcW w:w="2460" w:type="dxa"/>
            <w:vAlign w:val="bottom"/>
            <w:shd w:val="clear" w:color="auto" w:fill="E1E1DF"/>
          </w:tcPr>
          <w:p>
            <w:pPr>
              <w:spacing w:after="0"/>
              <w:rPr>
                <w:sz w:val="16"/>
                <w:szCs w:val="16"/>
                <w:color w:val="auto"/>
              </w:rPr>
            </w:pPr>
          </w:p>
        </w:tc>
        <w:tc>
          <w:tcPr>
            <w:tcW w:w="6400" w:type="dxa"/>
            <w:vAlign w:val="bottom"/>
            <w:gridSpan w:val="2"/>
            <w:shd w:val="clear" w:color="auto" w:fill="E1E1DF"/>
          </w:tcPr>
          <w:p>
            <w:pPr>
              <w:ind w:left="320"/>
              <w:spacing w:after="0"/>
              <w:rPr>
                <w:sz w:val="20"/>
                <w:szCs w:val="20"/>
                <w:color w:val="auto"/>
              </w:rPr>
            </w:pPr>
            <w:r>
              <w:rPr>
                <w:rFonts w:ascii="Arial" w:cs="Arial" w:eastAsia="Arial" w:hAnsi="Arial"/>
                <w:sz w:val="16"/>
                <w:szCs w:val="16"/>
                <w:color w:val="3B3C43"/>
              </w:rPr>
              <w:t>Chairman and CEO and 20% for our other executives.</w:t>
            </w:r>
          </w:p>
        </w:tc>
        <w:tc>
          <w:tcPr>
            <w:tcW w:w="0" w:type="dxa"/>
            <w:vAlign w:val="bottom"/>
          </w:tcPr>
          <w:p>
            <w:pPr>
              <w:spacing w:after="0"/>
              <w:rPr>
                <w:sz w:val="1"/>
                <w:szCs w:val="1"/>
                <w:color w:val="auto"/>
              </w:rPr>
            </w:pPr>
          </w:p>
        </w:tc>
      </w:tr>
      <w:tr>
        <w:trPr>
          <w:trHeight w:val="453"/>
        </w:trPr>
        <w:tc>
          <w:tcPr>
            <w:tcW w:w="238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Annual Cash Incentive</w:t>
            </w: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To drive and reward</w:t>
            </w: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Variable cash compensation</w:t>
            </w:r>
          </w:p>
        </w:tc>
        <w:tc>
          <w:tcPr>
            <w:tcW w:w="0" w:type="dxa"/>
            <w:vAlign w:val="bottom"/>
          </w:tcPr>
          <w:p>
            <w:pPr>
              <w:spacing w:after="0"/>
              <w:rPr>
                <w:sz w:val="1"/>
                <w:szCs w:val="1"/>
                <w:color w:val="auto"/>
              </w:rPr>
            </w:pPr>
          </w:p>
        </w:tc>
      </w:tr>
      <w:tr>
        <w:trPr>
          <w:trHeight w:val="189"/>
        </w:trPr>
        <w:tc>
          <w:tcPr>
            <w:tcW w:w="2380" w:type="dxa"/>
            <w:vAlign w:val="bottom"/>
            <w:shd w:val="clear" w:color="auto" w:fill="E1E1DF"/>
          </w:tcPr>
          <w:p>
            <w:pPr>
              <w:spacing w:after="0"/>
              <w:rPr>
                <w:sz w:val="16"/>
                <w:szCs w:val="16"/>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the achievement of short-term</w:t>
            </w:r>
          </w:p>
        </w:tc>
        <w:tc>
          <w:tcPr>
            <w:tcW w:w="6400" w:type="dxa"/>
            <w:vAlign w:val="bottom"/>
            <w:gridSpan w:val="2"/>
            <w:vMerge w:val="restart"/>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Target value based on role, set with reference to market median</w:t>
            </w:r>
          </w:p>
        </w:tc>
        <w:tc>
          <w:tcPr>
            <w:tcW w:w="0" w:type="dxa"/>
            <w:vAlign w:val="bottom"/>
          </w:tcPr>
          <w:p>
            <w:pPr>
              <w:spacing w:after="0"/>
              <w:rPr>
                <w:sz w:val="1"/>
                <w:szCs w:val="1"/>
                <w:color w:val="auto"/>
              </w:rPr>
            </w:pPr>
          </w:p>
        </w:tc>
      </w:tr>
      <w:tr>
        <w:trPr>
          <w:trHeight w:val="100"/>
        </w:trPr>
        <w:tc>
          <w:tcPr>
            <w:tcW w:w="2380" w:type="dxa"/>
            <w:vAlign w:val="bottom"/>
            <w:shd w:val="clear" w:color="auto" w:fill="E1E1DF"/>
          </w:tcPr>
          <w:p>
            <w:pPr>
              <w:spacing w:after="0"/>
              <w:rPr>
                <w:sz w:val="8"/>
                <w:szCs w:val="8"/>
                <w:color w:val="auto"/>
              </w:rPr>
            </w:pPr>
          </w:p>
        </w:tc>
        <w:tc>
          <w:tcPr>
            <w:tcW w:w="246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Company strategic</w:t>
            </w:r>
          </w:p>
        </w:tc>
        <w:tc>
          <w:tcPr>
            <w:tcW w:w="6400" w:type="dxa"/>
            <w:vAlign w:val="bottom"/>
            <w:gridSpan w:val="2"/>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380" w:type="dxa"/>
            <w:vAlign w:val="bottom"/>
            <w:shd w:val="clear" w:color="auto" w:fill="E1E1DF"/>
          </w:tcPr>
          <w:p>
            <w:pPr>
              <w:spacing w:after="0"/>
              <w:rPr>
                <w:sz w:val="7"/>
                <w:szCs w:val="7"/>
                <w:color w:val="auto"/>
              </w:rPr>
            </w:pPr>
          </w:p>
        </w:tc>
        <w:tc>
          <w:tcPr>
            <w:tcW w:w="2460" w:type="dxa"/>
            <w:vAlign w:val="bottom"/>
            <w:vMerge w:val="continue"/>
            <w:shd w:val="clear" w:color="auto" w:fill="E1E1DF"/>
          </w:tcPr>
          <w:p>
            <w:pPr>
              <w:spacing w:after="0"/>
              <w:rPr>
                <w:sz w:val="7"/>
                <w:szCs w:val="7"/>
                <w:color w:val="auto"/>
              </w:rPr>
            </w:pPr>
          </w:p>
        </w:tc>
        <w:tc>
          <w:tcPr>
            <w:tcW w:w="6400" w:type="dxa"/>
            <w:vAlign w:val="bottom"/>
            <w:gridSpan w:val="2"/>
            <w:vMerge w:val="restart"/>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Paid based on achievement of business performance targets (75%) and</w:t>
            </w:r>
          </w:p>
        </w:tc>
        <w:tc>
          <w:tcPr>
            <w:tcW w:w="0" w:type="dxa"/>
            <w:vAlign w:val="bottom"/>
          </w:tcPr>
          <w:p>
            <w:pPr>
              <w:spacing w:after="0"/>
              <w:rPr>
                <w:sz w:val="1"/>
                <w:szCs w:val="1"/>
                <w:color w:val="auto"/>
              </w:rPr>
            </w:pPr>
          </w:p>
        </w:tc>
      </w:tr>
      <w:tr>
        <w:trPr>
          <w:trHeight w:val="176"/>
        </w:trPr>
        <w:tc>
          <w:tcPr>
            <w:tcW w:w="2380" w:type="dxa"/>
            <w:vAlign w:val="bottom"/>
            <w:shd w:val="clear" w:color="auto" w:fill="E1E1DF"/>
          </w:tcPr>
          <w:p>
            <w:pPr>
              <w:spacing w:after="0"/>
              <w:rPr>
                <w:sz w:val="15"/>
                <w:szCs w:val="15"/>
                <w:color w:val="auto"/>
              </w:rPr>
            </w:pPr>
          </w:p>
        </w:tc>
        <w:tc>
          <w:tcPr>
            <w:tcW w:w="2460" w:type="dxa"/>
            <w:vAlign w:val="bottom"/>
            <w:shd w:val="clear" w:color="auto" w:fill="E1E1DF"/>
          </w:tcPr>
          <w:p>
            <w:pPr>
              <w:ind w:left="100"/>
              <w:spacing w:after="0" w:line="175" w:lineRule="exact"/>
              <w:rPr>
                <w:sz w:val="20"/>
                <w:szCs w:val="20"/>
                <w:color w:val="auto"/>
              </w:rPr>
            </w:pPr>
            <w:r>
              <w:rPr>
                <w:rFonts w:ascii="Arial" w:cs="Arial" w:eastAsia="Arial" w:hAnsi="Arial"/>
                <w:sz w:val="16"/>
                <w:szCs w:val="16"/>
                <w:color w:val="3B3C43"/>
              </w:rPr>
              <w:t>goals and individual</w:t>
            </w:r>
          </w:p>
        </w:tc>
        <w:tc>
          <w:tcPr>
            <w:tcW w:w="6400" w:type="dxa"/>
            <w:vAlign w:val="bottom"/>
            <w:gridSpan w:val="2"/>
            <w:vMerge w:val="continue"/>
            <w:shd w:val="clear" w:color="auto" w:fill="E1E1D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E1E1DF"/>
          </w:tcPr>
          <w:p>
            <w:pPr>
              <w:spacing w:after="0"/>
              <w:rPr>
                <w:sz w:val="18"/>
                <w:szCs w:val="18"/>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contributions</w:t>
            </w:r>
          </w:p>
        </w:tc>
        <w:tc>
          <w:tcPr>
            <w:tcW w:w="6400" w:type="dxa"/>
            <w:vAlign w:val="bottom"/>
            <w:gridSpan w:val="2"/>
            <w:shd w:val="clear" w:color="auto" w:fill="E1E1DF"/>
          </w:tcPr>
          <w:p>
            <w:pPr>
              <w:ind w:left="320"/>
              <w:spacing w:after="0"/>
              <w:rPr>
                <w:sz w:val="20"/>
                <w:szCs w:val="20"/>
                <w:color w:val="auto"/>
              </w:rPr>
            </w:pPr>
            <w:r>
              <w:rPr>
                <w:rFonts w:ascii="Arial" w:cs="Arial" w:eastAsia="Arial" w:hAnsi="Arial"/>
                <w:sz w:val="16"/>
                <w:szCs w:val="16"/>
                <w:color w:val="3B3C43"/>
              </w:rPr>
              <w:t>achievement of individual performance targets (25%)</w:t>
            </w:r>
          </w:p>
        </w:tc>
        <w:tc>
          <w:tcPr>
            <w:tcW w:w="0" w:type="dxa"/>
            <w:vAlign w:val="bottom"/>
          </w:tcPr>
          <w:p>
            <w:pPr>
              <w:spacing w:after="0"/>
              <w:rPr>
                <w:sz w:val="1"/>
                <w:szCs w:val="1"/>
                <w:color w:val="auto"/>
              </w:rPr>
            </w:pPr>
          </w:p>
        </w:tc>
      </w:tr>
      <w:tr>
        <w:trPr>
          <w:trHeight w:val="264"/>
        </w:trPr>
        <w:tc>
          <w:tcPr>
            <w:tcW w:w="2380" w:type="dxa"/>
            <w:vAlign w:val="bottom"/>
            <w:shd w:val="clear" w:color="auto" w:fill="E1E1DF"/>
          </w:tcPr>
          <w:p>
            <w:pPr>
              <w:spacing w:after="0"/>
              <w:rPr>
                <w:sz w:val="22"/>
                <w:szCs w:val="22"/>
                <w:color w:val="auto"/>
              </w:rPr>
            </w:pPr>
          </w:p>
        </w:tc>
        <w:tc>
          <w:tcPr>
            <w:tcW w:w="2460" w:type="dxa"/>
            <w:vAlign w:val="bottom"/>
            <w:shd w:val="clear" w:color="auto" w:fill="E1E1DF"/>
          </w:tcPr>
          <w:p>
            <w:pPr>
              <w:spacing w:after="0"/>
              <w:rPr>
                <w:sz w:val="22"/>
                <w:szCs w:val="22"/>
                <w:color w:val="auto"/>
              </w:rPr>
            </w:pP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2020 business performance targets modified effective Q2 2020 due to the COVID-</w:t>
            </w:r>
          </w:p>
        </w:tc>
        <w:tc>
          <w:tcPr>
            <w:tcW w:w="0" w:type="dxa"/>
            <w:vAlign w:val="bottom"/>
          </w:tcPr>
          <w:p>
            <w:pPr>
              <w:spacing w:after="0"/>
              <w:rPr>
                <w:sz w:val="1"/>
                <w:szCs w:val="1"/>
                <w:color w:val="auto"/>
              </w:rPr>
            </w:pPr>
          </w:p>
        </w:tc>
      </w:tr>
      <w:tr>
        <w:trPr>
          <w:trHeight w:val="195"/>
        </w:trPr>
        <w:tc>
          <w:tcPr>
            <w:tcW w:w="2380" w:type="dxa"/>
            <w:vAlign w:val="bottom"/>
            <w:shd w:val="clear" w:color="auto" w:fill="E1E1DF"/>
          </w:tcPr>
          <w:p>
            <w:pPr>
              <w:spacing w:after="0"/>
              <w:rPr>
                <w:sz w:val="16"/>
                <w:szCs w:val="16"/>
                <w:color w:val="auto"/>
              </w:rPr>
            </w:pPr>
          </w:p>
        </w:tc>
        <w:tc>
          <w:tcPr>
            <w:tcW w:w="2460" w:type="dxa"/>
            <w:vAlign w:val="bottom"/>
            <w:shd w:val="clear" w:color="auto" w:fill="E1E1DF"/>
          </w:tcPr>
          <w:p>
            <w:pPr>
              <w:spacing w:after="0"/>
              <w:rPr>
                <w:sz w:val="16"/>
                <w:szCs w:val="16"/>
                <w:color w:val="auto"/>
              </w:rPr>
            </w:pPr>
          </w:p>
        </w:tc>
        <w:tc>
          <w:tcPr>
            <w:tcW w:w="6400" w:type="dxa"/>
            <w:vAlign w:val="bottom"/>
            <w:gridSpan w:val="2"/>
            <w:shd w:val="clear" w:color="auto" w:fill="E1E1DF"/>
          </w:tcPr>
          <w:p>
            <w:pPr>
              <w:ind w:left="320"/>
              <w:spacing w:after="0"/>
              <w:rPr>
                <w:sz w:val="20"/>
                <w:szCs w:val="20"/>
                <w:color w:val="auto"/>
              </w:rPr>
            </w:pPr>
            <w:r>
              <w:rPr>
                <w:rFonts w:ascii="Arial" w:cs="Arial" w:eastAsia="Arial" w:hAnsi="Arial"/>
                <w:sz w:val="16"/>
                <w:szCs w:val="16"/>
                <w:color w:val="3B3C43"/>
              </w:rPr>
              <w:t>19 business impact:</w:t>
            </w:r>
          </w:p>
        </w:tc>
        <w:tc>
          <w:tcPr>
            <w:tcW w:w="0" w:type="dxa"/>
            <w:vAlign w:val="bottom"/>
          </w:tcPr>
          <w:p>
            <w:pPr>
              <w:spacing w:after="0"/>
              <w:rPr>
                <w:sz w:val="1"/>
                <w:szCs w:val="1"/>
                <w:color w:val="auto"/>
              </w:rPr>
            </w:pPr>
          </w:p>
        </w:tc>
      </w:tr>
      <w:tr>
        <w:trPr>
          <w:trHeight w:val="283"/>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For Q1 2020:</w:t>
            </w:r>
          </w:p>
        </w:tc>
        <w:tc>
          <w:tcPr>
            <w:tcW w:w="0" w:type="dxa"/>
            <w:vAlign w:val="bottom"/>
          </w:tcPr>
          <w:p>
            <w:pPr>
              <w:spacing w:after="0"/>
              <w:rPr>
                <w:sz w:val="1"/>
                <w:szCs w:val="1"/>
                <w:color w:val="auto"/>
              </w:rPr>
            </w:pPr>
          </w:p>
        </w:tc>
      </w:tr>
      <w:tr>
        <w:trPr>
          <w:trHeight w:val="270"/>
        </w:trPr>
        <w:tc>
          <w:tcPr>
            <w:tcW w:w="2380" w:type="dxa"/>
            <w:vAlign w:val="bottom"/>
            <w:shd w:val="clear" w:color="auto" w:fill="E1E1DF"/>
          </w:tcPr>
          <w:p>
            <w:pPr>
              <w:spacing w:after="0"/>
              <w:rPr>
                <w:sz w:val="23"/>
                <w:szCs w:val="23"/>
                <w:color w:val="auto"/>
              </w:rPr>
            </w:pPr>
          </w:p>
        </w:tc>
        <w:tc>
          <w:tcPr>
            <w:tcW w:w="2460" w:type="dxa"/>
            <w:vAlign w:val="bottom"/>
            <w:shd w:val="clear" w:color="auto" w:fill="E1E1DF"/>
          </w:tcPr>
          <w:p>
            <w:pPr>
              <w:spacing w:after="0"/>
              <w:rPr>
                <w:sz w:val="23"/>
                <w:szCs w:val="23"/>
                <w:color w:val="auto"/>
              </w:rPr>
            </w:pP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EBITDA</w:t>
            </w:r>
          </w:p>
        </w:tc>
        <w:tc>
          <w:tcPr>
            <w:tcW w:w="0" w:type="dxa"/>
            <w:vAlign w:val="bottom"/>
          </w:tcPr>
          <w:p>
            <w:pPr>
              <w:spacing w:after="0"/>
              <w:rPr>
                <w:sz w:val="1"/>
                <w:szCs w:val="1"/>
                <w:color w:val="auto"/>
              </w:rPr>
            </w:pPr>
          </w:p>
        </w:tc>
      </w:tr>
      <w:tr>
        <w:trPr>
          <w:trHeight w:val="283"/>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EBITDA as a Percentage of Revenue</w:t>
            </w:r>
          </w:p>
        </w:tc>
        <w:tc>
          <w:tcPr>
            <w:tcW w:w="0" w:type="dxa"/>
            <w:vAlign w:val="bottom"/>
          </w:tcPr>
          <w:p>
            <w:pPr>
              <w:spacing w:after="0"/>
              <w:rPr>
                <w:sz w:val="1"/>
                <w:szCs w:val="1"/>
                <w:color w:val="auto"/>
              </w:rPr>
            </w:pPr>
          </w:p>
        </w:tc>
      </w:tr>
      <w:tr>
        <w:trPr>
          <w:trHeight w:val="283"/>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Working Capital Days</w:t>
            </w:r>
          </w:p>
        </w:tc>
        <w:tc>
          <w:tcPr>
            <w:tcW w:w="0" w:type="dxa"/>
            <w:vAlign w:val="bottom"/>
          </w:tcPr>
          <w:p>
            <w:pPr>
              <w:spacing w:after="0"/>
              <w:rPr>
                <w:sz w:val="1"/>
                <w:szCs w:val="1"/>
                <w:color w:val="auto"/>
              </w:rPr>
            </w:pPr>
          </w:p>
        </w:tc>
      </w:tr>
      <w:tr>
        <w:trPr>
          <w:trHeight w:val="270"/>
        </w:trPr>
        <w:tc>
          <w:tcPr>
            <w:tcW w:w="2380" w:type="dxa"/>
            <w:vAlign w:val="bottom"/>
            <w:shd w:val="clear" w:color="auto" w:fill="E1E1DF"/>
          </w:tcPr>
          <w:p>
            <w:pPr>
              <w:spacing w:after="0"/>
              <w:rPr>
                <w:sz w:val="23"/>
                <w:szCs w:val="23"/>
                <w:color w:val="auto"/>
              </w:rPr>
            </w:pPr>
          </w:p>
        </w:tc>
        <w:tc>
          <w:tcPr>
            <w:tcW w:w="2460" w:type="dxa"/>
            <w:vAlign w:val="bottom"/>
            <w:shd w:val="clear" w:color="auto" w:fill="E1E1DF"/>
          </w:tcPr>
          <w:p>
            <w:pPr>
              <w:spacing w:after="0"/>
              <w:rPr>
                <w:sz w:val="23"/>
                <w:szCs w:val="23"/>
                <w:color w:val="auto"/>
              </w:rPr>
            </w:pP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Measures are equally weighted</w:t>
            </w:r>
          </w:p>
        </w:tc>
        <w:tc>
          <w:tcPr>
            <w:tcW w:w="0" w:type="dxa"/>
            <w:vAlign w:val="bottom"/>
          </w:tcPr>
          <w:p>
            <w:pPr>
              <w:spacing w:after="0"/>
              <w:rPr>
                <w:sz w:val="1"/>
                <w:szCs w:val="1"/>
                <w:color w:val="auto"/>
              </w:rPr>
            </w:pPr>
          </w:p>
        </w:tc>
      </w:tr>
      <w:tr>
        <w:trPr>
          <w:trHeight w:val="283"/>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Actual payout can range from 0% to 200% of target</w:t>
            </w:r>
          </w:p>
        </w:tc>
        <w:tc>
          <w:tcPr>
            <w:tcW w:w="0" w:type="dxa"/>
            <w:vAlign w:val="bottom"/>
          </w:tcPr>
          <w:p>
            <w:pPr>
              <w:spacing w:after="0"/>
              <w:rPr>
                <w:sz w:val="1"/>
                <w:szCs w:val="1"/>
                <w:color w:val="auto"/>
              </w:rPr>
            </w:pPr>
          </w:p>
        </w:tc>
      </w:tr>
      <w:tr>
        <w:trPr>
          <w:trHeight w:val="283"/>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For Q2-Q4 2020:</w:t>
            </w:r>
          </w:p>
        </w:tc>
        <w:tc>
          <w:tcPr>
            <w:tcW w:w="0" w:type="dxa"/>
            <w:vAlign w:val="bottom"/>
          </w:tcPr>
          <w:p>
            <w:pPr>
              <w:spacing w:after="0"/>
              <w:rPr>
                <w:sz w:val="1"/>
                <w:szCs w:val="1"/>
                <w:color w:val="auto"/>
              </w:rPr>
            </w:pPr>
          </w:p>
        </w:tc>
      </w:tr>
      <w:tr>
        <w:trPr>
          <w:trHeight w:val="264"/>
        </w:trPr>
        <w:tc>
          <w:tcPr>
            <w:tcW w:w="2380" w:type="dxa"/>
            <w:vAlign w:val="bottom"/>
            <w:shd w:val="clear" w:color="auto" w:fill="E1E1DF"/>
          </w:tcPr>
          <w:p>
            <w:pPr>
              <w:spacing w:after="0"/>
              <w:rPr>
                <w:sz w:val="22"/>
                <w:szCs w:val="22"/>
                <w:color w:val="auto"/>
              </w:rPr>
            </w:pPr>
          </w:p>
        </w:tc>
        <w:tc>
          <w:tcPr>
            <w:tcW w:w="2460" w:type="dxa"/>
            <w:vAlign w:val="bottom"/>
            <w:shd w:val="clear" w:color="auto" w:fill="E1E1DF"/>
          </w:tcPr>
          <w:p>
            <w:pPr>
              <w:spacing w:after="0"/>
              <w:rPr>
                <w:sz w:val="22"/>
                <w:szCs w:val="22"/>
                <w:color w:val="auto"/>
              </w:rPr>
            </w:pPr>
          </w:p>
        </w:tc>
        <w:tc>
          <w:tcPr>
            <w:tcW w:w="6400" w:type="dxa"/>
            <w:vAlign w:val="bottom"/>
            <w:gridSpan w:val="2"/>
            <w:shd w:val="clear" w:color="auto" w:fill="E1E1DF"/>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2020 business performance targets modified effective Q2 2020 due to the COVID-</w:t>
            </w:r>
          </w:p>
        </w:tc>
        <w:tc>
          <w:tcPr>
            <w:tcW w:w="0" w:type="dxa"/>
            <w:vAlign w:val="bottom"/>
          </w:tcPr>
          <w:p>
            <w:pPr>
              <w:spacing w:after="0"/>
              <w:rPr>
                <w:sz w:val="1"/>
                <w:szCs w:val="1"/>
                <w:color w:val="auto"/>
              </w:rPr>
            </w:pPr>
          </w:p>
        </w:tc>
      </w:tr>
      <w:tr>
        <w:trPr>
          <w:trHeight w:val="195"/>
        </w:trPr>
        <w:tc>
          <w:tcPr>
            <w:tcW w:w="2380" w:type="dxa"/>
            <w:vAlign w:val="bottom"/>
            <w:shd w:val="clear" w:color="auto" w:fill="E1E1DF"/>
          </w:tcPr>
          <w:p>
            <w:pPr>
              <w:spacing w:after="0"/>
              <w:rPr>
                <w:sz w:val="16"/>
                <w:szCs w:val="16"/>
                <w:color w:val="auto"/>
              </w:rPr>
            </w:pPr>
          </w:p>
        </w:tc>
        <w:tc>
          <w:tcPr>
            <w:tcW w:w="2460" w:type="dxa"/>
            <w:vAlign w:val="bottom"/>
            <w:shd w:val="clear" w:color="auto" w:fill="E1E1DF"/>
          </w:tcPr>
          <w:p>
            <w:pPr>
              <w:spacing w:after="0"/>
              <w:rPr>
                <w:sz w:val="16"/>
                <w:szCs w:val="16"/>
                <w:color w:val="auto"/>
              </w:rPr>
            </w:pPr>
          </w:p>
        </w:tc>
        <w:tc>
          <w:tcPr>
            <w:tcW w:w="6400" w:type="dxa"/>
            <w:vAlign w:val="bottom"/>
            <w:gridSpan w:val="2"/>
            <w:shd w:val="clear" w:color="auto" w:fill="E1E1DF"/>
          </w:tcPr>
          <w:p>
            <w:pPr>
              <w:ind w:left="320"/>
              <w:spacing w:after="0"/>
              <w:rPr>
                <w:sz w:val="20"/>
                <w:szCs w:val="20"/>
                <w:color w:val="auto"/>
              </w:rPr>
            </w:pPr>
            <w:r>
              <w:rPr>
                <w:rFonts w:ascii="Arial" w:cs="Arial" w:eastAsia="Arial" w:hAnsi="Arial"/>
                <w:sz w:val="16"/>
                <w:szCs w:val="16"/>
                <w:color w:val="3B3C43"/>
              </w:rPr>
              <w:t>19 business impact:</w:t>
            </w:r>
          </w:p>
        </w:tc>
        <w:tc>
          <w:tcPr>
            <w:tcW w:w="0" w:type="dxa"/>
            <w:vAlign w:val="bottom"/>
          </w:tcPr>
          <w:p>
            <w:pPr>
              <w:spacing w:after="0"/>
              <w:rPr>
                <w:sz w:val="1"/>
                <w:szCs w:val="1"/>
                <w:color w:val="auto"/>
              </w:rPr>
            </w:pPr>
          </w:p>
        </w:tc>
      </w:tr>
      <w:tr>
        <w:trPr>
          <w:trHeight w:val="276"/>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560" w:type="dxa"/>
            <w:vAlign w:val="bottom"/>
            <w:shd w:val="clear" w:color="auto" w:fill="E1E1DF"/>
          </w:tcPr>
          <w:p>
            <w:pPr>
              <w:ind w:left="340"/>
              <w:spacing w:after="0"/>
              <w:rPr>
                <w:sz w:val="20"/>
                <w:szCs w:val="20"/>
                <w:color w:val="auto"/>
              </w:rPr>
            </w:pPr>
            <w:r>
              <w:rPr>
                <w:rFonts w:ascii="Arial" w:cs="Arial" w:eastAsia="Arial" w:hAnsi="Arial"/>
                <w:sz w:val="16"/>
                <w:szCs w:val="16"/>
                <w:color w:val="00ACE8"/>
              </w:rPr>
              <w:t>►</w:t>
            </w:r>
          </w:p>
        </w:tc>
        <w:tc>
          <w:tcPr>
            <w:tcW w:w="5840" w:type="dxa"/>
            <w:vAlign w:val="bottom"/>
            <w:shd w:val="clear" w:color="auto" w:fill="E1E1DF"/>
          </w:tcPr>
          <w:p>
            <w:pPr>
              <w:spacing w:after="0"/>
              <w:rPr>
                <w:sz w:val="20"/>
                <w:szCs w:val="20"/>
                <w:color w:val="auto"/>
              </w:rPr>
            </w:pPr>
            <w:r>
              <w:rPr>
                <w:rFonts w:ascii="Arial" w:cs="Arial" w:eastAsia="Arial" w:hAnsi="Arial"/>
                <w:sz w:val="16"/>
                <w:szCs w:val="16"/>
                <w:color w:val="3B3C43"/>
              </w:rPr>
              <w:t>For Q1 2020:</w:t>
            </w:r>
          </w:p>
        </w:tc>
        <w:tc>
          <w:tcPr>
            <w:tcW w:w="0" w:type="dxa"/>
            <w:vAlign w:val="bottom"/>
          </w:tcPr>
          <w:p>
            <w:pPr>
              <w:spacing w:after="0"/>
              <w:rPr>
                <w:sz w:val="1"/>
                <w:szCs w:val="1"/>
                <w:color w:val="auto"/>
              </w:rPr>
            </w:pPr>
          </w:p>
        </w:tc>
      </w:tr>
      <w:tr>
        <w:trPr>
          <w:trHeight w:val="283"/>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560" w:type="dxa"/>
            <w:vAlign w:val="bottom"/>
            <w:shd w:val="clear" w:color="auto" w:fill="E1E1DF"/>
          </w:tcPr>
          <w:p>
            <w:pPr>
              <w:spacing w:after="0"/>
              <w:rPr>
                <w:sz w:val="24"/>
                <w:szCs w:val="24"/>
                <w:color w:val="auto"/>
              </w:rPr>
            </w:pPr>
          </w:p>
        </w:tc>
        <w:tc>
          <w:tcPr>
            <w:tcW w:w="5840" w:type="dxa"/>
            <w:vAlign w:val="bottom"/>
            <w:shd w:val="clear" w:color="auto" w:fill="E1E1DF"/>
          </w:tcPr>
          <w:p>
            <w:pPr>
              <w:ind w:left="20"/>
              <w:spacing w:after="0"/>
              <w:rPr>
                <w:sz w:val="20"/>
                <w:szCs w:val="20"/>
                <w:color w:val="auto"/>
              </w:rPr>
            </w:pPr>
            <w:r>
              <w:rPr>
                <w:rFonts w:ascii="Arial" w:cs="Arial" w:eastAsia="Arial" w:hAnsi="Arial"/>
                <w:sz w:val="16"/>
                <w:szCs w:val="16"/>
                <w:color w:val="00ACE8"/>
              </w:rPr>
              <w:t xml:space="preserve">► </w:t>
            </w:r>
            <w:r>
              <w:rPr>
                <w:rFonts w:ascii="Arial" w:cs="Arial" w:eastAsia="Arial" w:hAnsi="Arial"/>
                <w:sz w:val="16"/>
                <w:szCs w:val="16"/>
                <w:color w:val="3B3C43"/>
              </w:rPr>
              <w:t>EBITDA</w:t>
            </w:r>
          </w:p>
        </w:tc>
        <w:tc>
          <w:tcPr>
            <w:tcW w:w="0" w:type="dxa"/>
            <w:vAlign w:val="bottom"/>
          </w:tcPr>
          <w:p>
            <w:pPr>
              <w:spacing w:after="0"/>
              <w:rPr>
                <w:sz w:val="1"/>
                <w:szCs w:val="1"/>
                <w:color w:val="auto"/>
              </w:rPr>
            </w:pPr>
          </w:p>
        </w:tc>
      </w:tr>
      <w:tr>
        <w:trPr>
          <w:trHeight w:val="270"/>
        </w:trPr>
        <w:tc>
          <w:tcPr>
            <w:tcW w:w="2380" w:type="dxa"/>
            <w:vAlign w:val="bottom"/>
            <w:shd w:val="clear" w:color="auto" w:fill="E1E1DF"/>
          </w:tcPr>
          <w:p>
            <w:pPr>
              <w:spacing w:after="0"/>
              <w:rPr>
                <w:sz w:val="23"/>
                <w:szCs w:val="23"/>
                <w:color w:val="auto"/>
              </w:rPr>
            </w:pPr>
          </w:p>
        </w:tc>
        <w:tc>
          <w:tcPr>
            <w:tcW w:w="2460" w:type="dxa"/>
            <w:vAlign w:val="bottom"/>
            <w:shd w:val="clear" w:color="auto" w:fill="E1E1DF"/>
          </w:tcPr>
          <w:p>
            <w:pPr>
              <w:spacing w:after="0"/>
              <w:rPr>
                <w:sz w:val="23"/>
                <w:szCs w:val="23"/>
                <w:color w:val="auto"/>
              </w:rPr>
            </w:pPr>
          </w:p>
        </w:tc>
        <w:tc>
          <w:tcPr>
            <w:tcW w:w="560" w:type="dxa"/>
            <w:vAlign w:val="bottom"/>
            <w:shd w:val="clear" w:color="auto" w:fill="E1E1DF"/>
          </w:tcPr>
          <w:p>
            <w:pPr>
              <w:spacing w:after="0"/>
              <w:rPr>
                <w:sz w:val="23"/>
                <w:szCs w:val="23"/>
                <w:color w:val="auto"/>
              </w:rPr>
            </w:pPr>
          </w:p>
        </w:tc>
        <w:tc>
          <w:tcPr>
            <w:tcW w:w="5840" w:type="dxa"/>
            <w:vAlign w:val="bottom"/>
            <w:shd w:val="clear" w:color="auto" w:fill="E1E1DF"/>
          </w:tcPr>
          <w:p>
            <w:pPr>
              <w:ind w:left="20"/>
              <w:spacing w:after="0"/>
              <w:rPr>
                <w:sz w:val="20"/>
                <w:szCs w:val="20"/>
                <w:color w:val="auto"/>
              </w:rPr>
            </w:pPr>
            <w:r>
              <w:rPr>
                <w:rFonts w:ascii="Arial" w:cs="Arial" w:eastAsia="Arial" w:hAnsi="Arial"/>
                <w:sz w:val="16"/>
                <w:szCs w:val="16"/>
                <w:color w:val="00ACE8"/>
              </w:rPr>
              <w:t xml:space="preserve">► </w:t>
            </w:r>
            <w:r>
              <w:rPr>
                <w:rFonts w:ascii="Arial" w:cs="Arial" w:eastAsia="Arial" w:hAnsi="Arial"/>
                <w:sz w:val="16"/>
                <w:szCs w:val="16"/>
                <w:color w:val="3B3C43"/>
              </w:rPr>
              <w:t>EBITDA as a Percentage of Revenue</w:t>
            </w:r>
          </w:p>
        </w:tc>
        <w:tc>
          <w:tcPr>
            <w:tcW w:w="0" w:type="dxa"/>
            <w:vAlign w:val="bottom"/>
          </w:tcPr>
          <w:p>
            <w:pPr>
              <w:spacing w:after="0"/>
              <w:rPr>
                <w:sz w:val="1"/>
                <w:szCs w:val="1"/>
                <w:color w:val="auto"/>
              </w:rPr>
            </w:pPr>
          </w:p>
        </w:tc>
      </w:tr>
      <w:tr>
        <w:trPr>
          <w:trHeight w:val="284"/>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560" w:type="dxa"/>
            <w:vAlign w:val="bottom"/>
            <w:shd w:val="clear" w:color="auto" w:fill="E1E1DF"/>
          </w:tcPr>
          <w:p>
            <w:pPr>
              <w:spacing w:after="0"/>
              <w:rPr>
                <w:sz w:val="24"/>
                <w:szCs w:val="24"/>
                <w:color w:val="auto"/>
              </w:rPr>
            </w:pPr>
          </w:p>
        </w:tc>
        <w:tc>
          <w:tcPr>
            <w:tcW w:w="5840" w:type="dxa"/>
            <w:vAlign w:val="bottom"/>
            <w:shd w:val="clear" w:color="auto" w:fill="E1E1DF"/>
          </w:tcPr>
          <w:p>
            <w:pPr>
              <w:ind w:left="20"/>
              <w:spacing w:after="0"/>
              <w:rPr>
                <w:sz w:val="20"/>
                <w:szCs w:val="20"/>
                <w:color w:val="auto"/>
              </w:rPr>
            </w:pPr>
            <w:r>
              <w:rPr>
                <w:rFonts w:ascii="Arial" w:cs="Arial" w:eastAsia="Arial" w:hAnsi="Arial"/>
                <w:sz w:val="16"/>
                <w:szCs w:val="16"/>
                <w:color w:val="00ACE8"/>
              </w:rPr>
              <w:t xml:space="preserve">► </w:t>
            </w:r>
            <w:r>
              <w:rPr>
                <w:rFonts w:ascii="Arial" w:cs="Arial" w:eastAsia="Arial" w:hAnsi="Arial"/>
                <w:sz w:val="16"/>
                <w:szCs w:val="16"/>
                <w:color w:val="3B3C43"/>
              </w:rPr>
              <w:t>Working Capital Days</w:t>
            </w:r>
          </w:p>
        </w:tc>
        <w:tc>
          <w:tcPr>
            <w:tcW w:w="0" w:type="dxa"/>
            <w:vAlign w:val="bottom"/>
          </w:tcPr>
          <w:p>
            <w:pPr>
              <w:spacing w:after="0"/>
              <w:rPr>
                <w:sz w:val="1"/>
                <w:szCs w:val="1"/>
                <w:color w:val="auto"/>
              </w:rPr>
            </w:pPr>
          </w:p>
        </w:tc>
      </w:tr>
      <w:tr>
        <w:trPr>
          <w:trHeight w:val="283"/>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560" w:type="dxa"/>
            <w:vAlign w:val="bottom"/>
            <w:shd w:val="clear" w:color="auto" w:fill="E1E1DF"/>
          </w:tcPr>
          <w:p>
            <w:pPr>
              <w:spacing w:after="0"/>
              <w:rPr>
                <w:sz w:val="24"/>
                <w:szCs w:val="24"/>
                <w:color w:val="auto"/>
              </w:rPr>
            </w:pPr>
          </w:p>
        </w:tc>
        <w:tc>
          <w:tcPr>
            <w:tcW w:w="5840" w:type="dxa"/>
            <w:vAlign w:val="bottom"/>
            <w:shd w:val="clear" w:color="auto" w:fill="E1E1DF"/>
          </w:tcPr>
          <w:p>
            <w:pPr>
              <w:ind w:left="20"/>
              <w:spacing w:after="0"/>
              <w:rPr>
                <w:sz w:val="20"/>
                <w:szCs w:val="20"/>
                <w:color w:val="auto"/>
              </w:rPr>
            </w:pPr>
            <w:r>
              <w:rPr>
                <w:rFonts w:ascii="Arial" w:cs="Arial" w:eastAsia="Arial" w:hAnsi="Arial"/>
                <w:sz w:val="16"/>
                <w:szCs w:val="16"/>
                <w:color w:val="00ACE8"/>
              </w:rPr>
              <w:t xml:space="preserve">► </w:t>
            </w:r>
            <w:r>
              <w:rPr>
                <w:rFonts w:ascii="Arial" w:cs="Arial" w:eastAsia="Arial" w:hAnsi="Arial"/>
                <w:sz w:val="16"/>
                <w:szCs w:val="16"/>
                <w:color w:val="3B3C43"/>
              </w:rPr>
              <w:t>Measures are equally weighted</w:t>
            </w:r>
          </w:p>
        </w:tc>
        <w:tc>
          <w:tcPr>
            <w:tcW w:w="0" w:type="dxa"/>
            <w:vAlign w:val="bottom"/>
          </w:tcPr>
          <w:p>
            <w:pPr>
              <w:spacing w:after="0"/>
              <w:rPr>
                <w:sz w:val="1"/>
                <w:szCs w:val="1"/>
                <w:color w:val="auto"/>
              </w:rPr>
            </w:pPr>
          </w:p>
        </w:tc>
      </w:tr>
      <w:tr>
        <w:trPr>
          <w:trHeight w:val="270"/>
        </w:trPr>
        <w:tc>
          <w:tcPr>
            <w:tcW w:w="2380" w:type="dxa"/>
            <w:vAlign w:val="bottom"/>
            <w:shd w:val="clear" w:color="auto" w:fill="E1E1DF"/>
          </w:tcPr>
          <w:p>
            <w:pPr>
              <w:spacing w:after="0"/>
              <w:rPr>
                <w:sz w:val="23"/>
                <w:szCs w:val="23"/>
                <w:color w:val="auto"/>
              </w:rPr>
            </w:pPr>
          </w:p>
        </w:tc>
        <w:tc>
          <w:tcPr>
            <w:tcW w:w="2460" w:type="dxa"/>
            <w:vAlign w:val="bottom"/>
            <w:shd w:val="clear" w:color="auto" w:fill="E1E1DF"/>
          </w:tcPr>
          <w:p>
            <w:pPr>
              <w:spacing w:after="0"/>
              <w:rPr>
                <w:sz w:val="23"/>
                <w:szCs w:val="23"/>
                <w:color w:val="auto"/>
              </w:rPr>
            </w:pPr>
          </w:p>
        </w:tc>
        <w:tc>
          <w:tcPr>
            <w:tcW w:w="560" w:type="dxa"/>
            <w:vAlign w:val="bottom"/>
            <w:shd w:val="clear" w:color="auto" w:fill="E1E1DF"/>
          </w:tcPr>
          <w:p>
            <w:pPr>
              <w:spacing w:after="0"/>
              <w:rPr>
                <w:sz w:val="23"/>
                <w:szCs w:val="23"/>
                <w:color w:val="auto"/>
              </w:rPr>
            </w:pPr>
          </w:p>
        </w:tc>
        <w:tc>
          <w:tcPr>
            <w:tcW w:w="5840" w:type="dxa"/>
            <w:vAlign w:val="bottom"/>
            <w:shd w:val="clear" w:color="auto" w:fill="E1E1DF"/>
          </w:tcPr>
          <w:p>
            <w:pPr>
              <w:ind w:left="20"/>
              <w:spacing w:after="0"/>
              <w:rPr>
                <w:sz w:val="20"/>
                <w:szCs w:val="20"/>
                <w:color w:val="auto"/>
              </w:rPr>
            </w:pPr>
            <w:r>
              <w:rPr>
                <w:rFonts w:ascii="Arial" w:cs="Arial" w:eastAsia="Arial" w:hAnsi="Arial"/>
                <w:sz w:val="16"/>
                <w:szCs w:val="16"/>
                <w:color w:val="00ACE8"/>
              </w:rPr>
              <w:t xml:space="preserve">► </w:t>
            </w:r>
            <w:r>
              <w:rPr>
                <w:rFonts w:ascii="Arial" w:cs="Arial" w:eastAsia="Arial" w:hAnsi="Arial"/>
                <w:sz w:val="16"/>
                <w:szCs w:val="16"/>
                <w:color w:val="3B3C43"/>
              </w:rPr>
              <w:t>Actual payout can range from 0% to 200% of target</w:t>
            </w:r>
          </w:p>
        </w:tc>
        <w:tc>
          <w:tcPr>
            <w:tcW w:w="0" w:type="dxa"/>
            <w:vAlign w:val="bottom"/>
          </w:tcPr>
          <w:p>
            <w:pPr>
              <w:spacing w:after="0"/>
              <w:rPr>
                <w:sz w:val="1"/>
                <w:szCs w:val="1"/>
                <w:color w:val="auto"/>
              </w:rPr>
            </w:pPr>
          </w:p>
        </w:tc>
      </w:tr>
      <w:tr>
        <w:trPr>
          <w:trHeight w:val="283"/>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560" w:type="dxa"/>
            <w:vAlign w:val="bottom"/>
            <w:shd w:val="clear" w:color="auto" w:fill="E1E1DF"/>
          </w:tcPr>
          <w:p>
            <w:pPr>
              <w:ind w:left="340"/>
              <w:spacing w:after="0"/>
              <w:rPr>
                <w:sz w:val="20"/>
                <w:szCs w:val="20"/>
                <w:color w:val="auto"/>
              </w:rPr>
            </w:pPr>
            <w:r>
              <w:rPr>
                <w:rFonts w:ascii="Arial" w:cs="Arial" w:eastAsia="Arial" w:hAnsi="Arial"/>
                <w:sz w:val="16"/>
                <w:szCs w:val="16"/>
                <w:color w:val="00ACE8"/>
              </w:rPr>
              <w:t>►</w:t>
            </w:r>
          </w:p>
        </w:tc>
        <w:tc>
          <w:tcPr>
            <w:tcW w:w="5840" w:type="dxa"/>
            <w:vAlign w:val="bottom"/>
            <w:shd w:val="clear" w:color="auto" w:fill="E1E1DF"/>
          </w:tcPr>
          <w:p>
            <w:pPr>
              <w:spacing w:after="0"/>
              <w:rPr>
                <w:sz w:val="20"/>
                <w:szCs w:val="20"/>
                <w:color w:val="auto"/>
              </w:rPr>
            </w:pPr>
            <w:r>
              <w:rPr>
                <w:rFonts w:ascii="Arial" w:cs="Arial" w:eastAsia="Arial" w:hAnsi="Arial"/>
                <w:sz w:val="16"/>
                <w:szCs w:val="16"/>
                <w:color w:val="3B3C43"/>
              </w:rPr>
              <w:t>For Q2-Q4 2020:</w:t>
            </w:r>
          </w:p>
        </w:tc>
        <w:tc>
          <w:tcPr>
            <w:tcW w:w="0" w:type="dxa"/>
            <w:vAlign w:val="bottom"/>
          </w:tcPr>
          <w:p>
            <w:pPr>
              <w:spacing w:after="0"/>
              <w:rPr>
                <w:sz w:val="1"/>
                <w:szCs w:val="1"/>
                <w:color w:val="auto"/>
              </w:rPr>
            </w:pPr>
          </w:p>
        </w:tc>
      </w:tr>
      <w:tr>
        <w:trPr>
          <w:trHeight w:val="270"/>
        </w:trPr>
        <w:tc>
          <w:tcPr>
            <w:tcW w:w="2380" w:type="dxa"/>
            <w:vAlign w:val="bottom"/>
            <w:shd w:val="clear" w:color="auto" w:fill="E1E1DF"/>
          </w:tcPr>
          <w:p>
            <w:pPr>
              <w:spacing w:after="0"/>
              <w:rPr>
                <w:sz w:val="23"/>
                <w:szCs w:val="23"/>
                <w:color w:val="auto"/>
              </w:rPr>
            </w:pPr>
          </w:p>
        </w:tc>
        <w:tc>
          <w:tcPr>
            <w:tcW w:w="2460" w:type="dxa"/>
            <w:vAlign w:val="bottom"/>
            <w:shd w:val="clear" w:color="auto" w:fill="E1E1DF"/>
          </w:tcPr>
          <w:p>
            <w:pPr>
              <w:spacing w:after="0"/>
              <w:rPr>
                <w:sz w:val="23"/>
                <w:szCs w:val="23"/>
                <w:color w:val="auto"/>
              </w:rPr>
            </w:pPr>
          </w:p>
        </w:tc>
        <w:tc>
          <w:tcPr>
            <w:tcW w:w="560" w:type="dxa"/>
            <w:vAlign w:val="bottom"/>
            <w:shd w:val="clear" w:color="auto" w:fill="E1E1DF"/>
          </w:tcPr>
          <w:p>
            <w:pPr>
              <w:spacing w:after="0"/>
              <w:rPr>
                <w:sz w:val="23"/>
                <w:szCs w:val="23"/>
                <w:color w:val="auto"/>
              </w:rPr>
            </w:pPr>
          </w:p>
        </w:tc>
        <w:tc>
          <w:tcPr>
            <w:tcW w:w="5840" w:type="dxa"/>
            <w:vAlign w:val="bottom"/>
            <w:shd w:val="clear" w:color="auto" w:fill="E1E1DF"/>
          </w:tcPr>
          <w:p>
            <w:pPr>
              <w:ind w:left="20"/>
              <w:spacing w:after="0"/>
              <w:rPr>
                <w:sz w:val="20"/>
                <w:szCs w:val="20"/>
                <w:color w:val="auto"/>
              </w:rPr>
            </w:pPr>
            <w:r>
              <w:rPr>
                <w:rFonts w:ascii="Arial" w:cs="Arial" w:eastAsia="Arial" w:hAnsi="Arial"/>
                <w:sz w:val="16"/>
                <w:szCs w:val="16"/>
                <w:color w:val="00ACE8"/>
              </w:rPr>
              <w:t xml:space="preserve">► </w:t>
            </w:r>
            <w:r>
              <w:rPr>
                <w:rFonts w:ascii="Arial" w:cs="Arial" w:eastAsia="Arial" w:hAnsi="Arial"/>
                <w:sz w:val="16"/>
                <w:szCs w:val="16"/>
                <w:color w:val="3B3C43"/>
              </w:rPr>
              <w:t>Incremental Cost Savings</w:t>
            </w:r>
          </w:p>
        </w:tc>
        <w:tc>
          <w:tcPr>
            <w:tcW w:w="0" w:type="dxa"/>
            <w:vAlign w:val="bottom"/>
          </w:tcPr>
          <w:p>
            <w:pPr>
              <w:spacing w:after="0"/>
              <w:rPr>
                <w:sz w:val="1"/>
                <w:szCs w:val="1"/>
                <w:color w:val="auto"/>
              </w:rPr>
            </w:pPr>
          </w:p>
        </w:tc>
      </w:tr>
      <w:tr>
        <w:trPr>
          <w:trHeight w:val="284"/>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560" w:type="dxa"/>
            <w:vAlign w:val="bottom"/>
            <w:shd w:val="clear" w:color="auto" w:fill="E1E1DF"/>
          </w:tcPr>
          <w:p>
            <w:pPr>
              <w:spacing w:after="0"/>
              <w:rPr>
                <w:sz w:val="24"/>
                <w:szCs w:val="24"/>
                <w:color w:val="auto"/>
              </w:rPr>
            </w:pPr>
          </w:p>
        </w:tc>
        <w:tc>
          <w:tcPr>
            <w:tcW w:w="5840" w:type="dxa"/>
            <w:vAlign w:val="bottom"/>
            <w:shd w:val="clear" w:color="auto" w:fill="E1E1DF"/>
          </w:tcPr>
          <w:p>
            <w:pPr>
              <w:ind w:left="20"/>
              <w:spacing w:after="0"/>
              <w:rPr>
                <w:sz w:val="20"/>
                <w:szCs w:val="20"/>
                <w:color w:val="auto"/>
              </w:rPr>
            </w:pPr>
            <w:r>
              <w:rPr>
                <w:rFonts w:ascii="Arial" w:cs="Arial" w:eastAsia="Arial" w:hAnsi="Arial"/>
                <w:sz w:val="16"/>
                <w:szCs w:val="16"/>
                <w:color w:val="00ACE8"/>
              </w:rPr>
              <w:t xml:space="preserve">► </w:t>
            </w:r>
            <w:r>
              <w:rPr>
                <w:rFonts w:ascii="Arial" w:cs="Arial" w:eastAsia="Arial" w:hAnsi="Arial"/>
                <w:sz w:val="16"/>
                <w:szCs w:val="16"/>
                <w:color w:val="3B3C43"/>
              </w:rPr>
              <w:t>Free Cash Flow Conversion</w:t>
            </w:r>
          </w:p>
        </w:tc>
        <w:tc>
          <w:tcPr>
            <w:tcW w:w="0" w:type="dxa"/>
            <w:vAlign w:val="bottom"/>
          </w:tcPr>
          <w:p>
            <w:pPr>
              <w:spacing w:after="0"/>
              <w:rPr>
                <w:sz w:val="1"/>
                <w:szCs w:val="1"/>
                <w:color w:val="auto"/>
              </w:rPr>
            </w:pPr>
          </w:p>
        </w:tc>
      </w:tr>
      <w:tr>
        <w:trPr>
          <w:trHeight w:val="283"/>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560" w:type="dxa"/>
            <w:vAlign w:val="bottom"/>
            <w:shd w:val="clear" w:color="auto" w:fill="E1E1DF"/>
          </w:tcPr>
          <w:p>
            <w:pPr>
              <w:spacing w:after="0"/>
              <w:rPr>
                <w:sz w:val="24"/>
                <w:szCs w:val="24"/>
                <w:color w:val="auto"/>
              </w:rPr>
            </w:pPr>
          </w:p>
        </w:tc>
        <w:tc>
          <w:tcPr>
            <w:tcW w:w="5840" w:type="dxa"/>
            <w:vAlign w:val="bottom"/>
            <w:shd w:val="clear" w:color="auto" w:fill="E1E1DF"/>
          </w:tcPr>
          <w:p>
            <w:pPr>
              <w:ind w:left="20"/>
              <w:spacing w:after="0"/>
              <w:rPr>
                <w:sz w:val="20"/>
                <w:szCs w:val="20"/>
                <w:color w:val="auto"/>
              </w:rPr>
            </w:pPr>
            <w:r>
              <w:rPr>
                <w:rFonts w:ascii="Arial" w:cs="Arial" w:eastAsia="Arial" w:hAnsi="Arial"/>
                <w:sz w:val="16"/>
                <w:szCs w:val="16"/>
                <w:color w:val="00ACE8"/>
              </w:rPr>
              <w:t xml:space="preserve">► </w:t>
            </w:r>
            <w:r>
              <w:rPr>
                <w:rFonts w:ascii="Arial" w:cs="Arial" w:eastAsia="Arial" w:hAnsi="Arial"/>
                <w:sz w:val="16"/>
                <w:szCs w:val="16"/>
                <w:color w:val="3B3C43"/>
              </w:rPr>
              <w:t>Measures are equally weighted</w:t>
            </w:r>
          </w:p>
        </w:tc>
        <w:tc>
          <w:tcPr>
            <w:tcW w:w="0" w:type="dxa"/>
            <w:vAlign w:val="bottom"/>
          </w:tcPr>
          <w:p>
            <w:pPr>
              <w:spacing w:after="0"/>
              <w:rPr>
                <w:sz w:val="1"/>
                <w:szCs w:val="1"/>
                <w:color w:val="auto"/>
              </w:rPr>
            </w:pPr>
          </w:p>
        </w:tc>
      </w:tr>
      <w:tr>
        <w:trPr>
          <w:trHeight w:val="272"/>
        </w:trPr>
        <w:tc>
          <w:tcPr>
            <w:tcW w:w="2380" w:type="dxa"/>
            <w:vAlign w:val="bottom"/>
            <w:shd w:val="clear" w:color="auto" w:fill="E1E1DF"/>
          </w:tcPr>
          <w:p>
            <w:pPr>
              <w:spacing w:after="0"/>
              <w:rPr>
                <w:sz w:val="23"/>
                <w:szCs w:val="23"/>
                <w:color w:val="auto"/>
              </w:rPr>
            </w:pPr>
          </w:p>
        </w:tc>
        <w:tc>
          <w:tcPr>
            <w:tcW w:w="2460" w:type="dxa"/>
            <w:vAlign w:val="bottom"/>
            <w:shd w:val="clear" w:color="auto" w:fill="E1E1DF"/>
          </w:tcPr>
          <w:p>
            <w:pPr>
              <w:spacing w:after="0"/>
              <w:rPr>
                <w:sz w:val="23"/>
                <w:szCs w:val="23"/>
                <w:color w:val="auto"/>
              </w:rPr>
            </w:pPr>
          </w:p>
        </w:tc>
        <w:tc>
          <w:tcPr>
            <w:tcW w:w="560" w:type="dxa"/>
            <w:vAlign w:val="bottom"/>
            <w:shd w:val="clear" w:color="auto" w:fill="E1E1DF"/>
          </w:tcPr>
          <w:p>
            <w:pPr>
              <w:ind w:left="340"/>
              <w:spacing w:after="0"/>
              <w:rPr>
                <w:sz w:val="20"/>
                <w:szCs w:val="20"/>
                <w:color w:val="auto"/>
              </w:rPr>
            </w:pPr>
            <w:r>
              <w:rPr>
                <w:rFonts w:ascii="Arial" w:cs="Arial" w:eastAsia="Arial" w:hAnsi="Arial"/>
                <w:sz w:val="16"/>
                <w:szCs w:val="16"/>
                <w:color w:val="00ACE8"/>
              </w:rPr>
              <w:t>►</w:t>
            </w:r>
          </w:p>
        </w:tc>
        <w:tc>
          <w:tcPr>
            <w:tcW w:w="5840" w:type="dxa"/>
            <w:vAlign w:val="bottom"/>
            <w:shd w:val="clear" w:color="auto" w:fill="E1E1DF"/>
          </w:tcPr>
          <w:p>
            <w:pPr>
              <w:spacing w:after="0"/>
              <w:rPr>
                <w:sz w:val="20"/>
                <w:szCs w:val="20"/>
                <w:color w:val="auto"/>
              </w:rPr>
            </w:pPr>
            <w:r>
              <w:rPr>
                <w:rFonts w:ascii="Arial" w:cs="Arial" w:eastAsia="Arial" w:hAnsi="Arial"/>
                <w:sz w:val="16"/>
                <w:szCs w:val="16"/>
                <w:color w:val="3B3C43"/>
              </w:rPr>
              <w:t>Actual payout can range from 0% to 100% of target;payout capped at target to</w:t>
            </w:r>
          </w:p>
        </w:tc>
        <w:tc>
          <w:tcPr>
            <w:tcW w:w="0" w:type="dxa"/>
            <w:vAlign w:val="bottom"/>
          </w:tcPr>
          <w:p>
            <w:pPr>
              <w:spacing w:after="0"/>
              <w:rPr>
                <w:sz w:val="1"/>
                <w:szCs w:val="1"/>
                <w:color w:val="auto"/>
              </w:rPr>
            </w:pPr>
          </w:p>
        </w:tc>
      </w:tr>
      <w:tr>
        <w:trPr>
          <w:trHeight w:val="187"/>
        </w:trPr>
        <w:tc>
          <w:tcPr>
            <w:tcW w:w="2380" w:type="dxa"/>
            <w:vAlign w:val="bottom"/>
            <w:shd w:val="clear" w:color="auto" w:fill="E1E1DF"/>
          </w:tcPr>
          <w:p>
            <w:pPr>
              <w:spacing w:after="0"/>
              <w:rPr>
                <w:sz w:val="16"/>
                <w:szCs w:val="16"/>
                <w:color w:val="auto"/>
              </w:rPr>
            </w:pPr>
          </w:p>
        </w:tc>
        <w:tc>
          <w:tcPr>
            <w:tcW w:w="2460" w:type="dxa"/>
            <w:vAlign w:val="bottom"/>
            <w:shd w:val="clear" w:color="auto" w:fill="E1E1DF"/>
          </w:tcPr>
          <w:p>
            <w:pPr>
              <w:spacing w:after="0"/>
              <w:rPr>
                <w:sz w:val="16"/>
                <w:szCs w:val="16"/>
                <w:color w:val="auto"/>
              </w:rPr>
            </w:pPr>
          </w:p>
        </w:tc>
        <w:tc>
          <w:tcPr>
            <w:tcW w:w="560" w:type="dxa"/>
            <w:vAlign w:val="bottom"/>
            <w:shd w:val="clear" w:color="auto" w:fill="E1E1DF"/>
          </w:tcPr>
          <w:p>
            <w:pPr>
              <w:spacing w:after="0"/>
              <w:rPr>
                <w:sz w:val="16"/>
                <w:szCs w:val="16"/>
                <w:color w:val="auto"/>
              </w:rPr>
            </w:pPr>
          </w:p>
        </w:tc>
        <w:tc>
          <w:tcPr>
            <w:tcW w:w="5840" w:type="dxa"/>
            <w:vAlign w:val="bottom"/>
            <w:shd w:val="clear" w:color="auto" w:fill="E1E1DF"/>
          </w:tcPr>
          <w:p>
            <w:pPr>
              <w:spacing w:after="0"/>
              <w:rPr>
                <w:sz w:val="20"/>
                <w:szCs w:val="20"/>
                <w:color w:val="auto"/>
              </w:rPr>
            </w:pPr>
            <w:r>
              <w:rPr>
                <w:rFonts w:ascii="Arial" w:cs="Arial" w:eastAsia="Arial" w:hAnsi="Arial"/>
                <w:sz w:val="16"/>
                <w:szCs w:val="16"/>
                <w:color w:val="3B3C43"/>
              </w:rPr>
              <w:t>limit payouts in a volatile business environment</w:t>
            </w:r>
          </w:p>
        </w:tc>
        <w:tc>
          <w:tcPr>
            <w:tcW w:w="0" w:type="dxa"/>
            <w:vAlign w:val="bottom"/>
          </w:tcPr>
          <w:p>
            <w:pPr>
              <w:spacing w:after="0"/>
              <w:rPr>
                <w:sz w:val="1"/>
                <w:szCs w:val="1"/>
                <w:color w:val="auto"/>
              </w:rPr>
            </w:pPr>
          </w:p>
        </w:tc>
      </w:tr>
      <w:tr>
        <w:trPr>
          <w:trHeight w:val="175"/>
        </w:trPr>
        <w:tc>
          <w:tcPr>
            <w:tcW w:w="2380" w:type="dxa"/>
            <w:vAlign w:val="bottom"/>
            <w:shd w:val="clear" w:color="auto" w:fill="E1E1DF"/>
          </w:tcPr>
          <w:p>
            <w:pPr>
              <w:spacing w:after="0"/>
              <w:rPr>
                <w:sz w:val="15"/>
                <w:szCs w:val="15"/>
                <w:color w:val="auto"/>
              </w:rPr>
            </w:pPr>
          </w:p>
        </w:tc>
        <w:tc>
          <w:tcPr>
            <w:tcW w:w="2460" w:type="dxa"/>
            <w:vAlign w:val="bottom"/>
            <w:shd w:val="clear" w:color="auto" w:fill="E1E1DF"/>
          </w:tcPr>
          <w:p>
            <w:pPr>
              <w:spacing w:after="0"/>
              <w:rPr>
                <w:sz w:val="15"/>
                <w:szCs w:val="15"/>
                <w:color w:val="auto"/>
              </w:rPr>
            </w:pPr>
          </w:p>
        </w:tc>
        <w:tc>
          <w:tcPr>
            <w:tcW w:w="560" w:type="dxa"/>
            <w:vAlign w:val="bottom"/>
            <w:shd w:val="clear" w:color="auto" w:fill="E1E1DF"/>
          </w:tcPr>
          <w:p>
            <w:pPr>
              <w:spacing w:after="0"/>
              <w:rPr>
                <w:sz w:val="15"/>
                <w:szCs w:val="15"/>
                <w:color w:val="auto"/>
              </w:rPr>
            </w:pPr>
          </w:p>
        </w:tc>
        <w:tc>
          <w:tcPr>
            <w:tcW w:w="5840" w:type="dxa"/>
            <w:vAlign w:val="bottom"/>
            <w:shd w:val="clear" w:color="auto" w:fill="E1E1DF"/>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81</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35401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380" w:type="dxa"/>
            <w:vAlign w:val="bottom"/>
            <w:shd w:val="clear" w:color="auto" w:fill="4A1F67"/>
          </w:tcPr>
          <w:p>
            <w:pPr>
              <w:ind w:left="100"/>
              <w:spacing w:after="0"/>
              <w:rPr>
                <w:sz w:val="20"/>
                <w:szCs w:val="20"/>
                <w:color w:val="auto"/>
              </w:rPr>
            </w:pPr>
            <w:r>
              <w:rPr>
                <w:rFonts w:ascii="Arial" w:cs="Arial" w:eastAsia="Arial" w:hAnsi="Arial"/>
                <w:sz w:val="18"/>
                <w:szCs w:val="18"/>
                <w:b w:val="1"/>
                <w:bCs w:val="1"/>
                <w:color w:val="FFFFFF"/>
              </w:rPr>
              <w:t>Element</w:t>
            </w:r>
          </w:p>
        </w:tc>
        <w:tc>
          <w:tcPr>
            <w:tcW w:w="2460" w:type="dxa"/>
            <w:vAlign w:val="bottom"/>
            <w:shd w:val="clear" w:color="auto" w:fill="00ADE9"/>
          </w:tcPr>
          <w:p>
            <w:pPr>
              <w:ind w:left="100"/>
              <w:spacing w:after="0"/>
              <w:rPr>
                <w:sz w:val="20"/>
                <w:szCs w:val="20"/>
                <w:color w:val="auto"/>
              </w:rPr>
            </w:pPr>
            <w:r>
              <w:rPr>
                <w:rFonts w:ascii="Arial" w:cs="Arial" w:eastAsia="Arial" w:hAnsi="Arial"/>
                <w:sz w:val="18"/>
                <w:szCs w:val="18"/>
                <w:b w:val="1"/>
                <w:bCs w:val="1"/>
                <w:color w:val="FFFFFF"/>
              </w:rPr>
              <w:t>Purpose</w:t>
            </w:r>
          </w:p>
        </w:tc>
        <w:tc>
          <w:tcPr>
            <w:tcW w:w="6400" w:type="dxa"/>
            <w:vAlign w:val="bottom"/>
            <w:shd w:val="clear" w:color="auto" w:fill="D21D22"/>
          </w:tcPr>
          <w:p>
            <w:pPr>
              <w:ind w:left="100"/>
              <w:spacing w:after="0"/>
              <w:rPr>
                <w:sz w:val="20"/>
                <w:szCs w:val="20"/>
                <w:color w:val="auto"/>
              </w:rPr>
            </w:pPr>
            <w:r>
              <w:rPr>
                <w:rFonts w:ascii="Arial" w:cs="Arial" w:eastAsia="Arial" w:hAnsi="Arial"/>
                <w:sz w:val="18"/>
                <w:szCs w:val="18"/>
                <w:b w:val="1"/>
                <w:bCs w:val="1"/>
                <w:color w:val="FFFFFF"/>
              </w:rPr>
              <w:t>Key Characteristics</w:t>
            </w:r>
          </w:p>
        </w:tc>
      </w:tr>
      <w:tr>
        <w:trPr>
          <w:trHeight w:val="68"/>
        </w:trPr>
        <w:tc>
          <w:tcPr>
            <w:tcW w:w="2380" w:type="dxa"/>
            <w:vAlign w:val="bottom"/>
            <w:shd w:val="clear" w:color="auto" w:fill="4A1F67"/>
          </w:tcPr>
          <w:p>
            <w:pPr>
              <w:spacing w:after="0"/>
              <w:rPr>
                <w:sz w:val="5"/>
                <w:szCs w:val="5"/>
                <w:color w:val="auto"/>
              </w:rPr>
            </w:pPr>
          </w:p>
        </w:tc>
        <w:tc>
          <w:tcPr>
            <w:tcW w:w="2460" w:type="dxa"/>
            <w:vAlign w:val="bottom"/>
            <w:shd w:val="clear" w:color="auto" w:fill="00ADE9"/>
          </w:tcPr>
          <w:p>
            <w:pPr>
              <w:spacing w:after="0"/>
              <w:rPr>
                <w:sz w:val="5"/>
                <w:szCs w:val="5"/>
                <w:color w:val="auto"/>
              </w:rPr>
            </w:pPr>
          </w:p>
        </w:tc>
        <w:tc>
          <w:tcPr>
            <w:tcW w:w="6400" w:type="dxa"/>
            <w:vAlign w:val="bottom"/>
            <w:shd w:val="clear" w:color="auto" w:fill="D21D22"/>
          </w:tcPr>
          <w:p>
            <w:pPr>
              <w:spacing w:after="0"/>
              <w:rPr>
                <w:sz w:val="5"/>
                <w:szCs w:val="5"/>
                <w:color w:val="auto"/>
              </w:rPr>
            </w:pPr>
          </w:p>
        </w:tc>
      </w:tr>
      <w:tr>
        <w:trPr>
          <w:trHeight w:val="274"/>
        </w:trPr>
        <w:tc>
          <w:tcPr>
            <w:tcW w:w="2380" w:type="dxa"/>
            <w:vAlign w:val="bottom"/>
            <w:shd w:val="clear" w:color="auto" w:fill="E1E1DF"/>
          </w:tcPr>
          <w:p>
            <w:pPr>
              <w:ind w:left="100"/>
              <w:spacing w:after="0"/>
              <w:rPr>
                <w:sz w:val="20"/>
                <w:szCs w:val="20"/>
                <w:color w:val="auto"/>
              </w:rPr>
            </w:pPr>
            <w:r>
              <w:rPr>
                <w:rFonts w:ascii="Arial" w:cs="Arial" w:eastAsia="Arial" w:hAnsi="Arial"/>
                <w:sz w:val="18"/>
                <w:szCs w:val="18"/>
                <w:b w:val="1"/>
                <w:bCs w:val="1"/>
                <w:color w:val="3B3C43"/>
              </w:rPr>
              <w:t>Long-Term Equity</w:t>
            </w:r>
          </w:p>
        </w:tc>
        <w:tc>
          <w:tcPr>
            <w:tcW w:w="2460" w:type="dxa"/>
            <w:vAlign w:val="bottom"/>
            <w:shd w:val="clear" w:color="auto" w:fill="E1E1DF"/>
          </w:tcPr>
          <w:p>
            <w:pPr>
              <w:ind w:left="100"/>
              <w:spacing w:after="0"/>
              <w:rPr>
                <w:sz w:val="20"/>
                <w:szCs w:val="20"/>
                <w:color w:val="auto"/>
              </w:rPr>
            </w:pPr>
            <w:r>
              <w:rPr>
                <w:rFonts w:ascii="Arial" w:cs="Arial" w:eastAsia="Arial" w:hAnsi="Arial"/>
                <w:sz w:val="18"/>
                <w:szCs w:val="18"/>
                <w:color w:val="3B3C43"/>
              </w:rPr>
              <w:t>To drive and reward</w:t>
            </w:r>
          </w:p>
        </w:tc>
        <w:tc>
          <w:tcPr>
            <w:tcW w:w="6400" w:type="dxa"/>
            <w:vAlign w:val="bottom"/>
            <w:shd w:val="clear" w:color="auto" w:fill="E1E1DF"/>
          </w:tcPr>
          <w:p>
            <w:pPr>
              <w:ind w:left="100"/>
              <w:spacing w:after="0"/>
              <w:rPr>
                <w:sz w:val="20"/>
                <w:szCs w:val="20"/>
                <w:color w:val="auto"/>
              </w:rPr>
            </w:pPr>
            <w:r>
              <w:rPr>
                <w:rFonts w:ascii="Arial" w:cs="Arial" w:eastAsia="Arial" w:hAnsi="Arial"/>
                <w:sz w:val="13"/>
                <w:szCs w:val="13"/>
                <w:color w:val="4B1F68"/>
              </w:rPr>
              <w:t xml:space="preserve">► </w:t>
            </w:r>
            <w:r>
              <w:rPr>
                <w:rFonts w:ascii="Arial" w:cs="Arial" w:eastAsia="Arial" w:hAnsi="Arial"/>
                <w:sz w:val="17"/>
                <w:szCs w:val="17"/>
                <w:color w:val="3B3C43"/>
              </w:rPr>
              <w:t>Granted as combination of two vehicles: PSUs (70%) and RSUs (30%)</w:t>
            </w:r>
          </w:p>
        </w:tc>
      </w:tr>
      <w:tr>
        <w:trPr>
          <w:trHeight w:val="224"/>
        </w:trPr>
        <w:tc>
          <w:tcPr>
            <w:tcW w:w="2380" w:type="dxa"/>
            <w:vAlign w:val="bottom"/>
            <w:shd w:val="clear" w:color="auto" w:fill="E1E1DF"/>
          </w:tcPr>
          <w:p>
            <w:pPr>
              <w:ind w:left="100"/>
              <w:spacing w:after="0"/>
              <w:rPr>
                <w:sz w:val="20"/>
                <w:szCs w:val="20"/>
                <w:color w:val="auto"/>
              </w:rPr>
            </w:pPr>
            <w:r>
              <w:rPr>
                <w:rFonts w:ascii="Arial" w:cs="Arial" w:eastAsia="Arial" w:hAnsi="Arial"/>
                <w:sz w:val="18"/>
                <w:szCs w:val="18"/>
                <w:b w:val="1"/>
                <w:bCs w:val="1"/>
                <w:color w:val="3B3C43"/>
              </w:rPr>
              <w:t>Incentives</w:t>
            </w:r>
          </w:p>
        </w:tc>
        <w:tc>
          <w:tcPr>
            <w:tcW w:w="2460" w:type="dxa"/>
            <w:vAlign w:val="bottom"/>
            <w:shd w:val="clear" w:color="auto" w:fill="E1E1DF"/>
          </w:tcPr>
          <w:p>
            <w:pPr>
              <w:ind w:left="100"/>
              <w:spacing w:after="0"/>
              <w:rPr>
                <w:sz w:val="20"/>
                <w:szCs w:val="20"/>
                <w:color w:val="auto"/>
              </w:rPr>
            </w:pPr>
            <w:r>
              <w:rPr>
                <w:rFonts w:ascii="Arial" w:cs="Arial" w:eastAsia="Arial" w:hAnsi="Arial"/>
                <w:sz w:val="18"/>
                <w:szCs w:val="18"/>
                <w:color w:val="3B3C43"/>
              </w:rPr>
              <w:t>the achievement of long-</w:t>
            </w:r>
          </w:p>
        </w:tc>
        <w:tc>
          <w:tcPr>
            <w:tcW w:w="6400" w:type="dxa"/>
            <w:vAlign w:val="bottom"/>
            <w:shd w:val="clear" w:color="auto" w:fill="E1E1DF"/>
          </w:tcPr>
          <w:p>
            <w:pPr>
              <w:spacing w:after="0"/>
              <w:rPr>
                <w:sz w:val="19"/>
                <w:szCs w:val="19"/>
                <w:color w:val="auto"/>
              </w:rPr>
            </w:pPr>
          </w:p>
        </w:tc>
      </w:tr>
      <w:tr>
        <w:trPr>
          <w:trHeight w:val="203"/>
        </w:trPr>
        <w:tc>
          <w:tcPr>
            <w:tcW w:w="2380" w:type="dxa"/>
            <w:vAlign w:val="bottom"/>
            <w:shd w:val="clear" w:color="auto" w:fill="E1E1DF"/>
          </w:tcPr>
          <w:p>
            <w:pPr>
              <w:spacing w:after="0"/>
              <w:rPr>
                <w:sz w:val="17"/>
                <w:szCs w:val="17"/>
                <w:color w:val="auto"/>
              </w:rPr>
            </w:pPr>
          </w:p>
        </w:tc>
        <w:tc>
          <w:tcPr>
            <w:tcW w:w="2460" w:type="dxa"/>
            <w:vAlign w:val="bottom"/>
            <w:shd w:val="clear" w:color="auto" w:fill="E1E1DF"/>
          </w:tcPr>
          <w:p>
            <w:pPr>
              <w:ind w:left="100"/>
              <w:spacing w:after="0" w:line="202" w:lineRule="exact"/>
              <w:rPr>
                <w:sz w:val="20"/>
                <w:szCs w:val="20"/>
                <w:color w:val="auto"/>
              </w:rPr>
            </w:pPr>
            <w:r>
              <w:rPr>
                <w:rFonts w:ascii="Arial" w:cs="Arial" w:eastAsia="Arial" w:hAnsi="Arial"/>
                <w:sz w:val="18"/>
                <w:szCs w:val="18"/>
                <w:color w:val="3B3C43"/>
              </w:rPr>
              <w:t>term results</w:t>
            </w:r>
          </w:p>
        </w:tc>
        <w:tc>
          <w:tcPr>
            <w:tcW w:w="6400" w:type="dxa"/>
            <w:vAlign w:val="bottom"/>
            <w:shd w:val="clear" w:color="auto" w:fill="E1E1DF"/>
          </w:tcPr>
          <w:p>
            <w:pPr>
              <w:ind w:left="100"/>
              <w:spacing w:after="0"/>
              <w:rPr>
                <w:sz w:val="20"/>
                <w:szCs w:val="20"/>
                <w:color w:val="auto"/>
              </w:rPr>
            </w:pPr>
            <w:r>
              <w:rPr>
                <w:rFonts w:ascii="Arial" w:cs="Arial" w:eastAsia="Arial" w:hAnsi="Arial"/>
                <w:sz w:val="13"/>
                <w:szCs w:val="13"/>
                <w:color w:val="4B1F68"/>
              </w:rPr>
              <w:t xml:space="preserve">► </w:t>
            </w:r>
            <w:r>
              <w:rPr>
                <w:rFonts w:ascii="Arial" w:cs="Arial" w:eastAsia="Arial" w:hAnsi="Arial"/>
                <w:sz w:val="17"/>
                <w:szCs w:val="17"/>
                <w:color w:val="3B3C43"/>
              </w:rPr>
              <w:t>Target value based on role, set with reference to market median</w:t>
            </w:r>
          </w:p>
        </w:tc>
      </w:tr>
      <w:tr>
        <w:trPr>
          <w:trHeight w:val="203"/>
        </w:trPr>
        <w:tc>
          <w:tcPr>
            <w:tcW w:w="2380" w:type="dxa"/>
            <w:vAlign w:val="bottom"/>
            <w:shd w:val="clear" w:color="auto" w:fill="E1E1DF"/>
          </w:tcPr>
          <w:p>
            <w:pPr>
              <w:spacing w:after="0"/>
              <w:rPr>
                <w:sz w:val="17"/>
                <w:szCs w:val="17"/>
                <w:color w:val="auto"/>
              </w:rPr>
            </w:pPr>
          </w:p>
        </w:tc>
        <w:tc>
          <w:tcPr>
            <w:tcW w:w="2460" w:type="dxa"/>
            <w:vAlign w:val="bottom"/>
            <w:shd w:val="clear" w:color="auto" w:fill="E1E1DF"/>
          </w:tcPr>
          <w:p>
            <w:pPr>
              <w:ind w:left="100"/>
              <w:spacing w:after="0" w:line="202" w:lineRule="exact"/>
              <w:rPr>
                <w:sz w:val="20"/>
                <w:szCs w:val="20"/>
                <w:color w:val="auto"/>
              </w:rPr>
            </w:pPr>
            <w:r>
              <w:rPr>
                <w:rFonts w:ascii="Arial" w:cs="Arial" w:eastAsia="Arial" w:hAnsi="Arial"/>
                <w:sz w:val="18"/>
                <w:szCs w:val="18"/>
                <w:color w:val="3B3C43"/>
              </w:rPr>
              <w:t>and shareholder</w:t>
            </w:r>
          </w:p>
        </w:tc>
        <w:tc>
          <w:tcPr>
            <w:tcW w:w="6400" w:type="dxa"/>
            <w:vAlign w:val="bottom"/>
            <w:shd w:val="clear" w:color="auto" w:fill="E1E1DF"/>
          </w:tcPr>
          <w:p>
            <w:pPr>
              <w:spacing w:after="0"/>
              <w:rPr>
                <w:sz w:val="17"/>
                <w:szCs w:val="17"/>
                <w:color w:val="auto"/>
              </w:rPr>
            </w:pPr>
          </w:p>
        </w:tc>
      </w:tr>
      <w:tr>
        <w:trPr>
          <w:trHeight w:val="203"/>
        </w:trPr>
        <w:tc>
          <w:tcPr>
            <w:tcW w:w="2380" w:type="dxa"/>
            <w:vAlign w:val="bottom"/>
            <w:shd w:val="clear" w:color="auto" w:fill="E1E1DF"/>
          </w:tcPr>
          <w:p>
            <w:pPr>
              <w:spacing w:after="0"/>
              <w:rPr>
                <w:sz w:val="17"/>
                <w:szCs w:val="17"/>
                <w:color w:val="auto"/>
              </w:rPr>
            </w:pPr>
          </w:p>
        </w:tc>
        <w:tc>
          <w:tcPr>
            <w:tcW w:w="2460" w:type="dxa"/>
            <w:vAlign w:val="bottom"/>
            <w:shd w:val="clear" w:color="auto" w:fill="E1E1DF"/>
          </w:tcPr>
          <w:p>
            <w:pPr>
              <w:ind w:left="100"/>
              <w:spacing w:after="0" w:line="202" w:lineRule="exact"/>
              <w:rPr>
                <w:sz w:val="20"/>
                <w:szCs w:val="20"/>
                <w:color w:val="auto"/>
              </w:rPr>
            </w:pPr>
            <w:r>
              <w:rPr>
                <w:rFonts w:ascii="Arial" w:cs="Arial" w:eastAsia="Arial" w:hAnsi="Arial"/>
                <w:sz w:val="18"/>
                <w:szCs w:val="18"/>
                <w:color w:val="3B3C43"/>
              </w:rPr>
              <w:t>value creation while</w:t>
            </w:r>
          </w:p>
        </w:tc>
        <w:tc>
          <w:tcPr>
            <w:tcW w:w="6400" w:type="dxa"/>
            <w:vAlign w:val="bottom"/>
            <w:shd w:val="clear" w:color="auto" w:fill="E1E1DF"/>
          </w:tcPr>
          <w:p>
            <w:pPr>
              <w:ind w:left="100"/>
              <w:spacing w:after="0"/>
              <w:rPr>
                <w:sz w:val="20"/>
                <w:szCs w:val="20"/>
                <w:color w:val="auto"/>
              </w:rPr>
            </w:pPr>
            <w:r>
              <w:rPr>
                <w:rFonts w:ascii="Arial" w:cs="Arial" w:eastAsia="Arial" w:hAnsi="Arial"/>
                <w:sz w:val="13"/>
                <w:szCs w:val="13"/>
                <w:color w:val="4B1F68"/>
              </w:rPr>
              <w:t xml:space="preserve">► </w:t>
            </w:r>
            <w:r>
              <w:rPr>
                <w:rFonts w:ascii="Arial" w:cs="Arial" w:eastAsia="Arial" w:hAnsi="Arial"/>
                <w:sz w:val="17"/>
                <w:szCs w:val="17"/>
                <w:color w:val="3B3C43"/>
              </w:rPr>
              <w:t>PSUs (70% of total long-term equity grant) subject to one performance</w:t>
            </w:r>
          </w:p>
        </w:tc>
      </w:tr>
      <w:tr>
        <w:trPr>
          <w:trHeight w:val="217"/>
        </w:trPr>
        <w:tc>
          <w:tcPr>
            <w:tcW w:w="2380" w:type="dxa"/>
            <w:vAlign w:val="bottom"/>
            <w:shd w:val="clear" w:color="auto" w:fill="E1E1DF"/>
          </w:tcPr>
          <w:p>
            <w:pPr>
              <w:spacing w:after="0"/>
              <w:rPr>
                <w:sz w:val="18"/>
                <w:szCs w:val="18"/>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8"/>
                <w:szCs w:val="18"/>
                <w:color w:val="3B3C43"/>
              </w:rPr>
              <w:t>encouraging retention</w:t>
            </w:r>
          </w:p>
        </w:tc>
        <w:tc>
          <w:tcPr>
            <w:tcW w:w="6400" w:type="dxa"/>
            <w:vAlign w:val="bottom"/>
            <w:shd w:val="clear" w:color="auto" w:fill="E1E1DF"/>
          </w:tcPr>
          <w:p>
            <w:pPr>
              <w:ind w:left="260"/>
              <w:spacing w:after="0"/>
              <w:rPr>
                <w:sz w:val="20"/>
                <w:szCs w:val="20"/>
                <w:color w:val="auto"/>
              </w:rPr>
            </w:pPr>
            <w:r>
              <w:rPr>
                <w:rFonts w:ascii="Arial" w:cs="Arial" w:eastAsia="Arial" w:hAnsi="Arial"/>
                <w:sz w:val="18"/>
                <w:szCs w:val="18"/>
                <w:color w:val="3B3C43"/>
              </w:rPr>
              <w:t>condition measured over three years: relative TSR</w:t>
            </w:r>
          </w:p>
        </w:tc>
      </w:tr>
      <w:tr>
        <w:trPr>
          <w:trHeight w:val="391"/>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6400" w:type="dxa"/>
            <w:vAlign w:val="bottom"/>
            <w:shd w:val="clear" w:color="auto" w:fill="E1E1DF"/>
          </w:tcPr>
          <w:p>
            <w:pPr>
              <w:ind w:left="100"/>
              <w:spacing w:after="0"/>
              <w:rPr>
                <w:sz w:val="20"/>
                <w:szCs w:val="20"/>
                <w:color w:val="auto"/>
              </w:rPr>
            </w:pPr>
            <w:r>
              <w:rPr>
                <w:rFonts w:ascii="Arial" w:cs="Arial" w:eastAsia="Arial" w:hAnsi="Arial"/>
                <w:sz w:val="13"/>
                <w:szCs w:val="13"/>
                <w:color w:val="4B1F68"/>
              </w:rPr>
              <w:t xml:space="preserve">► </w:t>
            </w:r>
            <w:r>
              <w:rPr>
                <w:rFonts w:ascii="Arial" w:cs="Arial" w:eastAsia="Arial" w:hAnsi="Arial"/>
                <w:sz w:val="17"/>
                <w:szCs w:val="17"/>
                <w:color w:val="3B3C43"/>
              </w:rPr>
              <w:t>50% of after-tax RSUs must be retained for at least one year following</w:t>
            </w:r>
          </w:p>
        </w:tc>
      </w:tr>
      <w:tr>
        <w:trPr>
          <w:trHeight w:val="203"/>
        </w:trPr>
        <w:tc>
          <w:tcPr>
            <w:tcW w:w="2380" w:type="dxa"/>
            <w:vAlign w:val="bottom"/>
            <w:shd w:val="clear" w:color="auto" w:fill="E1E1DF"/>
          </w:tcPr>
          <w:p>
            <w:pPr>
              <w:spacing w:after="0"/>
              <w:rPr>
                <w:sz w:val="17"/>
                <w:szCs w:val="17"/>
                <w:color w:val="auto"/>
              </w:rPr>
            </w:pPr>
          </w:p>
        </w:tc>
        <w:tc>
          <w:tcPr>
            <w:tcW w:w="2460" w:type="dxa"/>
            <w:vAlign w:val="bottom"/>
            <w:shd w:val="clear" w:color="auto" w:fill="E1E1DF"/>
          </w:tcPr>
          <w:p>
            <w:pPr>
              <w:spacing w:after="0"/>
              <w:rPr>
                <w:sz w:val="17"/>
                <w:szCs w:val="17"/>
                <w:color w:val="auto"/>
              </w:rPr>
            </w:pPr>
          </w:p>
        </w:tc>
        <w:tc>
          <w:tcPr>
            <w:tcW w:w="6400" w:type="dxa"/>
            <w:vAlign w:val="bottom"/>
            <w:shd w:val="clear" w:color="auto" w:fill="E1E1DF"/>
          </w:tcPr>
          <w:p>
            <w:pPr>
              <w:ind w:left="260"/>
              <w:spacing w:after="0" w:line="203" w:lineRule="exact"/>
              <w:rPr>
                <w:sz w:val="20"/>
                <w:szCs w:val="20"/>
                <w:color w:val="auto"/>
              </w:rPr>
            </w:pPr>
            <w:r>
              <w:rPr>
                <w:rFonts w:ascii="Arial" w:cs="Arial" w:eastAsia="Arial" w:hAnsi="Arial"/>
                <w:sz w:val="18"/>
                <w:szCs w:val="18"/>
                <w:color w:val="3B3C43"/>
              </w:rPr>
              <w:t>vesting</w:t>
            </w:r>
          </w:p>
        </w:tc>
      </w:tr>
      <w:tr>
        <w:trPr>
          <w:trHeight w:val="418"/>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6400" w:type="dxa"/>
            <w:vAlign w:val="bottom"/>
            <w:shd w:val="clear" w:color="auto" w:fill="E1E1DF"/>
          </w:tcPr>
          <w:p>
            <w:pPr>
              <w:ind w:left="100"/>
              <w:spacing w:after="0"/>
              <w:rPr>
                <w:sz w:val="20"/>
                <w:szCs w:val="20"/>
                <w:color w:val="auto"/>
              </w:rPr>
            </w:pPr>
            <w:r>
              <w:rPr>
                <w:rFonts w:ascii="Arial" w:cs="Arial" w:eastAsia="Arial" w:hAnsi="Arial"/>
                <w:sz w:val="13"/>
                <w:szCs w:val="13"/>
                <w:color w:val="4B1F68"/>
              </w:rPr>
              <w:t xml:space="preserve">► </w:t>
            </w:r>
            <w:r>
              <w:rPr>
                <w:rFonts w:ascii="Arial" w:cs="Arial" w:eastAsia="Arial" w:hAnsi="Arial"/>
                <w:sz w:val="17"/>
                <w:szCs w:val="17"/>
                <w:color w:val="3B3C43"/>
              </w:rPr>
              <w:t>All long-term incentive awards are subject to three-year cliff vesting</w:t>
            </w:r>
          </w:p>
        </w:tc>
      </w:tr>
      <w:tr>
        <w:trPr>
          <w:trHeight w:val="342"/>
        </w:trPr>
        <w:tc>
          <w:tcPr>
            <w:tcW w:w="2380" w:type="dxa"/>
            <w:vAlign w:val="bottom"/>
            <w:shd w:val="clear" w:color="auto" w:fill="E1E1DF"/>
          </w:tcPr>
          <w:p>
            <w:pPr>
              <w:ind w:left="100"/>
              <w:spacing w:after="0"/>
              <w:rPr>
                <w:sz w:val="20"/>
                <w:szCs w:val="20"/>
                <w:color w:val="auto"/>
              </w:rPr>
            </w:pPr>
            <w:r>
              <w:rPr>
                <w:rFonts w:ascii="Arial" w:cs="Arial" w:eastAsia="Arial" w:hAnsi="Arial"/>
                <w:sz w:val="18"/>
                <w:szCs w:val="18"/>
                <w:b w:val="1"/>
                <w:bCs w:val="1"/>
                <w:color w:val="3B3C43"/>
              </w:rPr>
              <w:t>Health and Welfare</w:t>
            </w:r>
          </w:p>
        </w:tc>
        <w:tc>
          <w:tcPr>
            <w:tcW w:w="2460" w:type="dxa"/>
            <w:vAlign w:val="bottom"/>
            <w:shd w:val="clear" w:color="auto" w:fill="E1E1DF"/>
          </w:tcPr>
          <w:p>
            <w:pPr>
              <w:ind w:left="100"/>
              <w:spacing w:after="0"/>
              <w:rPr>
                <w:sz w:val="20"/>
                <w:szCs w:val="20"/>
                <w:color w:val="auto"/>
              </w:rPr>
            </w:pPr>
            <w:r>
              <w:rPr>
                <w:rFonts w:ascii="Arial" w:cs="Arial" w:eastAsia="Arial" w:hAnsi="Arial"/>
                <w:sz w:val="18"/>
                <w:szCs w:val="18"/>
                <w:color w:val="3B3C43"/>
              </w:rPr>
              <w:t>To facilitate the performance</w:t>
            </w:r>
          </w:p>
        </w:tc>
        <w:tc>
          <w:tcPr>
            <w:tcW w:w="6400" w:type="dxa"/>
            <w:vAlign w:val="bottom"/>
            <w:shd w:val="clear" w:color="auto" w:fill="E1E1DF"/>
          </w:tcPr>
          <w:p>
            <w:pPr>
              <w:ind w:left="100"/>
              <w:spacing w:after="0"/>
              <w:rPr>
                <w:sz w:val="20"/>
                <w:szCs w:val="20"/>
                <w:color w:val="auto"/>
              </w:rPr>
            </w:pPr>
            <w:r>
              <w:rPr>
                <w:rFonts w:ascii="Arial" w:cs="Arial" w:eastAsia="Arial" w:hAnsi="Arial"/>
                <w:sz w:val="13"/>
                <w:szCs w:val="13"/>
                <w:color w:val="4B1F68"/>
              </w:rPr>
              <w:t xml:space="preserve">► </w:t>
            </w:r>
            <w:r>
              <w:rPr>
                <w:rFonts w:ascii="Arial" w:cs="Arial" w:eastAsia="Arial" w:hAnsi="Arial"/>
                <w:sz w:val="17"/>
                <w:szCs w:val="17"/>
                <w:color w:val="3B3C43"/>
              </w:rPr>
              <w:t>Health and welfare benefits, the same as benefits offered to other</w:t>
            </w:r>
          </w:p>
        </w:tc>
      </w:tr>
      <w:tr>
        <w:trPr>
          <w:trHeight w:val="203"/>
        </w:trPr>
        <w:tc>
          <w:tcPr>
            <w:tcW w:w="2380" w:type="dxa"/>
            <w:vAlign w:val="bottom"/>
            <w:shd w:val="clear" w:color="auto" w:fill="E1E1DF"/>
          </w:tcPr>
          <w:p>
            <w:pPr>
              <w:ind w:left="100"/>
              <w:spacing w:after="0" w:line="202" w:lineRule="exact"/>
              <w:rPr>
                <w:sz w:val="20"/>
                <w:szCs w:val="20"/>
                <w:color w:val="auto"/>
              </w:rPr>
            </w:pPr>
            <w:r>
              <w:rPr>
                <w:rFonts w:ascii="Arial" w:cs="Arial" w:eastAsia="Arial" w:hAnsi="Arial"/>
                <w:sz w:val="18"/>
                <w:szCs w:val="18"/>
                <w:b w:val="1"/>
                <w:bCs w:val="1"/>
                <w:color w:val="3B3C43"/>
              </w:rPr>
              <w:t>Benefits, Retirement</w:t>
            </w:r>
          </w:p>
        </w:tc>
        <w:tc>
          <w:tcPr>
            <w:tcW w:w="2460" w:type="dxa"/>
            <w:vAlign w:val="bottom"/>
            <w:shd w:val="clear" w:color="auto" w:fill="E1E1DF"/>
          </w:tcPr>
          <w:p>
            <w:pPr>
              <w:ind w:left="100"/>
              <w:spacing w:after="0" w:line="202" w:lineRule="exact"/>
              <w:rPr>
                <w:sz w:val="20"/>
                <w:szCs w:val="20"/>
                <w:color w:val="auto"/>
              </w:rPr>
            </w:pPr>
            <w:r>
              <w:rPr>
                <w:rFonts w:ascii="Arial" w:cs="Arial" w:eastAsia="Arial" w:hAnsi="Arial"/>
                <w:sz w:val="18"/>
                <w:szCs w:val="18"/>
                <w:color w:val="3B3C43"/>
              </w:rPr>
              <w:t>of the</w:t>
            </w:r>
          </w:p>
        </w:tc>
        <w:tc>
          <w:tcPr>
            <w:tcW w:w="6400" w:type="dxa"/>
            <w:vAlign w:val="bottom"/>
            <w:shd w:val="clear" w:color="auto" w:fill="E1E1DF"/>
          </w:tcPr>
          <w:p>
            <w:pPr>
              <w:ind w:left="260"/>
              <w:spacing w:after="0" w:line="202" w:lineRule="exact"/>
              <w:rPr>
                <w:sz w:val="20"/>
                <w:szCs w:val="20"/>
                <w:color w:val="auto"/>
              </w:rPr>
            </w:pPr>
            <w:r>
              <w:rPr>
                <w:rFonts w:ascii="Arial" w:cs="Arial" w:eastAsia="Arial" w:hAnsi="Arial"/>
                <w:sz w:val="18"/>
                <w:szCs w:val="18"/>
                <w:color w:val="3B3C43"/>
              </w:rPr>
              <w:t>employees of the Company in the respective countries</w:t>
            </w:r>
          </w:p>
        </w:tc>
      </w:tr>
      <w:tr>
        <w:trPr>
          <w:trHeight w:val="224"/>
        </w:trPr>
        <w:tc>
          <w:tcPr>
            <w:tcW w:w="2380" w:type="dxa"/>
            <w:vAlign w:val="bottom"/>
            <w:shd w:val="clear" w:color="auto" w:fill="E1E1DF"/>
          </w:tcPr>
          <w:p>
            <w:pPr>
              <w:ind w:left="100"/>
              <w:spacing w:after="0"/>
              <w:rPr>
                <w:sz w:val="20"/>
                <w:szCs w:val="20"/>
                <w:color w:val="auto"/>
              </w:rPr>
            </w:pPr>
            <w:r>
              <w:rPr>
                <w:rFonts w:ascii="Arial" w:cs="Arial" w:eastAsia="Arial" w:hAnsi="Arial"/>
                <w:sz w:val="18"/>
                <w:szCs w:val="18"/>
                <w:b w:val="1"/>
                <w:bCs w:val="1"/>
                <w:color w:val="3B3C43"/>
              </w:rPr>
              <w:t>Benefits, and Perquisites</w:t>
            </w:r>
          </w:p>
        </w:tc>
        <w:tc>
          <w:tcPr>
            <w:tcW w:w="2460" w:type="dxa"/>
            <w:vAlign w:val="bottom"/>
            <w:shd w:val="clear" w:color="auto" w:fill="E1E1DF"/>
          </w:tcPr>
          <w:p>
            <w:pPr>
              <w:ind w:left="100"/>
              <w:spacing w:after="0"/>
              <w:rPr>
                <w:sz w:val="20"/>
                <w:szCs w:val="20"/>
                <w:color w:val="auto"/>
              </w:rPr>
            </w:pPr>
            <w:r>
              <w:rPr>
                <w:rFonts w:ascii="Arial" w:cs="Arial" w:eastAsia="Arial" w:hAnsi="Arial"/>
                <w:sz w:val="18"/>
                <w:szCs w:val="18"/>
                <w:color w:val="3B3C43"/>
              </w:rPr>
              <w:t>role and ensure a market</w:t>
            </w:r>
          </w:p>
        </w:tc>
        <w:tc>
          <w:tcPr>
            <w:tcW w:w="6400" w:type="dxa"/>
            <w:vAlign w:val="bottom"/>
            <w:shd w:val="clear" w:color="auto" w:fill="E1E1DF"/>
          </w:tcPr>
          <w:p>
            <w:pPr>
              <w:spacing w:after="0"/>
              <w:rPr>
                <w:sz w:val="19"/>
                <w:szCs w:val="19"/>
                <w:color w:val="auto"/>
              </w:rPr>
            </w:pPr>
          </w:p>
        </w:tc>
      </w:tr>
      <w:tr>
        <w:trPr>
          <w:trHeight w:val="203"/>
        </w:trPr>
        <w:tc>
          <w:tcPr>
            <w:tcW w:w="2380" w:type="dxa"/>
            <w:vAlign w:val="bottom"/>
            <w:shd w:val="clear" w:color="auto" w:fill="E1E1DF"/>
          </w:tcPr>
          <w:p>
            <w:pPr>
              <w:spacing w:after="0"/>
              <w:rPr>
                <w:sz w:val="17"/>
                <w:szCs w:val="17"/>
                <w:color w:val="auto"/>
              </w:rPr>
            </w:pPr>
          </w:p>
        </w:tc>
        <w:tc>
          <w:tcPr>
            <w:tcW w:w="2460" w:type="dxa"/>
            <w:vAlign w:val="bottom"/>
            <w:shd w:val="clear" w:color="auto" w:fill="E1E1DF"/>
          </w:tcPr>
          <w:p>
            <w:pPr>
              <w:ind w:left="100"/>
              <w:spacing w:after="0" w:line="202" w:lineRule="exact"/>
              <w:rPr>
                <w:sz w:val="20"/>
                <w:szCs w:val="20"/>
                <w:color w:val="auto"/>
              </w:rPr>
            </w:pPr>
            <w:r>
              <w:rPr>
                <w:rFonts w:ascii="Arial" w:cs="Arial" w:eastAsia="Arial" w:hAnsi="Arial"/>
                <w:sz w:val="18"/>
                <w:szCs w:val="18"/>
                <w:color w:val="3B3C43"/>
              </w:rPr>
              <w:t>competitive total</w:t>
            </w:r>
          </w:p>
        </w:tc>
        <w:tc>
          <w:tcPr>
            <w:tcW w:w="6400" w:type="dxa"/>
            <w:vAlign w:val="bottom"/>
            <w:shd w:val="clear" w:color="auto" w:fill="E1E1DF"/>
          </w:tcPr>
          <w:p>
            <w:pPr>
              <w:ind w:left="100"/>
              <w:spacing w:after="0"/>
              <w:rPr>
                <w:sz w:val="20"/>
                <w:szCs w:val="20"/>
                <w:color w:val="auto"/>
              </w:rPr>
            </w:pPr>
            <w:r>
              <w:rPr>
                <w:rFonts w:ascii="Arial" w:cs="Arial" w:eastAsia="Arial" w:hAnsi="Arial"/>
                <w:sz w:val="13"/>
                <w:szCs w:val="13"/>
                <w:color w:val="4B1F68"/>
              </w:rPr>
              <w:t xml:space="preserve">► </w:t>
            </w:r>
            <w:r>
              <w:rPr>
                <w:rFonts w:ascii="Arial" w:cs="Arial" w:eastAsia="Arial" w:hAnsi="Arial"/>
                <w:sz w:val="17"/>
                <w:szCs w:val="17"/>
                <w:color w:val="3B3C43"/>
              </w:rPr>
              <w:t>Retirement savings offered through participation in our 401(k) and non-</w:t>
            </w:r>
          </w:p>
        </w:tc>
      </w:tr>
      <w:tr>
        <w:trPr>
          <w:trHeight w:val="203"/>
        </w:trPr>
        <w:tc>
          <w:tcPr>
            <w:tcW w:w="2380" w:type="dxa"/>
            <w:vAlign w:val="bottom"/>
            <w:shd w:val="clear" w:color="auto" w:fill="E1E1DF"/>
          </w:tcPr>
          <w:p>
            <w:pPr>
              <w:spacing w:after="0"/>
              <w:rPr>
                <w:sz w:val="17"/>
                <w:szCs w:val="17"/>
                <w:color w:val="auto"/>
              </w:rPr>
            </w:pPr>
          </w:p>
        </w:tc>
        <w:tc>
          <w:tcPr>
            <w:tcW w:w="2460" w:type="dxa"/>
            <w:vAlign w:val="bottom"/>
            <w:shd w:val="clear" w:color="auto" w:fill="E1E1DF"/>
          </w:tcPr>
          <w:p>
            <w:pPr>
              <w:ind w:left="100"/>
              <w:spacing w:after="0" w:line="202" w:lineRule="exact"/>
              <w:rPr>
                <w:sz w:val="20"/>
                <w:szCs w:val="20"/>
                <w:color w:val="auto"/>
              </w:rPr>
            </w:pPr>
            <w:r>
              <w:rPr>
                <w:rFonts w:ascii="Arial" w:cs="Arial" w:eastAsia="Arial" w:hAnsi="Arial"/>
                <w:sz w:val="18"/>
                <w:szCs w:val="18"/>
                <w:color w:val="3B3C43"/>
              </w:rPr>
              <w:t>compensation package</w:t>
            </w:r>
          </w:p>
        </w:tc>
        <w:tc>
          <w:tcPr>
            <w:tcW w:w="6400" w:type="dxa"/>
            <w:vAlign w:val="bottom"/>
            <w:shd w:val="clear" w:color="auto" w:fill="E1E1DF"/>
          </w:tcPr>
          <w:p>
            <w:pPr>
              <w:ind w:left="260"/>
              <w:spacing w:after="0" w:line="202" w:lineRule="exact"/>
              <w:rPr>
                <w:sz w:val="20"/>
                <w:szCs w:val="20"/>
                <w:color w:val="auto"/>
              </w:rPr>
            </w:pPr>
            <w:r>
              <w:rPr>
                <w:rFonts w:ascii="Arial" w:cs="Arial" w:eastAsia="Arial" w:hAnsi="Arial"/>
                <w:sz w:val="18"/>
                <w:szCs w:val="18"/>
                <w:color w:val="3B3C43"/>
              </w:rPr>
              <w:t>qualified defined contribution plans for eligible U.S. NEOs, similar to plans</w:t>
            </w:r>
          </w:p>
        </w:tc>
      </w:tr>
      <w:tr>
        <w:trPr>
          <w:trHeight w:val="203"/>
        </w:trPr>
        <w:tc>
          <w:tcPr>
            <w:tcW w:w="2380" w:type="dxa"/>
            <w:vAlign w:val="bottom"/>
            <w:shd w:val="clear" w:color="auto" w:fill="E1E1DF"/>
          </w:tcPr>
          <w:p>
            <w:pPr>
              <w:spacing w:after="0"/>
              <w:rPr>
                <w:sz w:val="17"/>
                <w:szCs w:val="17"/>
                <w:color w:val="auto"/>
              </w:rPr>
            </w:pPr>
          </w:p>
        </w:tc>
        <w:tc>
          <w:tcPr>
            <w:tcW w:w="2460" w:type="dxa"/>
            <w:vAlign w:val="bottom"/>
            <w:shd w:val="clear" w:color="auto" w:fill="E1E1DF"/>
          </w:tcPr>
          <w:p>
            <w:pPr>
              <w:spacing w:after="0"/>
              <w:rPr>
                <w:sz w:val="17"/>
                <w:szCs w:val="17"/>
                <w:color w:val="auto"/>
              </w:rPr>
            </w:pPr>
          </w:p>
        </w:tc>
        <w:tc>
          <w:tcPr>
            <w:tcW w:w="6400" w:type="dxa"/>
            <w:vAlign w:val="bottom"/>
            <w:shd w:val="clear" w:color="auto" w:fill="E1E1DF"/>
          </w:tcPr>
          <w:p>
            <w:pPr>
              <w:ind w:left="260"/>
              <w:spacing w:after="0" w:line="203" w:lineRule="exact"/>
              <w:rPr>
                <w:sz w:val="20"/>
                <w:szCs w:val="20"/>
                <w:color w:val="auto"/>
              </w:rPr>
            </w:pPr>
            <w:r>
              <w:rPr>
                <w:rFonts w:ascii="Arial" w:cs="Arial" w:eastAsia="Arial" w:hAnsi="Arial"/>
                <w:sz w:val="18"/>
                <w:szCs w:val="18"/>
                <w:color w:val="3B3C43"/>
              </w:rPr>
              <w:t>offered to other U.S. employees</w:t>
            </w:r>
          </w:p>
        </w:tc>
      </w:tr>
      <w:tr>
        <w:trPr>
          <w:trHeight w:val="404"/>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6400" w:type="dxa"/>
            <w:vAlign w:val="bottom"/>
            <w:shd w:val="clear" w:color="auto" w:fill="E1E1DF"/>
          </w:tcPr>
          <w:p>
            <w:pPr>
              <w:ind w:left="100"/>
              <w:spacing w:after="0"/>
              <w:rPr>
                <w:sz w:val="20"/>
                <w:szCs w:val="20"/>
                <w:color w:val="auto"/>
              </w:rPr>
            </w:pPr>
            <w:r>
              <w:rPr>
                <w:rFonts w:ascii="Arial" w:cs="Arial" w:eastAsia="Arial" w:hAnsi="Arial"/>
                <w:sz w:val="13"/>
                <w:szCs w:val="13"/>
                <w:color w:val="4B1F68"/>
              </w:rPr>
              <w:t xml:space="preserve">► </w:t>
            </w:r>
            <w:r>
              <w:rPr>
                <w:rFonts w:ascii="Arial" w:cs="Arial" w:eastAsia="Arial" w:hAnsi="Arial"/>
                <w:sz w:val="17"/>
                <w:szCs w:val="17"/>
                <w:color w:val="3B3C43"/>
              </w:rPr>
              <w:t>Limited perquisites including financial planning, tax assistance, use of</w:t>
            </w:r>
          </w:p>
        </w:tc>
      </w:tr>
      <w:tr>
        <w:trPr>
          <w:trHeight w:val="203"/>
        </w:trPr>
        <w:tc>
          <w:tcPr>
            <w:tcW w:w="2380" w:type="dxa"/>
            <w:vAlign w:val="bottom"/>
            <w:shd w:val="clear" w:color="auto" w:fill="E1E1DF"/>
          </w:tcPr>
          <w:p>
            <w:pPr>
              <w:spacing w:after="0"/>
              <w:rPr>
                <w:sz w:val="17"/>
                <w:szCs w:val="17"/>
                <w:color w:val="auto"/>
              </w:rPr>
            </w:pPr>
          </w:p>
        </w:tc>
        <w:tc>
          <w:tcPr>
            <w:tcW w:w="2460" w:type="dxa"/>
            <w:vAlign w:val="bottom"/>
            <w:shd w:val="clear" w:color="auto" w:fill="E1E1DF"/>
          </w:tcPr>
          <w:p>
            <w:pPr>
              <w:spacing w:after="0"/>
              <w:rPr>
                <w:sz w:val="17"/>
                <w:szCs w:val="17"/>
                <w:color w:val="auto"/>
              </w:rPr>
            </w:pPr>
          </w:p>
        </w:tc>
        <w:tc>
          <w:tcPr>
            <w:tcW w:w="6400" w:type="dxa"/>
            <w:vAlign w:val="bottom"/>
            <w:shd w:val="clear" w:color="auto" w:fill="E1E1DF"/>
          </w:tcPr>
          <w:p>
            <w:pPr>
              <w:ind w:left="260"/>
              <w:spacing w:after="0" w:line="202" w:lineRule="exact"/>
              <w:rPr>
                <w:sz w:val="20"/>
                <w:szCs w:val="20"/>
                <w:color w:val="auto"/>
              </w:rPr>
            </w:pPr>
            <w:r>
              <w:rPr>
                <w:rFonts w:ascii="Arial" w:cs="Arial" w:eastAsia="Arial" w:hAnsi="Arial"/>
                <w:sz w:val="18"/>
                <w:szCs w:val="18"/>
                <w:color w:val="3B3C43"/>
              </w:rPr>
              <w:t>company cars, club memberships, executive physicals, and security</w:t>
            </w:r>
          </w:p>
        </w:tc>
      </w:tr>
      <w:tr>
        <w:trPr>
          <w:trHeight w:val="203"/>
        </w:trPr>
        <w:tc>
          <w:tcPr>
            <w:tcW w:w="2380" w:type="dxa"/>
            <w:vAlign w:val="bottom"/>
            <w:shd w:val="clear" w:color="auto" w:fill="E1E1DF"/>
          </w:tcPr>
          <w:p>
            <w:pPr>
              <w:spacing w:after="0"/>
              <w:rPr>
                <w:sz w:val="17"/>
                <w:szCs w:val="17"/>
                <w:color w:val="auto"/>
              </w:rPr>
            </w:pPr>
          </w:p>
        </w:tc>
        <w:tc>
          <w:tcPr>
            <w:tcW w:w="2460" w:type="dxa"/>
            <w:vAlign w:val="bottom"/>
            <w:shd w:val="clear" w:color="auto" w:fill="E1E1DF"/>
          </w:tcPr>
          <w:p>
            <w:pPr>
              <w:spacing w:after="0"/>
              <w:rPr>
                <w:sz w:val="17"/>
                <w:szCs w:val="17"/>
                <w:color w:val="auto"/>
              </w:rPr>
            </w:pPr>
          </w:p>
        </w:tc>
        <w:tc>
          <w:tcPr>
            <w:tcW w:w="6400" w:type="dxa"/>
            <w:vAlign w:val="bottom"/>
            <w:shd w:val="clear" w:color="auto" w:fill="E1E1DF"/>
          </w:tcPr>
          <w:p>
            <w:pPr>
              <w:ind w:left="260"/>
              <w:spacing w:after="0" w:line="203" w:lineRule="exact"/>
              <w:rPr>
                <w:sz w:val="20"/>
                <w:szCs w:val="20"/>
                <w:color w:val="auto"/>
              </w:rPr>
            </w:pPr>
            <w:r>
              <w:rPr>
                <w:rFonts w:ascii="Arial" w:cs="Arial" w:eastAsia="Arial" w:hAnsi="Arial"/>
                <w:sz w:val="18"/>
                <w:szCs w:val="18"/>
                <w:color w:val="3B3C43"/>
              </w:rPr>
              <w:t>services where necessary</w:t>
            </w:r>
          </w:p>
        </w:tc>
      </w:tr>
      <w:tr>
        <w:trPr>
          <w:trHeight w:val="404"/>
        </w:trPr>
        <w:tc>
          <w:tcPr>
            <w:tcW w:w="2380" w:type="dxa"/>
            <w:vAlign w:val="bottom"/>
            <w:shd w:val="clear" w:color="auto" w:fill="E1E1DF"/>
          </w:tcPr>
          <w:p>
            <w:pPr>
              <w:spacing w:after="0"/>
              <w:rPr>
                <w:sz w:val="24"/>
                <w:szCs w:val="24"/>
                <w:color w:val="auto"/>
              </w:rPr>
            </w:pPr>
          </w:p>
        </w:tc>
        <w:tc>
          <w:tcPr>
            <w:tcW w:w="2460" w:type="dxa"/>
            <w:vAlign w:val="bottom"/>
            <w:shd w:val="clear" w:color="auto" w:fill="E1E1DF"/>
          </w:tcPr>
          <w:p>
            <w:pPr>
              <w:spacing w:after="0"/>
              <w:rPr>
                <w:sz w:val="24"/>
                <w:szCs w:val="24"/>
                <w:color w:val="auto"/>
              </w:rPr>
            </w:pPr>
          </w:p>
        </w:tc>
        <w:tc>
          <w:tcPr>
            <w:tcW w:w="6400" w:type="dxa"/>
            <w:vAlign w:val="bottom"/>
            <w:shd w:val="clear" w:color="auto" w:fill="E1E1DF"/>
          </w:tcPr>
          <w:p>
            <w:pPr>
              <w:ind w:left="100"/>
              <w:spacing w:after="0"/>
              <w:rPr>
                <w:sz w:val="20"/>
                <w:szCs w:val="20"/>
                <w:color w:val="auto"/>
              </w:rPr>
            </w:pPr>
            <w:r>
              <w:rPr>
                <w:rFonts w:ascii="Arial" w:cs="Arial" w:eastAsia="Arial" w:hAnsi="Arial"/>
                <w:sz w:val="13"/>
                <w:szCs w:val="13"/>
                <w:color w:val="4B1F68"/>
              </w:rPr>
              <w:t xml:space="preserve">► </w:t>
            </w:r>
            <w:r>
              <w:rPr>
                <w:rFonts w:ascii="Arial" w:cs="Arial" w:eastAsia="Arial" w:hAnsi="Arial"/>
                <w:sz w:val="17"/>
                <w:szCs w:val="17"/>
                <w:color w:val="3B3C43"/>
              </w:rPr>
              <w:t>Limited participation in other programs dependent on geography and tenure</w:t>
            </w:r>
          </w:p>
        </w:tc>
      </w:tr>
      <w:tr>
        <w:trPr>
          <w:trHeight w:val="217"/>
        </w:trPr>
        <w:tc>
          <w:tcPr>
            <w:tcW w:w="2380" w:type="dxa"/>
            <w:vAlign w:val="bottom"/>
            <w:shd w:val="clear" w:color="auto" w:fill="E1E1DF"/>
          </w:tcPr>
          <w:p>
            <w:pPr>
              <w:spacing w:after="0"/>
              <w:rPr>
                <w:sz w:val="18"/>
                <w:szCs w:val="18"/>
                <w:color w:val="auto"/>
              </w:rPr>
            </w:pPr>
          </w:p>
        </w:tc>
        <w:tc>
          <w:tcPr>
            <w:tcW w:w="2460" w:type="dxa"/>
            <w:vAlign w:val="bottom"/>
            <w:shd w:val="clear" w:color="auto" w:fill="E1E1DF"/>
          </w:tcPr>
          <w:p>
            <w:pPr>
              <w:spacing w:after="0"/>
              <w:rPr>
                <w:sz w:val="18"/>
                <w:szCs w:val="18"/>
                <w:color w:val="auto"/>
              </w:rPr>
            </w:pPr>
          </w:p>
        </w:tc>
        <w:tc>
          <w:tcPr>
            <w:tcW w:w="6400" w:type="dxa"/>
            <w:vAlign w:val="bottom"/>
            <w:shd w:val="clear" w:color="auto" w:fill="E1E1DF"/>
          </w:tcPr>
          <w:p>
            <w:pPr>
              <w:ind w:left="260"/>
              <w:spacing w:after="0"/>
              <w:rPr>
                <w:sz w:val="20"/>
                <w:szCs w:val="20"/>
                <w:color w:val="auto"/>
              </w:rPr>
            </w:pPr>
            <w:r>
              <w:rPr>
                <w:rFonts w:ascii="Arial" w:cs="Arial" w:eastAsia="Arial" w:hAnsi="Arial"/>
                <w:sz w:val="18"/>
                <w:szCs w:val="18"/>
                <w:color w:val="3B3C43"/>
              </w:rPr>
              <w:t>(non-U.S.-based NEO)</w:t>
            </w:r>
          </w:p>
        </w:tc>
      </w:tr>
      <w:tr>
        <w:trPr>
          <w:trHeight w:val="67"/>
        </w:trPr>
        <w:tc>
          <w:tcPr>
            <w:tcW w:w="2380" w:type="dxa"/>
            <w:vAlign w:val="bottom"/>
            <w:shd w:val="clear" w:color="auto" w:fill="E1E1DF"/>
          </w:tcPr>
          <w:p>
            <w:pPr>
              <w:spacing w:after="0"/>
              <w:rPr>
                <w:sz w:val="5"/>
                <w:szCs w:val="5"/>
                <w:color w:val="auto"/>
              </w:rPr>
            </w:pPr>
          </w:p>
        </w:tc>
        <w:tc>
          <w:tcPr>
            <w:tcW w:w="2460" w:type="dxa"/>
            <w:vAlign w:val="bottom"/>
            <w:shd w:val="clear" w:color="auto" w:fill="E1E1DF"/>
          </w:tcPr>
          <w:p>
            <w:pPr>
              <w:spacing w:after="0"/>
              <w:rPr>
                <w:sz w:val="5"/>
                <w:szCs w:val="5"/>
                <w:color w:val="auto"/>
              </w:rPr>
            </w:pPr>
          </w:p>
        </w:tc>
        <w:tc>
          <w:tcPr>
            <w:tcW w:w="6400" w:type="dxa"/>
            <w:vAlign w:val="bottom"/>
            <w:shd w:val="clear" w:color="auto" w:fill="E1E1DF"/>
          </w:tcPr>
          <w:p>
            <w:pPr>
              <w:spacing w:after="0"/>
              <w:rPr>
                <w:sz w:val="5"/>
                <w:szCs w:val="5"/>
                <w:color w:val="auto"/>
              </w:rPr>
            </w:pPr>
          </w:p>
        </w:tc>
      </w:tr>
      <w:tr>
        <w:trPr>
          <w:trHeight w:val="366"/>
        </w:trPr>
        <w:tc>
          <w:tcPr>
            <w:tcW w:w="2380" w:type="dxa"/>
            <w:vAlign w:val="bottom"/>
          </w:tcPr>
          <w:p>
            <w:pPr>
              <w:spacing w:after="0"/>
              <w:rPr>
                <w:sz w:val="20"/>
                <w:szCs w:val="20"/>
                <w:color w:val="auto"/>
              </w:rPr>
            </w:pPr>
            <w:r>
              <w:rPr>
                <w:rFonts w:ascii="Arial" w:cs="Arial" w:eastAsia="Arial" w:hAnsi="Arial"/>
                <w:sz w:val="14"/>
                <w:szCs w:val="14"/>
                <w:color w:val="auto"/>
              </w:rPr>
              <w:t>82  TechnipFMC</w:t>
            </w:r>
          </w:p>
        </w:tc>
        <w:tc>
          <w:tcPr>
            <w:tcW w:w="246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606"/>
        </w:trPr>
        <w:tc>
          <w:tcPr>
            <w:tcW w:w="23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9"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Base Salary</w:t>
      </w:r>
    </w:p>
    <w:p>
      <w:pPr>
        <w:spacing w:after="0" w:line="1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3B3C43"/>
        </w:rPr>
        <w:t>We provide our NEOs with a market competitive base salary to compensate them for services performed during the year. We set base salary by referencing market median total target compensation. When setting an individual NEO’s base salary, we consider factors such as individual performance, experience, and contributions to the business, while staying within an appropriate range of the market median for the role.</w:t>
      </w:r>
    </w:p>
    <w:p>
      <w:pPr>
        <w:spacing w:after="0" w:line="19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3B3C43"/>
        </w:rPr>
        <w:t>The Compensation Committee reviews base salary for NEOs on an annual basis. For the CEO, the Compensation Committee determines and approves any changes, with input from the committee’s independent compensation consultant. For the other NEOs, the CEO recommends changes to the Compensation Committee with the support of the committee’s compensation consultant, and the Compensation Committee approves the changes. The NEOs do not participate in discussions or decisions relating to their own or the other NEOs’ compensation.</w:t>
      </w:r>
    </w:p>
    <w:p>
      <w:pPr>
        <w:spacing w:after="0" w:line="189" w:lineRule="exact"/>
        <w:rPr>
          <w:sz w:val="20"/>
          <w:szCs w:val="20"/>
          <w:color w:val="auto"/>
        </w:rPr>
      </w:pPr>
    </w:p>
    <w:p>
      <w:pPr>
        <w:ind w:right="40"/>
        <w:spacing w:after="0"/>
        <w:rPr>
          <w:sz w:val="20"/>
          <w:szCs w:val="20"/>
          <w:color w:val="auto"/>
        </w:rPr>
      </w:pPr>
      <w:r>
        <w:rPr>
          <w:rFonts w:ascii="Arial" w:cs="Arial" w:eastAsia="Arial" w:hAnsi="Arial"/>
          <w:sz w:val="18"/>
          <w:szCs w:val="18"/>
          <w:color w:val="3B3C43"/>
        </w:rPr>
        <w:t>In 2020, in response to the change in business environment due to the COVID-19 pandemic and sharp decline in oil prices, the Compensation Committee reduced the annual base salary for the Chairman and CEO by 30% and for other executive officers by 20% for the remainder of 2020, effective May 1,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3B3C43"/>
        </w:rPr>
        <w:t>Changes in salary are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126365</wp:posOffset>
            </wp:positionV>
            <wp:extent cx="8255" cy="3086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126365</wp:posOffset>
            </wp:positionV>
            <wp:extent cx="8255" cy="3086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126365</wp:posOffset>
            </wp:positionV>
            <wp:extent cx="8890" cy="3086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20" w:type="dxa"/>
            <w:vAlign w:val="bottom"/>
            <w:shd w:val="clear" w:color="auto" w:fill="4A1F67"/>
          </w:tcPr>
          <w:p>
            <w:pPr>
              <w:spacing w:after="0"/>
              <w:rPr>
                <w:sz w:val="19"/>
                <w:szCs w:val="19"/>
                <w:color w:val="auto"/>
              </w:rPr>
            </w:pPr>
          </w:p>
        </w:tc>
        <w:tc>
          <w:tcPr>
            <w:tcW w:w="3320" w:type="dxa"/>
            <w:vAlign w:val="bottom"/>
            <w:shd w:val="clear" w:color="auto" w:fill="4A1F67"/>
          </w:tcPr>
          <w:p>
            <w:pPr>
              <w:jc w:val="right"/>
              <w:ind w:right="439"/>
              <w:spacing w:after="0"/>
              <w:rPr>
                <w:sz w:val="20"/>
                <w:szCs w:val="20"/>
                <w:color w:val="auto"/>
              </w:rPr>
            </w:pPr>
            <w:r>
              <w:rPr>
                <w:rFonts w:ascii="Arial" w:cs="Arial" w:eastAsia="Arial" w:hAnsi="Arial"/>
                <w:sz w:val="16"/>
                <w:szCs w:val="16"/>
                <w:b w:val="1"/>
                <w:bCs w:val="1"/>
                <w:color w:val="FFFFFF"/>
              </w:rPr>
              <w:t>Base Salary</w:t>
            </w:r>
          </w:p>
        </w:tc>
        <w:tc>
          <w:tcPr>
            <w:tcW w:w="3020" w:type="dxa"/>
            <w:vAlign w:val="bottom"/>
            <w:shd w:val="clear" w:color="auto" w:fill="4A1F67"/>
          </w:tcPr>
          <w:p>
            <w:pPr>
              <w:jc w:val="right"/>
              <w:ind w:right="879"/>
              <w:spacing w:after="0"/>
              <w:rPr>
                <w:sz w:val="20"/>
                <w:szCs w:val="20"/>
                <w:color w:val="auto"/>
              </w:rPr>
            </w:pPr>
            <w:r>
              <w:rPr>
                <w:rFonts w:ascii="Arial" w:cs="Arial" w:eastAsia="Arial" w:hAnsi="Arial"/>
                <w:sz w:val="16"/>
                <w:szCs w:val="16"/>
                <w:b w:val="1"/>
                <w:bCs w:val="1"/>
                <w:color w:val="FFFFFF"/>
              </w:rPr>
              <w:t>Base Salary</w:t>
            </w:r>
          </w:p>
        </w:tc>
        <w:tc>
          <w:tcPr>
            <w:tcW w:w="1680" w:type="dxa"/>
            <w:vAlign w:val="bottom"/>
            <w:vMerge w:val="restart"/>
            <w:shd w:val="clear" w:color="auto" w:fill="4A1F67"/>
          </w:tcPr>
          <w:p>
            <w:pPr>
              <w:jc w:val="right"/>
              <w:spacing w:after="0"/>
              <w:rPr>
                <w:sz w:val="20"/>
                <w:szCs w:val="20"/>
                <w:color w:val="auto"/>
              </w:rPr>
            </w:pPr>
            <w:r>
              <w:rPr>
                <w:rFonts w:ascii="Arial" w:cs="Arial" w:eastAsia="Arial" w:hAnsi="Arial"/>
                <w:sz w:val="16"/>
                <w:szCs w:val="16"/>
                <w:b w:val="1"/>
                <w:bCs w:val="1"/>
                <w:color w:val="FFFFFF"/>
              </w:rPr>
              <w:t>Change</w:t>
            </w:r>
            <w:r>
              <w:rPr>
                <w:rFonts w:ascii="Arial" w:cs="Arial" w:eastAsia="Arial" w:hAnsi="Arial"/>
                <w:sz w:val="26"/>
                <w:szCs w:val="26"/>
                <w:b w:val="1"/>
                <w:bCs w:val="1"/>
                <w:color w:val="FFFFFF"/>
                <w:vertAlign w:val="superscript"/>
              </w:rPr>
              <w:t>1</w:t>
            </w:r>
          </w:p>
        </w:tc>
        <w:tc>
          <w:tcPr>
            <w:tcW w:w="0" w:type="dxa"/>
            <w:vAlign w:val="bottom"/>
          </w:tcPr>
          <w:p>
            <w:pPr>
              <w:spacing w:after="0"/>
              <w:rPr>
                <w:sz w:val="1"/>
                <w:szCs w:val="1"/>
                <w:color w:val="auto"/>
              </w:rPr>
            </w:pPr>
          </w:p>
        </w:tc>
      </w:tr>
      <w:tr>
        <w:trPr>
          <w:trHeight w:val="261"/>
        </w:trPr>
        <w:tc>
          <w:tcPr>
            <w:tcW w:w="3220" w:type="dxa"/>
            <w:vAlign w:val="bottom"/>
            <w:shd w:val="clear" w:color="auto" w:fill="4A1F67"/>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3320" w:type="dxa"/>
            <w:vAlign w:val="bottom"/>
            <w:shd w:val="clear" w:color="auto" w:fill="4A1F67"/>
          </w:tcPr>
          <w:p>
            <w:pPr>
              <w:jc w:val="right"/>
              <w:ind w:right="439"/>
              <w:spacing w:after="0"/>
              <w:rPr>
                <w:sz w:val="20"/>
                <w:szCs w:val="20"/>
                <w:color w:val="auto"/>
              </w:rPr>
            </w:pPr>
            <w:r>
              <w:rPr>
                <w:rFonts w:ascii="Arial" w:cs="Arial" w:eastAsia="Arial" w:hAnsi="Arial"/>
                <w:sz w:val="16"/>
                <w:szCs w:val="16"/>
                <w:b w:val="1"/>
                <w:bCs w:val="1"/>
                <w:color w:val="FFFFFF"/>
              </w:rPr>
              <w:t>(December 31, 2019)</w:t>
            </w:r>
          </w:p>
        </w:tc>
        <w:tc>
          <w:tcPr>
            <w:tcW w:w="3020" w:type="dxa"/>
            <w:vAlign w:val="bottom"/>
            <w:shd w:val="clear" w:color="auto" w:fill="4A1F67"/>
          </w:tcPr>
          <w:p>
            <w:pPr>
              <w:jc w:val="right"/>
              <w:ind w:right="879"/>
              <w:spacing w:after="0"/>
              <w:rPr>
                <w:sz w:val="20"/>
                <w:szCs w:val="20"/>
                <w:color w:val="auto"/>
              </w:rPr>
            </w:pPr>
            <w:r>
              <w:rPr>
                <w:rFonts w:ascii="Arial" w:cs="Arial" w:eastAsia="Arial" w:hAnsi="Arial"/>
                <w:sz w:val="16"/>
                <w:szCs w:val="16"/>
                <w:b w:val="1"/>
                <w:bCs w:val="1"/>
                <w:color w:val="FFFFFF"/>
              </w:rPr>
              <w:t>(December 31, 2020)</w:t>
            </w:r>
          </w:p>
        </w:tc>
        <w:tc>
          <w:tcPr>
            <w:tcW w:w="1680" w:type="dxa"/>
            <w:vAlign w:val="bottom"/>
            <w:vMerge w:val="continue"/>
            <w:shd w:val="clear" w:color="auto" w:fill="4A1F67"/>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220" w:type="dxa"/>
            <w:vAlign w:val="bottom"/>
          </w:tcPr>
          <w:p>
            <w:pPr>
              <w:ind w:left="60"/>
              <w:spacing w:after="0"/>
              <w:rPr>
                <w:sz w:val="20"/>
                <w:szCs w:val="20"/>
                <w:color w:val="auto"/>
              </w:rPr>
            </w:pPr>
            <w:r>
              <w:rPr>
                <w:rFonts w:ascii="Arial" w:cs="Arial" w:eastAsia="Arial" w:hAnsi="Arial"/>
                <w:sz w:val="16"/>
                <w:szCs w:val="16"/>
                <w:color w:val="3B3C43"/>
              </w:rPr>
              <w:t>Douglas J. Pferdehirt</w:t>
            </w:r>
          </w:p>
        </w:tc>
        <w:tc>
          <w:tcPr>
            <w:tcW w:w="3320" w:type="dxa"/>
            <w:vAlign w:val="bottom"/>
          </w:tcPr>
          <w:p>
            <w:pPr>
              <w:jc w:val="right"/>
              <w:ind w:right="439"/>
              <w:spacing w:after="0"/>
              <w:rPr>
                <w:sz w:val="20"/>
                <w:szCs w:val="20"/>
                <w:color w:val="auto"/>
              </w:rPr>
            </w:pPr>
            <w:r>
              <w:rPr>
                <w:rFonts w:ascii="Arial" w:cs="Arial" w:eastAsia="Arial" w:hAnsi="Arial"/>
                <w:sz w:val="16"/>
                <w:szCs w:val="16"/>
                <w:color w:val="3B3C43"/>
              </w:rPr>
              <w:t>$1,236,000</w:t>
            </w:r>
          </w:p>
        </w:tc>
        <w:tc>
          <w:tcPr>
            <w:tcW w:w="3020" w:type="dxa"/>
            <w:vAlign w:val="bottom"/>
          </w:tcPr>
          <w:p>
            <w:pPr>
              <w:jc w:val="right"/>
              <w:ind w:right="879"/>
              <w:spacing w:after="0"/>
              <w:rPr>
                <w:sz w:val="20"/>
                <w:szCs w:val="20"/>
                <w:color w:val="auto"/>
              </w:rPr>
            </w:pPr>
            <w:r>
              <w:rPr>
                <w:rFonts w:ascii="Arial" w:cs="Arial" w:eastAsia="Arial" w:hAnsi="Arial"/>
                <w:sz w:val="16"/>
                <w:szCs w:val="16"/>
                <w:color w:val="3B3C43"/>
              </w:rPr>
              <w:t>$865,200</w:t>
            </w:r>
          </w:p>
        </w:tc>
        <w:tc>
          <w:tcPr>
            <w:tcW w:w="1680" w:type="dxa"/>
            <w:vAlign w:val="bottom"/>
          </w:tcPr>
          <w:p>
            <w:pPr>
              <w:jc w:val="right"/>
              <w:spacing w:after="0"/>
              <w:rPr>
                <w:sz w:val="20"/>
                <w:szCs w:val="20"/>
                <w:color w:val="auto"/>
              </w:rPr>
            </w:pPr>
            <w:r>
              <w:rPr>
                <w:rFonts w:ascii="Arial" w:cs="Arial" w:eastAsia="Arial" w:hAnsi="Arial"/>
                <w:sz w:val="16"/>
                <w:szCs w:val="16"/>
                <w:color w:val="3B3C43"/>
              </w:rPr>
              <w:t>-30%</w:t>
            </w:r>
          </w:p>
        </w:tc>
        <w:tc>
          <w:tcPr>
            <w:tcW w:w="0" w:type="dxa"/>
            <w:vAlign w:val="bottom"/>
          </w:tcPr>
          <w:p>
            <w:pPr>
              <w:spacing w:after="0"/>
              <w:rPr>
                <w:sz w:val="1"/>
                <w:szCs w:val="1"/>
                <w:color w:val="auto"/>
              </w:rPr>
            </w:pPr>
          </w:p>
        </w:tc>
      </w:tr>
      <w:tr>
        <w:trPr>
          <w:trHeight w:val="47"/>
        </w:trPr>
        <w:tc>
          <w:tcPr>
            <w:tcW w:w="3220" w:type="dxa"/>
            <w:vAlign w:val="bottom"/>
            <w:tcBorders>
              <w:bottom w:val="single" w:sz="8" w:color="E1E2E0"/>
            </w:tcBorders>
          </w:tcPr>
          <w:p>
            <w:pPr>
              <w:spacing w:after="0"/>
              <w:rPr>
                <w:sz w:val="4"/>
                <w:szCs w:val="4"/>
                <w:color w:val="auto"/>
              </w:rPr>
            </w:pPr>
          </w:p>
        </w:tc>
        <w:tc>
          <w:tcPr>
            <w:tcW w:w="3320" w:type="dxa"/>
            <w:vAlign w:val="bottom"/>
            <w:tcBorders>
              <w:bottom w:val="single" w:sz="8" w:color="E1E2E0"/>
            </w:tcBorders>
          </w:tcPr>
          <w:p>
            <w:pPr>
              <w:spacing w:after="0"/>
              <w:rPr>
                <w:sz w:val="4"/>
                <w:szCs w:val="4"/>
                <w:color w:val="auto"/>
              </w:rPr>
            </w:pPr>
          </w:p>
        </w:tc>
        <w:tc>
          <w:tcPr>
            <w:tcW w:w="302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220" w:type="dxa"/>
            <w:vAlign w:val="bottom"/>
            <w:tcBorders>
              <w:bottom w:val="single" w:sz="8" w:color="E1E2E0"/>
            </w:tcBorders>
          </w:tcPr>
          <w:p>
            <w:pPr>
              <w:ind w:left="60"/>
              <w:spacing w:after="0" w:line="291" w:lineRule="exact"/>
              <w:rPr>
                <w:sz w:val="20"/>
                <w:szCs w:val="20"/>
                <w:color w:val="auto"/>
              </w:rPr>
            </w:pPr>
            <w:r>
              <w:rPr>
                <w:rFonts w:ascii="Arial" w:cs="Arial" w:eastAsia="Arial" w:hAnsi="Arial"/>
                <w:sz w:val="16"/>
                <w:szCs w:val="16"/>
                <w:color w:val="3B3C43"/>
              </w:rPr>
              <w:t>Maryann T. Mannen</w:t>
            </w:r>
            <w:r>
              <w:rPr>
                <w:rFonts w:ascii="Arial" w:cs="Arial" w:eastAsia="Arial" w:hAnsi="Arial"/>
                <w:sz w:val="26"/>
                <w:szCs w:val="26"/>
                <w:color w:val="3B3C43"/>
                <w:vertAlign w:val="superscript"/>
              </w:rPr>
              <w:t>2</w:t>
            </w:r>
          </w:p>
        </w:tc>
        <w:tc>
          <w:tcPr>
            <w:tcW w:w="3320" w:type="dxa"/>
            <w:vAlign w:val="bottom"/>
            <w:tcBorders>
              <w:bottom w:val="single" w:sz="8" w:color="E1E2E0"/>
            </w:tcBorders>
          </w:tcPr>
          <w:p>
            <w:pPr>
              <w:jc w:val="right"/>
              <w:ind w:right="439"/>
              <w:spacing w:after="0"/>
              <w:rPr>
                <w:sz w:val="20"/>
                <w:szCs w:val="20"/>
                <w:color w:val="auto"/>
              </w:rPr>
            </w:pPr>
            <w:r>
              <w:rPr>
                <w:rFonts w:ascii="Arial" w:cs="Arial" w:eastAsia="Arial" w:hAnsi="Arial"/>
                <w:sz w:val="16"/>
                <w:szCs w:val="16"/>
                <w:color w:val="3B3C43"/>
              </w:rPr>
              <w:t>$803,000</w:t>
            </w:r>
          </w:p>
        </w:tc>
        <w:tc>
          <w:tcPr>
            <w:tcW w:w="3020" w:type="dxa"/>
            <w:vAlign w:val="bottom"/>
            <w:tcBorders>
              <w:bottom w:val="single" w:sz="8" w:color="E1E2E0"/>
            </w:tcBorders>
          </w:tcPr>
          <w:p>
            <w:pPr>
              <w:jc w:val="right"/>
              <w:ind w:right="879"/>
              <w:spacing w:after="0"/>
              <w:rPr>
                <w:sz w:val="20"/>
                <w:szCs w:val="20"/>
                <w:color w:val="auto"/>
              </w:rPr>
            </w:pPr>
            <w:r>
              <w:rPr>
                <w:rFonts w:ascii="Arial" w:cs="Arial" w:eastAsia="Arial" w:hAnsi="Arial"/>
                <w:sz w:val="16"/>
                <w:szCs w:val="16"/>
                <w:color w:val="3B3C43"/>
              </w:rPr>
              <w:t>$642,400</w:t>
            </w:r>
          </w:p>
        </w:tc>
        <w:tc>
          <w:tcPr>
            <w:tcW w:w="16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-20%</w:t>
            </w:r>
          </w:p>
        </w:tc>
        <w:tc>
          <w:tcPr>
            <w:tcW w:w="0" w:type="dxa"/>
            <w:vAlign w:val="bottom"/>
          </w:tcPr>
          <w:p>
            <w:pPr>
              <w:spacing w:after="0"/>
              <w:rPr>
                <w:sz w:val="1"/>
                <w:szCs w:val="1"/>
                <w:color w:val="auto"/>
              </w:rPr>
            </w:pPr>
          </w:p>
        </w:tc>
      </w:tr>
      <w:tr>
        <w:trPr>
          <w:trHeight w:val="244"/>
        </w:trPr>
        <w:tc>
          <w:tcPr>
            <w:tcW w:w="3220" w:type="dxa"/>
            <w:vAlign w:val="bottom"/>
          </w:tcPr>
          <w:p>
            <w:pPr>
              <w:ind w:left="60"/>
              <w:spacing w:after="0"/>
              <w:rPr>
                <w:sz w:val="20"/>
                <w:szCs w:val="20"/>
                <w:color w:val="auto"/>
              </w:rPr>
            </w:pPr>
            <w:r>
              <w:rPr>
                <w:rFonts w:ascii="Arial" w:cs="Arial" w:eastAsia="Arial" w:hAnsi="Arial"/>
                <w:sz w:val="16"/>
                <w:szCs w:val="16"/>
                <w:color w:val="3B3C43"/>
              </w:rPr>
              <w:t>Justin Rounce</w:t>
            </w:r>
          </w:p>
        </w:tc>
        <w:tc>
          <w:tcPr>
            <w:tcW w:w="3320" w:type="dxa"/>
            <w:vAlign w:val="bottom"/>
          </w:tcPr>
          <w:p>
            <w:pPr>
              <w:jc w:val="right"/>
              <w:ind w:right="439"/>
              <w:spacing w:after="0"/>
              <w:rPr>
                <w:sz w:val="20"/>
                <w:szCs w:val="20"/>
                <w:color w:val="auto"/>
              </w:rPr>
            </w:pPr>
            <w:r>
              <w:rPr>
                <w:rFonts w:ascii="Arial" w:cs="Arial" w:eastAsia="Arial" w:hAnsi="Arial"/>
                <w:sz w:val="16"/>
                <w:szCs w:val="16"/>
                <w:color w:val="3B3C43"/>
              </w:rPr>
              <w:t>$600,000</w:t>
            </w:r>
          </w:p>
        </w:tc>
        <w:tc>
          <w:tcPr>
            <w:tcW w:w="3020" w:type="dxa"/>
            <w:vAlign w:val="bottom"/>
          </w:tcPr>
          <w:p>
            <w:pPr>
              <w:jc w:val="right"/>
              <w:ind w:right="879"/>
              <w:spacing w:after="0"/>
              <w:rPr>
                <w:sz w:val="20"/>
                <w:szCs w:val="20"/>
                <w:color w:val="auto"/>
              </w:rPr>
            </w:pPr>
            <w:r>
              <w:rPr>
                <w:rFonts w:ascii="Arial" w:cs="Arial" w:eastAsia="Arial" w:hAnsi="Arial"/>
                <w:sz w:val="16"/>
                <w:szCs w:val="16"/>
                <w:color w:val="3B3C43"/>
              </w:rPr>
              <w:t>$480,000</w:t>
            </w:r>
          </w:p>
        </w:tc>
        <w:tc>
          <w:tcPr>
            <w:tcW w:w="1680" w:type="dxa"/>
            <w:vAlign w:val="bottom"/>
          </w:tcPr>
          <w:p>
            <w:pPr>
              <w:jc w:val="right"/>
              <w:spacing w:after="0"/>
              <w:rPr>
                <w:sz w:val="20"/>
                <w:szCs w:val="20"/>
                <w:color w:val="auto"/>
              </w:rPr>
            </w:pPr>
            <w:r>
              <w:rPr>
                <w:rFonts w:ascii="Arial" w:cs="Arial" w:eastAsia="Arial" w:hAnsi="Arial"/>
                <w:sz w:val="16"/>
                <w:szCs w:val="16"/>
                <w:color w:val="3B3C43"/>
              </w:rPr>
              <w:t>-20%</w:t>
            </w:r>
          </w:p>
        </w:tc>
        <w:tc>
          <w:tcPr>
            <w:tcW w:w="0" w:type="dxa"/>
            <w:vAlign w:val="bottom"/>
          </w:tcPr>
          <w:p>
            <w:pPr>
              <w:spacing w:after="0"/>
              <w:rPr>
                <w:sz w:val="1"/>
                <w:szCs w:val="1"/>
                <w:color w:val="auto"/>
              </w:rPr>
            </w:pPr>
          </w:p>
        </w:tc>
      </w:tr>
      <w:tr>
        <w:trPr>
          <w:trHeight w:val="46"/>
        </w:trPr>
        <w:tc>
          <w:tcPr>
            <w:tcW w:w="3220" w:type="dxa"/>
            <w:vAlign w:val="bottom"/>
            <w:tcBorders>
              <w:bottom w:val="single" w:sz="8" w:color="E1E2E0"/>
            </w:tcBorders>
          </w:tcPr>
          <w:p>
            <w:pPr>
              <w:spacing w:after="0"/>
              <w:rPr>
                <w:sz w:val="4"/>
                <w:szCs w:val="4"/>
                <w:color w:val="auto"/>
              </w:rPr>
            </w:pPr>
          </w:p>
        </w:tc>
        <w:tc>
          <w:tcPr>
            <w:tcW w:w="3320" w:type="dxa"/>
            <w:vAlign w:val="bottom"/>
            <w:tcBorders>
              <w:bottom w:val="single" w:sz="8" w:color="E1E2E0"/>
            </w:tcBorders>
          </w:tcPr>
          <w:p>
            <w:pPr>
              <w:spacing w:after="0"/>
              <w:rPr>
                <w:sz w:val="4"/>
                <w:szCs w:val="4"/>
                <w:color w:val="auto"/>
              </w:rPr>
            </w:pPr>
          </w:p>
        </w:tc>
        <w:tc>
          <w:tcPr>
            <w:tcW w:w="302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220" w:type="dxa"/>
            <w:vAlign w:val="bottom"/>
            <w:tcBorders>
              <w:bottom w:val="single" w:sz="8" w:color="E1E2E0"/>
            </w:tcBorders>
          </w:tcPr>
          <w:p>
            <w:pPr>
              <w:ind w:left="60"/>
              <w:spacing w:after="0" w:line="291" w:lineRule="exact"/>
              <w:rPr>
                <w:sz w:val="20"/>
                <w:szCs w:val="20"/>
                <w:color w:val="auto"/>
              </w:rPr>
            </w:pPr>
            <w:r>
              <w:rPr>
                <w:rFonts w:ascii="Arial" w:cs="Arial" w:eastAsia="Arial" w:hAnsi="Arial"/>
                <w:sz w:val="16"/>
                <w:szCs w:val="16"/>
                <w:color w:val="3B3C43"/>
              </w:rPr>
              <w:t>Arnaud Pieton</w:t>
            </w:r>
            <w:r>
              <w:rPr>
                <w:rFonts w:ascii="Arial" w:cs="Arial" w:eastAsia="Arial" w:hAnsi="Arial"/>
                <w:sz w:val="26"/>
                <w:szCs w:val="26"/>
                <w:color w:val="3B3C43"/>
                <w:vertAlign w:val="superscript"/>
              </w:rPr>
              <w:t>3</w:t>
            </w:r>
          </w:p>
        </w:tc>
        <w:tc>
          <w:tcPr>
            <w:tcW w:w="3320" w:type="dxa"/>
            <w:vAlign w:val="bottom"/>
            <w:tcBorders>
              <w:bottom w:val="single" w:sz="8" w:color="E1E2E0"/>
            </w:tcBorders>
          </w:tcPr>
          <w:p>
            <w:pPr>
              <w:jc w:val="right"/>
              <w:ind w:right="439"/>
              <w:spacing w:after="0"/>
              <w:rPr>
                <w:sz w:val="20"/>
                <w:szCs w:val="20"/>
                <w:color w:val="auto"/>
              </w:rPr>
            </w:pPr>
            <w:r>
              <w:rPr>
                <w:rFonts w:ascii="Arial" w:cs="Arial" w:eastAsia="Arial" w:hAnsi="Arial"/>
                <w:sz w:val="16"/>
                <w:szCs w:val="16"/>
                <w:color w:val="3B3C43"/>
              </w:rPr>
              <w:t>$515,000</w:t>
            </w:r>
          </w:p>
        </w:tc>
        <w:tc>
          <w:tcPr>
            <w:tcW w:w="3020" w:type="dxa"/>
            <w:vAlign w:val="bottom"/>
            <w:tcBorders>
              <w:bottom w:val="single" w:sz="8" w:color="E1E2E0"/>
            </w:tcBorders>
          </w:tcPr>
          <w:p>
            <w:pPr>
              <w:jc w:val="right"/>
              <w:ind w:right="879"/>
              <w:spacing w:after="0"/>
              <w:rPr>
                <w:sz w:val="20"/>
                <w:szCs w:val="20"/>
                <w:color w:val="auto"/>
              </w:rPr>
            </w:pPr>
            <w:r>
              <w:rPr>
                <w:rFonts w:ascii="Arial" w:cs="Arial" w:eastAsia="Arial" w:hAnsi="Arial"/>
                <w:sz w:val="16"/>
                <w:szCs w:val="16"/>
                <w:color w:val="3B3C43"/>
              </w:rPr>
              <w:t>$642,464</w:t>
            </w:r>
          </w:p>
        </w:tc>
        <w:tc>
          <w:tcPr>
            <w:tcW w:w="16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+24.8%</w:t>
            </w:r>
          </w:p>
        </w:tc>
        <w:tc>
          <w:tcPr>
            <w:tcW w:w="0" w:type="dxa"/>
            <w:vAlign w:val="bottom"/>
          </w:tcPr>
          <w:p>
            <w:pPr>
              <w:spacing w:after="0"/>
              <w:rPr>
                <w:sz w:val="1"/>
                <w:szCs w:val="1"/>
                <w:color w:val="auto"/>
              </w:rPr>
            </w:pPr>
          </w:p>
        </w:tc>
      </w:tr>
      <w:tr>
        <w:trPr>
          <w:trHeight w:val="244"/>
        </w:trPr>
        <w:tc>
          <w:tcPr>
            <w:tcW w:w="3220" w:type="dxa"/>
            <w:vAlign w:val="bottom"/>
          </w:tcPr>
          <w:p>
            <w:pPr>
              <w:ind w:left="60"/>
              <w:spacing w:after="0"/>
              <w:rPr>
                <w:sz w:val="20"/>
                <w:szCs w:val="20"/>
                <w:color w:val="auto"/>
              </w:rPr>
            </w:pPr>
            <w:r>
              <w:rPr>
                <w:rFonts w:ascii="Arial" w:cs="Arial" w:eastAsia="Arial" w:hAnsi="Arial"/>
                <w:sz w:val="16"/>
                <w:szCs w:val="16"/>
                <w:color w:val="3B3C43"/>
              </w:rPr>
              <w:t>Barry Glickman</w:t>
            </w:r>
          </w:p>
        </w:tc>
        <w:tc>
          <w:tcPr>
            <w:tcW w:w="3320" w:type="dxa"/>
            <w:vAlign w:val="bottom"/>
          </w:tcPr>
          <w:p>
            <w:pPr>
              <w:jc w:val="right"/>
              <w:ind w:right="439"/>
              <w:spacing w:after="0"/>
              <w:rPr>
                <w:sz w:val="20"/>
                <w:szCs w:val="20"/>
                <w:color w:val="auto"/>
              </w:rPr>
            </w:pPr>
            <w:r>
              <w:rPr>
                <w:rFonts w:ascii="Arial" w:cs="Arial" w:eastAsia="Arial" w:hAnsi="Arial"/>
                <w:sz w:val="16"/>
                <w:szCs w:val="16"/>
                <w:color w:val="3B3C43"/>
              </w:rPr>
              <w:t>$536,000</w:t>
            </w:r>
          </w:p>
        </w:tc>
        <w:tc>
          <w:tcPr>
            <w:tcW w:w="3020" w:type="dxa"/>
            <w:vAlign w:val="bottom"/>
          </w:tcPr>
          <w:p>
            <w:pPr>
              <w:jc w:val="right"/>
              <w:ind w:right="879"/>
              <w:spacing w:after="0"/>
              <w:rPr>
                <w:sz w:val="20"/>
                <w:szCs w:val="20"/>
                <w:color w:val="auto"/>
              </w:rPr>
            </w:pPr>
            <w:r>
              <w:rPr>
                <w:rFonts w:ascii="Arial" w:cs="Arial" w:eastAsia="Arial" w:hAnsi="Arial"/>
                <w:sz w:val="16"/>
                <w:szCs w:val="16"/>
                <w:color w:val="3B3C43"/>
              </w:rPr>
              <w:t>$428,800</w:t>
            </w:r>
          </w:p>
        </w:tc>
        <w:tc>
          <w:tcPr>
            <w:tcW w:w="1680" w:type="dxa"/>
            <w:vAlign w:val="bottom"/>
          </w:tcPr>
          <w:p>
            <w:pPr>
              <w:jc w:val="right"/>
              <w:spacing w:after="0"/>
              <w:rPr>
                <w:sz w:val="20"/>
                <w:szCs w:val="20"/>
                <w:color w:val="auto"/>
              </w:rPr>
            </w:pPr>
            <w:r>
              <w:rPr>
                <w:rFonts w:ascii="Arial" w:cs="Arial" w:eastAsia="Arial" w:hAnsi="Arial"/>
                <w:sz w:val="16"/>
                <w:szCs w:val="16"/>
                <w:color w:val="3B3C43"/>
              </w:rPr>
              <w:t>-20%</w:t>
            </w:r>
          </w:p>
        </w:tc>
        <w:tc>
          <w:tcPr>
            <w:tcW w:w="0" w:type="dxa"/>
            <w:vAlign w:val="bottom"/>
          </w:tcPr>
          <w:p>
            <w:pPr>
              <w:spacing w:after="0"/>
              <w:rPr>
                <w:sz w:val="1"/>
                <w:szCs w:val="1"/>
                <w:color w:val="auto"/>
              </w:rPr>
            </w:pPr>
          </w:p>
        </w:tc>
      </w:tr>
      <w:tr>
        <w:trPr>
          <w:trHeight w:val="46"/>
        </w:trPr>
        <w:tc>
          <w:tcPr>
            <w:tcW w:w="3220" w:type="dxa"/>
            <w:vAlign w:val="bottom"/>
            <w:tcBorders>
              <w:bottom w:val="single" w:sz="8" w:color="E1E2E0"/>
            </w:tcBorders>
          </w:tcPr>
          <w:p>
            <w:pPr>
              <w:spacing w:after="0"/>
              <w:rPr>
                <w:sz w:val="4"/>
                <w:szCs w:val="4"/>
                <w:color w:val="auto"/>
              </w:rPr>
            </w:pPr>
          </w:p>
        </w:tc>
        <w:tc>
          <w:tcPr>
            <w:tcW w:w="3320" w:type="dxa"/>
            <w:vAlign w:val="bottom"/>
            <w:tcBorders>
              <w:bottom w:val="single" w:sz="8" w:color="E1E2E0"/>
            </w:tcBorders>
          </w:tcPr>
          <w:p>
            <w:pPr>
              <w:spacing w:after="0"/>
              <w:rPr>
                <w:sz w:val="4"/>
                <w:szCs w:val="4"/>
                <w:color w:val="auto"/>
              </w:rPr>
            </w:pPr>
          </w:p>
        </w:tc>
        <w:tc>
          <w:tcPr>
            <w:tcW w:w="302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220" w:type="dxa"/>
            <w:vAlign w:val="bottom"/>
            <w:tcBorders>
              <w:bottom w:val="single" w:sz="8" w:color="E1E2E0"/>
            </w:tcBorders>
          </w:tcPr>
          <w:p>
            <w:pPr>
              <w:ind w:left="60"/>
              <w:spacing w:after="0" w:line="291" w:lineRule="exact"/>
              <w:rPr>
                <w:sz w:val="20"/>
                <w:szCs w:val="20"/>
                <w:color w:val="auto"/>
              </w:rPr>
            </w:pPr>
            <w:r>
              <w:rPr>
                <w:rFonts w:ascii="Arial" w:cs="Arial" w:eastAsia="Arial" w:hAnsi="Arial"/>
                <w:sz w:val="16"/>
                <w:szCs w:val="16"/>
                <w:color w:val="3B3C43"/>
              </w:rPr>
              <w:t>Catherine MacGregor</w:t>
            </w:r>
            <w:r>
              <w:rPr>
                <w:rFonts w:ascii="Arial" w:cs="Arial" w:eastAsia="Arial" w:hAnsi="Arial"/>
                <w:sz w:val="26"/>
                <w:szCs w:val="26"/>
                <w:color w:val="3B3C43"/>
                <w:vertAlign w:val="superscript"/>
              </w:rPr>
              <w:t>4</w:t>
            </w:r>
          </w:p>
        </w:tc>
        <w:tc>
          <w:tcPr>
            <w:tcW w:w="3320" w:type="dxa"/>
            <w:vAlign w:val="bottom"/>
            <w:tcBorders>
              <w:bottom w:val="single" w:sz="8" w:color="E1E2E0"/>
            </w:tcBorders>
          </w:tcPr>
          <w:p>
            <w:pPr>
              <w:jc w:val="right"/>
              <w:ind w:right="439"/>
              <w:spacing w:after="0"/>
              <w:rPr>
                <w:sz w:val="20"/>
                <w:szCs w:val="20"/>
                <w:color w:val="auto"/>
              </w:rPr>
            </w:pPr>
            <w:r>
              <w:rPr>
                <w:rFonts w:ascii="Arial" w:cs="Arial" w:eastAsia="Arial" w:hAnsi="Arial"/>
                <w:sz w:val="16"/>
                <w:szCs w:val="16"/>
                <w:color w:val="3B3C43"/>
              </w:rPr>
              <w:t>€685,000</w:t>
            </w:r>
          </w:p>
        </w:tc>
        <w:tc>
          <w:tcPr>
            <w:tcW w:w="3020" w:type="dxa"/>
            <w:vAlign w:val="bottom"/>
            <w:tcBorders>
              <w:bottom w:val="single" w:sz="8" w:color="E1E2E0"/>
            </w:tcBorders>
          </w:tcPr>
          <w:p>
            <w:pPr>
              <w:jc w:val="right"/>
              <w:ind w:right="879"/>
              <w:spacing w:after="0"/>
              <w:rPr>
                <w:sz w:val="20"/>
                <w:szCs w:val="20"/>
                <w:color w:val="auto"/>
              </w:rPr>
            </w:pPr>
            <w:r>
              <w:rPr>
                <w:rFonts w:ascii="Arial" w:cs="Arial" w:eastAsia="Arial" w:hAnsi="Arial"/>
                <w:sz w:val="16"/>
                <w:szCs w:val="16"/>
                <w:color w:val="3B3C43"/>
              </w:rPr>
              <w:t>€548,000</w:t>
            </w:r>
          </w:p>
        </w:tc>
        <w:tc>
          <w:tcPr>
            <w:tcW w:w="16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-20%</w:t>
            </w:r>
          </w:p>
        </w:tc>
        <w:tc>
          <w:tcPr>
            <w:tcW w:w="0" w:type="dxa"/>
            <w:vAlign w:val="bottom"/>
          </w:tcPr>
          <w:p>
            <w:pPr>
              <w:spacing w:after="0"/>
              <w:rPr>
                <w:sz w:val="1"/>
                <w:szCs w:val="1"/>
                <w:color w:val="auto"/>
              </w:rPr>
            </w:pPr>
          </w:p>
        </w:tc>
      </w:tr>
      <w:tr>
        <w:trPr>
          <w:trHeight w:val="290"/>
        </w:trPr>
        <w:tc>
          <w:tcPr>
            <w:tcW w:w="3220" w:type="dxa"/>
            <w:vAlign w:val="bottom"/>
            <w:tcBorders>
              <w:bottom w:val="single" w:sz="8" w:color="E1E2E0"/>
            </w:tcBorders>
          </w:tcPr>
          <w:p>
            <w:pPr>
              <w:ind w:left="60"/>
              <w:spacing w:after="0" w:line="291" w:lineRule="exact"/>
              <w:rPr>
                <w:sz w:val="20"/>
                <w:szCs w:val="20"/>
                <w:color w:val="auto"/>
              </w:rPr>
            </w:pPr>
            <w:r>
              <w:rPr>
                <w:rFonts w:ascii="Arial" w:cs="Arial" w:eastAsia="Arial" w:hAnsi="Arial"/>
                <w:sz w:val="16"/>
                <w:szCs w:val="16"/>
                <w:color w:val="3B3C43"/>
              </w:rPr>
              <w:t>Nello Uccelletti</w:t>
            </w:r>
            <w:r>
              <w:rPr>
                <w:rFonts w:ascii="Arial" w:cs="Arial" w:eastAsia="Arial" w:hAnsi="Arial"/>
                <w:sz w:val="26"/>
                <w:szCs w:val="26"/>
                <w:color w:val="3B3C43"/>
                <w:vertAlign w:val="superscript"/>
              </w:rPr>
              <w:t>5</w:t>
            </w:r>
          </w:p>
        </w:tc>
        <w:tc>
          <w:tcPr>
            <w:tcW w:w="3320" w:type="dxa"/>
            <w:vAlign w:val="bottom"/>
            <w:tcBorders>
              <w:bottom w:val="single" w:sz="8" w:color="E1E2E0"/>
            </w:tcBorders>
          </w:tcPr>
          <w:p>
            <w:pPr>
              <w:jc w:val="right"/>
              <w:ind w:right="439"/>
              <w:spacing w:after="0"/>
              <w:rPr>
                <w:sz w:val="20"/>
                <w:szCs w:val="20"/>
                <w:color w:val="auto"/>
              </w:rPr>
            </w:pPr>
            <w:r>
              <w:rPr>
                <w:rFonts w:ascii="Arial" w:cs="Arial" w:eastAsia="Arial" w:hAnsi="Arial"/>
                <w:sz w:val="16"/>
                <w:szCs w:val="16"/>
                <w:color w:val="3B3C43"/>
              </w:rPr>
              <w:t>€506,000</w:t>
            </w:r>
          </w:p>
        </w:tc>
        <w:tc>
          <w:tcPr>
            <w:tcW w:w="3020" w:type="dxa"/>
            <w:vAlign w:val="bottom"/>
            <w:tcBorders>
              <w:bottom w:val="single" w:sz="8" w:color="E1E2E0"/>
            </w:tcBorders>
          </w:tcPr>
          <w:p>
            <w:pPr>
              <w:jc w:val="right"/>
              <w:ind w:right="879"/>
              <w:spacing w:after="0"/>
              <w:rPr>
                <w:sz w:val="20"/>
                <w:szCs w:val="20"/>
                <w:color w:val="auto"/>
              </w:rPr>
            </w:pPr>
            <w:r>
              <w:rPr>
                <w:rFonts w:ascii="Arial" w:cs="Arial" w:eastAsia="Arial" w:hAnsi="Arial"/>
                <w:sz w:val="16"/>
                <w:szCs w:val="16"/>
                <w:color w:val="3B3C43"/>
              </w:rPr>
              <w:t>N/A</w:t>
            </w:r>
          </w:p>
        </w:tc>
        <w:tc>
          <w:tcPr>
            <w:tcW w:w="16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N/A</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00" w:hanging="292"/>
        <w:spacing w:after="0"/>
        <w:tabs>
          <w:tab w:leader="none" w:pos="300" w:val="left"/>
        </w:tabs>
        <w:numPr>
          <w:ilvl w:val="0"/>
          <w:numId w:val="91"/>
        </w:numPr>
        <w:rPr>
          <w:rFonts w:ascii="Arial" w:cs="Arial" w:eastAsia="Arial" w:hAnsi="Arial"/>
          <w:sz w:val="14"/>
          <w:szCs w:val="14"/>
          <w:color w:val="3B3C43"/>
        </w:rPr>
      </w:pPr>
      <w:r>
        <w:rPr>
          <w:rFonts w:ascii="Arial" w:cs="Arial" w:eastAsia="Arial" w:hAnsi="Arial"/>
          <w:sz w:val="14"/>
          <w:szCs w:val="14"/>
          <w:color w:val="3B3C43"/>
        </w:rPr>
        <w:t>The temporary salary reduction ended on January 1, 2021.</w:t>
      </w:r>
    </w:p>
    <w:p>
      <w:pPr>
        <w:spacing w:after="0" w:line="1" w:lineRule="exact"/>
        <w:rPr>
          <w:rFonts w:ascii="Arial" w:cs="Arial" w:eastAsia="Arial" w:hAnsi="Arial"/>
          <w:sz w:val="14"/>
          <w:szCs w:val="14"/>
          <w:color w:val="3B3C43"/>
        </w:rPr>
      </w:pPr>
    </w:p>
    <w:p>
      <w:pPr>
        <w:ind w:left="300" w:hanging="292"/>
        <w:spacing w:after="0"/>
        <w:tabs>
          <w:tab w:leader="none" w:pos="300" w:val="left"/>
        </w:tabs>
        <w:numPr>
          <w:ilvl w:val="0"/>
          <w:numId w:val="91"/>
        </w:numPr>
        <w:rPr>
          <w:rFonts w:ascii="Arial" w:cs="Arial" w:eastAsia="Arial" w:hAnsi="Arial"/>
          <w:sz w:val="14"/>
          <w:szCs w:val="14"/>
          <w:color w:val="3B3C43"/>
        </w:rPr>
      </w:pPr>
      <w:r>
        <w:rPr>
          <w:rFonts w:ascii="Arial" w:cs="Arial" w:eastAsia="Arial" w:hAnsi="Arial"/>
          <w:sz w:val="14"/>
          <w:szCs w:val="14"/>
          <w:color w:val="3B3C43"/>
        </w:rPr>
        <w:t>Ms. Mannen left the Company, effective January 25, 2021.</w:t>
      </w:r>
    </w:p>
    <w:p>
      <w:pPr>
        <w:spacing w:after="0" w:line="1" w:lineRule="exact"/>
        <w:rPr>
          <w:rFonts w:ascii="Arial" w:cs="Arial" w:eastAsia="Arial" w:hAnsi="Arial"/>
          <w:sz w:val="14"/>
          <w:szCs w:val="14"/>
          <w:color w:val="3B3C43"/>
        </w:rPr>
      </w:pPr>
    </w:p>
    <w:p>
      <w:pPr>
        <w:ind w:left="300" w:right="20" w:hanging="280"/>
        <w:spacing w:after="0" w:line="241" w:lineRule="auto"/>
        <w:tabs>
          <w:tab w:leader="none" w:pos="300" w:val="left"/>
        </w:tabs>
        <w:numPr>
          <w:ilvl w:val="1"/>
          <w:numId w:val="91"/>
        </w:numPr>
        <w:rPr>
          <w:rFonts w:ascii="Arial" w:cs="Arial" w:eastAsia="Arial" w:hAnsi="Arial"/>
          <w:sz w:val="14"/>
          <w:szCs w:val="14"/>
          <w:color w:val="3B3C43"/>
        </w:rPr>
      </w:pPr>
      <w:r>
        <w:rPr>
          <w:rFonts w:ascii="Arial" w:cs="Arial" w:eastAsia="Arial" w:hAnsi="Arial"/>
          <w:sz w:val="14"/>
          <w:szCs w:val="14"/>
          <w:color w:val="3B3C43"/>
        </w:rPr>
        <w:t>Mr. Pieton’s position changed to President, Technip Energies, effective October 1, 2020. The salary provided at December 31, 2020 includes the pay increase related to this transition and also includes the 20% temporary reduction.</w:t>
      </w:r>
    </w:p>
    <w:p>
      <w:pPr>
        <w:spacing w:after="0" w:line="1" w:lineRule="exact"/>
        <w:rPr>
          <w:sz w:val="20"/>
          <w:szCs w:val="20"/>
          <w:color w:val="auto"/>
        </w:rPr>
      </w:pPr>
    </w:p>
    <w:p>
      <w:pPr>
        <w:ind w:left="300" w:hanging="292"/>
        <w:spacing w:after="0"/>
        <w:tabs>
          <w:tab w:leader="none" w:pos="300" w:val="left"/>
        </w:tabs>
        <w:numPr>
          <w:ilvl w:val="0"/>
          <w:numId w:val="92"/>
        </w:numPr>
        <w:rPr>
          <w:rFonts w:ascii="Arial" w:cs="Arial" w:eastAsia="Arial" w:hAnsi="Arial"/>
          <w:sz w:val="14"/>
          <w:szCs w:val="14"/>
          <w:color w:val="3B3C43"/>
        </w:rPr>
      </w:pPr>
      <w:r>
        <w:rPr>
          <w:rFonts w:ascii="Arial" w:cs="Arial" w:eastAsia="Arial" w:hAnsi="Arial"/>
          <w:sz w:val="14"/>
          <w:szCs w:val="14"/>
          <w:color w:val="3B3C43"/>
        </w:rPr>
        <w:t>Ms. MacGregor left the Company, effective October 31, 2020. The salary provided in the December 31, 2020 column reflects her base salary on October 31, 2020.</w:t>
      </w:r>
    </w:p>
    <w:p>
      <w:pPr>
        <w:spacing w:after="0" w:line="1" w:lineRule="exact"/>
        <w:rPr>
          <w:rFonts w:ascii="Arial" w:cs="Arial" w:eastAsia="Arial" w:hAnsi="Arial"/>
          <w:sz w:val="14"/>
          <w:szCs w:val="14"/>
          <w:color w:val="3B3C43"/>
        </w:rPr>
      </w:pPr>
    </w:p>
    <w:p>
      <w:pPr>
        <w:ind w:left="300" w:hanging="292"/>
        <w:spacing w:after="0"/>
        <w:tabs>
          <w:tab w:leader="none" w:pos="300" w:val="left"/>
        </w:tabs>
        <w:numPr>
          <w:ilvl w:val="0"/>
          <w:numId w:val="92"/>
        </w:numPr>
        <w:rPr>
          <w:rFonts w:ascii="Arial" w:cs="Arial" w:eastAsia="Arial" w:hAnsi="Arial"/>
          <w:sz w:val="14"/>
          <w:szCs w:val="14"/>
          <w:color w:val="3B3C43"/>
        </w:rPr>
      </w:pPr>
      <w:r>
        <w:rPr>
          <w:rFonts w:ascii="Arial" w:cs="Arial" w:eastAsia="Arial" w:hAnsi="Arial"/>
          <w:sz w:val="14"/>
          <w:szCs w:val="14"/>
          <w:color w:val="3B3C43"/>
        </w:rPr>
        <w:t>Mr. Uccelletti retired from the Company on February 29, 2020.</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83</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Annual Cash Incentive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2020 Annual Cash Incentive Targets</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B3C43"/>
        </w:rPr>
        <w:t>We provide our NEOs with an annual cash incentive in order to drive and reward the achievement of short-term Company strategic goals and individual contributions. Each NEO has an annual cash incentive target, set as a percentage of base salary. Each NEO can earn 0% to 200% of their annual cash incentive target, depending on Company and individual performance. However, in 2020, in response to the COVID-19 pandemic and business downturn, the payout for the business performance indicators, which make up 75% of the annual cash incentive, was capped at 100%. Limiting payouts at target (compared to 200% in prior years) in a volatile business environment helps align with shareholder interests.</w:t>
      </w:r>
    </w:p>
    <w:p>
      <w:pPr>
        <w:spacing w:after="0" w:line="17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3B3C43"/>
        </w:rPr>
        <w:t>The Compensation Committee reviews and approves target annual cash incentive percentages for the NEOs annually, based on a review of market median total compensation data for our peers. The targets are set at appropriate levels to incentivize executive officers to achieve the short-term financial and operational goals for the Company, as well as to provide executive officers with market-competitive levels of total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3B3C43"/>
        </w:rPr>
        <w:t>The following were the 2020 annual cash incentive targets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121920</wp:posOffset>
            </wp:positionV>
            <wp:extent cx="8255"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20574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121920</wp:posOffset>
            </wp:positionV>
            <wp:extent cx="8255" cy="205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20574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121920</wp:posOffset>
            </wp:positionV>
            <wp:extent cx="8890"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20574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800" w:type="dxa"/>
            <w:vAlign w:val="bottom"/>
            <w:tcBorders>
              <w:bottom w:val="single" w:sz="8" w:color="4A1F67"/>
            </w:tcBorders>
            <w:shd w:val="clear" w:color="auto" w:fill="4A1F67"/>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3320" w:type="dxa"/>
            <w:vAlign w:val="bottom"/>
            <w:tcBorders>
              <w:bottom w:val="single" w:sz="8" w:color="4A1F67"/>
            </w:tcBorders>
            <w:shd w:val="clear" w:color="auto" w:fill="4A1F67"/>
          </w:tcPr>
          <w:p>
            <w:pPr>
              <w:jc w:val="right"/>
              <w:ind w:right="1019"/>
              <w:spacing w:after="0"/>
              <w:rPr>
                <w:sz w:val="20"/>
                <w:szCs w:val="20"/>
                <w:color w:val="auto"/>
              </w:rPr>
            </w:pPr>
            <w:r>
              <w:rPr>
                <w:rFonts w:ascii="Arial" w:cs="Arial" w:eastAsia="Arial" w:hAnsi="Arial"/>
                <w:sz w:val="16"/>
                <w:szCs w:val="16"/>
                <w:b w:val="1"/>
                <w:bCs w:val="1"/>
                <w:color w:val="FFFFFF"/>
              </w:rPr>
              <w:t>2019</w:t>
            </w:r>
          </w:p>
        </w:tc>
        <w:tc>
          <w:tcPr>
            <w:tcW w:w="2440" w:type="dxa"/>
            <w:vAlign w:val="bottom"/>
            <w:tcBorders>
              <w:bottom w:val="single" w:sz="8" w:color="4A1F67"/>
            </w:tcBorders>
            <w:shd w:val="clear" w:color="auto" w:fill="4A1F67"/>
          </w:tcPr>
          <w:p>
            <w:pPr>
              <w:jc w:val="right"/>
              <w:ind w:right="879"/>
              <w:spacing w:after="0"/>
              <w:rPr>
                <w:sz w:val="20"/>
                <w:szCs w:val="20"/>
                <w:color w:val="auto"/>
              </w:rPr>
            </w:pPr>
            <w:r>
              <w:rPr>
                <w:rFonts w:ascii="Arial" w:cs="Arial" w:eastAsia="Arial" w:hAnsi="Arial"/>
                <w:sz w:val="16"/>
                <w:szCs w:val="16"/>
                <w:b w:val="1"/>
                <w:bCs w:val="1"/>
                <w:color w:val="FFFFFF"/>
              </w:rPr>
              <w:t>2020</w:t>
            </w:r>
          </w:p>
        </w:tc>
        <w:tc>
          <w:tcPr>
            <w:tcW w:w="168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6"/>
                <w:szCs w:val="16"/>
                <w:b w:val="1"/>
                <w:bCs w:val="1"/>
                <w:color w:val="FFFFFF"/>
              </w:rPr>
              <w:t>Increase</w:t>
            </w:r>
          </w:p>
        </w:tc>
      </w:tr>
      <w:tr>
        <w:trPr>
          <w:trHeight w:val="250"/>
        </w:trPr>
        <w:tc>
          <w:tcPr>
            <w:tcW w:w="3800" w:type="dxa"/>
            <w:vAlign w:val="bottom"/>
          </w:tcPr>
          <w:p>
            <w:pPr>
              <w:ind w:left="60"/>
              <w:spacing w:after="0"/>
              <w:rPr>
                <w:sz w:val="20"/>
                <w:szCs w:val="20"/>
                <w:color w:val="auto"/>
              </w:rPr>
            </w:pPr>
            <w:r>
              <w:rPr>
                <w:rFonts w:ascii="Arial" w:cs="Arial" w:eastAsia="Arial" w:hAnsi="Arial"/>
                <w:sz w:val="16"/>
                <w:szCs w:val="16"/>
                <w:b w:val="1"/>
                <w:bCs w:val="1"/>
                <w:color w:val="3B3C43"/>
              </w:rPr>
              <w:t>Douglas J. Pferdehirt</w:t>
            </w:r>
          </w:p>
        </w:tc>
        <w:tc>
          <w:tcPr>
            <w:tcW w:w="3320" w:type="dxa"/>
            <w:vAlign w:val="bottom"/>
          </w:tcPr>
          <w:p>
            <w:pPr>
              <w:jc w:val="right"/>
              <w:ind w:right="1019"/>
              <w:spacing w:after="0"/>
              <w:rPr>
                <w:sz w:val="20"/>
                <w:szCs w:val="20"/>
                <w:color w:val="auto"/>
              </w:rPr>
            </w:pPr>
            <w:r>
              <w:rPr>
                <w:rFonts w:ascii="Arial" w:cs="Arial" w:eastAsia="Arial" w:hAnsi="Arial"/>
                <w:sz w:val="16"/>
                <w:szCs w:val="16"/>
                <w:color w:val="3B3C43"/>
              </w:rPr>
              <w:t>135%</w:t>
            </w:r>
          </w:p>
        </w:tc>
        <w:tc>
          <w:tcPr>
            <w:tcW w:w="2440" w:type="dxa"/>
            <w:vAlign w:val="bottom"/>
          </w:tcPr>
          <w:p>
            <w:pPr>
              <w:jc w:val="right"/>
              <w:ind w:right="879"/>
              <w:spacing w:after="0"/>
              <w:rPr>
                <w:sz w:val="20"/>
                <w:szCs w:val="20"/>
                <w:color w:val="auto"/>
              </w:rPr>
            </w:pPr>
            <w:r>
              <w:rPr>
                <w:rFonts w:ascii="Arial" w:cs="Arial" w:eastAsia="Arial" w:hAnsi="Arial"/>
                <w:sz w:val="16"/>
                <w:szCs w:val="16"/>
                <w:color w:val="3B3C43"/>
              </w:rPr>
              <w:t>135%</w:t>
            </w:r>
          </w:p>
        </w:tc>
        <w:tc>
          <w:tcPr>
            <w:tcW w:w="168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47"/>
        </w:trPr>
        <w:tc>
          <w:tcPr>
            <w:tcW w:w="3800" w:type="dxa"/>
            <w:vAlign w:val="bottom"/>
            <w:tcBorders>
              <w:bottom w:val="single" w:sz="8" w:color="E1E2E0"/>
            </w:tcBorders>
          </w:tcPr>
          <w:p>
            <w:pPr>
              <w:spacing w:after="0"/>
              <w:rPr>
                <w:sz w:val="4"/>
                <w:szCs w:val="4"/>
                <w:color w:val="auto"/>
              </w:rPr>
            </w:pPr>
          </w:p>
        </w:tc>
        <w:tc>
          <w:tcPr>
            <w:tcW w:w="3320" w:type="dxa"/>
            <w:vAlign w:val="bottom"/>
            <w:tcBorders>
              <w:bottom w:val="single" w:sz="8" w:color="E1E2E0"/>
            </w:tcBorders>
          </w:tcPr>
          <w:p>
            <w:pPr>
              <w:spacing w:after="0"/>
              <w:rPr>
                <w:sz w:val="4"/>
                <w:szCs w:val="4"/>
                <w:color w:val="auto"/>
              </w:rPr>
            </w:pPr>
          </w:p>
        </w:tc>
        <w:tc>
          <w:tcPr>
            <w:tcW w:w="244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r>
      <w:tr>
        <w:trPr>
          <w:trHeight w:val="244"/>
        </w:trPr>
        <w:tc>
          <w:tcPr>
            <w:tcW w:w="3800" w:type="dxa"/>
            <w:vAlign w:val="bottom"/>
          </w:tcPr>
          <w:p>
            <w:pPr>
              <w:ind w:left="60"/>
              <w:spacing w:after="0"/>
              <w:rPr>
                <w:sz w:val="20"/>
                <w:szCs w:val="20"/>
                <w:color w:val="auto"/>
              </w:rPr>
            </w:pPr>
            <w:r>
              <w:rPr>
                <w:rFonts w:ascii="Arial" w:cs="Arial" w:eastAsia="Arial" w:hAnsi="Arial"/>
                <w:sz w:val="16"/>
                <w:szCs w:val="16"/>
                <w:b w:val="1"/>
                <w:bCs w:val="1"/>
                <w:color w:val="3B3C43"/>
              </w:rPr>
              <w:t>Maryann T. Mannen</w:t>
            </w:r>
          </w:p>
        </w:tc>
        <w:tc>
          <w:tcPr>
            <w:tcW w:w="3320" w:type="dxa"/>
            <w:vAlign w:val="bottom"/>
          </w:tcPr>
          <w:p>
            <w:pPr>
              <w:jc w:val="right"/>
              <w:ind w:right="1019"/>
              <w:spacing w:after="0"/>
              <w:rPr>
                <w:sz w:val="20"/>
                <w:szCs w:val="20"/>
                <w:color w:val="auto"/>
              </w:rPr>
            </w:pPr>
            <w:r>
              <w:rPr>
                <w:rFonts w:ascii="Arial" w:cs="Arial" w:eastAsia="Arial" w:hAnsi="Arial"/>
                <w:sz w:val="16"/>
                <w:szCs w:val="16"/>
                <w:color w:val="3B3C43"/>
              </w:rPr>
              <w:t>100%</w:t>
            </w:r>
          </w:p>
        </w:tc>
        <w:tc>
          <w:tcPr>
            <w:tcW w:w="2440" w:type="dxa"/>
            <w:vAlign w:val="bottom"/>
          </w:tcPr>
          <w:p>
            <w:pPr>
              <w:jc w:val="right"/>
              <w:ind w:right="879"/>
              <w:spacing w:after="0"/>
              <w:rPr>
                <w:sz w:val="20"/>
                <w:szCs w:val="20"/>
                <w:color w:val="auto"/>
              </w:rPr>
            </w:pPr>
            <w:r>
              <w:rPr>
                <w:rFonts w:ascii="Arial" w:cs="Arial" w:eastAsia="Arial" w:hAnsi="Arial"/>
                <w:sz w:val="16"/>
                <w:szCs w:val="16"/>
                <w:color w:val="3B3C43"/>
              </w:rPr>
              <w:t>100%</w:t>
            </w:r>
          </w:p>
        </w:tc>
        <w:tc>
          <w:tcPr>
            <w:tcW w:w="168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46"/>
        </w:trPr>
        <w:tc>
          <w:tcPr>
            <w:tcW w:w="3800" w:type="dxa"/>
            <w:vAlign w:val="bottom"/>
            <w:tcBorders>
              <w:bottom w:val="single" w:sz="8" w:color="E1E2E0"/>
            </w:tcBorders>
          </w:tcPr>
          <w:p>
            <w:pPr>
              <w:spacing w:after="0"/>
              <w:rPr>
                <w:sz w:val="4"/>
                <w:szCs w:val="4"/>
                <w:color w:val="auto"/>
              </w:rPr>
            </w:pPr>
          </w:p>
        </w:tc>
        <w:tc>
          <w:tcPr>
            <w:tcW w:w="3320" w:type="dxa"/>
            <w:vAlign w:val="bottom"/>
            <w:tcBorders>
              <w:bottom w:val="single" w:sz="8" w:color="E1E2E0"/>
            </w:tcBorders>
          </w:tcPr>
          <w:p>
            <w:pPr>
              <w:spacing w:after="0"/>
              <w:rPr>
                <w:sz w:val="4"/>
                <w:szCs w:val="4"/>
                <w:color w:val="auto"/>
              </w:rPr>
            </w:pPr>
          </w:p>
        </w:tc>
        <w:tc>
          <w:tcPr>
            <w:tcW w:w="244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r>
      <w:tr>
        <w:trPr>
          <w:trHeight w:val="244"/>
        </w:trPr>
        <w:tc>
          <w:tcPr>
            <w:tcW w:w="3800" w:type="dxa"/>
            <w:vAlign w:val="bottom"/>
          </w:tcPr>
          <w:p>
            <w:pPr>
              <w:ind w:left="60"/>
              <w:spacing w:after="0"/>
              <w:rPr>
                <w:sz w:val="20"/>
                <w:szCs w:val="20"/>
                <w:color w:val="auto"/>
              </w:rPr>
            </w:pPr>
            <w:r>
              <w:rPr>
                <w:rFonts w:ascii="Arial" w:cs="Arial" w:eastAsia="Arial" w:hAnsi="Arial"/>
                <w:sz w:val="16"/>
                <w:szCs w:val="16"/>
                <w:b w:val="1"/>
                <w:bCs w:val="1"/>
                <w:color w:val="3B3C43"/>
              </w:rPr>
              <w:t>Justin Rounce</w:t>
            </w:r>
          </w:p>
        </w:tc>
        <w:tc>
          <w:tcPr>
            <w:tcW w:w="3320" w:type="dxa"/>
            <w:vAlign w:val="bottom"/>
          </w:tcPr>
          <w:p>
            <w:pPr>
              <w:jc w:val="right"/>
              <w:ind w:right="1019"/>
              <w:spacing w:after="0"/>
              <w:rPr>
                <w:sz w:val="20"/>
                <w:szCs w:val="20"/>
                <w:color w:val="auto"/>
              </w:rPr>
            </w:pPr>
            <w:r>
              <w:rPr>
                <w:rFonts w:ascii="Arial" w:cs="Arial" w:eastAsia="Arial" w:hAnsi="Arial"/>
                <w:sz w:val="16"/>
                <w:szCs w:val="16"/>
                <w:color w:val="3B3C43"/>
              </w:rPr>
              <w:t>100%</w:t>
            </w:r>
          </w:p>
        </w:tc>
        <w:tc>
          <w:tcPr>
            <w:tcW w:w="2440" w:type="dxa"/>
            <w:vAlign w:val="bottom"/>
          </w:tcPr>
          <w:p>
            <w:pPr>
              <w:jc w:val="right"/>
              <w:ind w:right="879"/>
              <w:spacing w:after="0"/>
              <w:rPr>
                <w:sz w:val="20"/>
                <w:szCs w:val="20"/>
                <w:color w:val="auto"/>
              </w:rPr>
            </w:pPr>
            <w:r>
              <w:rPr>
                <w:rFonts w:ascii="Arial" w:cs="Arial" w:eastAsia="Arial" w:hAnsi="Arial"/>
                <w:sz w:val="16"/>
                <w:szCs w:val="16"/>
                <w:color w:val="3B3C43"/>
              </w:rPr>
              <w:t>100%</w:t>
            </w:r>
          </w:p>
        </w:tc>
        <w:tc>
          <w:tcPr>
            <w:tcW w:w="168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46"/>
        </w:trPr>
        <w:tc>
          <w:tcPr>
            <w:tcW w:w="3800" w:type="dxa"/>
            <w:vAlign w:val="bottom"/>
            <w:tcBorders>
              <w:bottom w:val="single" w:sz="8" w:color="E1E2E0"/>
            </w:tcBorders>
          </w:tcPr>
          <w:p>
            <w:pPr>
              <w:spacing w:after="0"/>
              <w:rPr>
                <w:sz w:val="4"/>
                <w:szCs w:val="4"/>
                <w:color w:val="auto"/>
              </w:rPr>
            </w:pPr>
          </w:p>
        </w:tc>
        <w:tc>
          <w:tcPr>
            <w:tcW w:w="3320" w:type="dxa"/>
            <w:vAlign w:val="bottom"/>
            <w:tcBorders>
              <w:bottom w:val="single" w:sz="8" w:color="E1E2E0"/>
            </w:tcBorders>
          </w:tcPr>
          <w:p>
            <w:pPr>
              <w:spacing w:after="0"/>
              <w:rPr>
                <w:sz w:val="4"/>
                <w:szCs w:val="4"/>
                <w:color w:val="auto"/>
              </w:rPr>
            </w:pPr>
          </w:p>
        </w:tc>
        <w:tc>
          <w:tcPr>
            <w:tcW w:w="244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r>
      <w:tr>
        <w:trPr>
          <w:trHeight w:val="244"/>
        </w:trPr>
        <w:tc>
          <w:tcPr>
            <w:tcW w:w="3800" w:type="dxa"/>
            <w:vAlign w:val="bottom"/>
          </w:tcPr>
          <w:p>
            <w:pPr>
              <w:ind w:left="60"/>
              <w:spacing w:after="0"/>
              <w:rPr>
                <w:sz w:val="20"/>
                <w:szCs w:val="20"/>
                <w:color w:val="auto"/>
              </w:rPr>
            </w:pPr>
            <w:r>
              <w:rPr>
                <w:rFonts w:ascii="Arial" w:cs="Arial" w:eastAsia="Arial" w:hAnsi="Arial"/>
                <w:sz w:val="16"/>
                <w:szCs w:val="16"/>
                <w:b w:val="1"/>
                <w:bCs w:val="1"/>
                <w:color w:val="3B3C43"/>
              </w:rPr>
              <w:t>Arnaud Pieton</w:t>
            </w:r>
          </w:p>
        </w:tc>
        <w:tc>
          <w:tcPr>
            <w:tcW w:w="3320" w:type="dxa"/>
            <w:vAlign w:val="bottom"/>
          </w:tcPr>
          <w:p>
            <w:pPr>
              <w:jc w:val="right"/>
              <w:ind w:right="1019"/>
              <w:spacing w:after="0"/>
              <w:rPr>
                <w:sz w:val="20"/>
                <w:szCs w:val="20"/>
                <w:color w:val="auto"/>
              </w:rPr>
            </w:pPr>
            <w:r>
              <w:rPr>
                <w:rFonts w:ascii="Arial" w:cs="Arial" w:eastAsia="Arial" w:hAnsi="Arial"/>
                <w:sz w:val="16"/>
                <w:szCs w:val="16"/>
                <w:color w:val="3B3C43"/>
              </w:rPr>
              <w:t>100%</w:t>
            </w:r>
          </w:p>
        </w:tc>
        <w:tc>
          <w:tcPr>
            <w:tcW w:w="2440" w:type="dxa"/>
            <w:vAlign w:val="bottom"/>
          </w:tcPr>
          <w:p>
            <w:pPr>
              <w:jc w:val="right"/>
              <w:ind w:right="879"/>
              <w:spacing w:after="0"/>
              <w:rPr>
                <w:sz w:val="20"/>
                <w:szCs w:val="20"/>
                <w:color w:val="auto"/>
              </w:rPr>
            </w:pPr>
            <w:r>
              <w:rPr>
                <w:rFonts w:ascii="Arial" w:cs="Arial" w:eastAsia="Arial" w:hAnsi="Arial"/>
                <w:sz w:val="16"/>
                <w:szCs w:val="16"/>
                <w:color w:val="3B3C43"/>
              </w:rPr>
              <w:t>100%</w:t>
            </w:r>
          </w:p>
        </w:tc>
        <w:tc>
          <w:tcPr>
            <w:tcW w:w="168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47"/>
        </w:trPr>
        <w:tc>
          <w:tcPr>
            <w:tcW w:w="3800" w:type="dxa"/>
            <w:vAlign w:val="bottom"/>
            <w:tcBorders>
              <w:bottom w:val="single" w:sz="8" w:color="E1E2E0"/>
            </w:tcBorders>
          </w:tcPr>
          <w:p>
            <w:pPr>
              <w:spacing w:after="0"/>
              <w:rPr>
                <w:sz w:val="4"/>
                <w:szCs w:val="4"/>
                <w:color w:val="auto"/>
              </w:rPr>
            </w:pPr>
          </w:p>
        </w:tc>
        <w:tc>
          <w:tcPr>
            <w:tcW w:w="3320" w:type="dxa"/>
            <w:vAlign w:val="bottom"/>
            <w:tcBorders>
              <w:bottom w:val="single" w:sz="8" w:color="E1E2E0"/>
            </w:tcBorders>
          </w:tcPr>
          <w:p>
            <w:pPr>
              <w:spacing w:after="0"/>
              <w:rPr>
                <w:sz w:val="4"/>
                <w:szCs w:val="4"/>
                <w:color w:val="auto"/>
              </w:rPr>
            </w:pPr>
          </w:p>
        </w:tc>
        <w:tc>
          <w:tcPr>
            <w:tcW w:w="244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r>
      <w:tr>
        <w:trPr>
          <w:trHeight w:val="244"/>
        </w:trPr>
        <w:tc>
          <w:tcPr>
            <w:tcW w:w="3800" w:type="dxa"/>
            <w:vAlign w:val="bottom"/>
          </w:tcPr>
          <w:p>
            <w:pPr>
              <w:ind w:left="60"/>
              <w:spacing w:after="0"/>
              <w:rPr>
                <w:sz w:val="20"/>
                <w:szCs w:val="20"/>
                <w:color w:val="auto"/>
              </w:rPr>
            </w:pPr>
            <w:r>
              <w:rPr>
                <w:rFonts w:ascii="Arial" w:cs="Arial" w:eastAsia="Arial" w:hAnsi="Arial"/>
                <w:sz w:val="16"/>
                <w:szCs w:val="16"/>
                <w:b w:val="1"/>
                <w:bCs w:val="1"/>
                <w:color w:val="3B3C43"/>
              </w:rPr>
              <w:t>Barry Glickman</w:t>
            </w:r>
          </w:p>
        </w:tc>
        <w:tc>
          <w:tcPr>
            <w:tcW w:w="3320" w:type="dxa"/>
            <w:vAlign w:val="bottom"/>
          </w:tcPr>
          <w:p>
            <w:pPr>
              <w:jc w:val="right"/>
              <w:ind w:right="1019"/>
              <w:spacing w:after="0"/>
              <w:rPr>
                <w:sz w:val="20"/>
                <w:szCs w:val="20"/>
                <w:color w:val="auto"/>
              </w:rPr>
            </w:pPr>
            <w:r>
              <w:rPr>
                <w:rFonts w:ascii="Arial" w:cs="Arial" w:eastAsia="Arial" w:hAnsi="Arial"/>
                <w:sz w:val="16"/>
                <w:szCs w:val="16"/>
                <w:color w:val="3B3C43"/>
              </w:rPr>
              <w:t>100%</w:t>
            </w:r>
          </w:p>
        </w:tc>
        <w:tc>
          <w:tcPr>
            <w:tcW w:w="2440" w:type="dxa"/>
            <w:vAlign w:val="bottom"/>
          </w:tcPr>
          <w:p>
            <w:pPr>
              <w:jc w:val="right"/>
              <w:ind w:right="879"/>
              <w:spacing w:after="0"/>
              <w:rPr>
                <w:sz w:val="20"/>
                <w:szCs w:val="20"/>
                <w:color w:val="auto"/>
              </w:rPr>
            </w:pPr>
            <w:r>
              <w:rPr>
                <w:rFonts w:ascii="Arial" w:cs="Arial" w:eastAsia="Arial" w:hAnsi="Arial"/>
                <w:sz w:val="16"/>
                <w:szCs w:val="16"/>
                <w:color w:val="3B3C43"/>
              </w:rPr>
              <w:t>100%</w:t>
            </w:r>
          </w:p>
        </w:tc>
        <w:tc>
          <w:tcPr>
            <w:tcW w:w="168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46"/>
        </w:trPr>
        <w:tc>
          <w:tcPr>
            <w:tcW w:w="3800" w:type="dxa"/>
            <w:vAlign w:val="bottom"/>
            <w:tcBorders>
              <w:bottom w:val="single" w:sz="8" w:color="E1E2E0"/>
            </w:tcBorders>
          </w:tcPr>
          <w:p>
            <w:pPr>
              <w:spacing w:after="0"/>
              <w:rPr>
                <w:sz w:val="4"/>
                <w:szCs w:val="4"/>
                <w:color w:val="auto"/>
              </w:rPr>
            </w:pPr>
          </w:p>
        </w:tc>
        <w:tc>
          <w:tcPr>
            <w:tcW w:w="3320" w:type="dxa"/>
            <w:vAlign w:val="bottom"/>
            <w:tcBorders>
              <w:bottom w:val="single" w:sz="8" w:color="E1E2E0"/>
            </w:tcBorders>
          </w:tcPr>
          <w:p>
            <w:pPr>
              <w:spacing w:after="0"/>
              <w:rPr>
                <w:sz w:val="4"/>
                <w:szCs w:val="4"/>
                <w:color w:val="auto"/>
              </w:rPr>
            </w:pPr>
          </w:p>
        </w:tc>
        <w:tc>
          <w:tcPr>
            <w:tcW w:w="244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r>
      <w:tr>
        <w:trPr>
          <w:trHeight w:val="244"/>
        </w:trPr>
        <w:tc>
          <w:tcPr>
            <w:tcW w:w="3800" w:type="dxa"/>
            <w:vAlign w:val="bottom"/>
          </w:tcPr>
          <w:p>
            <w:pPr>
              <w:ind w:left="60"/>
              <w:spacing w:after="0"/>
              <w:rPr>
                <w:sz w:val="20"/>
                <w:szCs w:val="20"/>
                <w:color w:val="auto"/>
              </w:rPr>
            </w:pPr>
            <w:r>
              <w:rPr>
                <w:rFonts w:ascii="Arial" w:cs="Arial" w:eastAsia="Arial" w:hAnsi="Arial"/>
                <w:sz w:val="16"/>
                <w:szCs w:val="16"/>
                <w:b w:val="1"/>
                <w:bCs w:val="1"/>
                <w:color w:val="3B3C43"/>
              </w:rPr>
              <w:t>Catherine MacGregor</w:t>
            </w:r>
          </w:p>
        </w:tc>
        <w:tc>
          <w:tcPr>
            <w:tcW w:w="3320" w:type="dxa"/>
            <w:vAlign w:val="bottom"/>
          </w:tcPr>
          <w:p>
            <w:pPr>
              <w:jc w:val="right"/>
              <w:ind w:right="1019"/>
              <w:spacing w:after="0"/>
              <w:rPr>
                <w:sz w:val="20"/>
                <w:szCs w:val="20"/>
                <w:color w:val="auto"/>
              </w:rPr>
            </w:pPr>
            <w:r>
              <w:rPr>
                <w:rFonts w:ascii="Arial" w:cs="Arial" w:eastAsia="Arial" w:hAnsi="Arial"/>
                <w:sz w:val="16"/>
                <w:szCs w:val="16"/>
                <w:color w:val="3B3C43"/>
              </w:rPr>
              <w:t>100%</w:t>
            </w:r>
          </w:p>
        </w:tc>
        <w:tc>
          <w:tcPr>
            <w:tcW w:w="2440" w:type="dxa"/>
            <w:vAlign w:val="bottom"/>
          </w:tcPr>
          <w:p>
            <w:pPr>
              <w:jc w:val="right"/>
              <w:ind w:right="879"/>
              <w:spacing w:after="0"/>
              <w:rPr>
                <w:sz w:val="20"/>
                <w:szCs w:val="20"/>
                <w:color w:val="auto"/>
              </w:rPr>
            </w:pPr>
            <w:r>
              <w:rPr>
                <w:rFonts w:ascii="Arial" w:cs="Arial" w:eastAsia="Arial" w:hAnsi="Arial"/>
                <w:sz w:val="16"/>
                <w:szCs w:val="16"/>
                <w:color w:val="3B3C43"/>
              </w:rPr>
              <w:t>100%</w:t>
            </w:r>
          </w:p>
        </w:tc>
        <w:tc>
          <w:tcPr>
            <w:tcW w:w="168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47"/>
        </w:trPr>
        <w:tc>
          <w:tcPr>
            <w:tcW w:w="3800" w:type="dxa"/>
            <w:vAlign w:val="bottom"/>
            <w:tcBorders>
              <w:bottom w:val="single" w:sz="8" w:color="E1E2E0"/>
            </w:tcBorders>
          </w:tcPr>
          <w:p>
            <w:pPr>
              <w:spacing w:after="0"/>
              <w:rPr>
                <w:sz w:val="4"/>
                <w:szCs w:val="4"/>
                <w:color w:val="auto"/>
              </w:rPr>
            </w:pPr>
          </w:p>
        </w:tc>
        <w:tc>
          <w:tcPr>
            <w:tcW w:w="3320" w:type="dxa"/>
            <w:vAlign w:val="bottom"/>
            <w:tcBorders>
              <w:bottom w:val="single" w:sz="8" w:color="E1E2E0"/>
            </w:tcBorders>
          </w:tcPr>
          <w:p>
            <w:pPr>
              <w:spacing w:after="0"/>
              <w:rPr>
                <w:sz w:val="4"/>
                <w:szCs w:val="4"/>
                <w:color w:val="auto"/>
              </w:rPr>
            </w:pPr>
          </w:p>
        </w:tc>
        <w:tc>
          <w:tcPr>
            <w:tcW w:w="244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r>
      <w:tr>
        <w:trPr>
          <w:trHeight w:val="290"/>
        </w:trPr>
        <w:tc>
          <w:tcPr>
            <w:tcW w:w="3800" w:type="dxa"/>
            <w:vAlign w:val="bottom"/>
            <w:tcBorders>
              <w:bottom w:val="single" w:sz="8" w:color="E1E2E0"/>
            </w:tcBorders>
          </w:tcPr>
          <w:p>
            <w:pPr>
              <w:ind w:left="60"/>
              <w:spacing w:after="0" w:line="291" w:lineRule="exact"/>
              <w:rPr>
                <w:sz w:val="20"/>
                <w:szCs w:val="20"/>
                <w:color w:val="auto"/>
              </w:rPr>
            </w:pPr>
            <w:r>
              <w:rPr>
                <w:rFonts w:ascii="Arial" w:cs="Arial" w:eastAsia="Arial" w:hAnsi="Arial"/>
                <w:sz w:val="16"/>
                <w:szCs w:val="16"/>
                <w:b w:val="1"/>
                <w:bCs w:val="1"/>
                <w:color w:val="3B3C43"/>
              </w:rPr>
              <w:t>Nello Uccelletti</w:t>
            </w:r>
            <w:r>
              <w:rPr>
                <w:rFonts w:ascii="Arial" w:cs="Arial" w:eastAsia="Arial" w:hAnsi="Arial"/>
                <w:sz w:val="26"/>
                <w:szCs w:val="26"/>
                <w:b w:val="1"/>
                <w:bCs w:val="1"/>
                <w:color w:val="3B3C43"/>
                <w:vertAlign w:val="superscript"/>
              </w:rPr>
              <w:t>1</w:t>
            </w:r>
          </w:p>
        </w:tc>
        <w:tc>
          <w:tcPr>
            <w:tcW w:w="3320" w:type="dxa"/>
            <w:vAlign w:val="bottom"/>
            <w:tcBorders>
              <w:bottom w:val="single" w:sz="8" w:color="E1E2E0"/>
            </w:tcBorders>
          </w:tcPr>
          <w:p>
            <w:pPr>
              <w:jc w:val="right"/>
              <w:ind w:right="1019"/>
              <w:spacing w:after="0"/>
              <w:rPr>
                <w:sz w:val="20"/>
                <w:szCs w:val="20"/>
                <w:color w:val="auto"/>
              </w:rPr>
            </w:pPr>
            <w:r>
              <w:rPr>
                <w:rFonts w:ascii="Arial" w:cs="Arial" w:eastAsia="Arial" w:hAnsi="Arial"/>
                <w:sz w:val="16"/>
                <w:szCs w:val="16"/>
                <w:color w:val="3B3C43"/>
              </w:rPr>
              <w:t>100%</w:t>
            </w:r>
          </w:p>
        </w:tc>
        <w:tc>
          <w:tcPr>
            <w:tcW w:w="2440" w:type="dxa"/>
            <w:vAlign w:val="bottom"/>
            <w:tcBorders>
              <w:bottom w:val="single" w:sz="8" w:color="E1E2E0"/>
            </w:tcBorders>
          </w:tcPr>
          <w:p>
            <w:pPr>
              <w:jc w:val="right"/>
              <w:ind w:right="879"/>
              <w:spacing w:after="0"/>
              <w:rPr>
                <w:sz w:val="20"/>
                <w:szCs w:val="20"/>
                <w:color w:val="auto"/>
              </w:rPr>
            </w:pPr>
            <w:r>
              <w:rPr>
                <w:rFonts w:ascii="Arial" w:cs="Arial" w:eastAsia="Arial" w:hAnsi="Arial"/>
                <w:sz w:val="16"/>
                <w:szCs w:val="16"/>
                <w:color w:val="3B3C43"/>
              </w:rPr>
              <w:t>N/A</w:t>
            </w:r>
          </w:p>
        </w:tc>
        <w:tc>
          <w:tcPr>
            <w:tcW w:w="16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N/A</w:t>
            </w:r>
          </w:p>
        </w:tc>
      </w:tr>
    </w:tbl>
    <w:p>
      <w:pPr>
        <w:spacing w:after="0" w:line="194" w:lineRule="exact"/>
        <w:rPr>
          <w:sz w:val="20"/>
          <w:szCs w:val="20"/>
          <w:color w:val="auto"/>
        </w:rPr>
      </w:pPr>
    </w:p>
    <w:p>
      <w:pPr>
        <w:ind w:right="7020" w:firstLine="8"/>
        <w:spacing w:after="0" w:line="540" w:lineRule="auto"/>
        <w:tabs>
          <w:tab w:leader="none" w:pos="256" w:val="left"/>
        </w:tabs>
        <w:numPr>
          <w:ilvl w:val="0"/>
          <w:numId w:val="93"/>
        </w:numPr>
        <w:rPr>
          <w:rFonts w:ascii="Arial" w:cs="Arial" w:eastAsia="Arial" w:hAnsi="Arial"/>
          <w:sz w:val="14"/>
          <w:szCs w:val="14"/>
          <w:color w:val="3B3C43"/>
        </w:rPr>
      </w:pPr>
      <w:r>
        <w:rPr>
          <w:rFonts w:ascii="Arial" w:cs="Arial" w:eastAsia="Arial" w:hAnsi="Arial"/>
          <w:sz w:val="14"/>
          <w:szCs w:val="14"/>
          <w:color w:val="3B3C43"/>
        </w:rPr>
        <w:t xml:space="preserve">Mr. Uccelletti retired from the Company on February 29, 2020. </w:t>
      </w:r>
      <w:r>
        <w:rPr>
          <w:rFonts w:ascii="Arial" w:cs="Arial" w:eastAsia="Arial" w:hAnsi="Arial"/>
          <w:sz w:val="14"/>
          <w:szCs w:val="14"/>
          <w:color w:val="000000"/>
        </w:rPr>
        <w:t>84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Annual Cash Incentive Performance Indicators</w:t>
      </w:r>
    </w:p>
    <w:p>
      <w:pPr>
        <w:spacing w:after="0" w:line="25"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3B3C43"/>
        </w:rPr>
        <w:t>75% of the annual cash incentive is based on business performance indicators (“</w:t>
      </w:r>
      <w:r>
        <w:rPr>
          <w:rFonts w:ascii="Arial" w:cs="Arial" w:eastAsia="Arial" w:hAnsi="Arial"/>
          <w:sz w:val="16"/>
          <w:szCs w:val="16"/>
          <w:b w:val="1"/>
          <w:bCs w:val="1"/>
          <w:color w:val="3B3C43"/>
        </w:rPr>
        <w:t>BPI</w:t>
      </w:r>
      <w:r>
        <w:rPr>
          <w:rFonts w:ascii="Arial" w:cs="Arial" w:eastAsia="Arial" w:hAnsi="Arial"/>
          <w:sz w:val="16"/>
          <w:szCs w:val="16"/>
          <w:color w:val="3B3C43"/>
        </w:rPr>
        <w:t>”), and 25% is based on individual annual performance indicators (“</w:t>
      </w:r>
      <w:r>
        <w:rPr>
          <w:rFonts w:ascii="Arial" w:cs="Arial" w:eastAsia="Arial" w:hAnsi="Arial"/>
          <w:sz w:val="16"/>
          <w:szCs w:val="16"/>
          <w:b w:val="1"/>
          <w:bCs w:val="1"/>
          <w:color w:val="3B3C43"/>
        </w:rPr>
        <w:t>API</w:t>
      </w:r>
      <w:r>
        <w:rPr>
          <w:rFonts w:ascii="Arial" w:cs="Arial" w:eastAsia="Arial" w:hAnsi="Arial"/>
          <w:sz w:val="16"/>
          <w:szCs w:val="16"/>
          <w:color w:val="3B3C43"/>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4500" w:type="dxa"/>
            <w:vAlign w:val="bottom"/>
            <w:shd w:val="clear" w:color="auto" w:fill="4A1F67"/>
          </w:tcPr>
          <w:p>
            <w:pPr>
              <w:jc w:val="center"/>
              <w:spacing w:after="0"/>
              <w:rPr>
                <w:sz w:val="20"/>
                <w:szCs w:val="20"/>
                <w:color w:val="auto"/>
              </w:rPr>
            </w:pPr>
            <w:r>
              <w:rPr>
                <w:rFonts w:ascii="Arial" w:cs="Arial" w:eastAsia="Arial" w:hAnsi="Arial"/>
                <w:sz w:val="16"/>
                <w:szCs w:val="16"/>
                <w:b w:val="1"/>
                <w:bCs w:val="1"/>
                <w:color w:val="FFFFFF"/>
              </w:rPr>
              <w:t>75% BPI</w:t>
            </w:r>
          </w:p>
        </w:tc>
        <w:tc>
          <w:tcPr>
            <w:tcW w:w="2260" w:type="dxa"/>
            <w:vAlign w:val="bottom"/>
            <w:vMerge w:val="restart"/>
          </w:tcPr>
          <w:p>
            <w:pPr>
              <w:jc w:val="right"/>
              <w:ind w:right="616"/>
              <w:spacing w:after="0"/>
              <w:rPr>
                <w:sz w:val="20"/>
                <w:szCs w:val="20"/>
                <w:color w:val="auto"/>
              </w:rPr>
            </w:pPr>
            <w:r>
              <w:rPr>
                <w:rFonts w:ascii="Arial" w:cs="Arial" w:eastAsia="Arial" w:hAnsi="Arial"/>
                <w:sz w:val="65"/>
                <w:szCs w:val="65"/>
                <w:color w:val="3B3C43"/>
              </w:rPr>
              <w:t>+</w:t>
            </w:r>
          </w:p>
        </w:tc>
        <w:tc>
          <w:tcPr>
            <w:tcW w:w="4480" w:type="dxa"/>
            <w:vAlign w:val="bottom"/>
            <w:shd w:val="clear" w:color="auto" w:fill="00ADE9"/>
          </w:tcPr>
          <w:p>
            <w:pPr>
              <w:jc w:val="center"/>
              <w:spacing w:after="0"/>
              <w:rPr>
                <w:sz w:val="20"/>
                <w:szCs w:val="20"/>
                <w:color w:val="auto"/>
              </w:rPr>
            </w:pPr>
            <w:r>
              <w:rPr>
                <w:rFonts w:ascii="Arial" w:cs="Arial" w:eastAsia="Arial" w:hAnsi="Arial"/>
                <w:sz w:val="16"/>
                <w:szCs w:val="16"/>
                <w:b w:val="1"/>
                <w:bCs w:val="1"/>
                <w:color w:val="FFFFFF"/>
              </w:rPr>
              <w:t>25% API</w:t>
            </w:r>
          </w:p>
        </w:tc>
        <w:tc>
          <w:tcPr>
            <w:tcW w:w="0" w:type="dxa"/>
            <w:vAlign w:val="bottom"/>
          </w:tcPr>
          <w:p>
            <w:pPr>
              <w:spacing w:after="0"/>
              <w:rPr>
                <w:sz w:val="1"/>
                <w:szCs w:val="1"/>
                <w:color w:val="auto"/>
              </w:rPr>
            </w:pPr>
          </w:p>
        </w:tc>
      </w:tr>
      <w:tr>
        <w:trPr>
          <w:trHeight w:val="372"/>
        </w:trPr>
        <w:tc>
          <w:tcPr>
            <w:tcW w:w="4500" w:type="dxa"/>
            <w:vAlign w:val="bottom"/>
            <w:shd w:val="clear" w:color="auto" w:fill="4A1F67"/>
          </w:tcPr>
          <w:p>
            <w:pPr>
              <w:jc w:val="center"/>
              <w:spacing w:after="0"/>
              <w:rPr>
                <w:sz w:val="20"/>
                <w:szCs w:val="20"/>
                <w:color w:val="auto"/>
              </w:rPr>
            </w:pPr>
            <w:r>
              <w:rPr>
                <w:rFonts w:ascii="Arial" w:cs="Arial" w:eastAsia="Arial" w:hAnsi="Arial"/>
                <w:sz w:val="16"/>
                <w:szCs w:val="16"/>
                <w:color w:val="FFFFFF"/>
              </w:rPr>
              <w:t>Assessment of overall Company performance based on</w:t>
            </w:r>
          </w:p>
        </w:tc>
        <w:tc>
          <w:tcPr>
            <w:tcW w:w="2260" w:type="dxa"/>
            <w:vAlign w:val="bottom"/>
            <w:vMerge w:val="continue"/>
          </w:tcPr>
          <w:p>
            <w:pPr>
              <w:spacing w:after="0"/>
              <w:rPr>
                <w:sz w:val="24"/>
                <w:szCs w:val="24"/>
                <w:color w:val="auto"/>
              </w:rPr>
            </w:pPr>
          </w:p>
        </w:tc>
        <w:tc>
          <w:tcPr>
            <w:tcW w:w="4480" w:type="dxa"/>
            <w:vAlign w:val="bottom"/>
            <w:shd w:val="clear" w:color="auto" w:fill="00ADE9"/>
          </w:tcPr>
          <w:p>
            <w:pPr>
              <w:jc w:val="center"/>
              <w:spacing w:after="0"/>
              <w:rPr>
                <w:sz w:val="20"/>
                <w:szCs w:val="20"/>
                <w:color w:val="auto"/>
              </w:rPr>
            </w:pPr>
            <w:r>
              <w:rPr>
                <w:rFonts w:ascii="Arial" w:cs="Arial" w:eastAsia="Arial" w:hAnsi="Arial"/>
                <w:sz w:val="16"/>
                <w:szCs w:val="16"/>
                <w:color w:val="FFFFFF"/>
              </w:rPr>
              <w:t>Assessment of individual performance based</w:t>
            </w:r>
          </w:p>
        </w:tc>
        <w:tc>
          <w:tcPr>
            <w:tcW w:w="0" w:type="dxa"/>
            <w:vAlign w:val="bottom"/>
          </w:tcPr>
          <w:p>
            <w:pPr>
              <w:spacing w:after="0"/>
              <w:rPr>
                <w:sz w:val="1"/>
                <w:szCs w:val="1"/>
                <w:color w:val="auto"/>
              </w:rPr>
            </w:pPr>
          </w:p>
        </w:tc>
      </w:tr>
      <w:tr>
        <w:trPr>
          <w:trHeight w:val="189"/>
        </w:trPr>
        <w:tc>
          <w:tcPr>
            <w:tcW w:w="4500" w:type="dxa"/>
            <w:vAlign w:val="bottom"/>
            <w:shd w:val="clear" w:color="auto" w:fill="4A1F67"/>
          </w:tcPr>
          <w:p>
            <w:pPr>
              <w:ind w:left="1060"/>
              <w:spacing w:after="0"/>
              <w:rPr>
                <w:sz w:val="20"/>
                <w:szCs w:val="20"/>
                <w:color w:val="auto"/>
              </w:rPr>
            </w:pPr>
            <w:r>
              <w:rPr>
                <w:rFonts w:ascii="Arial" w:cs="Arial" w:eastAsia="Arial" w:hAnsi="Arial"/>
                <w:sz w:val="16"/>
                <w:szCs w:val="16"/>
                <w:color w:val="FFFFFF"/>
              </w:rPr>
              <w:t>business performance indicators</w:t>
            </w:r>
          </w:p>
        </w:tc>
        <w:tc>
          <w:tcPr>
            <w:tcW w:w="2260" w:type="dxa"/>
            <w:vAlign w:val="bottom"/>
            <w:vMerge w:val="continue"/>
          </w:tcPr>
          <w:p>
            <w:pPr>
              <w:spacing w:after="0"/>
              <w:rPr>
                <w:sz w:val="16"/>
                <w:szCs w:val="16"/>
                <w:color w:val="auto"/>
              </w:rPr>
            </w:pPr>
          </w:p>
        </w:tc>
        <w:tc>
          <w:tcPr>
            <w:tcW w:w="4480" w:type="dxa"/>
            <w:vAlign w:val="bottom"/>
            <w:shd w:val="clear" w:color="auto" w:fill="00ADE9"/>
          </w:tcPr>
          <w:p>
            <w:pPr>
              <w:jc w:val="center"/>
              <w:spacing w:after="0"/>
              <w:rPr>
                <w:sz w:val="20"/>
                <w:szCs w:val="20"/>
                <w:color w:val="auto"/>
              </w:rPr>
            </w:pPr>
            <w:r>
              <w:rPr>
                <w:rFonts w:ascii="Arial" w:cs="Arial" w:eastAsia="Arial" w:hAnsi="Arial"/>
                <w:sz w:val="16"/>
                <w:szCs w:val="16"/>
                <w:color w:val="FFFFFF"/>
              </w:rPr>
              <w:t>on qualitative factors reflected in the executive directors’</w:t>
            </w:r>
          </w:p>
        </w:tc>
        <w:tc>
          <w:tcPr>
            <w:tcW w:w="0" w:type="dxa"/>
            <w:vAlign w:val="bottom"/>
          </w:tcPr>
          <w:p>
            <w:pPr>
              <w:spacing w:after="0"/>
              <w:rPr>
                <w:sz w:val="1"/>
                <w:szCs w:val="1"/>
                <w:color w:val="auto"/>
              </w:rPr>
            </w:pPr>
          </w:p>
        </w:tc>
      </w:tr>
      <w:tr>
        <w:trPr>
          <w:trHeight w:val="195"/>
        </w:trPr>
        <w:tc>
          <w:tcPr>
            <w:tcW w:w="4500" w:type="dxa"/>
            <w:vAlign w:val="bottom"/>
            <w:shd w:val="clear" w:color="auto" w:fill="4A1F67"/>
          </w:tcPr>
          <w:p>
            <w:pPr>
              <w:spacing w:after="0"/>
              <w:rPr>
                <w:sz w:val="16"/>
                <w:szCs w:val="16"/>
                <w:color w:val="auto"/>
              </w:rPr>
            </w:pPr>
          </w:p>
        </w:tc>
        <w:tc>
          <w:tcPr>
            <w:tcW w:w="2260" w:type="dxa"/>
            <w:vAlign w:val="bottom"/>
          </w:tcPr>
          <w:p>
            <w:pPr>
              <w:spacing w:after="0"/>
              <w:rPr>
                <w:sz w:val="16"/>
                <w:szCs w:val="16"/>
                <w:color w:val="auto"/>
              </w:rPr>
            </w:pPr>
          </w:p>
        </w:tc>
        <w:tc>
          <w:tcPr>
            <w:tcW w:w="4480" w:type="dxa"/>
            <w:vAlign w:val="bottom"/>
            <w:shd w:val="clear" w:color="auto" w:fill="00ADE9"/>
          </w:tcPr>
          <w:p>
            <w:pPr>
              <w:jc w:val="center"/>
              <w:spacing w:after="0"/>
              <w:rPr>
                <w:sz w:val="20"/>
                <w:szCs w:val="20"/>
                <w:color w:val="auto"/>
              </w:rPr>
            </w:pPr>
            <w:r>
              <w:rPr>
                <w:rFonts w:ascii="Arial" w:cs="Arial" w:eastAsia="Arial" w:hAnsi="Arial"/>
                <w:sz w:val="16"/>
                <w:szCs w:val="16"/>
                <w:color w:val="FFFFFF"/>
              </w:rPr>
              <w:t>annual performance objectives</w:t>
            </w:r>
          </w:p>
        </w:tc>
        <w:tc>
          <w:tcPr>
            <w:tcW w:w="0" w:type="dxa"/>
            <w:vAlign w:val="bottom"/>
          </w:tcPr>
          <w:p>
            <w:pPr>
              <w:spacing w:after="0"/>
              <w:rPr>
                <w:sz w:val="1"/>
                <w:szCs w:val="1"/>
                <w:color w:val="auto"/>
              </w:rPr>
            </w:pPr>
          </w:p>
        </w:tc>
      </w:tr>
      <w:tr>
        <w:trPr>
          <w:trHeight w:val="181"/>
        </w:trPr>
        <w:tc>
          <w:tcPr>
            <w:tcW w:w="4500" w:type="dxa"/>
            <w:vAlign w:val="bottom"/>
            <w:shd w:val="clear" w:color="auto" w:fill="4A1F67"/>
          </w:tcPr>
          <w:p>
            <w:pPr>
              <w:spacing w:after="0"/>
              <w:rPr>
                <w:sz w:val="15"/>
                <w:szCs w:val="15"/>
                <w:color w:val="auto"/>
              </w:rPr>
            </w:pPr>
          </w:p>
        </w:tc>
        <w:tc>
          <w:tcPr>
            <w:tcW w:w="2260" w:type="dxa"/>
            <w:vAlign w:val="bottom"/>
          </w:tcPr>
          <w:p>
            <w:pPr>
              <w:spacing w:after="0"/>
              <w:rPr>
                <w:sz w:val="15"/>
                <w:szCs w:val="15"/>
                <w:color w:val="auto"/>
              </w:rPr>
            </w:pPr>
          </w:p>
        </w:tc>
        <w:tc>
          <w:tcPr>
            <w:tcW w:w="4480" w:type="dxa"/>
            <w:vAlign w:val="bottom"/>
            <w:shd w:val="clear" w:color="auto" w:fill="00ADE9"/>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BPI Component - 75% of Annual Cash Incentive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The Compensation Committee annually establishes BPI targets and reviews the performance measures at its February meeting.</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3B3C43"/>
        </w:rPr>
        <w:t>For the first quarter of 2020, EBITDA, EBITDA as a Percentage of Revenue, and Working Capital Days were the BPI measures for our annual cash incentive plan. These measures were designed to focus our executive officers on operating profitability and efficiency of using operating capital.</w:t>
      </w:r>
    </w:p>
    <w:p>
      <w:pPr>
        <w:spacing w:after="0" w:line="16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3B3C43"/>
        </w:rPr>
        <w:t>Due to the COVID-19 pandemic and business downturn, the Company’s strategic priorities shifted to a significantly greater focus on cash flow, liquidity, and business sustainability. To better align the NEOs’ compensation with these critical priorities, the financial measures for the 2020 annual cash incentive plan were changed to Incremental Cost Savings (37.5% weighting) and Free Cash Flow Conversion (37.5%), for the remainder of 2020. The Incremental Cost Savings metric measures our performance against our publicly stated Cost Reduction program. The Free Cash Flow Conversion metric (ratio of Free Cash Flow to Adjusted Net Income), measures the quality of our earnings and is important for liquidity. 25% of the annual cash incentive plan continued to be based on API measures, including specific objectives regarding sustainability in our business performance, further reinforcing the Company’s commitment to our Foundational Beliefs. Finally, payout for the 2020 annual cash incentive plan was capped at target payout.</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Target Setting for BPI Measures</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3B3C43"/>
        </w:rPr>
        <w:t>Performance targets related to our annual cash incentive are set at “stretch” targets that are considered difficult and challenging but achievable with superior execution based on our long-range plans. Given the cyclical nature of our industry sector, as well as the variability in some of our metrics caused by the lifecycle progression of a few very large projects, our targets can vary in absolute terms when compared to prior year targets but are set to ensure that achievement will require the same or improved execution to achieve the targets.</w:t>
      </w:r>
    </w:p>
    <w:p>
      <w:pPr>
        <w:spacing w:after="0" w:line="17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3B3C43"/>
        </w:rPr>
        <w:t>In setting performance goals, the Compensation Committee considers the Company’s annual financial plans, strategic initiatives, and projections, which are impacted by the following factors:</w:t>
      </w:r>
    </w:p>
    <w:p>
      <w:pPr>
        <w:spacing w:after="0" w:line="168" w:lineRule="exact"/>
        <w:rPr>
          <w:sz w:val="20"/>
          <w:szCs w:val="20"/>
          <w:color w:val="auto"/>
        </w:rPr>
      </w:pPr>
    </w:p>
    <w:p>
      <w:pPr>
        <w:ind w:left="420" w:hanging="248"/>
        <w:spacing w:after="0"/>
        <w:tabs>
          <w:tab w:leader="none" w:pos="420" w:val="left"/>
        </w:tabs>
        <w:numPr>
          <w:ilvl w:val="0"/>
          <w:numId w:val="94"/>
        </w:numPr>
        <w:rPr>
          <w:rFonts w:ascii="Arial" w:cs="Arial" w:eastAsia="Arial" w:hAnsi="Arial"/>
          <w:sz w:val="16"/>
          <w:szCs w:val="16"/>
          <w:color w:val="4B1F68"/>
        </w:rPr>
      </w:pPr>
      <w:r>
        <w:rPr>
          <w:rFonts w:ascii="Arial" w:cs="Arial" w:eastAsia="Arial" w:hAnsi="Arial"/>
          <w:sz w:val="16"/>
          <w:szCs w:val="16"/>
          <w:color w:val="3B3C43"/>
        </w:rPr>
        <w:t>The overall business climate and the cyclical nature of our business</w:t>
      </w:r>
    </w:p>
    <w:p>
      <w:pPr>
        <w:spacing w:after="0" w:line="194" w:lineRule="exact"/>
        <w:rPr>
          <w:rFonts w:ascii="Arial" w:cs="Arial" w:eastAsia="Arial" w:hAnsi="Arial"/>
          <w:sz w:val="16"/>
          <w:szCs w:val="16"/>
          <w:color w:val="4B1F68"/>
        </w:rPr>
      </w:pPr>
    </w:p>
    <w:p>
      <w:pPr>
        <w:ind w:left="420" w:hanging="248"/>
        <w:spacing w:after="0"/>
        <w:tabs>
          <w:tab w:leader="none" w:pos="420" w:val="left"/>
        </w:tabs>
        <w:numPr>
          <w:ilvl w:val="0"/>
          <w:numId w:val="94"/>
        </w:numPr>
        <w:rPr>
          <w:rFonts w:ascii="Arial" w:cs="Arial" w:eastAsia="Arial" w:hAnsi="Arial"/>
          <w:sz w:val="16"/>
          <w:szCs w:val="16"/>
          <w:color w:val="4B1F68"/>
        </w:rPr>
      </w:pPr>
      <w:r>
        <w:rPr>
          <w:rFonts w:ascii="Arial" w:cs="Arial" w:eastAsia="Arial" w:hAnsi="Arial"/>
          <w:sz w:val="16"/>
          <w:szCs w:val="16"/>
          <w:color w:val="3B3C43"/>
        </w:rPr>
        <w:t>Underlying market conditions for our products and services</w:t>
      </w:r>
    </w:p>
    <w:p>
      <w:pPr>
        <w:spacing w:after="0" w:line="194" w:lineRule="exact"/>
        <w:rPr>
          <w:rFonts w:ascii="Arial" w:cs="Arial" w:eastAsia="Arial" w:hAnsi="Arial"/>
          <w:sz w:val="16"/>
          <w:szCs w:val="16"/>
          <w:color w:val="4B1F68"/>
        </w:rPr>
      </w:pPr>
    </w:p>
    <w:p>
      <w:pPr>
        <w:ind w:left="420" w:hanging="248"/>
        <w:spacing w:after="0"/>
        <w:tabs>
          <w:tab w:leader="none" w:pos="420" w:val="left"/>
        </w:tabs>
        <w:numPr>
          <w:ilvl w:val="0"/>
          <w:numId w:val="94"/>
        </w:numPr>
        <w:rPr>
          <w:rFonts w:ascii="Arial" w:cs="Arial" w:eastAsia="Arial" w:hAnsi="Arial"/>
          <w:sz w:val="16"/>
          <w:szCs w:val="16"/>
          <w:color w:val="4B1F68"/>
        </w:rPr>
      </w:pPr>
      <w:r>
        <w:rPr>
          <w:rFonts w:ascii="Arial" w:cs="Arial" w:eastAsia="Arial" w:hAnsi="Arial"/>
          <w:sz w:val="16"/>
          <w:szCs w:val="16"/>
          <w:color w:val="3B3C43"/>
        </w:rPr>
        <w:t>Volatility in commodity prices</w:t>
      </w:r>
    </w:p>
    <w:p>
      <w:pPr>
        <w:spacing w:after="0" w:line="194" w:lineRule="exact"/>
        <w:rPr>
          <w:rFonts w:ascii="Arial" w:cs="Arial" w:eastAsia="Arial" w:hAnsi="Arial"/>
          <w:sz w:val="16"/>
          <w:szCs w:val="16"/>
          <w:color w:val="4B1F68"/>
        </w:rPr>
      </w:pPr>
    </w:p>
    <w:p>
      <w:pPr>
        <w:ind w:left="420" w:hanging="248"/>
        <w:spacing w:after="0"/>
        <w:tabs>
          <w:tab w:leader="none" w:pos="420" w:val="left"/>
        </w:tabs>
        <w:numPr>
          <w:ilvl w:val="0"/>
          <w:numId w:val="94"/>
        </w:numPr>
        <w:rPr>
          <w:rFonts w:ascii="Arial" w:cs="Arial" w:eastAsia="Arial" w:hAnsi="Arial"/>
          <w:sz w:val="16"/>
          <w:szCs w:val="16"/>
          <w:color w:val="4B1F68"/>
        </w:rPr>
      </w:pPr>
      <w:r>
        <w:rPr>
          <w:rFonts w:ascii="Arial" w:cs="Arial" w:eastAsia="Arial" w:hAnsi="Arial"/>
          <w:sz w:val="16"/>
          <w:szCs w:val="16"/>
          <w:color w:val="3B3C43"/>
        </w:rPr>
        <w:t>Our competitors’ performance</w:t>
      </w:r>
    </w:p>
    <w:p>
      <w:pPr>
        <w:spacing w:after="0" w:line="194" w:lineRule="exact"/>
        <w:rPr>
          <w:rFonts w:ascii="Arial" w:cs="Arial" w:eastAsia="Arial" w:hAnsi="Arial"/>
          <w:sz w:val="16"/>
          <w:szCs w:val="16"/>
          <w:color w:val="4B1F68"/>
        </w:rPr>
      </w:pPr>
    </w:p>
    <w:p>
      <w:pPr>
        <w:ind w:left="420" w:hanging="248"/>
        <w:spacing w:after="0"/>
        <w:tabs>
          <w:tab w:leader="none" w:pos="420" w:val="left"/>
        </w:tabs>
        <w:numPr>
          <w:ilvl w:val="0"/>
          <w:numId w:val="94"/>
        </w:numPr>
        <w:rPr>
          <w:rFonts w:ascii="Arial" w:cs="Arial" w:eastAsia="Arial" w:hAnsi="Arial"/>
          <w:sz w:val="16"/>
          <w:szCs w:val="16"/>
          <w:color w:val="4B1F68"/>
        </w:rPr>
      </w:pPr>
      <w:r>
        <w:rPr>
          <w:rFonts w:ascii="Arial" w:cs="Arial" w:eastAsia="Arial" w:hAnsi="Arial"/>
          <w:sz w:val="16"/>
          <w:szCs w:val="16"/>
          <w:color w:val="3B3C43"/>
        </w:rPr>
        <w:t>Anticipated changes in customer activity</w:t>
      </w:r>
    </w:p>
    <w:p>
      <w:pPr>
        <w:spacing w:after="0" w:line="194" w:lineRule="exact"/>
        <w:rPr>
          <w:rFonts w:ascii="Arial" w:cs="Arial" w:eastAsia="Arial" w:hAnsi="Arial"/>
          <w:sz w:val="16"/>
          <w:szCs w:val="16"/>
          <w:color w:val="4B1F68"/>
        </w:rPr>
      </w:pPr>
    </w:p>
    <w:p>
      <w:pPr>
        <w:ind w:left="420" w:hanging="248"/>
        <w:spacing w:after="0"/>
        <w:tabs>
          <w:tab w:leader="none" w:pos="420" w:val="left"/>
        </w:tabs>
        <w:numPr>
          <w:ilvl w:val="0"/>
          <w:numId w:val="94"/>
        </w:numPr>
        <w:rPr>
          <w:rFonts w:ascii="Arial" w:cs="Arial" w:eastAsia="Arial" w:hAnsi="Arial"/>
          <w:sz w:val="16"/>
          <w:szCs w:val="16"/>
          <w:color w:val="4B1F68"/>
        </w:rPr>
      </w:pPr>
      <w:r>
        <w:rPr>
          <w:rFonts w:ascii="Arial" w:cs="Arial" w:eastAsia="Arial" w:hAnsi="Arial"/>
          <w:sz w:val="16"/>
          <w:szCs w:val="16"/>
          <w:color w:val="3B3C43"/>
        </w:rPr>
        <w:t>Our prior-year performance</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85</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3B3C43"/>
        </w:rPr>
        <w:t>These inputs inform discussions regarding both the targets and the ranges around the target to ensure the goals are sufficiently difficult without incentivizing inappropriate risk taking.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Q1 Target Setting and Result</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3B3C43"/>
        </w:rPr>
        <w:t>Targets were set for the EBITDA, EBITDA as a Percentage of Revenue, and Working Capital Days metrics in Q1 2020, considering the market outlook for each of our business segments and for the Company as a whole at the time the targets were set.</w:t>
      </w:r>
    </w:p>
    <w:p>
      <w:pPr>
        <w:spacing w:after="0" w:line="168" w:lineRule="exact"/>
        <w:rPr>
          <w:sz w:val="20"/>
          <w:szCs w:val="20"/>
          <w:color w:val="auto"/>
        </w:rPr>
      </w:pPr>
    </w:p>
    <w:p>
      <w:pPr>
        <w:ind w:left="500" w:right="100" w:hanging="317"/>
        <w:spacing w:after="0" w:line="260" w:lineRule="auto"/>
        <w:tabs>
          <w:tab w:leader="none" w:pos="500" w:val="left"/>
        </w:tabs>
        <w:numPr>
          <w:ilvl w:val="0"/>
          <w:numId w:val="95"/>
        </w:numPr>
        <w:rPr>
          <w:rFonts w:ascii="Arial" w:cs="Arial" w:eastAsia="Arial" w:hAnsi="Arial"/>
          <w:sz w:val="16"/>
          <w:szCs w:val="16"/>
          <w:color w:val="4B1F68"/>
        </w:rPr>
      </w:pPr>
      <w:r>
        <w:rPr>
          <w:rFonts w:ascii="Arial" w:cs="Arial" w:eastAsia="Arial" w:hAnsi="Arial"/>
          <w:sz w:val="16"/>
          <w:szCs w:val="16"/>
          <w:color w:val="3B3C43"/>
        </w:rPr>
        <w:t>In April 2020, due to the volatility in the oil and gas market caused by the COVID-19 pandemic and oil price decline, the targets previously set were no longer considered applicable, and the Compensation Committee set the payout for Q1 2020 BPI at 0%.</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Q2-Q4 Target Setting and Result</w:t>
      </w:r>
    </w:p>
    <w:p>
      <w:pPr>
        <w:spacing w:after="0" w:line="25"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3B3C43"/>
        </w:rPr>
        <w:t>As described above, as a result of the COVID-19 pandemic, worsening oil and gas macro outlook, and cutbacks in customer activity, there was an urgent and critical need to focus on cash flow and liquidity, as well as cost reduction. Accordingly, our BPI metrics for Q2-Q4 2020 were changed to Incremental Cost Savings and Free Cash Flow Conversion. The targets for these measures were set at a level needed to manage the business through the downturn and to achieve the appropriate cost structure to drive shareholder value.</w:t>
      </w:r>
    </w:p>
    <w:p>
      <w:pPr>
        <w:spacing w:after="0" w:line="175" w:lineRule="exact"/>
        <w:rPr>
          <w:sz w:val="20"/>
          <w:szCs w:val="20"/>
          <w:color w:val="auto"/>
        </w:rPr>
      </w:pPr>
    </w:p>
    <w:p>
      <w:pPr>
        <w:ind w:left="500" w:right="720" w:hanging="317"/>
        <w:spacing w:after="0" w:line="260" w:lineRule="auto"/>
        <w:tabs>
          <w:tab w:leader="none" w:pos="500" w:val="left"/>
        </w:tabs>
        <w:numPr>
          <w:ilvl w:val="0"/>
          <w:numId w:val="96"/>
        </w:numPr>
        <w:rPr>
          <w:rFonts w:ascii="Arial" w:cs="Arial" w:eastAsia="Arial" w:hAnsi="Arial"/>
          <w:sz w:val="16"/>
          <w:szCs w:val="16"/>
          <w:color w:val="4B1F68"/>
        </w:rPr>
      </w:pPr>
      <w:r>
        <w:rPr>
          <w:rFonts w:ascii="Arial" w:cs="Arial" w:eastAsia="Arial" w:hAnsi="Arial"/>
          <w:sz w:val="16"/>
          <w:szCs w:val="16"/>
          <w:color w:val="3B3C43"/>
        </w:rPr>
        <w:t>In Q2-Q4 2020, our performance exceeded the maximum of the performance range for our Incremental Cost Savings and Free Cash Flow Conversion metrics.</w:t>
      </w:r>
    </w:p>
    <w:p>
      <w:pPr>
        <w:spacing w:after="0" w:line="168" w:lineRule="exact"/>
        <w:rPr>
          <w:rFonts w:ascii="Arial" w:cs="Arial" w:eastAsia="Arial" w:hAnsi="Arial"/>
          <w:sz w:val="16"/>
          <w:szCs w:val="16"/>
          <w:color w:val="4B1F68"/>
        </w:rPr>
      </w:pPr>
    </w:p>
    <w:p>
      <w:pPr>
        <w:ind w:left="980" w:right="720" w:hanging="324"/>
        <w:spacing w:after="0" w:line="260" w:lineRule="auto"/>
        <w:tabs>
          <w:tab w:leader="none" w:pos="980" w:val="left"/>
        </w:tabs>
        <w:numPr>
          <w:ilvl w:val="1"/>
          <w:numId w:val="96"/>
        </w:numPr>
        <w:rPr>
          <w:rFonts w:ascii="Arial" w:cs="Arial" w:eastAsia="Arial" w:hAnsi="Arial"/>
          <w:sz w:val="16"/>
          <w:szCs w:val="16"/>
          <w:color w:val="00ADE8"/>
        </w:rPr>
      </w:pPr>
      <w:r>
        <w:rPr>
          <w:rFonts w:ascii="Arial" w:cs="Arial" w:eastAsia="Arial" w:hAnsi="Arial"/>
          <w:sz w:val="16"/>
          <w:szCs w:val="16"/>
          <w:color w:val="3B3C43"/>
        </w:rPr>
        <w:t>The Incremental Cost Savings achievement was supported by decisive actions to reduce the Company cost structure by eliminating underperforming business lines, reducing structural overcapacity, and right-sizing the business for the future.</w:t>
      </w:r>
    </w:p>
    <w:p>
      <w:pPr>
        <w:spacing w:after="0" w:line="168" w:lineRule="exact"/>
        <w:rPr>
          <w:rFonts w:ascii="Arial" w:cs="Arial" w:eastAsia="Arial" w:hAnsi="Arial"/>
          <w:sz w:val="16"/>
          <w:szCs w:val="16"/>
          <w:color w:val="00ADE8"/>
        </w:rPr>
      </w:pPr>
    </w:p>
    <w:p>
      <w:pPr>
        <w:ind w:left="980" w:hanging="324"/>
        <w:spacing w:after="0" w:line="260" w:lineRule="auto"/>
        <w:tabs>
          <w:tab w:leader="none" w:pos="980" w:val="left"/>
        </w:tabs>
        <w:numPr>
          <w:ilvl w:val="1"/>
          <w:numId w:val="96"/>
        </w:numPr>
        <w:rPr>
          <w:rFonts w:ascii="Arial" w:cs="Arial" w:eastAsia="Arial" w:hAnsi="Arial"/>
          <w:sz w:val="16"/>
          <w:szCs w:val="16"/>
          <w:color w:val="00ADE8"/>
        </w:rPr>
      </w:pPr>
      <w:r>
        <w:rPr>
          <w:rFonts w:ascii="Arial" w:cs="Arial" w:eastAsia="Arial" w:hAnsi="Arial"/>
          <w:sz w:val="16"/>
          <w:szCs w:val="16"/>
          <w:color w:val="3B3C43"/>
        </w:rPr>
        <w:t>Free Cash Flow Conversion was achieved through disciplined management of capital expenditures within targeted reductions, preservation of cash by deferral of non-essential spending, and effective working capital management.</w:t>
      </w:r>
    </w:p>
    <w:p>
      <w:pPr>
        <w:spacing w:after="0" w:line="168" w:lineRule="exact"/>
        <w:rPr>
          <w:rFonts w:ascii="Arial" w:cs="Arial" w:eastAsia="Arial" w:hAnsi="Arial"/>
          <w:sz w:val="16"/>
          <w:szCs w:val="16"/>
          <w:color w:val="00ADE8"/>
        </w:rPr>
      </w:pPr>
    </w:p>
    <w:p>
      <w:pPr>
        <w:ind w:left="500" w:right="180" w:hanging="317"/>
        <w:spacing w:after="0" w:line="260" w:lineRule="auto"/>
        <w:tabs>
          <w:tab w:leader="none" w:pos="500" w:val="left"/>
        </w:tabs>
        <w:numPr>
          <w:ilvl w:val="0"/>
          <w:numId w:val="96"/>
        </w:numPr>
        <w:rPr>
          <w:rFonts w:ascii="Arial" w:cs="Arial" w:eastAsia="Arial" w:hAnsi="Arial"/>
          <w:sz w:val="16"/>
          <w:szCs w:val="16"/>
          <w:color w:val="4B1F68"/>
        </w:rPr>
      </w:pPr>
      <w:r>
        <w:rPr>
          <w:rFonts w:ascii="Arial" w:cs="Arial" w:eastAsia="Arial" w:hAnsi="Arial"/>
          <w:sz w:val="16"/>
          <w:szCs w:val="16"/>
          <w:color w:val="3B3C43"/>
        </w:rPr>
        <w:t>Although our performance exceeded the maximum of the performance range, payout was capped at 100% to support the Company and align with shareholder interests in a volatile business environment.</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86</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329" w:right="45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Full-Year Result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3B3C43"/>
        </w:rPr>
        <w:t>With Q1 2020 payout percentage at 0% and Q2-Q4 2020 payout percentage at 100%, our weighted overall BPI result for 2020 was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228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4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Q1 2020 (January -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2117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211772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36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BPI</w:t>
            </w:r>
          </w:p>
        </w:tc>
        <w:tc>
          <w:tcPr>
            <w:tcW w:w="124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Weighting</w:t>
            </w:r>
          </w:p>
        </w:tc>
        <w:tc>
          <w:tcPr>
            <w:tcW w:w="128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2020 Goal</w:t>
            </w:r>
          </w:p>
        </w:tc>
        <w:tc>
          <w:tcPr>
            <w:tcW w:w="2640" w:type="dxa"/>
            <w:vAlign w:val="bottom"/>
            <w:shd w:val="clear" w:color="auto" w:fill="00ADE9"/>
          </w:tcPr>
          <w:p>
            <w:pPr>
              <w:ind w:left="180"/>
              <w:spacing w:after="0"/>
              <w:rPr>
                <w:sz w:val="20"/>
                <w:szCs w:val="20"/>
                <w:color w:val="auto"/>
              </w:rPr>
            </w:pPr>
            <w:r>
              <w:rPr>
                <w:rFonts w:ascii="Arial" w:cs="Arial" w:eastAsia="Arial" w:hAnsi="Arial"/>
                <w:sz w:val="16"/>
                <w:szCs w:val="16"/>
                <w:b w:val="1"/>
                <w:bCs w:val="1"/>
                <w:color w:val="FFFFFF"/>
              </w:rPr>
              <w:t>Definition</w:t>
            </w:r>
          </w:p>
        </w:tc>
        <w:tc>
          <w:tcPr>
            <w:tcW w:w="4720" w:type="dxa"/>
            <w:vAlign w:val="bottom"/>
            <w:shd w:val="clear" w:color="auto" w:fill="D21D22"/>
          </w:tcPr>
          <w:p>
            <w:pPr>
              <w:ind w:left="120"/>
              <w:spacing w:after="0"/>
              <w:rPr>
                <w:sz w:val="20"/>
                <w:szCs w:val="20"/>
                <w:color w:val="auto"/>
              </w:rPr>
            </w:pPr>
            <w:r>
              <w:rPr>
                <w:rFonts w:ascii="Arial" w:cs="Arial" w:eastAsia="Arial" w:hAnsi="Arial"/>
                <w:sz w:val="16"/>
                <w:szCs w:val="16"/>
                <w:b w:val="1"/>
                <w:bCs w:val="1"/>
                <w:color w:val="FFFFFF"/>
              </w:rPr>
              <w:t>Why It Matters</w:t>
            </w:r>
          </w:p>
        </w:tc>
      </w:tr>
      <w:tr>
        <w:trPr>
          <w:trHeight w:val="207"/>
        </w:trPr>
        <w:tc>
          <w:tcPr>
            <w:tcW w:w="136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Measure</w:t>
            </w:r>
          </w:p>
        </w:tc>
        <w:tc>
          <w:tcPr>
            <w:tcW w:w="1240" w:type="dxa"/>
            <w:vAlign w:val="bottom"/>
            <w:shd w:val="clear" w:color="auto" w:fill="00ADE9"/>
          </w:tcPr>
          <w:p>
            <w:pPr>
              <w:spacing w:after="0"/>
              <w:rPr>
                <w:sz w:val="18"/>
                <w:szCs w:val="18"/>
                <w:color w:val="auto"/>
              </w:rPr>
            </w:pPr>
          </w:p>
        </w:tc>
        <w:tc>
          <w:tcPr>
            <w:tcW w:w="128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(Annual)</w:t>
            </w:r>
          </w:p>
        </w:tc>
        <w:tc>
          <w:tcPr>
            <w:tcW w:w="2640" w:type="dxa"/>
            <w:vAlign w:val="bottom"/>
            <w:shd w:val="clear" w:color="auto" w:fill="00ADE9"/>
          </w:tcPr>
          <w:p>
            <w:pPr>
              <w:spacing w:after="0"/>
              <w:rPr>
                <w:sz w:val="18"/>
                <w:szCs w:val="18"/>
                <w:color w:val="auto"/>
              </w:rPr>
            </w:pPr>
          </w:p>
        </w:tc>
        <w:tc>
          <w:tcPr>
            <w:tcW w:w="4720" w:type="dxa"/>
            <w:vAlign w:val="bottom"/>
            <w:shd w:val="clear" w:color="auto" w:fill="D21D22"/>
          </w:tcPr>
          <w:p>
            <w:pPr>
              <w:spacing w:after="0"/>
              <w:rPr>
                <w:sz w:val="18"/>
                <w:szCs w:val="18"/>
                <w:color w:val="auto"/>
              </w:rPr>
            </w:pPr>
          </w:p>
        </w:tc>
      </w:tr>
      <w:tr>
        <w:trPr>
          <w:trHeight w:val="81"/>
        </w:trPr>
        <w:tc>
          <w:tcPr>
            <w:tcW w:w="1360" w:type="dxa"/>
            <w:vAlign w:val="bottom"/>
            <w:shd w:val="clear" w:color="auto" w:fill="4A1F67"/>
          </w:tcPr>
          <w:p>
            <w:pPr>
              <w:spacing w:after="0"/>
              <w:rPr>
                <w:sz w:val="7"/>
                <w:szCs w:val="7"/>
                <w:color w:val="auto"/>
              </w:rPr>
            </w:pPr>
          </w:p>
        </w:tc>
        <w:tc>
          <w:tcPr>
            <w:tcW w:w="1240" w:type="dxa"/>
            <w:vAlign w:val="bottom"/>
            <w:shd w:val="clear" w:color="auto" w:fill="00ADE9"/>
          </w:tcPr>
          <w:p>
            <w:pPr>
              <w:spacing w:after="0"/>
              <w:rPr>
                <w:sz w:val="7"/>
                <w:szCs w:val="7"/>
                <w:color w:val="auto"/>
              </w:rPr>
            </w:pPr>
          </w:p>
        </w:tc>
        <w:tc>
          <w:tcPr>
            <w:tcW w:w="1280" w:type="dxa"/>
            <w:vAlign w:val="bottom"/>
            <w:shd w:val="clear" w:color="auto" w:fill="00ADE9"/>
          </w:tcPr>
          <w:p>
            <w:pPr>
              <w:spacing w:after="0"/>
              <w:rPr>
                <w:sz w:val="7"/>
                <w:szCs w:val="7"/>
                <w:color w:val="auto"/>
              </w:rPr>
            </w:pPr>
          </w:p>
        </w:tc>
        <w:tc>
          <w:tcPr>
            <w:tcW w:w="2640" w:type="dxa"/>
            <w:vAlign w:val="bottom"/>
            <w:shd w:val="clear" w:color="auto" w:fill="00ADE9"/>
          </w:tcPr>
          <w:p>
            <w:pPr>
              <w:spacing w:after="0"/>
              <w:rPr>
                <w:sz w:val="7"/>
                <w:szCs w:val="7"/>
                <w:color w:val="auto"/>
              </w:rPr>
            </w:pPr>
          </w:p>
        </w:tc>
        <w:tc>
          <w:tcPr>
            <w:tcW w:w="4720" w:type="dxa"/>
            <w:vAlign w:val="bottom"/>
            <w:shd w:val="clear" w:color="auto" w:fill="D21D22"/>
          </w:tcPr>
          <w:p>
            <w:pPr>
              <w:spacing w:after="0"/>
              <w:rPr>
                <w:sz w:val="7"/>
                <w:szCs w:val="7"/>
                <w:color w:val="auto"/>
              </w:rPr>
            </w:pPr>
          </w:p>
        </w:tc>
      </w:tr>
      <w:tr>
        <w:trPr>
          <w:trHeight w:val="285"/>
        </w:trPr>
        <w:tc>
          <w:tcPr>
            <w:tcW w:w="1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EBITDA ($M)</w:t>
            </w:r>
          </w:p>
        </w:tc>
        <w:tc>
          <w:tcPr>
            <w:tcW w:w="1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25%</w:t>
            </w:r>
          </w:p>
        </w:tc>
        <w:tc>
          <w:tcPr>
            <w:tcW w:w="128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$1,639 million</w:t>
            </w: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Earnings before interest, taxes,</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Indicative of our operating profitability and a driver of</w:t>
            </w:r>
          </w:p>
        </w:tc>
      </w:tr>
      <w:tr>
        <w:trPr>
          <w:trHeight w:val="189"/>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depreciation, and amortization</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shareholder value creation; facilitates comparisons with peer</w:t>
            </w:r>
          </w:p>
        </w:tc>
      </w:tr>
      <w:tr>
        <w:trPr>
          <w:trHeight w:val="189"/>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spacing w:after="0"/>
              <w:rPr>
                <w:sz w:val="16"/>
                <w:szCs w:val="16"/>
                <w:color w:val="auto"/>
              </w:rPr>
            </w:pP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companies by excluding the effect of different capital structures</w:t>
            </w:r>
          </w:p>
        </w:tc>
      </w:tr>
      <w:tr>
        <w:trPr>
          <w:trHeight w:val="195"/>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spacing w:after="0"/>
              <w:rPr>
                <w:sz w:val="16"/>
                <w:szCs w:val="16"/>
                <w:color w:val="auto"/>
              </w:rPr>
            </w:pP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and financing decisions</w:t>
            </w:r>
          </w:p>
        </w:tc>
      </w:tr>
      <w:tr>
        <w:trPr>
          <w:trHeight w:val="339"/>
        </w:trPr>
        <w:tc>
          <w:tcPr>
            <w:tcW w:w="1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EBITDA as a</w:t>
            </w:r>
          </w:p>
        </w:tc>
        <w:tc>
          <w:tcPr>
            <w:tcW w:w="1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25%</w:t>
            </w:r>
          </w:p>
        </w:tc>
        <w:tc>
          <w:tcPr>
            <w:tcW w:w="128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10.3%</w:t>
            </w: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Earnings before interest, taxes,</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Reflects the performance and sustainability of the business,</w:t>
            </w:r>
          </w:p>
        </w:tc>
      </w:tr>
      <w:tr>
        <w:trPr>
          <w:trHeight w:val="189"/>
        </w:trPr>
        <w:tc>
          <w:tcPr>
            <w:tcW w:w="1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Percentage of</w:t>
            </w: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depreciation, and amortization,</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leveraging cost efficiencies and driving profitability</w:t>
            </w:r>
          </w:p>
        </w:tc>
      </w:tr>
      <w:tr>
        <w:trPr>
          <w:trHeight w:val="209"/>
        </w:trPr>
        <w:tc>
          <w:tcPr>
            <w:tcW w:w="1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Revenue</w:t>
            </w:r>
          </w:p>
        </w:tc>
        <w:tc>
          <w:tcPr>
            <w:tcW w:w="1240" w:type="dxa"/>
            <w:vAlign w:val="bottom"/>
            <w:shd w:val="clear" w:color="auto" w:fill="E1E1DF"/>
          </w:tcPr>
          <w:p>
            <w:pPr>
              <w:spacing w:after="0"/>
              <w:rPr>
                <w:sz w:val="18"/>
                <w:szCs w:val="18"/>
                <w:color w:val="auto"/>
              </w:rPr>
            </w:pPr>
          </w:p>
        </w:tc>
        <w:tc>
          <w:tcPr>
            <w:tcW w:w="1280" w:type="dxa"/>
            <w:vAlign w:val="bottom"/>
            <w:shd w:val="clear" w:color="auto" w:fill="E1E1DF"/>
          </w:tcPr>
          <w:p>
            <w:pPr>
              <w:spacing w:after="0"/>
              <w:rPr>
                <w:sz w:val="18"/>
                <w:szCs w:val="18"/>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calculated as a percentage of</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improvement</w:t>
            </w:r>
          </w:p>
        </w:tc>
      </w:tr>
      <w:tr>
        <w:trPr>
          <w:trHeight w:val="195"/>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revenue</w:t>
            </w:r>
          </w:p>
        </w:tc>
        <w:tc>
          <w:tcPr>
            <w:tcW w:w="4720" w:type="dxa"/>
            <w:vAlign w:val="bottom"/>
            <w:shd w:val="clear" w:color="auto" w:fill="E1E1DF"/>
          </w:tcPr>
          <w:p>
            <w:pPr>
              <w:spacing w:after="0"/>
              <w:rPr>
                <w:sz w:val="16"/>
                <w:szCs w:val="16"/>
                <w:color w:val="auto"/>
              </w:rPr>
            </w:pPr>
          </w:p>
        </w:tc>
      </w:tr>
      <w:tr>
        <w:trPr>
          <w:trHeight w:val="339"/>
        </w:trPr>
        <w:tc>
          <w:tcPr>
            <w:tcW w:w="1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Working</w:t>
            </w:r>
          </w:p>
        </w:tc>
        <w:tc>
          <w:tcPr>
            <w:tcW w:w="1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25%</w:t>
            </w:r>
          </w:p>
        </w:tc>
        <w:tc>
          <w:tcPr>
            <w:tcW w:w="128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(78)</w:t>
            </w: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Average number of days to</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Measures our efficiency of using operating capital to operate</w:t>
            </w:r>
          </w:p>
        </w:tc>
      </w:tr>
      <w:tr>
        <w:trPr>
          <w:trHeight w:val="209"/>
        </w:trPr>
        <w:tc>
          <w:tcPr>
            <w:tcW w:w="1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Capital Days</w:t>
            </w:r>
          </w:p>
        </w:tc>
        <w:tc>
          <w:tcPr>
            <w:tcW w:w="1240" w:type="dxa"/>
            <w:vAlign w:val="bottom"/>
            <w:shd w:val="clear" w:color="auto" w:fill="E1E1DF"/>
          </w:tcPr>
          <w:p>
            <w:pPr>
              <w:spacing w:after="0"/>
              <w:rPr>
                <w:sz w:val="18"/>
                <w:szCs w:val="18"/>
                <w:color w:val="auto"/>
              </w:rPr>
            </w:pPr>
          </w:p>
        </w:tc>
        <w:tc>
          <w:tcPr>
            <w:tcW w:w="1280" w:type="dxa"/>
            <w:vAlign w:val="bottom"/>
            <w:shd w:val="clear" w:color="auto" w:fill="E1E1DF"/>
          </w:tcPr>
          <w:p>
            <w:pPr>
              <w:spacing w:after="0"/>
              <w:rPr>
                <w:sz w:val="18"/>
                <w:szCs w:val="18"/>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convert working capital into</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the business; our contract arrangements typically result in</w:t>
            </w:r>
          </w:p>
        </w:tc>
      </w:tr>
      <w:tr>
        <w:trPr>
          <w:trHeight w:val="189"/>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revenue</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negative working capital due to advance payments and</w:t>
            </w:r>
          </w:p>
        </w:tc>
      </w:tr>
      <w:tr>
        <w:trPr>
          <w:trHeight w:val="195"/>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spacing w:after="0"/>
              <w:rPr>
                <w:sz w:val="16"/>
                <w:szCs w:val="16"/>
                <w:color w:val="auto"/>
              </w:rPr>
            </w:pP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milestone payments</w:t>
            </w:r>
          </w:p>
        </w:tc>
      </w:tr>
      <w:tr>
        <w:trPr>
          <w:trHeight w:val="73"/>
        </w:trPr>
        <w:tc>
          <w:tcPr>
            <w:tcW w:w="1360" w:type="dxa"/>
            <w:vAlign w:val="bottom"/>
            <w:shd w:val="clear" w:color="auto" w:fill="E1E1DF"/>
          </w:tcPr>
          <w:p>
            <w:pPr>
              <w:spacing w:after="0"/>
              <w:rPr>
                <w:sz w:val="6"/>
                <w:szCs w:val="6"/>
                <w:color w:val="auto"/>
              </w:rPr>
            </w:pPr>
          </w:p>
        </w:tc>
        <w:tc>
          <w:tcPr>
            <w:tcW w:w="1240" w:type="dxa"/>
            <w:vAlign w:val="bottom"/>
            <w:shd w:val="clear" w:color="auto" w:fill="E1E1DF"/>
          </w:tcPr>
          <w:p>
            <w:pPr>
              <w:spacing w:after="0"/>
              <w:rPr>
                <w:sz w:val="6"/>
                <w:szCs w:val="6"/>
                <w:color w:val="auto"/>
              </w:rPr>
            </w:pPr>
          </w:p>
        </w:tc>
        <w:tc>
          <w:tcPr>
            <w:tcW w:w="1280" w:type="dxa"/>
            <w:vAlign w:val="bottom"/>
            <w:shd w:val="clear" w:color="auto" w:fill="E1E1DF"/>
          </w:tcPr>
          <w:p>
            <w:pPr>
              <w:spacing w:after="0"/>
              <w:rPr>
                <w:sz w:val="6"/>
                <w:szCs w:val="6"/>
                <w:color w:val="auto"/>
              </w:rPr>
            </w:pPr>
          </w:p>
        </w:tc>
        <w:tc>
          <w:tcPr>
            <w:tcW w:w="2640" w:type="dxa"/>
            <w:vAlign w:val="bottom"/>
            <w:shd w:val="clear" w:color="auto" w:fill="E1E1DF"/>
          </w:tcPr>
          <w:p>
            <w:pPr>
              <w:spacing w:after="0"/>
              <w:rPr>
                <w:sz w:val="6"/>
                <w:szCs w:val="6"/>
                <w:color w:val="auto"/>
              </w:rPr>
            </w:pPr>
          </w:p>
        </w:tc>
        <w:tc>
          <w:tcPr>
            <w:tcW w:w="4720" w:type="dxa"/>
            <w:vAlign w:val="bottom"/>
            <w:shd w:val="clear" w:color="auto" w:fill="E1E1DF"/>
          </w:tcPr>
          <w:p>
            <w:pPr>
              <w:spacing w:after="0"/>
              <w:rPr>
                <w:sz w:val="6"/>
                <w:szCs w:val="6"/>
                <w:color w:val="auto"/>
              </w:rPr>
            </w:pPr>
          </w:p>
        </w:tc>
      </w:tr>
      <w:tr>
        <w:trPr>
          <w:trHeight w:val="278"/>
        </w:trPr>
        <w:tc>
          <w:tcPr>
            <w:tcW w:w="2600" w:type="dxa"/>
            <w:vAlign w:val="bottom"/>
            <w:gridSpan w:val="2"/>
            <w:shd w:val="clear" w:color="auto" w:fill="4A1F67"/>
          </w:tcPr>
          <w:p>
            <w:pPr>
              <w:ind w:left="100"/>
              <w:spacing w:after="0"/>
              <w:rPr>
                <w:sz w:val="20"/>
                <w:szCs w:val="20"/>
                <w:color w:val="auto"/>
              </w:rPr>
            </w:pPr>
            <w:r>
              <w:rPr>
                <w:rFonts w:ascii="Arial" w:cs="Arial" w:eastAsia="Arial" w:hAnsi="Arial"/>
                <w:sz w:val="16"/>
                <w:szCs w:val="16"/>
                <w:b w:val="1"/>
                <w:bCs w:val="1"/>
                <w:color w:val="FFFFFF"/>
              </w:rPr>
              <w:t>Q2-Q4 2020 (April - December)</w:t>
            </w:r>
          </w:p>
        </w:tc>
        <w:tc>
          <w:tcPr>
            <w:tcW w:w="1280" w:type="dxa"/>
            <w:vAlign w:val="bottom"/>
            <w:shd w:val="clear" w:color="auto" w:fill="4A1F67"/>
          </w:tcPr>
          <w:p>
            <w:pPr>
              <w:spacing w:after="0"/>
              <w:rPr>
                <w:sz w:val="24"/>
                <w:szCs w:val="24"/>
                <w:color w:val="auto"/>
              </w:rPr>
            </w:pPr>
          </w:p>
        </w:tc>
        <w:tc>
          <w:tcPr>
            <w:tcW w:w="2640" w:type="dxa"/>
            <w:vAlign w:val="bottom"/>
            <w:shd w:val="clear" w:color="auto" w:fill="4A1F67"/>
          </w:tcPr>
          <w:p>
            <w:pPr>
              <w:spacing w:after="0"/>
              <w:rPr>
                <w:sz w:val="24"/>
                <w:szCs w:val="24"/>
                <w:color w:val="auto"/>
              </w:rPr>
            </w:pPr>
          </w:p>
        </w:tc>
        <w:tc>
          <w:tcPr>
            <w:tcW w:w="4720" w:type="dxa"/>
            <w:vAlign w:val="bottom"/>
            <w:shd w:val="clear" w:color="auto" w:fill="4A1F67"/>
          </w:tcPr>
          <w:p>
            <w:pPr>
              <w:spacing w:after="0"/>
              <w:rPr>
                <w:sz w:val="24"/>
                <w:szCs w:val="24"/>
                <w:color w:val="auto"/>
              </w:rPr>
            </w:pPr>
          </w:p>
        </w:tc>
      </w:tr>
      <w:tr>
        <w:trPr>
          <w:trHeight w:val="73"/>
        </w:trPr>
        <w:tc>
          <w:tcPr>
            <w:tcW w:w="1360" w:type="dxa"/>
            <w:vAlign w:val="bottom"/>
            <w:shd w:val="clear" w:color="auto" w:fill="4A1F67"/>
          </w:tcPr>
          <w:p>
            <w:pPr>
              <w:spacing w:after="0"/>
              <w:rPr>
                <w:sz w:val="6"/>
                <w:szCs w:val="6"/>
                <w:color w:val="auto"/>
              </w:rPr>
            </w:pPr>
          </w:p>
        </w:tc>
        <w:tc>
          <w:tcPr>
            <w:tcW w:w="1240" w:type="dxa"/>
            <w:vAlign w:val="bottom"/>
            <w:shd w:val="clear" w:color="auto" w:fill="4A1F67"/>
          </w:tcPr>
          <w:p>
            <w:pPr>
              <w:spacing w:after="0"/>
              <w:rPr>
                <w:sz w:val="6"/>
                <w:szCs w:val="6"/>
                <w:color w:val="auto"/>
              </w:rPr>
            </w:pPr>
          </w:p>
        </w:tc>
        <w:tc>
          <w:tcPr>
            <w:tcW w:w="1280" w:type="dxa"/>
            <w:vAlign w:val="bottom"/>
            <w:shd w:val="clear" w:color="auto" w:fill="4A1F67"/>
          </w:tcPr>
          <w:p>
            <w:pPr>
              <w:spacing w:after="0"/>
              <w:rPr>
                <w:sz w:val="6"/>
                <w:szCs w:val="6"/>
                <w:color w:val="auto"/>
              </w:rPr>
            </w:pPr>
          </w:p>
        </w:tc>
        <w:tc>
          <w:tcPr>
            <w:tcW w:w="2640" w:type="dxa"/>
            <w:vAlign w:val="bottom"/>
            <w:shd w:val="clear" w:color="auto" w:fill="4A1F67"/>
          </w:tcPr>
          <w:p>
            <w:pPr>
              <w:spacing w:after="0"/>
              <w:rPr>
                <w:sz w:val="6"/>
                <w:szCs w:val="6"/>
                <w:color w:val="auto"/>
              </w:rPr>
            </w:pPr>
          </w:p>
        </w:tc>
        <w:tc>
          <w:tcPr>
            <w:tcW w:w="4720" w:type="dxa"/>
            <w:vAlign w:val="bottom"/>
            <w:shd w:val="clear" w:color="auto" w:fill="4A1F67"/>
          </w:tcPr>
          <w:p>
            <w:pPr>
              <w:spacing w:after="0"/>
              <w:rPr>
                <w:sz w:val="6"/>
                <w:szCs w:val="6"/>
                <w:color w:val="auto"/>
              </w:rPr>
            </w:pPr>
          </w:p>
        </w:tc>
      </w:tr>
      <w:tr>
        <w:trPr>
          <w:trHeight w:val="252"/>
        </w:trPr>
        <w:tc>
          <w:tcPr>
            <w:tcW w:w="136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BPI</w:t>
            </w:r>
          </w:p>
        </w:tc>
        <w:tc>
          <w:tcPr>
            <w:tcW w:w="124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Weighting</w:t>
            </w:r>
          </w:p>
        </w:tc>
        <w:tc>
          <w:tcPr>
            <w:tcW w:w="128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2020 Goal</w:t>
            </w:r>
          </w:p>
        </w:tc>
        <w:tc>
          <w:tcPr>
            <w:tcW w:w="2640" w:type="dxa"/>
            <w:vAlign w:val="bottom"/>
            <w:shd w:val="clear" w:color="auto" w:fill="00ADE9"/>
          </w:tcPr>
          <w:p>
            <w:pPr>
              <w:ind w:left="180"/>
              <w:spacing w:after="0"/>
              <w:rPr>
                <w:sz w:val="20"/>
                <w:szCs w:val="20"/>
                <w:color w:val="auto"/>
              </w:rPr>
            </w:pPr>
            <w:r>
              <w:rPr>
                <w:rFonts w:ascii="Arial" w:cs="Arial" w:eastAsia="Arial" w:hAnsi="Arial"/>
                <w:sz w:val="16"/>
                <w:szCs w:val="16"/>
                <w:b w:val="1"/>
                <w:bCs w:val="1"/>
                <w:color w:val="FFFFFF"/>
              </w:rPr>
              <w:t>Definition</w:t>
            </w:r>
          </w:p>
        </w:tc>
        <w:tc>
          <w:tcPr>
            <w:tcW w:w="4720" w:type="dxa"/>
            <w:vAlign w:val="bottom"/>
            <w:shd w:val="clear" w:color="auto" w:fill="D21D22"/>
          </w:tcPr>
          <w:p>
            <w:pPr>
              <w:ind w:left="120"/>
              <w:spacing w:after="0"/>
              <w:rPr>
                <w:sz w:val="20"/>
                <w:szCs w:val="20"/>
                <w:color w:val="auto"/>
              </w:rPr>
            </w:pPr>
            <w:r>
              <w:rPr>
                <w:rFonts w:ascii="Arial" w:cs="Arial" w:eastAsia="Arial" w:hAnsi="Arial"/>
                <w:sz w:val="16"/>
                <w:szCs w:val="16"/>
                <w:b w:val="1"/>
                <w:bCs w:val="1"/>
                <w:color w:val="FFFFFF"/>
              </w:rPr>
              <w:t>Why It Matters</w:t>
            </w:r>
          </w:p>
        </w:tc>
      </w:tr>
      <w:tr>
        <w:trPr>
          <w:trHeight w:val="207"/>
        </w:trPr>
        <w:tc>
          <w:tcPr>
            <w:tcW w:w="136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Measure</w:t>
            </w:r>
          </w:p>
        </w:tc>
        <w:tc>
          <w:tcPr>
            <w:tcW w:w="1240" w:type="dxa"/>
            <w:vAlign w:val="bottom"/>
            <w:shd w:val="clear" w:color="auto" w:fill="00ADE9"/>
          </w:tcPr>
          <w:p>
            <w:pPr>
              <w:spacing w:after="0"/>
              <w:rPr>
                <w:sz w:val="18"/>
                <w:szCs w:val="18"/>
                <w:color w:val="auto"/>
              </w:rPr>
            </w:pPr>
          </w:p>
        </w:tc>
        <w:tc>
          <w:tcPr>
            <w:tcW w:w="128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(Annual)</w:t>
            </w:r>
          </w:p>
        </w:tc>
        <w:tc>
          <w:tcPr>
            <w:tcW w:w="2640" w:type="dxa"/>
            <w:vAlign w:val="bottom"/>
            <w:shd w:val="clear" w:color="auto" w:fill="00ADE9"/>
          </w:tcPr>
          <w:p>
            <w:pPr>
              <w:spacing w:after="0"/>
              <w:rPr>
                <w:sz w:val="18"/>
                <w:szCs w:val="18"/>
                <w:color w:val="auto"/>
              </w:rPr>
            </w:pPr>
          </w:p>
        </w:tc>
        <w:tc>
          <w:tcPr>
            <w:tcW w:w="4720" w:type="dxa"/>
            <w:vAlign w:val="bottom"/>
            <w:shd w:val="clear" w:color="auto" w:fill="D21D22"/>
          </w:tcPr>
          <w:p>
            <w:pPr>
              <w:spacing w:after="0"/>
              <w:rPr>
                <w:sz w:val="18"/>
                <w:szCs w:val="18"/>
                <w:color w:val="auto"/>
              </w:rPr>
            </w:pPr>
          </w:p>
        </w:tc>
      </w:tr>
      <w:tr>
        <w:trPr>
          <w:trHeight w:val="81"/>
        </w:trPr>
        <w:tc>
          <w:tcPr>
            <w:tcW w:w="1360" w:type="dxa"/>
            <w:vAlign w:val="bottom"/>
            <w:shd w:val="clear" w:color="auto" w:fill="4A1F67"/>
          </w:tcPr>
          <w:p>
            <w:pPr>
              <w:spacing w:after="0"/>
              <w:rPr>
                <w:sz w:val="7"/>
                <w:szCs w:val="7"/>
                <w:color w:val="auto"/>
              </w:rPr>
            </w:pPr>
          </w:p>
        </w:tc>
        <w:tc>
          <w:tcPr>
            <w:tcW w:w="1240" w:type="dxa"/>
            <w:vAlign w:val="bottom"/>
            <w:shd w:val="clear" w:color="auto" w:fill="00ADE9"/>
          </w:tcPr>
          <w:p>
            <w:pPr>
              <w:spacing w:after="0"/>
              <w:rPr>
                <w:sz w:val="7"/>
                <w:szCs w:val="7"/>
                <w:color w:val="auto"/>
              </w:rPr>
            </w:pPr>
          </w:p>
        </w:tc>
        <w:tc>
          <w:tcPr>
            <w:tcW w:w="1280" w:type="dxa"/>
            <w:vAlign w:val="bottom"/>
            <w:shd w:val="clear" w:color="auto" w:fill="00ADE9"/>
          </w:tcPr>
          <w:p>
            <w:pPr>
              <w:spacing w:after="0"/>
              <w:rPr>
                <w:sz w:val="7"/>
                <w:szCs w:val="7"/>
                <w:color w:val="auto"/>
              </w:rPr>
            </w:pPr>
          </w:p>
        </w:tc>
        <w:tc>
          <w:tcPr>
            <w:tcW w:w="2640" w:type="dxa"/>
            <w:vAlign w:val="bottom"/>
            <w:shd w:val="clear" w:color="auto" w:fill="00ADE9"/>
          </w:tcPr>
          <w:p>
            <w:pPr>
              <w:spacing w:after="0"/>
              <w:rPr>
                <w:sz w:val="7"/>
                <w:szCs w:val="7"/>
                <w:color w:val="auto"/>
              </w:rPr>
            </w:pPr>
          </w:p>
        </w:tc>
        <w:tc>
          <w:tcPr>
            <w:tcW w:w="4720" w:type="dxa"/>
            <w:vAlign w:val="bottom"/>
            <w:shd w:val="clear" w:color="auto" w:fill="D21D22"/>
          </w:tcPr>
          <w:p>
            <w:pPr>
              <w:spacing w:after="0"/>
              <w:rPr>
                <w:sz w:val="7"/>
                <w:szCs w:val="7"/>
                <w:color w:val="auto"/>
              </w:rPr>
            </w:pPr>
          </w:p>
        </w:tc>
      </w:tr>
      <w:tr>
        <w:trPr>
          <w:trHeight w:val="265"/>
        </w:trPr>
        <w:tc>
          <w:tcPr>
            <w:tcW w:w="1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Incremental</w:t>
            </w:r>
          </w:p>
        </w:tc>
        <w:tc>
          <w:tcPr>
            <w:tcW w:w="1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37.5%</w:t>
            </w:r>
          </w:p>
        </w:tc>
        <w:tc>
          <w:tcPr>
            <w:tcW w:w="128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$350 million</w:t>
            </w: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Cost savings targets established</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Measures our performance against our disclosed Cost</w:t>
            </w:r>
          </w:p>
        </w:tc>
      </w:tr>
      <w:tr>
        <w:trPr>
          <w:trHeight w:val="209"/>
        </w:trPr>
        <w:tc>
          <w:tcPr>
            <w:tcW w:w="1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Cost Savings</w:t>
            </w:r>
          </w:p>
        </w:tc>
        <w:tc>
          <w:tcPr>
            <w:tcW w:w="1240" w:type="dxa"/>
            <w:vAlign w:val="bottom"/>
            <w:shd w:val="clear" w:color="auto" w:fill="E1E1DF"/>
          </w:tcPr>
          <w:p>
            <w:pPr>
              <w:spacing w:after="0"/>
              <w:rPr>
                <w:sz w:val="18"/>
                <w:szCs w:val="18"/>
                <w:color w:val="auto"/>
              </w:rPr>
            </w:pPr>
          </w:p>
        </w:tc>
        <w:tc>
          <w:tcPr>
            <w:tcW w:w="1280" w:type="dxa"/>
            <w:vAlign w:val="bottom"/>
            <w:shd w:val="clear" w:color="auto" w:fill="E1E1DF"/>
          </w:tcPr>
          <w:p>
            <w:pPr>
              <w:spacing w:after="0"/>
              <w:rPr>
                <w:sz w:val="18"/>
                <w:szCs w:val="18"/>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in response to COVID-19 and</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Reduction Program, with targeted savings of more than $350</w:t>
            </w:r>
          </w:p>
        </w:tc>
      </w:tr>
      <w:tr>
        <w:trPr>
          <w:trHeight w:val="189"/>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commodity price impacts on</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million</w:t>
            </w:r>
          </w:p>
        </w:tc>
      </w:tr>
      <w:tr>
        <w:trPr>
          <w:trHeight w:val="195"/>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operations</w:t>
            </w:r>
          </w:p>
        </w:tc>
        <w:tc>
          <w:tcPr>
            <w:tcW w:w="4720" w:type="dxa"/>
            <w:vAlign w:val="bottom"/>
            <w:shd w:val="clear" w:color="auto" w:fill="E1E1DF"/>
          </w:tcPr>
          <w:p>
            <w:pPr>
              <w:spacing w:after="0"/>
              <w:rPr>
                <w:sz w:val="16"/>
                <w:szCs w:val="16"/>
                <w:color w:val="auto"/>
              </w:rPr>
            </w:pPr>
          </w:p>
        </w:tc>
      </w:tr>
      <w:tr>
        <w:trPr>
          <w:trHeight w:val="339"/>
        </w:trPr>
        <w:tc>
          <w:tcPr>
            <w:tcW w:w="1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Free Cash</w:t>
            </w:r>
          </w:p>
        </w:tc>
        <w:tc>
          <w:tcPr>
            <w:tcW w:w="1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37.5%</w:t>
            </w:r>
          </w:p>
        </w:tc>
        <w:tc>
          <w:tcPr>
            <w:tcW w:w="128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52.5%</w:t>
            </w: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Ratio of free cash flow divided by</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Measures the quality of our earnings and is important for</w:t>
            </w:r>
          </w:p>
        </w:tc>
      </w:tr>
      <w:tr>
        <w:trPr>
          <w:trHeight w:val="189"/>
        </w:trPr>
        <w:tc>
          <w:tcPr>
            <w:tcW w:w="1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Flow</w:t>
            </w: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adjusted net income. Free cash</w:t>
            </w:r>
          </w:p>
        </w:tc>
        <w:tc>
          <w:tcPr>
            <w:tcW w:w="47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liquidity</w:t>
            </w:r>
          </w:p>
        </w:tc>
      </w:tr>
      <w:tr>
        <w:trPr>
          <w:trHeight w:val="209"/>
        </w:trPr>
        <w:tc>
          <w:tcPr>
            <w:tcW w:w="136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Conversion</w:t>
            </w:r>
          </w:p>
        </w:tc>
        <w:tc>
          <w:tcPr>
            <w:tcW w:w="1240" w:type="dxa"/>
            <w:vAlign w:val="bottom"/>
            <w:shd w:val="clear" w:color="auto" w:fill="E1E1DF"/>
          </w:tcPr>
          <w:p>
            <w:pPr>
              <w:spacing w:after="0"/>
              <w:rPr>
                <w:sz w:val="18"/>
                <w:szCs w:val="18"/>
                <w:color w:val="auto"/>
              </w:rPr>
            </w:pPr>
          </w:p>
        </w:tc>
        <w:tc>
          <w:tcPr>
            <w:tcW w:w="1280" w:type="dxa"/>
            <w:vAlign w:val="bottom"/>
            <w:shd w:val="clear" w:color="auto" w:fill="E1E1DF"/>
          </w:tcPr>
          <w:p>
            <w:pPr>
              <w:spacing w:after="0"/>
              <w:rPr>
                <w:sz w:val="18"/>
                <w:szCs w:val="18"/>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flow is defined as cash provided</w:t>
            </w:r>
          </w:p>
        </w:tc>
        <w:tc>
          <w:tcPr>
            <w:tcW w:w="4720" w:type="dxa"/>
            <w:vAlign w:val="bottom"/>
            <w:shd w:val="clear" w:color="auto" w:fill="E1E1DF"/>
          </w:tcPr>
          <w:p>
            <w:pPr>
              <w:spacing w:after="0"/>
              <w:rPr>
                <w:sz w:val="18"/>
                <w:szCs w:val="18"/>
                <w:color w:val="auto"/>
              </w:rPr>
            </w:pPr>
          </w:p>
        </w:tc>
      </w:tr>
      <w:tr>
        <w:trPr>
          <w:trHeight w:val="189"/>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by operating activities less</w:t>
            </w:r>
          </w:p>
        </w:tc>
        <w:tc>
          <w:tcPr>
            <w:tcW w:w="4720" w:type="dxa"/>
            <w:vAlign w:val="bottom"/>
            <w:shd w:val="clear" w:color="auto" w:fill="E1E1DF"/>
          </w:tcPr>
          <w:p>
            <w:pPr>
              <w:spacing w:after="0"/>
              <w:rPr>
                <w:sz w:val="16"/>
                <w:szCs w:val="16"/>
                <w:color w:val="auto"/>
              </w:rPr>
            </w:pPr>
          </w:p>
        </w:tc>
      </w:tr>
      <w:tr>
        <w:trPr>
          <w:trHeight w:val="189"/>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capital expenditures. Adjusted</w:t>
            </w:r>
          </w:p>
        </w:tc>
        <w:tc>
          <w:tcPr>
            <w:tcW w:w="4720" w:type="dxa"/>
            <w:vAlign w:val="bottom"/>
            <w:shd w:val="clear" w:color="auto" w:fill="E1E1DF"/>
          </w:tcPr>
          <w:p>
            <w:pPr>
              <w:spacing w:after="0"/>
              <w:rPr>
                <w:sz w:val="16"/>
                <w:szCs w:val="16"/>
                <w:color w:val="auto"/>
              </w:rPr>
            </w:pPr>
          </w:p>
        </w:tc>
      </w:tr>
      <w:tr>
        <w:trPr>
          <w:trHeight w:val="189"/>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net income is defined as net</w:t>
            </w:r>
          </w:p>
        </w:tc>
        <w:tc>
          <w:tcPr>
            <w:tcW w:w="4720" w:type="dxa"/>
            <w:vAlign w:val="bottom"/>
            <w:shd w:val="clear" w:color="auto" w:fill="E1E1DF"/>
          </w:tcPr>
          <w:p>
            <w:pPr>
              <w:spacing w:after="0"/>
              <w:rPr>
                <w:sz w:val="16"/>
                <w:szCs w:val="16"/>
                <w:color w:val="auto"/>
              </w:rPr>
            </w:pPr>
          </w:p>
        </w:tc>
      </w:tr>
      <w:tr>
        <w:trPr>
          <w:trHeight w:val="189"/>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income, excluding charges and</w:t>
            </w:r>
          </w:p>
        </w:tc>
        <w:tc>
          <w:tcPr>
            <w:tcW w:w="4720" w:type="dxa"/>
            <w:vAlign w:val="bottom"/>
            <w:shd w:val="clear" w:color="auto" w:fill="E1E1DF"/>
          </w:tcPr>
          <w:p>
            <w:pPr>
              <w:spacing w:after="0"/>
              <w:rPr>
                <w:sz w:val="16"/>
                <w:szCs w:val="16"/>
                <w:color w:val="auto"/>
              </w:rPr>
            </w:pPr>
          </w:p>
        </w:tc>
      </w:tr>
      <w:tr>
        <w:trPr>
          <w:trHeight w:val="195"/>
        </w:trPr>
        <w:tc>
          <w:tcPr>
            <w:tcW w:w="1360" w:type="dxa"/>
            <w:vAlign w:val="bottom"/>
            <w:shd w:val="clear" w:color="auto" w:fill="E1E1DF"/>
          </w:tcPr>
          <w:p>
            <w:pPr>
              <w:spacing w:after="0"/>
              <w:rPr>
                <w:sz w:val="16"/>
                <w:szCs w:val="16"/>
                <w:color w:val="auto"/>
              </w:rPr>
            </w:pPr>
          </w:p>
        </w:tc>
        <w:tc>
          <w:tcPr>
            <w:tcW w:w="1240" w:type="dxa"/>
            <w:vAlign w:val="bottom"/>
            <w:shd w:val="clear" w:color="auto" w:fill="E1E1DF"/>
          </w:tcPr>
          <w:p>
            <w:pPr>
              <w:spacing w:after="0"/>
              <w:rPr>
                <w:sz w:val="16"/>
                <w:szCs w:val="16"/>
                <w:color w:val="auto"/>
              </w:rPr>
            </w:pPr>
          </w:p>
        </w:tc>
        <w:tc>
          <w:tcPr>
            <w:tcW w:w="1280" w:type="dxa"/>
            <w:vAlign w:val="bottom"/>
            <w:shd w:val="clear" w:color="auto" w:fill="E1E1DF"/>
          </w:tcPr>
          <w:p>
            <w:pPr>
              <w:spacing w:after="0"/>
              <w:rPr>
                <w:sz w:val="16"/>
                <w:szCs w:val="16"/>
                <w:color w:val="auto"/>
              </w:rPr>
            </w:pPr>
          </w:p>
        </w:tc>
        <w:tc>
          <w:tcPr>
            <w:tcW w:w="2640" w:type="dxa"/>
            <w:vAlign w:val="bottom"/>
            <w:shd w:val="clear" w:color="auto" w:fill="E1E1DF"/>
          </w:tcPr>
          <w:p>
            <w:pPr>
              <w:ind w:left="180"/>
              <w:spacing w:after="0"/>
              <w:rPr>
                <w:sz w:val="20"/>
                <w:szCs w:val="20"/>
                <w:color w:val="auto"/>
              </w:rPr>
            </w:pPr>
            <w:r>
              <w:rPr>
                <w:rFonts w:ascii="Arial" w:cs="Arial" w:eastAsia="Arial" w:hAnsi="Arial"/>
                <w:sz w:val="16"/>
                <w:szCs w:val="16"/>
                <w:color w:val="3B3C43"/>
              </w:rPr>
              <w:t>credits.</w:t>
            </w:r>
          </w:p>
        </w:tc>
        <w:tc>
          <w:tcPr>
            <w:tcW w:w="4720" w:type="dxa"/>
            <w:vAlign w:val="bottom"/>
            <w:shd w:val="clear" w:color="auto" w:fill="E1E1DF"/>
          </w:tcPr>
          <w:p>
            <w:pPr>
              <w:spacing w:after="0"/>
              <w:rPr>
                <w:sz w:val="16"/>
                <w:szCs w:val="16"/>
                <w:color w:val="auto"/>
              </w:rPr>
            </w:pPr>
          </w:p>
        </w:tc>
      </w:tr>
      <w:tr>
        <w:trPr>
          <w:trHeight w:val="73"/>
        </w:trPr>
        <w:tc>
          <w:tcPr>
            <w:tcW w:w="1360" w:type="dxa"/>
            <w:vAlign w:val="bottom"/>
            <w:shd w:val="clear" w:color="auto" w:fill="E1E1DF"/>
          </w:tcPr>
          <w:p>
            <w:pPr>
              <w:spacing w:after="0"/>
              <w:rPr>
                <w:sz w:val="6"/>
                <w:szCs w:val="6"/>
                <w:color w:val="auto"/>
              </w:rPr>
            </w:pPr>
          </w:p>
        </w:tc>
        <w:tc>
          <w:tcPr>
            <w:tcW w:w="1240" w:type="dxa"/>
            <w:vAlign w:val="bottom"/>
            <w:shd w:val="clear" w:color="auto" w:fill="E1E1DF"/>
          </w:tcPr>
          <w:p>
            <w:pPr>
              <w:spacing w:after="0"/>
              <w:rPr>
                <w:sz w:val="6"/>
                <w:szCs w:val="6"/>
                <w:color w:val="auto"/>
              </w:rPr>
            </w:pPr>
          </w:p>
        </w:tc>
        <w:tc>
          <w:tcPr>
            <w:tcW w:w="1280" w:type="dxa"/>
            <w:vAlign w:val="bottom"/>
            <w:shd w:val="clear" w:color="auto" w:fill="E1E1DF"/>
          </w:tcPr>
          <w:p>
            <w:pPr>
              <w:spacing w:after="0"/>
              <w:rPr>
                <w:sz w:val="6"/>
                <w:szCs w:val="6"/>
                <w:color w:val="auto"/>
              </w:rPr>
            </w:pPr>
          </w:p>
        </w:tc>
        <w:tc>
          <w:tcPr>
            <w:tcW w:w="2640" w:type="dxa"/>
            <w:vAlign w:val="bottom"/>
            <w:shd w:val="clear" w:color="auto" w:fill="E1E1DF"/>
          </w:tcPr>
          <w:p>
            <w:pPr>
              <w:spacing w:after="0"/>
              <w:rPr>
                <w:sz w:val="6"/>
                <w:szCs w:val="6"/>
                <w:color w:val="auto"/>
              </w:rPr>
            </w:pPr>
          </w:p>
        </w:tc>
        <w:tc>
          <w:tcPr>
            <w:tcW w:w="4720" w:type="dxa"/>
            <w:vAlign w:val="bottom"/>
            <w:shd w:val="clear" w:color="auto" w:fill="E1E1DF"/>
          </w:tcPr>
          <w:p>
            <w:pPr>
              <w:spacing w:after="0"/>
              <w:rPr>
                <w:sz w:val="6"/>
                <w:szCs w:val="6"/>
                <w:color w:val="auto"/>
              </w:rPr>
            </w:pPr>
          </w:p>
        </w:tc>
      </w:tr>
      <w:tr>
        <w:trPr>
          <w:trHeight w:val="366"/>
        </w:trPr>
        <w:tc>
          <w:tcPr>
            <w:tcW w:w="1360" w:type="dxa"/>
            <w:vAlign w:val="bottom"/>
          </w:tcPr>
          <w:p>
            <w:pPr>
              <w:spacing w:after="0"/>
              <w:rPr>
                <w:sz w:val="20"/>
                <w:szCs w:val="20"/>
                <w:color w:val="auto"/>
              </w:rPr>
            </w:pPr>
            <w:r>
              <w:rPr>
                <w:rFonts w:ascii="Arial" w:cs="Arial" w:eastAsia="Arial" w:hAnsi="Arial"/>
                <w:sz w:val="14"/>
                <w:szCs w:val="14"/>
                <w:color w:val="auto"/>
              </w:rPr>
              <w:t>87  TechnipFMC</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606"/>
        </w:trPr>
        <w:tc>
          <w:tcPr>
            <w:tcW w:w="1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-2630805</wp:posOffset>
            </wp:positionV>
            <wp:extent cx="7132320" cy="20059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3B3C43"/>
        </w:rPr>
        <w:t>The 2020 performance goals and the 2020 results achieved are outlined below. Although the payouts apply to the quarter(s), goals and results are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121920</wp:posOffset>
            </wp:positionV>
            <wp:extent cx="8255" cy="5657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56578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121920</wp:posOffset>
            </wp:positionV>
            <wp:extent cx="8890" cy="5657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56578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940" w:type="dxa"/>
            <w:vAlign w:val="bottom"/>
            <w:shd w:val="clear" w:color="auto" w:fill="4A1F67"/>
          </w:tcPr>
          <w:p>
            <w:pPr>
              <w:spacing w:after="0"/>
              <w:rPr>
                <w:sz w:val="24"/>
                <w:szCs w:val="24"/>
                <w:color w:val="auto"/>
              </w:rPr>
            </w:pPr>
          </w:p>
        </w:tc>
        <w:tc>
          <w:tcPr>
            <w:tcW w:w="480" w:type="dxa"/>
            <w:vAlign w:val="bottom"/>
            <w:shd w:val="clear" w:color="auto" w:fill="00ADE9"/>
          </w:tcPr>
          <w:p>
            <w:pPr>
              <w:spacing w:after="0"/>
              <w:rPr>
                <w:sz w:val="24"/>
                <w:szCs w:val="24"/>
                <w:color w:val="auto"/>
              </w:rPr>
            </w:pPr>
          </w:p>
        </w:tc>
        <w:tc>
          <w:tcPr>
            <w:tcW w:w="1320" w:type="dxa"/>
            <w:vAlign w:val="bottom"/>
            <w:shd w:val="clear" w:color="auto" w:fill="00ADE9"/>
          </w:tcPr>
          <w:p>
            <w:pPr>
              <w:spacing w:after="0"/>
              <w:rPr>
                <w:sz w:val="24"/>
                <w:szCs w:val="24"/>
                <w:color w:val="auto"/>
              </w:rPr>
            </w:pPr>
          </w:p>
        </w:tc>
        <w:tc>
          <w:tcPr>
            <w:tcW w:w="120" w:type="dxa"/>
            <w:vAlign w:val="bottom"/>
            <w:shd w:val="clear" w:color="auto" w:fill="00ADE9"/>
          </w:tcPr>
          <w:p>
            <w:pPr>
              <w:spacing w:after="0"/>
              <w:rPr>
                <w:sz w:val="24"/>
                <w:szCs w:val="24"/>
                <w:color w:val="auto"/>
              </w:rPr>
            </w:pPr>
          </w:p>
        </w:tc>
        <w:tc>
          <w:tcPr>
            <w:tcW w:w="1660" w:type="dxa"/>
            <w:vAlign w:val="bottom"/>
            <w:shd w:val="clear" w:color="auto" w:fill="00ADE9"/>
          </w:tcPr>
          <w:p>
            <w:pPr>
              <w:jc w:val="right"/>
              <w:ind w:right="379"/>
              <w:spacing w:after="0"/>
              <w:rPr>
                <w:sz w:val="20"/>
                <w:szCs w:val="20"/>
                <w:color w:val="auto"/>
              </w:rPr>
            </w:pPr>
            <w:r>
              <w:rPr>
                <w:rFonts w:ascii="Arial" w:cs="Arial" w:eastAsia="Arial" w:hAnsi="Arial"/>
                <w:sz w:val="16"/>
                <w:szCs w:val="16"/>
                <w:b w:val="1"/>
                <w:bCs w:val="1"/>
                <w:color w:val="FFFFFF"/>
              </w:rPr>
              <w:t>2020 Goals</w:t>
            </w:r>
          </w:p>
        </w:tc>
        <w:tc>
          <w:tcPr>
            <w:tcW w:w="1800" w:type="dxa"/>
            <w:vAlign w:val="bottom"/>
            <w:shd w:val="clear" w:color="auto" w:fill="00ADE9"/>
          </w:tcPr>
          <w:p>
            <w:pPr>
              <w:spacing w:after="0"/>
              <w:rPr>
                <w:sz w:val="24"/>
                <w:szCs w:val="24"/>
                <w:color w:val="auto"/>
              </w:rPr>
            </w:pPr>
          </w:p>
        </w:tc>
        <w:tc>
          <w:tcPr>
            <w:tcW w:w="100" w:type="dxa"/>
            <w:vAlign w:val="bottom"/>
            <w:shd w:val="clear" w:color="auto" w:fill="D21D22"/>
          </w:tcPr>
          <w:p>
            <w:pPr>
              <w:spacing w:after="0"/>
              <w:rPr>
                <w:sz w:val="24"/>
                <w:szCs w:val="24"/>
                <w:color w:val="auto"/>
              </w:rPr>
            </w:pPr>
          </w:p>
        </w:tc>
        <w:tc>
          <w:tcPr>
            <w:tcW w:w="2800" w:type="dxa"/>
            <w:vAlign w:val="bottom"/>
            <w:gridSpan w:val="3"/>
            <w:shd w:val="clear" w:color="auto" w:fill="D21D22"/>
          </w:tcPr>
          <w:p>
            <w:pPr>
              <w:jc w:val="right"/>
              <w:ind w:right="659"/>
              <w:spacing w:after="0"/>
              <w:rPr>
                <w:sz w:val="20"/>
                <w:szCs w:val="20"/>
                <w:color w:val="auto"/>
              </w:rPr>
            </w:pPr>
            <w:r>
              <w:rPr>
                <w:rFonts w:ascii="Arial" w:cs="Arial" w:eastAsia="Arial" w:hAnsi="Arial"/>
                <w:sz w:val="16"/>
                <w:szCs w:val="16"/>
                <w:b w:val="1"/>
                <w:bCs w:val="1"/>
                <w:color w:val="FFFFFF"/>
              </w:rPr>
              <w:t>2020 Performance</w:t>
            </w:r>
          </w:p>
        </w:tc>
        <w:tc>
          <w:tcPr>
            <w:tcW w:w="0" w:type="dxa"/>
            <w:vAlign w:val="bottom"/>
          </w:tcPr>
          <w:p>
            <w:pPr>
              <w:spacing w:after="0"/>
              <w:rPr>
                <w:sz w:val="1"/>
                <w:szCs w:val="1"/>
                <w:color w:val="auto"/>
              </w:rPr>
            </w:pPr>
          </w:p>
        </w:tc>
      </w:tr>
      <w:tr>
        <w:trPr>
          <w:trHeight w:val="73"/>
        </w:trPr>
        <w:tc>
          <w:tcPr>
            <w:tcW w:w="2940" w:type="dxa"/>
            <w:vAlign w:val="bottom"/>
            <w:shd w:val="clear" w:color="auto" w:fill="4A1F67"/>
          </w:tcPr>
          <w:p>
            <w:pPr>
              <w:spacing w:after="0"/>
              <w:rPr>
                <w:sz w:val="6"/>
                <w:szCs w:val="6"/>
                <w:color w:val="auto"/>
              </w:rPr>
            </w:pPr>
          </w:p>
        </w:tc>
        <w:tc>
          <w:tcPr>
            <w:tcW w:w="480" w:type="dxa"/>
            <w:vAlign w:val="bottom"/>
            <w:shd w:val="clear" w:color="auto" w:fill="00ADE9"/>
          </w:tcPr>
          <w:p>
            <w:pPr>
              <w:spacing w:after="0"/>
              <w:rPr>
                <w:sz w:val="6"/>
                <w:szCs w:val="6"/>
                <w:color w:val="auto"/>
              </w:rPr>
            </w:pPr>
          </w:p>
        </w:tc>
        <w:tc>
          <w:tcPr>
            <w:tcW w:w="1440" w:type="dxa"/>
            <w:vAlign w:val="bottom"/>
            <w:gridSpan w:val="2"/>
            <w:shd w:val="clear" w:color="auto" w:fill="00ADE9"/>
          </w:tcPr>
          <w:p>
            <w:pPr>
              <w:spacing w:after="0"/>
              <w:rPr>
                <w:sz w:val="6"/>
                <w:szCs w:val="6"/>
                <w:color w:val="auto"/>
              </w:rPr>
            </w:pPr>
          </w:p>
        </w:tc>
        <w:tc>
          <w:tcPr>
            <w:tcW w:w="1660" w:type="dxa"/>
            <w:vAlign w:val="bottom"/>
            <w:shd w:val="clear" w:color="auto" w:fill="00ADE9"/>
          </w:tcPr>
          <w:p>
            <w:pPr>
              <w:spacing w:after="0"/>
              <w:rPr>
                <w:sz w:val="6"/>
                <w:szCs w:val="6"/>
                <w:color w:val="auto"/>
              </w:rPr>
            </w:pPr>
          </w:p>
        </w:tc>
        <w:tc>
          <w:tcPr>
            <w:tcW w:w="1800" w:type="dxa"/>
            <w:vAlign w:val="bottom"/>
            <w:shd w:val="clear" w:color="auto" w:fill="00ADE9"/>
          </w:tcPr>
          <w:p>
            <w:pPr>
              <w:spacing w:after="0"/>
              <w:rPr>
                <w:sz w:val="6"/>
                <w:szCs w:val="6"/>
                <w:color w:val="auto"/>
              </w:rPr>
            </w:pPr>
          </w:p>
        </w:tc>
        <w:tc>
          <w:tcPr>
            <w:tcW w:w="100" w:type="dxa"/>
            <w:vAlign w:val="bottom"/>
            <w:shd w:val="clear" w:color="auto" w:fill="D21D22"/>
          </w:tcPr>
          <w:p>
            <w:pPr>
              <w:spacing w:after="0"/>
              <w:rPr>
                <w:sz w:val="6"/>
                <w:szCs w:val="6"/>
                <w:color w:val="auto"/>
              </w:rPr>
            </w:pPr>
          </w:p>
        </w:tc>
        <w:tc>
          <w:tcPr>
            <w:tcW w:w="1260" w:type="dxa"/>
            <w:vAlign w:val="bottom"/>
            <w:shd w:val="clear" w:color="auto" w:fill="D21D22"/>
          </w:tcPr>
          <w:p>
            <w:pPr>
              <w:spacing w:after="0"/>
              <w:rPr>
                <w:sz w:val="6"/>
                <w:szCs w:val="6"/>
                <w:color w:val="auto"/>
              </w:rPr>
            </w:pPr>
          </w:p>
        </w:tc>
        <w:tc>
          <w:tcPr>
            <w:tcW w:w="320" w:type="dxa"/>
            <w:vAlign w:val="bottom"/>
            <w:shd w:val="clear" w:color="auto" w:fill="D21D22"/>
          </w:tcPr>
          <w:p>
            <w:pPr>
              <w:spacing w:after="0"/>
              <w:rPr>
                <w:sz w:val="6"/>
                <w:szCs w:val="6"/>
                <w:color w:val="auto"/>
              </w:rPr>
            </w:pPr>
          </w:p>
        </w:tc>
        <w:tc>
          <w:tcPr>
            <w:tcW w:w="1220" w:type="dxa"/>
            <w:vAlign w:val="bottom"/>
            <w:vMerge w:val="restart"/>
            <w:shd w:val="clear" w:color="auto" w:fill="D21D22"/>
          </w:tcPr>
          <w:p>
            <w:pPr>
              <w:jc w:val="right"/>
              <w:spacing w:after="0"/>
              <w:rPr>
                <w:sz w:val="20"/>
                <w:szCs w:val="20"/>
                <w:color w:val="auto"/>
              </w:rPr>
            </w:pPr>
            <w:r>
              <w:rPr>
                <w:rFonts w:ascii="Arial" w:cs="Arial" w:eastAsia="Arial" w:hAnsi="Arial"/>
                <w:sz w:val="16"/>
                <w:szCs w:val="16"/>
                <w:b w:val="1"/>
                <w:bCs w:val="1"/>
                <w:color w:val="FFFFFF"/>
              </w:rPr>
              <w:t>Payout %</w:t>
            </w:r>
            <w:r>
              <w:rPr>
                <w:rFonts w:ascii="Arial" w:cs="Arial" w:eastAsia="Arial" w:hAnsi="Arial"/>
                <w:sz w:val="26"/>
                <w:szCs w:val="26"/>
                <w:b w:val="1"/>
                <w:bCs w:val="1"/>
                <w:color w:val="FFFFFF"/>
                <w:vertAlign w:val="superscript"/>
              </w:rPr>
              <w:t>1</w:t>
            </w:r>
          </w:p>
        </w:tc>
        <w:tc>
          <w:tcPr>
            <w:tcW w:w="0" w:type="dxa"/>
            <w:vAlign w:val="bottom"/>
          </w:tcPr>
          <w:p>
            <w:pPr>
              <w:spacing w:after="0"/>
              <w:rPr>
                <w:sz w:val="1"/>
                <w:szCs w:val="1"/>
                <w:color w:val="auto"/>
              </w:rPr>
            </w:pPr>
          </w:p>
        </w:tc>
      </w:tr>
      <w:tr>
        <w:trPr>
          <w:trHeight w:val="252"/>
        </w:trPr>
        <w:tc>
          <w:tcPr>
            <w:tcW w:w="2940" w:type="dxa"/>
            <w:vAlign w:val="bottom"/>
            <w:shd w:val="clear" w:color="auto" w:fill="4A1F67"/>
          </w:tcPr>
          <w:p>
            <w:pPr>
              <w:spacing w:after="0"/>
              <w:rPr>
                <w:sz w:val="21"/>
                <w:szCs w:val="21"/>
                <w:color w:val="auto"/>
              </w:rPr>
            </w:pPr>
          </w:p>
        </w:tc>
        <w:tc>
          <w:tcPr>
            <w:tcW w:w="480" w:type="dxa"/>
            <w:vAlign w:val="bottom"/>
            <w:shd w:val="clear" w:color="auto" w:fill="00ACE8"/>
          </w:tcPr>
          <w:p>
            <w:pPr>
              <w:spacing w:after="0"/>
              <w:rPr>
                <w:sz w:val="21"/>
                <w:szCs w:val="21"/>
                <w:color w:val="auto"/>
              </w:rPr>
            </w:pPr>
          </w:p>
        </w:tc>
        <w:tc>
          <w:tcPr>
            <w:tcW w:w="1320" w:type="dxa"/>
            <w:vAlign w:val="bottom"/>
            <w:shd w:val="clear" w:color="auto" w:fill="00ACE8"/>
          </w:tcPr>
          <w:p>
            <w:pPr>
              <w:jc w:val="right"/>
              <w:ind w:right="19"/>
              <w:spacing w:after="0"/>
              <w:rPr>
                <w:sz w:val="20"/>
                <w:szCs w:val="20"/>
                <w:color w:val="auto"/>
              </w:rPr>
            </w:pPr>
            <w:r>
              <w:rPr>
                <w:rFonts w:ascii="Arial" w:cs="Arial" w:eastAsia="Arial" w:hAnsi="Arial"/>
                <w:sz w:val="16"/>
                <w:szCs w:val="16"/>
                <w:b w:val="1"/>
                <w:bCs w:val="1"/>
                <w:color w:val="FFFFFF"/>
              </w:rPr>
              <w:t>Threshold</w:t>
            </w:r>
          </w:p>
        </w:tc>
        <w:tc>
          <w:tcPr>
            <w:tcW w:w="120" w:type="dxa"/>
            <w:vAlign w:val="bottom"/>
            <w:shd w:val="clear" w:color="auto" w:fill="00ADE9"/>
          </w:tcPr>
          <w:p>
            <w:pPr>
              <w:spacing w:after="0"/>
              <w:rPr>
                <w:sz w:val="21"/>
                <w:szCs w:val="21"/>
                <w:color w:val="auto"/>
              </w:rPr>
            </w:pPr>
          </w:p>
        </w:tc>
        <w:tc>
          <w:tcPr>
            <w:tcW w:w="1660" w:type="dxa"/>
            <w:vAlign w:val="bottom"/>
            <w:vMerge w:val="restart"/>
            <w:shd w:val="clear" w:color="auto" w:fill="00ADE9"/>
          </w:tcPr>
          <w:p>
            <w:pPr>
              <w:jc w:val="right"/>
              <w:spacing w:after="0"/>
              <w:rPr>
                <w:sz w:val="20"/>
                <w:szCs w:val="20"/>
                <w:color w:val="auto"/>
              </w:rPr>
            </w:pPr>
            <w:r>
              <w:rPr>
                <w:rFonts w:ascii="Arial" w:cs="Arial" w:eastAsia="Arial" w:hAnsi="Arial"/>
                <w:sz w:val="16"/>
                <w:szCs w:val="16"/>
                <w:b w:val="1"/>
                <w:bCs w:val="1"/>
                <w:color w:val="FFFFFF"/>
              </w:rPr>
              <w:t>Target Performance</w:t>
            </w:r>
          </w:p>
        </w:tc>
        <w:tc>
          <w:tcPr>
            <w:tcW w:w="1800" w:type="dxa"/>
            <w:vAlign w:val="bottom"/>
            <w:shd w:val="clear" w:color="auto" w:fill="00ADE9"/>
          </w:tcPr>
          <w:p>
            <w:pPr>
              <w:jc w:val="right"/>
              <w:ind w:right="19"/>
              <w:spacing w:after="0"/>
              <w:rPr>
                <w:sz w:val="20"/>
                <w:szCs w:val="20"/>
                <w:color w:val="auto"/>
              </w:rPr>
            </w:pPr>
            <w:r>
              <w:rPr>
                <w:rFonts w:ascii="Arial" w:cs="Arial" w:eastAsia="Arial" w:hAnsi="Arial"/>
                <w:sz w:val="16"/>
                <w:szCs w:val="16"/>
                <w:b w:val="1"/>
                <w:bCs w:val="1"/>
                <w:color w:val="FFFFFF"/>
              </w:rPr>
              <w:t>Maximum</w:t>
            </w:r>
          </w:p>
        </w:tc>
        <w:tc>
          <w:tcPr>
            <w:tcW w:w="100" w:type="dxa"/>
            <w:vAlign w:val="bottom"/>
            <w:shd w:val="clear" w:color="auto" w:fill="D21D22"/>
          </w:tcPr>
          <w:p>
            <w:pPr>
              <w:spacing w:after="0"/>
              <w:rPr>
                <w:sz w:val="21"/>
                <w:szCs w:val="21"/>
                <w:color w:val="auto"/>
              </w:rPr>
            </w:pPr>
          </w:p>
        </w:tc>
        <w:tc>
          <w:tcPr>
            <w:tcW w:w="1260" w:type="dxa"/>
            <w:vAlign w:val="bottom"/>
            <w:shd w:val="clear" w:color="auto" w:fill="D21D22"/>
          </w:tcPr>
          <w:p>
            <w:pPr>
              <w:jc w:val="right"/>
              <w:spacing w:after="0"/>
              <w:rPr>
                <w:sz w:val="20"/>
                <w:szCs w:val="20"/>
                <w:color w:val="auto"/>
              </w:rPr>
            </w:pPr>
            <w:r>
              <w:rPr>
                <w:rFonts w:ascii="Arial" w:cs="Arial" w:eastAsia="Arial" w:hAnsi="Arial"/>
                <w:sz w:val="16"/>
                <w:szCs w:val="16"/>
                <w:b w:val="1"/>
                <w:bCs w:val="1"/>
                <w:color w:val="FFFFFF"/>
              </w:rPr>
              <w:t>Performance</w:t>
            </w:r>
          </w:p>
        </w:tc>
        <w:tc>
          <w:tcPr>
            <w:tcW w:w="320" w:type="dxa"/>
            <w:vAlign w:val="bottom"/>
            <w:shd w:val="clear" w:color="auto" w:fill="D21D22"/>
          </w:tcPr>
          <w:p>
            <w:pPr>
              <w:spacing w:after="0"/>
              <w:rPr>
                <w:sz w:val="21"/>
                <w:szCs w:val="21"/>
                <w:color w:val="auto"/>
              </w:rPr>
            </w:pPr>
          </w:p>
        </w:tc>
        <w:tc>
          <w:tcPr>
            <w:tcW w:w="1220" w:type="dxa"/>
            <w:vAlign w:val="bottom"/>
            <w:vMerge w:val="continue"/>
            <w:shd w:val="clear" w:color="auto" w:fill="D21D22"/>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940" w:type="dxa"/>
            <w:vAlign w:val="bottom"/>
            <w:vMerge w:val="restart"/>
            <w:shd w:val="clear" w:color="auto" w:fill="4A1F67"/>
          </w:tcPr>
          <w:p>
            <w:pPr>
              <w:ind w:left="100"/>
              <w:spacing w:after="0"/>
              <w:rPr>
                <w:sz w:val="20"/>
                <w:szCs w:val="20"/>
                <w:color w:val="auto"/>
              </w:rPr>
            </w:pPr>
            <w:r>
              <w:rPr>
                <w:rFonts w:ascii="Arial" w:cs="Arial" w:eastAsia="Arial" w:hAnsi="Arial"/>
                <w:sz w:val="16"/>
                <w:szCs w:val="16"/>
                <w:b w:val="1"/>
                <w:bCs w:val="1"/>
                <w:color w:val="FFFFFF"/>
              </w:rPr>
              <w:t>BPI Measure</w:t>
            </w:r>
          </w:p>
        </w:tc>
        <w:tc>
          <w:tcPr>
            <w:tcW w:w="480" w:type="dxa"/>
            <w:vAlign w:val="bottom"/>
            <w:shd w:val="clear" w:color="auto" w:fill="00ACE8"/>
          </w:tcPr>
          <w:p>
            <w:pPr>
              <w:spacing w:after="0"/>
              <w:rPr>
                <w:sz w:val="10"/>
                <w:szCs w:val="10"/>
                <w:color w:val="auto"/>
              </w:rPr>
            </w:pPr>
          </w:p>
        </w:tc>
        <w:tc>
          <w:tcPr>
            <w:tcW w:w="1320" w:type="dxa"/>
            <w:vAlign w:val="bottom"/>
            <w:vMerge w:val="restart"/>
            <w:shd w:val="clear" w:color="auto" w:fill="00ACE8"/>
          </w:tcPr>
          <w:p>
            <w:pPr>
              <w:jc w:val="right"/>
              <w:ind w:right="19"/>
              <w:spacing w:after="0"/>
              <w:rPr>
                <w:sz w:val="20"/>
                <w:szCs w:val="20"/>
                <w:color w:val="auto"/>
              </w:rPr>
            </w:pPr>
            <w:r>
              <w:rPr>
                <w:rFonts w:ascii="Arial" w:cs="Arial" w:eastAsia="Arial" w:hAnsi="Arial"/>
                <w:sz w:val="16"/>
                <w:szCs w:val="16"/>
                <w:b w:val="1"/>
                <w:bCs w:val="1"/>
                <w:color w:val="FFFFFF"/>
              </w:rPr>
              <w:t>Performance</w:t>
            </w:r>
          </w:p>
        </w:tc>
        <w:tc>
          <w:tcPr>
            <w:tcW w:w="120" w:type="dxa"/>
            <w:vAlign w:val="bottom"/>
            <w:shd w:val="clear" w:color="auto" w:fill="00ADE9"/>
          </w:tcPr>
          <w:p>
            <w:pPr>
              <w:spacing w:after="0"/>
              <w:rPr>
                <w:sz w:val="10"/>
                <w:szCs w:val="10"/>
                <w:color w:val="auto"/>
              </w:rPr>
            </w:pPr>
          </w:p>
        </w:tc>
        <w:tc>
          <w:tcPr>
            <w:tcW w:w="1660" w:type="dxa"/>
            <w:vAlign w:val="bottom"/>
            <w:vMerge w:val="continue"/>
            <w:shd w:val="clear" w:color="auto" w:fill="00ADE9"/>
          </w:tcPr>
          <w:p>
            <w:pPr>
              <w:spacing w:after="0"/>
              <w:rPr>
                <w:sz w:val="10"/>
                <w:szCs w:val="10"/>
                <w:color w:val="auto"/>
              </w:rPr>
            </w:pPr>
          </w:p>
        </w:tc>
        <w:tc>
          <w:tcPr>
            <w:tcW w:w="1800" w:type="dxa"/>
            <w:vAlign w:val="bottom"/>
            <w:vMerge w:val="restart"/>
            <w:shd w:val="clear" w:color="auto" w:fill="00ADE9"/>
          </w:tcPr>
          <w:p>
            <w:pPr>
              <w:jc w:val="right"/>
              <w:ind w:right="19"/>
              <w:spacing w:after="0"/>
              <w:rPr>
                <w:sz w:val="20"/>
                <w:szCs w:val="20"/>
                <w:color w:val="auto"/>
              </w:rPr>
            </w:pPr>
            <w:r>
              <w:rPr>
                <w:rFonts w:ascii="Arial" w:cs="Arial" w:eastAsia="Arial" w:hAnsi="Arial"/>
                <w:sz w:val="16"/>
                <w:szCs w:val="16"/>
                <w:b w:val="1"/>
                <w:bCs w:val="1"/>
                <w:color w:val="FFFFFF"/>
              </w:rPr>
              <w:t>Performance</w:t>
            </w:r>
          </w:p>
        </w:tc>
        <w:tc>
          <w:tcPr>
            <w:tcW w:w="100" w:type="dxa"/>
            <w:vAlign w:val="bottom"/>
            <w:shd w:val="clear" w:color="auto" w:fill="D21D22"/>
          </w:tcPr>
          <w:p>
            <w:pPr>
              <w:spacing w:after="0"/>
              <w:rPr>
                <w:sz w:val="10"/>
                <w:szCs w:val="10"/>
                <w:color w:val="auto"/>
              </w:rPr>
            </w:pPr>
          </w:p>
        </w:tc>
        <w:tc>
          <w:tcPr>
            <w:tcW w:w="1260" w:type="dxa"/>
            <w:vAlign w:val="bottom"/>
            <w:vMerge w:val="restart"/>
            <w:shd w:val="clear" w:color="auto" w:fill="D21D22"/>
          </w:tcPr>
          <w:p>
            <w:pPr>
              <w:jc w:val="right"/>
              <w:spacing w:after="0"/>
              <w:rPr>
                <w:sz w:val="20"/>
                <w:szCs w:val="20"/>
                <w:color w:val="auto"/>
              </w:rPr>
            </w:pPr>
            <w:r>
              <w:rPr>
                <w:rFonts w:ascii="Arial" w:cs="Arial" w:eastAsia="Arial" w:hAnsi="Arial"/>
                <w:sz w:val="16"/>
                <w:szCs w:val="16"/>
                <w:b w:val="1"/>
                <w:bCs w:val="1"/>
                <w:color w:val="FFFFFF"/>
              </w:rPr>
              <w:t>%</w:t>
            </w:r>
          </w:p>
        </w:tc>
        <w:tc>
          <w:tcPr>
            <w:tcW w:w="320" w:type="dxa"/>
            <w:vAlign w:val="bottom"/>
            <w:shd w:val="clear" w:color="auto" w:fill="D21D22"/>
          </w:tcPr>
          <w:p>
            <w:pPr>
              <w:spacing w:after="0"/>
              <w:rPr>
                <w:sz w:val="10"/>
                <w:szCs w:val="10"/>
                <w:color w:val="auto"/>
              </w:rPr>
            </w:pPr>
          </w:p>
        </w:tc>
        <w:tc>
          <w:tcPr>
            <w:tcW w:w="1220" w:type="dxa"/>
            <w:vAlign w:val="bottom"/>
            <w:shd w:val="clear" w:color="auto" w:fill="D21D22"/>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940" w:type="dxa"/>
            <w:vAlign w:val="bottom"/>
            <w:vMerge w:val="continue"/>
            <w:shd w:val="clear" w:color="auto" w:fill="4A1F67"/>
          </w:tcPr>
          <w:p>
            <w:pPr>
              <w:spacing w:after="0"/>
              <w:rPr>
                <w:sz w:val="7"/>
                <w:szCs w:val="7"/>
                <w:color w:val="auto"/>
              </w:rPr>
            </w:pPr>
          </w:p>
        </w:tc>
        <w:tc>
          <w:tcPr>
            <w:tcW w:w="480" w:type="dxa"/>
            <w:vAlign w:val="bottom"/>
            <w:shd w:val="clear" w:color="auto" w:fill="00ACE8"/>
          </w:tcPr>
          <w:p>
            <w:pPr>
              <w:spacing w:after="0"/>
              <w:rPr>
                <w:sz w:val="7"/>
                <w:szCs w:val="7"/>
                <w:color w:val="auto"/>
              </w:rPr>
            </w:pPr>
          </w:p>
        </w:tc>
        <w:tc>
          <w:tcPr>
            <w:tcW w:w="1320" w:type="dxa"/>
            <w:vAlign w:val="bottom"/>
            <w:vMerge w:val="continue"/>
            <w:shd w:val="clear" w:color="auto" w:fill="00ACE8"/>
          </w:tcPr>
          <w:p>
            <w:pPr>
              <w:spacing w:after="0"/>
              <w:rPr>
                <w:sz w:val="7"/>
                <w:szCs w:val="7"/>
                <w:color w:val="auto"/>
              </w:rPr>
            </w:pPr>
          </w:p>
        </w:tc>
        <w:tc>
          <w:tcPr>
            <w:tcW w:w="120" w:type="dxa"/>
            <w:vAlign w:val="bottom"/>
            <w:shd w:val="clear" w:color="auto" w:fill="00ADE9"/>
          </w:tcPr>
          <w:p>
            <w:pPr>
              <w:spacing w:after="0"/>
              <w:rPr>
                <w:sz w:val="7"/>
                <w:szCs w:val="7"/>
                <w:color w:val="auto"/>
              </w:rPr>
            </w:pPr>
          </w:p>
        </w:tc>
        <w:tc>
          <w:tcPr>
            <w:tcW w:w="1660" w:type="dxa"/>
            <w:vAlign w:val="bottom"/>
            <w:shd w:val="clear" w:color="auto" w:fill="00ADE9"/>
          </w:tcPr>
          <w:p>
            <w:pPr>
              <w:spacing w:after="0"/>
              <w:rPr>
                <w:sz w:val="7"/>
                <w:szCs w:val="7"/>
                <w:color w:val="auto"/>
              </w:rPr>
            </w:pPr>
          </w:p>
        </w:tc>
        <w:tc>
          <w:tcPr>
            <w:tcW w:w="1800" w:type="dxa"/>
            <w:vAlign w:val="bottom"/>
            <w:vMerge w:val="continue"/>
            <w:shd w:val="clear" w:color="auto" w:fill="00ADE9"/>
          </w:tcPr>
          <w:p>
            <w:pPr>
              <w:spacing w:after="0"/>
              <w:rPr>
                <w:sz w:val="7"/>
                <w:szCs w:val="7"/>
                <w:color w:val="auto"/>
              </w:rPr>
            </w:pPr>
          </w:p>
        </w:tc>
        <w:tc>
          <w:tcPr>
            <w:tcW w:w="100" w:type="dxa"/>
            <w:vAlign w:val="bottom"/>
            <w:shd w:val="clear" w:color="auto" w:fill="D21D22"/>
          </w:tcPr>
          <w:p>
            <w:pPr>
              <w:spacing w:after="0"/>
              <w:rPr>
                <w:sz w:val="7"/>
                <w:szCs w:val="7"/>
                <w:color w:val="auto"/>
              </w:rPr>
            </w:pPr>
          </w:p>
        </w:tc>
        <w:tc>
          <w:tcPr>
            <w:tcW w:w="1260" w:type="dxa"/>
            <w:vAlign w:val="bottom"/>
            <w:vMerge w:val="continue"/>
            <w:shd w:val="clear" w:color="auto" w:fill="D21D22"/>
          </w:tcPr>
          <w:p>
            <w:pPr>
              <w:spacing w:after="0"/>
              <w:rPr>
                <w:sz w:val="7"/>
                <w:szCs w:val="7"/>
                <w:color w:val="auto"/>
              </w:rPr>
            </w:pPr>
          </w:p>
        </w:tc>
        <w:tc>
          <w:tcPr>
            <w:tcW w:w="320" w:type="dxa"/>
            <w:vAlign w:val="bottom"/>
            <w:shd w:val="clear" w:color="auto" w:fill="D21D22"/>
          </w:tcPr>
          <w:p>
            <w:pPr>
              <w:spacing w:after="0"/>
              <w:rPr>
                <w:sz w:val="7"/>
                <w:szCs w:val="7"/>
                <w:color w:val="auto"/>
              </w:rPr>
            </w:pPr>
          </w:p>
        </w:tc>
        <w:tc>
          <w:tcPr>
            <w:tcW w:w="1220" w:type="dxa"/>
            <w:vAlign w:val="bottom"/>
            <w:shd w:val="clear" w:color="auto" w:fill="D21D2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940" w:type="dxa"/>
            <w:vAlign w:val="bottom"/>
            <w:shd w:val="clear" w:color="auto" w:fill="4A1F67"/>
          </w:tcPr>
          <w:p>
            <w:pPr>
              <w:spacing w:after="0"/>
              <w:rPr>
                <w:sz w:val="7"/>
                <w:szCs w:val="7"/>
                <w:color w:val="auto"/>
              </w:rPr>
            </w:pPr>
          </w:p>
        </w:tc>
        <w:tc>
          <w:tcPr>
            <w:tcW w:w="480" w:type="dxa"/>
            <w:vAlign w:val="bottom"/>
            <w:shd w:val="clear" w:color="auto" w:fill="00ACE8"/>
          </w:tcPr>
          <w:p>
            <w:pPr>
              <w:spacing w:after="0"/>
              <w:rPr>
                <w:sz w:val="7"/>
                <w:szCs w:val="7"/>
                <w:color w:val="auto"/>
              </w:rPr>
            </w:pPr>
          </w:p>
        </w:tc>
        <w:tc>
          <w:tcPr>
            <w:tcW w:w="1320" w:type="dxa"/>
            <w:vAlign w:val="bottom"/>
            <w:shd w:val="clear" w:color="auto" w:fill="00ACE8"/>
          </w:tcPr>
          <w:p>
            <w:pPr>
              <w:spacing w:after="0"/>
              <w:rPr>
                <w:sz w:val="7"/>
                <w:szCs w:val="7"/>
                <w:color w:val="auto"/>
              </w:rPr>
            </w:pPr>
          </w:p>
        </w:tc>
        <w:tc>
          <w:tcPr>
            <w:tcW w:w="120" w:type="dxa"/>
            <w:vAlign w:val="bottom"/>
            <w:shd w:val="clear" w:color="auto" w:fill="00ADE9"/>
          </w:tcPr>
          <w:p>
            <w:pPr>
              <w:spacing w:after="0"/>
              <w:rPr>
                <w:sz w:val="7"/>
                <w:szCs w:val="7"/>
                <w:color w:val="auto"/>
              </w:rPr>
            </w:pPr>
          </w:p>
        </w:tc>
        <w:tc>
          <w:tcPr>
            <w:tcW w:w="1660" w:type="dxa"/>
            <w:vAlign w:val="bottom"/>
            <w:shd w:val="clear" w:color="auto" w:fill="00ADE9"/>
          </w:tcPr>
          <w:p>
            <w:pPr>
              <w:spacing w:after="0"/>
              <w:rPr>
                <w:sz w:val="7"/>
                <w:szCs w:val="7"/>
                <w:color w:val="auto"/>
              </w:rPr>
            </w:pPr>
          </w:p>
        </w:tc>
        <w:tc>
          <w:tcPr>
            <w:tcW w:w="1800" w:type="dxa"/>
            <w:vAlign w:val="bottom"/>
            <w:shd w:val="clear" w:color="auto" w:fill="00ADE9"/>
          </w:tcPr>
          <w:p>
            <w:pPr>
              <w:spacing w:after="0"/>
              <w:rPr>
                <w:sz w:val="7"/>
                <w:szCs w:val="7"/>
                <w:color w:val="auto"/>
              </w:rPr>
            </w:pPr>
          </w:p>
        </w:tc>
        <w:tc>
          <w:tcPr>
            <w:tcW w:w="100" w:type="dxa"/>
            <w:vAlign w:val="bottom"/>
            <w:shd w:val="clear" w:color="auto" w:fill="D21D22"/>
          </w:tcPr>
          <w:p>
            <w:pPr>
              <w:spacing w:after="0"/>
              <w:rPr>
                <w:sz w:val="7"/>
                <w:szCs w:val="7"/>
                <w:color w:val="auto"/>
              </w:rPr>
            </w:pPr>
          </w:p>
        </w:tc>
        <w:tc>
          <w:tcPr>
            <w:tcW w:w="1260" w:type="dxa"/>
            <w:vAlign w:val="bottom"/>
            <w:shd w:val="clear" w:color="auto" w:fill="D21D22"/>
          </w:tcPr>
          <w:p>
            <w:pPr>
              <w:spacing w:after="0"/>
              <w:rPr>
                <w:sz w:val="7"/>
                <w:szCs w:val="7"/>
                <w:color w:val="auto"/>
              </w:rPr>
            </w:pPr>
          </w:p>
        </w:tc>
        <w:tc>
          <w:tcPr>
            <w:tcW w:w="320" w:type="dxa"/>
            <w:vAlign w:val="bottom"/>
            <w:shd w:val="clear" w:color="auto" w:fill="D21D22"/>
          </w:tcPr>
          <w:p>
            <w:pPr>
              <w:spacing w:after="0"/>
              <w:rPr>
                <w:sz w:val="7"/>
                <w:szCs w:val="7"/>
                <w:color w:val="auto"/>
              </w:rPr>
            </w:pPr>
          </w:p>
        </w:tc>
        <w:tc>
          <w:tcPr>
            <w:tcW w:w="1220" w:type="dxa"/>
            <w:vAlign w:val="bottom"/>
            <w:shd w:val="clear" w:color="auto" w:fill="D21D22"/>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3420" w:type="dxa"/>
            <w:vAlign w:val="bottom"/>
            <w:gridSpan w:val="2"/>
            <w:shd w:val="clear" w:color="auto" w:fill="E1E1DF"/>
          </w:tcPr>
          <w:p>
            <w:pPr>
              <w:ind w:left="100"/>
              <w:spacing w:after="0"/>
              <w:rPr>
                <w:sz w:val="20"/>
                <w:szCs w:val="20"/>
                <w:color w:val="auto"/>
              </w:rPr>
            </w:pPr>
            <w:r>
              <w:rPr>
                <w:rFonts w:ascii="Arial" w:cs="Arial" w:eastAsia="Arial" w:hAnsi="Arial"/>
                <w:sz w:val="16"/>
                <w:szCs w:val="16"/>
                <w:b w:val="1"/>
                <w:bCs w:val="1"/>
                <w:color w:val="3B3C43"/>
              </w:rPr>
              <w:t>Q1 2020 (January - March)</w:t>
            </w:r>
          </w:p>
        </w:tc>
        <w:tc>
          <w:tcPr>
            <w:tcW w:w="1320" w:type="dxa"/>
            <w:vAlign w:val="bottom"/>
            <w:shd w:val="clear" w:color="auto" w:fill="E1E1DF"/>
          </w:tcPr>
          <w:p>
            <w:pPr>
              <w:spacing w:after="0"/>
              <w:rPr>
                <w:sz w:val="24"/>
                <w:szCs w:val="24"/>
                <w:color w:val="auto"/>
              </w:rPr>
            </w:pPr>
          </w:p>
        </w:tc>
        <w:tc>
          <w:tcPr>
            <w:tcW w:w="120" w:type="dxa"/>
            <w:vAlign w:val="bottom"/>
            <w:shd w:val="clear" w:color="auto" w:fill="E1E1DF"/>
          </w:tcPr>
          <w:p>
            <w:pPr>
              <w:spacing w:after="0"/>
              <w:rPr>
                <w:sz w:val="24"/>
                <w:szCs w:val="24"/>
                <w:color w:val="auto"/>
              </w:rPr>
            </w:pPr>
          </w:p>
        </w:tc>
        <w:tc>
          <w:tcPr>
            <w:tcW w:w="1660" w:type="dxa"/>
            <w:vAlign w:val="bottom"/>
            <w:shd w:val="clear" w:color="auto" w:fill="E1E1DF"/>
          </w:tcPr>
          <w:p>
            <w:pPr>
              <w:spacing w:after="0"/>
              <w:rPr>
                <w:sz w:val="24"/>
                <w:szCs w:val="24"/>
                <w:color w:val="auto"/>
              </w:rPr>
            </w:pPr>
          </w:p>
        </w:tc>
        <w:tc>
          <w:tcPr>
            <w:tcW w:w="1800" w:type="dxa"/>
            <w:vAlign w:val="bottom"/>
            <w:shd w:val="clear" w:color="auto" w:fill="E1E1DF"/>
          </w:tcPr>
          <w:p>
            <w:pPr>
              <w:spacing w:after="0"/>
              <w:rPr>
                <w:sz w:val="24"/>
                <w:szCs w:val="24"/>
                <w:color w:val="auto"/>
              </w:rPr>
            </w:pPr>
          </w:p>
        </w:tc>
        <w:tc>
          <w:tcPr>
            <w:tcW w:w="100" w:type="dxa"/>
            <w:vAlign w:val="bottom"/>
            <w:shd w:val="clear" w:color="auto" w:fill="E1E1DF"/>
          </w:tcPr>
          <w:p>
            <w:pPr>
              <w:spacing w:after="0"/>
              <w:rPr>
                <w:sz w:val="24"/>
                <w:szCs w:val="24"/>
                <w:color w:val="auto"/>
              </w:rPr>
            </w:pPr>
          </w:p>
        </w:tc>
        <w:tc>
          <w:tcPr>
            <w:tcW w:w="1260" w:type="dxa"/>
            <w:vAlign w:val="bottom"/>
            <w:shd w:val="clear" w:color="auto" w:fill="E1E1DF"/>
          </w:tcPr>
          <w:p>
            <w:pPr>
              <w:spacing w:after="0"/>
              <w:rPr>
                <w:sz w:val="24"/>
                <w:szCs w:val="24"/>
                <w:color w:val="auto"/>
              </w:rPr>
            </w:pPr>
          </w:p>
        </w:tc>
        <w:tc>
          <w:tcPr>
            <w:tcW w:w="320" w:type="dxa"/>
            <w:vAlign w:val="bottom"/>
            <w:shd w:val="clear" w:color="auto" w:fill="E1E1DF"/>
          </w:tcPr>
          <w:p>
            <w:pPr>
              <w:spacing w:after="0"/>
              <w:rPr>
                <w:sz w:val="24"/>
                <w:szCs w:val="24"/>
                <w:color w:val="auto"/>
              </w:rPr>
            </w:pPr>
          </w:p>
        </w:tc>
        <w:tc>
          <w:tcPr>
            <w:tcW w:w="1220" w:type="dxa"/>
            <w:vAlign w:val="bottom"/>
            <w:shd w:val="clear" w:color="auto" w:fill="E1E1DF"/>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94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EBITDA ($M)</w:t>
            </w:r>
            <w:r>
              <w:rPr>
                <w:rFonts w:ascii="Arial" w:cs="Arial" w:eastAsia="Arial" w:hAnsi="Arial"/>
                <w:sz w:val="26"/>
                <w:szCs w:val="26"/>
                <w:b w:val="1"/>
                <w:bCs w:val="1"/>
                <w:color w:val="3B3C43"/>
                <w:vertAlign w:val="superscript"/>
              </w:rPr>
              <w:t>2</w:t>
            </w:r>
          </w:p>
        </w:tc>
        <w:tc>
          <w:tcPr>
            <w:tcW w:w="480" w:type="dxa"/>
            <w:vAlign w:val="bottom"/>
            <w:shd w:val="clear" w:color="auto" w:fill="E1E1DF"/>
          </w:tcPr>
          <w:p>
            <w:pPr>
              <w:spacing w:after="0"/>
              <w:rPr>
                <w:sz w:val="24"/>
                <w:szCs w:val="24"/>
                <w:color w:val="auto"/>
              </w:rPr>
            </w:pPr>
          </w:p>
        </w:tc>
        <w:tc>
          <w:tcPr>
            <w:tcW w:w="132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$1,366</w:t>
            </w:r>
          </w:p>
        </w:tc>
        <w:tc>
          <w:tcPr>
            <w:tcW w:w="120" w:type="dxa"/>
            <w:vAlign w:val="bottom"/>
            <w:shd w:val="clear" w:color="auto" w:fill="E1E1DF"/>
          </w:tcPr>
          <w:p>
            <w:pPr>
              <w:spacing w:after="0"/>
              <w:rPr>
                <w:sz w:val="24"/>
                <w:szCs w:val="24"/>
                <w:color w:val="auto"/>
              </w:rPr>
            </w:pPr>
          </w:p>
        </w:tc>
        <w:tc>
          <w:tcPr>
            <w:tcW w:w="166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$1,639</w:t>
            </w:r>
          </w:p>
        </w:tc>
        <w:tc>
          <w:tcPr>
            <w:tcW w:w="180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$1,831</w:t>
            </w:r>
          </w:p>
        </w:tc>
        <w:tc>
          <w:tcPr>
            <w:tcW w:w="100" w:type="dxa"/>
            <w:vAlign w:val="bottom"/>
            <w:shd w:val="clear" w:color="auto" w:fill="E1E1DF"/>
          </w:tcPr>
          <w:p>
            <w:pPr>
              <w:spacing w:after="0"/>
              <w:rPr>
                <w:sz w:val="24"/>
                <w:szCs w:val="24"/>
                <w:color w:val="auto"/>
              </w:rPr>
            </w:pPr>
          </w:p>
        </w:tc>
        <w:tc>
          <w:tcPr>
            <w:tcW w:w="1580" w:type="dxa"/>
            <w:vAlign w:val="bottom"/>
            <w:gridSpan w:val="2"/>
            <w:shd w:val="clear" w:color="auto" w:fill="E1E1DF"/>
          </w:tcPr>
          <w:p>
            <w:pPr>
              <w:jc w:val="right"/>
              <w:ind w:right="320"/>
              <w:spacing w:after="0"/>
              <w:rPr>
                <w:sz w:val="20"/>
                <w:szCs w:val="20"/>
                <w:color w:val="auto"/>
              </w:rPr>
            </w:pPr>
            <w:r>
              <w:rPr>
                <w:rFonts w:ascii="Arial" w:cs="Arial" w:eastAsia="Arial" w:hAnsi="Arial"/>
                <w:sz w:val="16"/>
                <w:szCs w:val="16"/>
                <w:color w:val="3B3C43"/>
              </w:rPr>
              <w:t>N/A</w:t>
            </w:r>
            <w:r>
              <w:rPr>
                <w:rFonts w:ascii="Arial" w:cs="Arial" w:eastAsia="Arial" w:hAnsi="Arial"/>
                <w:sz w:val="26"/>
                <w:szCs w:val="26"/>
                <w:color w:val="3B3C43"/>
                <w:vertAlign w:val="superscript"/>
              </w:rPr>
              <w:t>3</w:t>
            </w:r>
          </w:p>
        </w:tc>
        <w:tc>
          <w:tcPr>
            <w:tcW w:w="122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0%</w:t>
            </w:r>
          </w:p>
        </w:tc>
        <w:tc>
          <w:tcPr>
            <w:tcW w:w="0" w:type="dxa"/>
            <w:vAlign w:val="bottom"/>
          </w:tcPr>
          <w:p>
            <w:pPr>
              <w:spacing w:after="0"/>
              <w:rPr>
                <w:sz w:val="1"/>
                <w:szCs w:val="1"/>
                <w:color w:val="auto"/>
              </w:rPr>
            </w:pPr>
          </w:p>
        </w:tc>
      </w:tr>
      <w:tr>
        <w:trPr>
          <w:trHeight w:val="253"/>
        </w:trPr>
        <w:tc>
          <w:tcPr>
            <w:tcW w:w="294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EBITDA as a Percentage of</w:t>
            </w:r>
          </w:p>
        </w:tc>
        <w:tc>
          <w:tcPr>
            <w:tcW w:w="480" w:type="dxa"/>
            <w:vAlign w:val="bottom"/>
            <w:shd w:val="clear" w:color="auto" w:fill="E1E1DF"/>
          </w:tcPr>
          <w:p>
            <w:pPr>
              <w:spacing w:after="0"/>
              <w:rPr>
                <w:sz w:val="22"/>
                <w:szCs w:val="22"/>
                <w:color w:val="auto"/>
              </w:rPr>
            </w:pPr>
          </w:p>
        </w:tc>
        <w:tc>
          <w:tcPr>
            <w:tcW w:w="132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8.3%</w:t>
            </w:r>
          </w:p>
        </w:tc>
        <w:tc>
          <w:tcPr>
            <w:tcW w:w="120" w:type="dxa"/>
            <w:vAlign w:val="bottom"/>
            <w:shd w:val="clear" w:color="auto" w:fill="E1E1DF"/>
          </w:tcPr>
          <w:p>
            <w:pPr>
              <w:spacing w:after="0"/>
              <w:rPr>
                <w:sz w:val="22"/>
                <w:szCs w:val="22"/>
                <w:color w:val="auto"/>
              </w:rPr>
            </w:pPr>
          </w:p>
        </w:tc>
        <w:tc>
          <w:tcPr>
            <w:tcW w:w="166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10.3%</w:t>
            </w:r>
          </w:p>
        </w:tc>
        <w:tc>
          <w:tcPr>
            <w:tcW w:w="180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12.3%</w:t>
            </w:r>
          </w:p>
        </w:tc>
        <w:tc>
          <w:tcPr>
            <w:tcW w:w="100" w:type="dxa"/>
            <w:vAlign w:val="bottom"/>
            <w:shd w:val="clear" w:color="auto" w:fill="E1E1DF"/>
          </w:tcPr>
          <w:p>
            <w:pPr>
              <w:spacing w:after="0"/>
              <w:rPr>
                <w:sz w:val="22"/>
                <w:szCs w:val="22"/>
                <w:color w:val="auto"/>
              </w:rPr>
            </w:pPr>
          </w:p>
        </w:tc>
        <w:tc>
          <w:tcPr>
            <w:tcW w:w="1580" w:type="dxa"/>
            <w:vAlign w:val="bottom"/>
            <w:gridSpan w:val="2"/>
            <w:shd w:val="clear" w:color="auto" w:fill="E1E1DF"/>
          </w:tcPr>
          <w:p>
            <w:pPr>
              <w:jc w:val="right"/>
              <w:ind w:right="320"/>
              <w:spacing w:after="0" w:line="253" w:lineRule="exact"/>
              <w:rPr>
                <w:sz w:val="20"/>
                <w:szCs w:val="20"/>
                <w:color w:val="auto"/>
              </w:rPr>
            </w:pPr>
            <w:r>
              <w:rPr>
                <w:rFonts w:ascii="Arial" w:cs="Arial" w:eastAsia="Arial" w:hAnsi="Arial"/>
                <w:sz w:val="16"/>
                <w:szCs w:val="16"/>
                <w:color w:val="3B3C43"/>
              </w:rPr>
              <w:t>N/A</w:t>
            </w:r>
            <w:r>
              <w:rPr>
                <w:rFonts w:ascii="Arial" w:cs="Arial" w:eastAsia="Arial" w:hAnsi="Arial"/>
                <w:sz w:val="26"/>
                <w:szCs w:val="26"/>
                <w:color w:val="3B3C43"/>
                <w:vertAlign w:val="superscript"/>
              </w:rPr>
              <w:t>3</w:t>
            </w:r>
          </w:p>
        </w:tc>
        <w:tc>
          <w:tcPr>
            <w:tcW w:w="122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0%</w:t>
            </w:r>
          </w:p>
        </w:tc>
        <w:tc>
          <w:tcPr>
            <w:tcW w:w="0" w:type="dxa"/>
            <w:vAlign w:val="bottom"/>
          </w:tcPr>
          <w:p>
            <w:pPr>
              <w:spacing w:after="0"/>
              <w:rPr>
                <w:sz w:val="1"/>
                <w:szCs w:val="1"/>
                <w:color w:val="auto"/>
              </w:rPr>
            </w:pPr>
          </w:p>
        </w:tc>
      </w:tr>
      <w:tr>
        <w:trPr>
          <w:trHeight w:val="300"/>
        </w:trPr>
        <w:tc>
          <w:tcPr>
            <w:tcW w:w="294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Revenue</w:t>
            </w:r>
            <w:r>
              <w:rPr>
                <w:rFonts w:ascii="Arial" w:cs="Arial" w:eastAsia="Arial" w:hAnsi="Arial"/>
                <w:sz w:val="26"/>
                <w:szCs w:val="26"/>
                <w:b w:val="1"/>
                <w:bCs w:val="1"/>
                <w:color w:val="3B3C43"/>
                <w:vertAlign w:val="superscript"/>
              </w:rPr>
              <w:t>2</w:t>
            </w:r>
          </w:p>
        </w:tc>
        <w:tc>
          <w:tcPr>
            <w:tcW w:w="480" w:type="dxa"/>
            <w:vAlign w:val="bottom"/>
            <w:shd w:val="clear" w:color="auto" w:fill="E1E1DF"/>
          </w:tcPr>
          <w:p>
            <w:pPr>
              <w:spacing w:after="0"/>
              <w:rPr>
                <w:sz w:val="24"/>
                <w:szCs w:val="24"/>
                <w:color w:val="auto"/>
              </w:rPr>
            </w:pPr>
          </w:p>
        </w:tc>
        <w:tc>
          <w:tcPr>
            <w:tcW w:w="1320" w:type="dxa"/>
            <w:vAlign w:val="bottom"/>
            <w:shd w:val="clear" w:color="auto" w:fill="E1E1DF"/>
          </w:tcPr>
          <w:p>
            <w:pPr>
              <w:spacing w:after="0"/>
              <w:rPr>
                <w:sz w:val="24"/>
                <w:szCs w:val="24"/>
                <w:color w:val="auto"/>
              </w:rPr>
            </w:pPr>
          </w:p>
        </w:tc>
        <w:tc>
          <w:tcPr>
            <w:tcW w:w="120" w:type="dxa"/>
            <w:vAlign w:val="bottom"/>
            <w:shd w:val="clear" w:color="auto" w:fill="E1E1DF"/>
          </w:tcPr>
          <w:p>
            <w:pPr>
              <w:spacing w:after="0"/>
              <w:rPr>
                <w:sz w:val="24"/>
                <w:szCs w:val="24"/>
                <w:color w:val="auto"/>
              </w:rPr>
            </w:pPr>
          </w:p>
        </w:tc>
        <w:tc>
          <w:tcPr>
            <w:tcW w:w="1660" w:type="dxa"/>
            <w:vAlign w:val="bottom"/>
            <w:shd w:val="clear" w:color="auto" w:fill="E1E1DF"/>
          </w:tcPr>
          <w:p>
            <w:pPr>
              <w:spacing w:after="0"/>
              <w:rPr>
                <w:sz w:val="24"/>
                <w:szCs w:val="24"/>
                <w:color w:val="auto"/>
              </w:rPr>
            </w:pPr>
          </w:p>
        </w:tc>
        <w:tc>
          <w:tcPr>
            <w:tcW w:w="1800" w:type="dxa"/>
            <w:vAlign w:val="bottom"/>
            <w:shd w:val="clear" w:color="auto" w:fill="E1E1DF"/>
          </w:tcPr>
          <w:p>
            <w:pPr>
              <w:spacing w:after="0"/>
              <w:rPr>
                <w:sz w:val="24"/>
                <w:szCs w:val="24"/>
                <w:color w:val="auto"/>
              </w:rPr>
            </w:pPr>
          </w:p>
        </w:tc>
        <w:tc>
          <w:tcPr>
            <w:tcW w:w="100" w:type="dxa"/>
            <w:vAlign w:val="bottom"/>
            <w:shd w:val="clear" w:color="auto" w:fill="E1E1DF"/>
          </w:tcPr>
          <w:p>
            <w:pPr>
              <w:spacing w:after="0"/>
              <w:rPr>
                <w:sz w:val="24"/>
                <w:szCs w:val="24"/>
                <w:color w:val="auto"/>
              </w:rPr>
            </w:pPr>
          </w:p>
        </w:tc>
        <w:tc>
          <w:tcPr>
            <w:tcW w:w="1260" w:type="dxa"/>
            <w:vAlign w:val="bottom"/>
            <w:shd w:val="clear" w:color="auto" w:fill="E1E1DF"/>
          </w:tcPr>
          <w:p>
            <w:pPr>
              <w:spacing w:after="0"/>
              <w:rPr>
                <w:sz w:val="24"/>
                <w:szCs w:val="24"/>
                <w:color w:val="auto"/>
              </w:rPr>
            </w:pPr>
          </w:p>
        </w:tc>
        <w:tc>
          <w:tcPr>
            <w:tcW w:w="320" w:type="dxa"/>
            <w:vAlign w:val="bottom"/>
            <w:shd w:val="clear" w:color="auto" w:fill="E1E1DF"/>
          </w:tcPr>
          <w:p>
            <w:pPr>
              <w:spacing w:after="0"/>
              <w:rPr>
                <w:sz w:val="24"/>
                <w:szCs w:val="24"/>
                <w:color w:val="auto"/>
              </w:rPr>
            </w:pPr>
          </w:p>
        </w:tc>
        <w:tc>
          <w:tcPr>
            <w:tcW w:w="1220" w:type="dxa"/>
            <w:vAlign w:val="bottom"/>
            <w:shd w:val="clear" w:color="auto" w:fill="E1E1DF"/>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94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Working Capital Days</w:t>
            </w:r>
          </w:p>
        </w:tc>
        <w:tc>
          <w:tcPr>
            <w:tcW w:w="480" w:type="dxa"/>
            <w:vAlign w:val="bottom"/>
            <w:shd w:val="clear" w:color="auto" w:fill="E1E1DF"/>
          </w:tcPr>
          <w:p>
            <w:pPr>
              <w:spacing w:after="0"/>
              <w:rPr>
                <w:sz w:val="24"/>
                <w:szCs w:val="24"/>
                <w:color w:val="auto"/>
              </w:rPr>
            </w:pPr>
          </w:p>
        </w:tc>
        <w:tc>
          <w:tcPr>
            <w:tcW w:w="132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(71)</w:t>
            </w:r>
          </w:p>
        </w:tc>
        <w:tc>
          <w:tcPr>
            <w:tcW w:w="120" w:type="dxa"/>
            <w:vAlign w:val="bottom"/>
            <w:shd w:val="clear" w:color="auto" w:fill="E1E1DF"/>
          </w:tcPr>
          <w:p>
            <w:pPr>
              <w:spacing w:after="0"/>
              <w:rPr>
                <w:sz w:val="24"/>
                <w:szCs w:val="24"/>
                <w:color w:val="auto"/>
              </w:rPr>
            </w:pPr>
          </w:p>
        </w:tc>
        <w:tc>
          <w:tcPr>
            <w:tcW w:w="166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(78)</w:t>
            </w:r>
          </w:p>
        </w:tc>
        <w:tc>
          <w:tcPr>
            <w:tcW w:w="180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(82)</w:t>
            </w:r>
          </w:p>
        </w:tc>
        <w:tc>
          <w:tcPr>
            <w:tcW w:w="100" w:type="dxa"/>
            <w:vAlign w:val="bottom"/>
            <w:shd w:val="clear" w:color="auto" w:fill="E1E1DF"/>
          </w:tcPr>
          <w:p>
            <w:pPr>
              <w:spacing w:after="0"/>
              <w:rPr>
                <w:sz w:val="24"/>
                <w:szCs w:val="24"/>
                <w:color w:val="auto"/>
              </w:rPr>
            </w:pPr>
          </w:p>
        </w:tc>
        <w:tc>
          <w:tcPr>
            <w:tcW w:w="1580" w:type="dxa"/>
            <w:vAlign w:val="bottom"/>
            <w:gridSpan w:val="2"/>
            <w:shd w:val="clear" w:color="auto" w:fill="E1E1DF"/>
          </w:tcPr>
          <w:p>
            <w:pPr>
              <w:jc w:val="right"/>
              <w:ind w:right="320"/>
              <w:spacing w:after="0"/>
              <w:rPr>
                <w:sz w:val="20"/>
                <w:szCs w:val="20"/>
                <w:color w:val="auto"/>
              </w:rPr>
            </w:pPr>
            <w:r>
              <w:rPr>
                <w:rFonts w:ascii="Arial" w:cs="Arial" w:eastAsia="Arial" w:hAnsi="Arial"/>
                <w:sz w:val="16"/>
                <w:szCs w:val="16"/>
                <w:color w:val="3B3C43"/>
              </w:rPr>
              <w:t>N/A</w:t>
            </w:r>
            <w:r>
              <w:rPr>
                <w:rFonts w:ascii="Arial" w:cs="Arial" w:eastAsia="Arial" w:hAnsi="Arial"/>
                <w:sz w:val="26"/>
                <w:szCs w:val="26"/>
                <w:color w:val="3B3C43"/>
                <w:vertAlign w:val="superscript"/>
              </w:rPr>
              <w:t>3</w:t>
            </w:r>
          </w:p>
        </w:tc>
        <w:tc>
          <w:tcPr>
            <w:tcW w:w="122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0%</w:t>
            </w:r>
          </w:p>
        </w:tc>
        <w:tc>
          <w:tcPr>
            <w:tcW w:w="0" w:type="dxa"/>
            <w:vAlign w:val="bottom"/>
          </w:tcPr>
          <w:p>
            <w:pPr>
              <w:spacing w:after="0"/>
              <w:rPr>
                <w:sz w:val="1"/>
                <w:szCs w:val="1"/>
                <w:color w:val="auto"/>
              </w:rPr>
            </w:pPr>
          </w:p>
        </w:tc>
      </w:tr>
      <w:tr>
        <w:trPr>
          <w:trHeight w:val="291"/>
        </w:trPr>
        <w:tc>
          <w:tcPr>
            <w:tcW w:w="294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Payout Percentage</w:t>
            </w:r>
          </w:p>
        </w:tc>
        <w:tc>
          <w:tcPr>
            <w:tcW w:w="480" w:type="dxa"/>
            <w:vAlign w:val="bottom"/>
            <w:shd w:val="clear" w:color="auto" w:fill="E1E1DF"/>
          </w:tcPr>
          <w:p>
            <w:pPr>
              <w:spacing w:after="0"/>
              <w:rPr>
                <w:sz w:val="24"/>
                <w:szCs w:val="24"/>
                <w:color w:val="auto"/>
              </w:rPr>
            </w:pPr>
          </w:p>
        </w:tc>
        <w:tc>
          <w:tcPr>
            <w:tcW w:w="132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0%</w:t>
            </w:r>
          </w:p>
        </w:tc>
        <w:tc>
          <w:tcPr>
            <w:tcW w:w="120" w:type="dxa"/>
            <w:vAlign w:val="bottom"/>
            <w:shd w:val="clear" w:color="auto" w:fill="E1E1DF"/>
          </w:tcPr>
          <w:p>
            <w:pPr>
              <w:spacing w:after="0"/>
              <w:rPr>
                <w:sz w:val="24"/>
                <w:szCs w:val="24"/>
                <w:color w:val="auto"/>
              </w:rPr>
            </w:pPr>
          </w:p>
        </w:tc>
        <w:tc>
          <w:tcPr>
            <w:tcW w:w="166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100%</w:t>
            </w:r>
          </w:p>
        </w:tc>
        <w:tc>
          <w:tcPr>
            <w:tcW w:w="180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200%</w:t>
            </w:r>
          </w:p>
        </w:tc>
        <w:tc>
          <w:tcPr>
            <w:tcW w:w="100" w:type="dxa"/>
            <w:vAlign w:val="bottom"/>
            <w:shd w:val="clear" w:color="auto" w:fill="E1E1DF"/>
          </w:tcPr>
          <w:p>
            <w:pPr>
              <w:spacing w:after="0"/>
              <w:rPr>
                <w:sz w:val="24"/>
                <w:szCs w:val="24"/>
                <w:color w:val="auto"/>
              </w:rPr>
            </w:pPr>
          </w:p>
        </w:tc>
        <w:tc>
          <w:tcPr>
            <w:tcW w:w="1260" w:type="dxa"/>
            <w:vAlign w:val="bottom"/>
            <w:shd w:val="clear" w:color="auto" w:fill="E1E1DF"/>
          </w:tcPr>
          <w:p>
            <w:pPr>
              <w:spacing w:after="0"/>
              <w:rPr>
                <w:sz w:val="24"/>
                <w:szCs w:val="24"/>
                <w:color w:val="auto"/>
              </w:rPr>
            </w:pPr>
          </w:p>
        </w:tc>
        <w:tc>
          <w:tcPr>
            <w:tcW w:w="320" w:type="dxa"/>
            <w:vAlign w:val="bottom"/>
            <w:shd w:val="clear" w:color="auto" w:fill="E1E1DF"/>
          </w:tcPr>
          <w:p>
            <w:pPr>
              <w:spacing w:after="0"/>
              <w:rPr>
                <w:sz w:val="24"/>
                <w:szCs w:val="24"/>
                <w:color w:val="auto"/>
              </w:rPr>
            </w:pPr>
          </w:p>
        </w:tc>
        <w:tc>
          <w:tcPr>
            <w:tcW w:w="1220" w:type="dxa"/>
            <w:vAlign w:val="bottom"/>
            <w:shd w:val="clear" w:color="auto" w:fill="E1E1DF"/>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2940" w:type="dxa"/>
            <w:vAlign w:val="bottom"/>
            <w:shd w:val="clear" w:color="auto" w:fill="E1E1DF"/>
          </w:tcPr>
          <w:p>
            <w:pPr>
              <w:spacing w:after="0"/>
              <w:rPr>
                <w:sz w:val="6"/>
                <w:szCs w:val="6"/>
                <w:color w:val="auto"/>
              </w:rPr>
            </w:pPr>
          </w:p>
        </w:tc>
        <w:tc>
          <w:tcPr>
            <w:tcW w:w="1800" w:type="dxa"/>
            <w:vAlign w:val="bottom"/>
            <w:gridSpan w:val="2"/>
            <w:shd w:val="clear" w:color="auto" w:fill="E1E1DF"/>
          </w:tcPr>
          <w:p>
            <w:pPr>
              <w:spacing w:after="0"/>
              <w:rPr>
                <w:sz w:val="6"/>
                <w:szCs w:val="6"/>
                <w:color w:val="auto"/>
              </w:rPr>
            </w:pPr>
          </w:p>
        </w:tc>
        <w:tc>
          <w:tcPr>
            <w:tcW w:w="120" w:type="dxa"/>
            <w:vAlign w:val="bottom"/>
            <w:shd w:val="clear" w:color="auto" w:fill="E1E1DF"/>
          </w:tcPr>
          <w:p>
            <w:pPr>
              <w:spacing w:after="0"/>
              <w:rPr>
                <w:sz w:val="6"/>
                <w:szCs w:val="6"/>
                <w:color w:val="auto"/>
              </w:rPr>
            </w:pPr>
          </w:p>
        </w:tc>
        <w:tc>
          <w:tcPr>
            <w:tcW w:w="1660" w:type="dxa"/>
            <w:vAlign w:val="bottom"/>
            <w:shd w:val="clear" w:color="auto" w:fill="E1E1DF"/>
          </w:tcPr>
          <w:p>
            <w:pPr>
              <w:spacing w:after="0"/>
              <w:rPr>
                <w:sz w:val="6"/>
                <w:szCs w:val="6"/>
                <w:color w:val="auto"/>
              </w:rPr>
            </w:pPr>
          </w:p>
        </w:tc>
        <w:tc>
          <w:tcPr>
            <w:tcW w:w="1800" w:type="dxa"/>
            <w:vAlign w:val="bottom"/>
            <w:shd w:val="clear" w:color="auto" w:fill="E1E1DF"/>
          </w:tcPr>
          <w:p>
            <w:pPr>
              <w:spacing w:after="0"/>
              <w:rPr>
                <w:sz w:val="6"/>
                <w:szCs w:val="6"/>
                <w:color w:val="auto"/>
              </w:rPr>
            </w:pPr>
          </w:p>
        </w:tc>
        <w:tc>
          <w:tcPr>
            <w:tcW w:w="100" w:type="dxa"/>
            <w:vAlign w:val="bottom"/>
            <w:shd w:val="clear" w:color="auto" w:fill="E1E1DF"/>
          </w:tcPr>
          <w:p>
            <w:pPr>
              <w:spacing w:after="0"/>
              <w:rPr>
                <w:sz w:val="6"/>
                <w:szCs w:val="6"/>
                <w:color w:val="auto"/>
              </w:rPr>
            </w:pPr>
          </w:p>
        </w:tc>
        <w:tc>
          <w:tcPr>
            <w:tcW w:w="1260" w:type="dxa"/>
            <w:vAlign w:val="bottom"/>
            <w:shd w:val="clear" w:color="auto" w:fill="E1E1DF"/>
          </w:tcPr>
          <w:p>
            <w:pPr>
              <w:spacing w:after="0"/>
              <w:rPr>
                <w:sz w:val="6"/>
                <w:szCs w:val="6"/>
                <w:color w:val="auto"/>
              </w:rPr>
            </w:pPr>
          </w:p>
        </w:tc>
        <w:tc>
          <w:tcPr>
            <w:tcW w:w="320" w:type="dxa"/>
            <w:vAlign w:val="bottom"/>
            <w:shd w:val="clear" w:color="auto" w:fill="E1E1DF"/>
          </w:tcPr>
          <w:p>
            <w:pPr>
              <w:spacing w:after="0"/>
              <w:rPr>
                <w:sz w:val="6"/>
                <w:szCs w:val="6"/>
                <w:color w:val="auto"/>
              </w:rPr>
            </w:pPr>
          </w:p>
        </w:tc>
        <w:tc>
          <w:tcPr>
            <w:tcW w:w="122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860" w:type="dxa"/>
            <w:vAlign w:val="bottom"/>
            <w:gridSpan w:val="4"/>
            <w:shd w:val="clear" w:color="auto" w:fill="6A6D72"/>
          </w:tcPr>
          <w:p>
            <w:pPr>
              <w:ind w:left="100"/>
              <w:spacing w:after="0"/>
              <w:rPr>
                <w:sz w:val="20"/>
                <w:szCs w:val="20"/>
                <w:color w:val="auto"/>
              </w:rPr>
            </w:pPr>
            <w:r>
              <w:rPr>
                <w:rFonts w:ascii="Arial" w:cs="Arial" w:eastAsia="Arial" w:hAnsi="Arial"/>
                <w:sz w:val="16"/>
                <w:szCs w:val="16"/>
                <w:b w:val="1"/>
                <w:bCs w:val="1"/>
                <w:color w:val="FFFFFF"/>
              </w:rPr>
              <w:t>Final BPI Payout Percentage for Q1 2020 (25% Weighting)</w:t>
            </w:r>
          </w:p>
        </w:tc>
        <w:tc>
          <w:tcPr>
            <w:tcW w:w="1660" w:type="dxa"/>
            <w:vAlign w:val="bottom"/>
            <w:shd w:val="clear" w:color="auto" w:fill="6A6D72"/>
          </w:tcPr>
          <w:p>
            <w:pPr>
              <w:spacing w:after="0"/>
              <w:rPr>
                <w:sz w:val="24"/>
                <w:szCs w:val="24"/>
                <w:color w:val="auto"/>
              </w:rPr>
            </w:pPr>
          </w:p>
        </w:tc>
        <w:tc>
          <w:tcPr>
            <w:tcW w:w="1800" w:type="dxa"/>
            <w:vAlign w:val="bottom"/>
            <w:shd w:val="clear" w:color="auto" w:fill="6A6D72"/>
          </w:tcPr>
          <w:p>
            <w:pPr>
              <w:spacing w:after="0"/>
              <w:rPr>
                <w:sz w:val="24"/>
                <w:szCs w:val="24"/>
                <w:color w:val="auto"/>
              </w:rPr>
            </w:pPr>
          </w:p>
        </w:tc>
        <w:tc>
          <w:tcPr>
            <w:tcW w:w="100" w:type="dxa"/>
            <w:vAlign w:val="bottom"/>
            <w:shd w:val="clear" w:color="auto" w:fill="6A6D72"/>
          </w:tcPr>
          <w:p>
            <w:pPr>
              <w:spacing w:after="0"/>
              <w:rPr>
                <w:sz w:val="24"/>
                <w:szCs w:val="24"/>
                <w:color w:val="auto"/>
              </w:rPr>
            </w:pPr>
          </w:p>
        </w:tc>
        <w:tc>
          <w:tcPr>
            <w:tcW w:w="1260" w:type="dxa"/>
            <w:vAlign w:val="bottom"/>
            <w:shd w:val="clear" w:color="auto" w:fill="6A6D72"/>
          </w:tcPr>
          <w:p>
            <w:pPr>
              <w:spacing w:after="0"/>
              <w:rPr>
                <w:sz w:val="24"/>
                <w:szCs w:val="24"/>
                <w:color w:val="auto"/>
              </w:rPr>
            </w:pPr>
          </w:p>
        </w:tc>
        <w:tc>
          <w:tcPr>
            <w:tcW w:w="320" w:type="dxa"/>
            <w:vAlign w:val="bottom"/>
            <w:shd w:val="clear" w:color="auto" w:fill="6A6D72"/>
          </w:tcPr>
          <w:p>
            <w:pPr>
              <w:spacing w:after="0"/>
              <w:rPr>
                <w:sz w:val="24"/>
                <w:szCs w:val="24"/>
                <w:color w:val="auto"/>
              </w:rPr>
            </w:pPr>
          </w:p>
        </w:tc>
        <w:tc>
          <w:tcPr>
            <w:tcW w:w="1220" w:type="dxa"/>
            <w:vAlign w:val="bottom"/>
            <w:shd w:val="clear" w:color="auto" w:fill="6A6D72"/>
          </w:tcPr>
          <w:p>
            <w:pPr>
              <w:jc w:val="right"/>
              <w:spacing w:after="0"/>
              <w:rPr>
                <w:sz w:val="20"/>
                <w:szCs w:val="20"/>
                <w:color w:val="auto"/>
              </w:rPr>
            </w:pPr>
            <w:r>
              <w:rPr>
                <w:rFonts w:ascii="Arial" w:cs="Arial" w:eastAsia="Arial" w:hAnsi="Arial"/>
                <w:sz w:val="16"/>
                <w:szCs w:val="16"/>
                <w:b w:val="1"/>
                <w:bCs w:val="1"/>
                <w:color w:val="FFFFFF"/>
              </w:rPr>
              <w:t>0%</w:t>
            </w:r>
          </w:p>
        </w:tc>
        <w:tc>
          <w:tcPr>
            <w:tcW w:w="0" w:type="dxa"/>
            <w:vAlign w:val="bottom"/>
          </w:tcPr>
          <w:p>
            <w:pPr>
              <w:spacing w:after="0"/>
              <w:rPr>
                <w:sz w:val="1"/>
                <w:szCs w:val="1"/>
                <w:color w:val="auto"/>
              </w:rPr>
            </w:pPr>
          </w:p>
        </w:tc>
      </w:tr>
      <w:tr>
        <w:trPr>
          <w:trHeight w:val="73"/>
        </w:trPr>
        <w:tc>
          <w:tcPr>
            <w:tcW w:w="3420" w:type="dxa"/>
            <w:vAlign w:val="bottom"/>
            <w:gridSpan w:val="2"/>
            <w:shd w:val="clear" w:color="auto" w:fill="6A6D72"/>
          </w:tcPr>
          <w:p>
            <w:pPr>
              <w:spacing w:after="0"/>
              <w:rPr>
                <w:sz w:val="6"/>
                <w:szCs w:val="6"/>
                <w:color w:val="auto"/>
              </w:rPr>
            </w:pPr>
          </w:p>
        </w:tc>
        <w:tc>
          <w:tcPr>
            <w:tcW w:w="1320" w:type="dxa"/>
            <w:vAlign w:val="bottom"/>
            <w:shd w:val="clear" w:color="auto" w:fill="6A6D72"/>
          </w:tcPr>
          <w:p>
            <w:pPr>
              <w:spacing w:after="0"/>
              <w:rPr>
                <w:sz w:val="6"/>
                <w:szCs w:val="6"/>
                <w:color w:val="auto"/>
              </w:rPr>
            </w:pPr>
          </w:p>
        </w:tc>
        <w:tc>
          <w:tcPr>
            <w:tcW w:w="120" w:type="dxa"/>
            <w:vAlign w:val="bottom"/>
            <w:shd w:val="clear" w:color="auto" w:fill="6A6D72"/>
          </w:tcPr>
          <w:p>
            <w:pPr>
              <w:spacing w:after="0"/>
              <w:rPr>
                <w:sz w:val="6"/>
                <w:szCs w:val="6"/>
                <w:color w:val="auto"/>
              </w:rPr>
            </w:pPr>
          </w:p>
        </w:tc>
        <w:tc>
          <w:tcPr>
            <w:tcW w:w="1660" w:type="dxa"/>
            <w:vAlign w:val="bottom"/>
            <w:shd w:val="clear" w:color="auto" w:fill="6A6D72"/>
          </w:tcPr>
          <w:p>
            <w:pPr>
              <w:spacing w:after="0"/>
              <w:rPr>
                <w:sz w:val="6"/>
                <w:szCs w:val="6"/>
                <w:color w:val="auto"/>
              </w:rPr>
            </w:pPr>
          </w:p>
        </w:tc>
        <w:tc>
          <w:tcPr>
            <w:tcW w:w="1800" w:type="dxa"/>
            <w:vAlign w:val="bottom"/>
            <w:shd w:val="clear" w:color="auto" w:fill="6A6D72"/>
          </w:tcPr>
          <w:p>
            <w:pPr>
              <w:spacing w:after="0"/>
              <w:rPr>
                <w:sz w:val="6"/>
                <w:szCs w:val="6"/>
                <w:color w:val="auto"/>
              </w:rPr>
            </w:pPr>
          </w:p>
        </w:tc>
        <w:tc>
          <w:tcPr>
            <w:tcW w:w="100" w:type="dxa"/>
            <w:vAlign w:val="bottom"/>
            <w:shd w:val="clear" w:color="auto" w:fill="6A6D72"/>
          </w:tcPr>
          <w:p>
            <w:pPr>
              <w:spacing w:after="0"/>
              <w:rPr>
                <w:sz w:val="6"/>
                <w:szCs w:val="6"/>
                <w:color w:val="auto"/>
              </w:rPr>
            </w:pPr>
          </w:p>
        </w:tc>
        <w:tc>
          <w:tcPr>
            <w:tcW w:w="1260" w:type="dxa"/>
            <w:vAlign w:val="bottom"/>
            <w:shd w:val="clear" w:color="auto" w:fill="6A6D72"/>
          </w:tcPr>
          <w:p>
            <w:pPr>
              <w:spacing w:after="0"/>
              <w:rPr>
                <w:sz w:val="6"/>
                <w:szCs w:val="6"/>
                <w:color w:val="auto"/>
              </w:rPr>
            </w:pPr>
          </w:p>
        </w:tc>
        <w:tc>
          <w:tcPr>
            <w:tcW w:w="320" w:type="dxa"/>
            <w:vAlign w:val="bottom"/>
            <w:shd w:val="clear" w:color="auto" w:fill="6A6D72"/>
          </w:tcPr>
          <w:p>
            <w:pPr>
              <w:spacing w:after="0"/>
              <w:rPr>
                <w:sz w:val="6"/>
                <w:szCs w:val="6"/>
                <w:color w:val="auto"/>
              </w:rPr>
            </w:pPr>
          </w:p>
        </w:tc>
        <w:tc>
          <w:tcPr>
            <w:tcW w:w="1220" w:type="dxa"/>
            <w:vAlign w:val="bottom"/>
            <w:shd w:val="clear" w:color="auto" w:fill="6A6D72"/>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420" w:type="dxa"/>
            <w:vAlign w:val="bottom"/>
            <w:gridSpan w:val="2"/>
            <w:shd w:val="clear" w:color="auto" w:fill="E1E1DF"/>
          </w:tcPr>
          <w:p>
            <w:pPr>
              <w:ind w:left="100"/>
              <w:spacing w:after="0"/>
              <w:rPr>
                <w:sz w:val="20"/>
                <w:szCs w:val="20"/>
                <w:color w:val="auto"/>
              </w:rPr>
            </w:pPr>
            <w:r>
              <w:rPr>
                <w:rFonts w:ascii="Arial" w:cs="Arial" w:eastAsia="Arial" w:hAnsi="Arial"/>
                <w:sz w:val="16"/>
                <w:szCs w:val="16"/>
                <w:b w:val="1"/>
                <w:bCs w:val="1"/>
                <w:color w:val="3B3C43"/>
              </w:rPr>
              <w:t>Q2-Q4 2020 (April - December)</w:t>
            </w:r>
          </w:p>
        </w:tc>
        <w:tc>
          <w:tcPr>
            <w:tcW w:w="1320" w:type="dxa"/>
            <w:vAlign w:val="bottom"/>
            <w:shd w:val="clear" w:color="auto" w:fill="E1E1DF"/>
          </w:tcPr>
          <w:p>
            <w:pPr>
              <w:spacing w:after="0"/>
              <w:rPr>
                <w:sz w:val="24"/>
                <w:szCs w:val="24"/>
                <w:color w:val="auto"/>
              </w:rPr>
            </w:pPr>
          </w:p>
        </w:tc>
        <w:tc>
          <w:tcPr>
            <w:tcW w:w="120" w:type="dxa"/>
            <w:vAlign w:val="bottom"/>
            <w:shd w:val="clear" w:color="auto" w:fill="E1E1DF"/>
          </w:tcPr>
          <w:p>
            <w:pPr>
              <w:spacing w:after="0"/>
              <w:rPr>
                <w:sz w:val="24"/>
                <w:szCs w:val="24"/>
                <w:color w:val="auto"/>
              </w:rPr>
            </w:pPr>
          </w:p>
        </w:tc>
        <w:tc>
          <w:tcPr>
            <w:tcW w:w="1660" w:type="dxa"/>
            <w:vAlign w:val="bottom"/>
            <w:shd w:val="clear" w:color="auto" w:fill="E1E1DF"/>
          </w:tcPr>
          <w:p>
            <w:pPr>
              <w:spacing w:after="0"/>
              <w:rPr>
                <w:sz w:val="24"/>
                <w:szCs w:val="24"/>
                <w:color w:val="auto"/>
              </w:rPr>
            </w:pPr>
          </w:p>
        </w:tc>
        <w:tc>
          <w:tcPr>
            <w:tcW w:w="1800" w:type="dxa"/>
            <w:vAlign w:val="bottom"/>
            <w:shd w:val="clear" w:color="auto" w:fill="E1E1DF"/>
          </w:tcPr>
          <w:p>
            <w:pPr>
              <w:spacing w:after="0"/>
              <w:rPr>
                <w:sz w:val="24"/>
                <w:szCs w:val="24"/>
                <w:color w:val="auto"/>
              </w:rPr>
            </w:pPr>
          </w:p>
        </w:tc>
        <w:tc>
          <w:tcPr>
            <w:tcW w:w="100" w:type="dxa"/>
            <w:vAlign w:val="bottom"/>
            <w:shd w:val="clear" w:color="auto" w:fill="E1E1DF"/>
          </w:tcPr>
          <w:p>
            <w:pPr>
              <w:spacing w:after="0"/>
              <w:rPr>
                <w:sz w:val="24"/>
                <w:szCs w:val="24"/>
                <w:color w:val="auto"/>
              </w:rPr>
            </w:pPr>
          </w:p>
        </w:tc>
        <w:tc>
          <w:tcPr>
            <w:tcW w:w="1260" w:type="dxa"/>
            <w:vAlign w:val="bottom"/>
            <w:shd w:val="clear" w:color="auto" w:fill="E1E1DF"/>
          </w:tcPr>
          <w:p>
            <w:pPr>
              <w:spacing w:after="0"/>
              <w:rPr>
                <w:sz w:val="24"/>
                <w:szCs w:val="24"/>
                <w:color w:val="auto"/>
              </w:rPr>
            </w:pPr>
          </w:p>
        </w:tc>
        <w:tc>
          <w:tcPr>
            <w:tcW w:w="320" w:type="dxa"/>
            <w:vAlign w:val="bottom"/>
            <w:shd w:val="clear" w:color="auto" w:fill="E1E1DF"/>
          </w:tcPr>
          <w:p>
            <w:pPr>
              <w:spacing w:after="0"/>
              <w:rPr>
                <w:sz w:val="24"/>
                <w:szCs w:val="24"/>
                <w:color w:val="auto"/>
              </w:rPr>
            </w:pPr>
          </w:p>
        </w:tc>
        <w:tc>
          <w:tcPr>
            <w:tcW w:w="1220" w:type="dxa"/>
            <w:vAlign w:val="bottom"/>
            <w:shd w:val="clear" w:color="auto" w:fill="E1E1DF"/>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940" w:type="dxa"/>
            <w:vAlign w:val="bottom"/>
            <w:vMerge w:val="restart"/>
            <w:shd w:val="clear" w:color="auto" w:fill="E1E1DF"/>
          </w:tcPr>
          <w:p>
            <w:pPr>
              <w:ind w:left="100"/>
              <w:spacing w:after="0"/>
              <w:rPr>
                <w:sz w:val="20"/>
                <w:szCs w:val="20"/>
                <w:color w:val="auto"/>
              </w:rPr>
            </w:pPr>
            <w:r>
              <w:rPr>
                <w:rFonts w:ascii="Arial" w:cs="Arial" w:eastAsia="Arial" w:hAnsi="Arial"/>
                <w:sz w:val="16"/>
                <w:szCs w:val="16"/>
                <w:b w:val="1"/>
                <w:bCs w:val="1"/>
                <w:color w:val="3B3C43"/>
              </w:rPr>
              <w:t>Free Cash Flow Conversion</w:t>
            </w:r>
            <w:r>
              <w:rPr>
                <w:rFonts w:ascii="Arial" w:cs="Arial" w:eastAsia="Arial" w:hAnsi="Arial"/>
                <w:sz w:val="26"/>
                <w:szCs w:val="26"/>
                <w:b w:val="1"/>
                <w:bCs w:val="1"/>
                <w:color w:val="3B3C43"/>
                <w:vertAlign w:val="superscript"/>
              </w:rPr>
              <w:t>2</w:t>
            </w:r>
          </w:p>
        </w:tc>
        <w:tc>
          <w:tcPr>
            <w:tcW w:w="480" w:type="dxa"/>
            <w:vAlign w:val="bottom"/>
            <w:shd w:val="clear" w:color="auto" w:fill="E1E1DF"/>
          </w:tcPr>
          <w:p>
            <w:pPr>
              <w:spacing w:after="0"/>
              <w:rPr>
                <w:sz w:val="24"/>
                <w:szCs w:val="24"/>
                <w:color w:val="auto"/>
              </w:rPr>
            </w:pPr>
          </w:p>
        </w:tc>
        <w:tc>
          <w:tcPr>
            <w:tcW w:w="132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30%</w:t>
            </w:r>
          </w:p>
        </w:tc>
        <w:tc>
          <w:tcPr>
            <w:tcW w:w="120" w:type="dxa"/>
            <w:vAlign w:val="bottom"/>
            <w:shd w:val="clear" w:color="auto" w:fill="E1E1DF"/>
          </w:tcPr>
          <w:p>
            <w:pPr>
              <w:spacing w:after="0"/>
              <w:rPr>
                <w:sz w:val="24"/>
                <w:szCs w:val="24"/>
                <w:color w:val="auto"/>
              </w:rPr>
            </w:pPr>
          </w:p>
        </w:tc>
        <w:tc>
          <w:tcPr>
            <w:tcW w:w="166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52.5%</w:t>
            </w:r>
          </w:p>
        </w:tc>
        <w:tc>
          <w:tcPr>
            <w:tcW w:w="180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75%</w:t>
            </w:r>
          </w:p>
        </w:tc>
        <w:tc>
          <w:tcPr>
            <w:tcW w:w="100" w:type="dxa"/>
            <w:vAlign w:val="bottom"/>
            <w:shd w:val="clear" w:color="auto" w:fill="E1E1DF"/>
          </w:tcPr>
          <w:p>
            <w:pPr>
              <w:spacing w:after="0"/>
              <w:rPr>
                <w:sz w:val="24"/>
                <w:szCs w:val="24"/>
                <w:color w:val="auto"/>
              </w:rPr>
            </w:pPr>
          </w:p>
        </w:tc>
        <w:tc>
          <w:tcPr>
            <w:tcW w:w="1580" w:type="dxa"/>
            <w:vAlign w:val="bottom"/>
            <w:gridSpan w:val="2"/>
            <w:shd w:val="clear" w:color="auto" w:fill="E1E1DF"/>
          </w:tcPr>
          <w:p>
            <w:pPr>
              <w:jc w:val="right"/>
              <w:ind w:right="320"/>
              <w:spacing w:after="0"/>
              <w:rPr>
                <w:sz w:val="20"/>
                <w:szCs w:val="20"/>
                <w:color w:val="auto"/>
              </w:rPr>
            </w:pPr>
            <w:r>
              <w:rPr>
                <w:rFonts w:ascii="Arial" w:cs="Arial" w:eastAsia="Arial" w:hAnsi="Arial"/>
                <w:sz w:val="16"/>
                <w:szCs w:val="16"/>
                <w:color w:val="3B3C43"/>
              </w:rPr>
              <w:t>Greater than</w:t>
            </w:r>
          </w:p>
        </w:tc>
        <w:tc>
          <w:tcPr>
            <w:tcW w:w="122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100%</w:t>
            </w:r>
          </w:p>
        </w:tc>
        <w:tc>
          <w:tcPr>
            <w:tcW w:w="0" w:type="dxa"/>
            <w:vAlign w:val="bottom"/>
          </w:tcPr>
          <w:p>
            <w:pPr>
              <w:spacing w:after="0"/>
              <w:rPr>
                <w:sz w:val="1"/>
                <w:szCs w:val="1"/>
                <w:color w:val="auto"/>
              </w:rPr>
            </w:pPr>
          </w:p>
        </w:tc>
      </w:tr>
      <w:tr>
        <w:trPr>
          <w:trHeight w:val="329"/>
        </w:trPr>
        <w:tc>
          <w:tcPr>
            <w:tcW w:w="2940" w:type="dxa"/>
            <w:vAlign w:val="bottom"/>
            <w:vMerge w:val="continue"/>
            <w:shd w:val="clear" w:color="auto" w:fill="E1E1DF"/>
          </w:tcPr>
          <w:p>
            <w:pPr>
              <w:spacing w:after="0"/>
              <w:rPr>
                <w:sz w:val="24"/>
                <w:szCs w:val="24"/>
                <w:color w:val="auto"/>
              </w:rPr>
            </w:pPr>
          </w:p>
        </w:tc>
        <w:tc>
          <w:tcPr>
            <w:tcW w:w="480" w:type="dxa"/>
            <w:vAlign w:val="bottom"/>
            <w:shd w:val="clear" w:color="auto" w:fill="E1E1DF"/>
          </w:tcPr>
          <w:p>
            <w:pPr>
              <w:spacing w:after="0"/>
              <w:rPr>
                <w:sz w:val="24"/>
                <w:szCs w:val="24"/>
                <w:color w:val="auto"/>
              </w:rPr>
            </w:pPr>
          </w:p>
        </w:tc>
        <w:tc>
          <w:tcPr>
            <w:tcW w:w="1320" w:type="dxa"/>
            <w:vAlign w:val="bottom"/>
            <w:shd w:val="clear" w:color="auto" w:fill="E1E1DF"/>
          </w:tcPr>
          <w:p>
            <w:pPr>
              <w:spacing w:after="0"/>
              <w:rPr>
                <w:sz w:val="24"/>
                <w:szCs w:val="24"/>
                <w:color w:val="auto"/>
              </w:rPr>
            </w:pPr>
          </w:p>
        </w:tc>
        <w:tc>
          <w:tcPr>
            <w:tcW w:w="120" w:type="dxa"/>
            <w:vAlign w:val="bottom"/>
            <w:shd w:val="clear" w:color="auto" w:fill="E1E1DF"/>
          </w:tcPr>
          <w:p>
            <w:pPr>
              <w:spacing w:after="0"/>
              <w:rPr>
                <w:sz w:val="24"/>
                <w:szCs w:val="24"/>
                <w:color w:val="auto"/>
              </w:rPr>
            </w:pPr>
          </w:p>
        </w:tc>
        <w:tc>
          <w:tcPr>
            <w:tcW w:w="1660" w:type="dxa"/>
            <w:vAlign w:val="bottom"/>
            <w:shd w:val="clear" w:color="auto" w:fill="E1E1DF"/>
          </w:tcPr>
          <w:p>
            <w:pPr>
              <w:spacing w:after="0"/>
              <w:rPr>
                <w:sz w:val="24"/>
                <w:szCs w:val="24"/>
                <w:color w:val="auto"/>
              </w:rPr>
            </w:pPr>
          </w:p>
        </w:tc>
        <w:tc>
          <w:tcPr>
            <w:tcW w:w="1800" w:type="dxa"/>
            <w:vAlign w:val="bottom"/>
            <w:shd w:val="clear" w:color="auto" w:fill="E1E1DF"/>
          </w:tcPr>
          <w:p>
            <w:pPr>
              <w:spacing w:after="0"/>
              <w:rPr>
                <w:sz w:val="24"/>
                <w:szCs w:val="24"/>
                <w:color w:val="auto"/>
              </w:rPr>
            </w:pPr>
          </w:p>
        </w:tc>
        <w:tc>
          <w:tcPr>
            <w:tcW w:w="1680" w:type="dxa"/>
            <w:vAlign w:val="bottom"/>
            <w:gridSpan w:val="3"/>
            <w:shd w:val="clear" w:color="auto" w:fill="E1E1DF"/>
          </w:tcPr>
          <w:p>
            <w:pPr>
              <w:jc w:val="right"/>
              <w:ind w:right="320"/>
              <w:spacing w:after="0"/>
              <w:rPr>
                <w:sz w:val="20"/>
                <w:szCs w:val="20"/>
                <w:color w:val="auto"/>
              </w:rPr>
            </w:pPr>
            <w:r>
              <w:rPr>
                <w:rFonts w:ascii="Arial" w:cs="Arial" w:eastAsia="Arial" w:hAnsi="Arial"/>
                <w:sz w:val="16"/>
                <w:szCs w:val="16"/>
                <w:color w:val="3B3C43"/>
              </w:rPr>
              <w:t>75%</w:t>
            </w:r>
          </w:p>
        </w:tc>
        <w:tc>
          <w:tcPr>
            <w:tcW w:w="1220" w:type="dxa"/>
            <w:vAlign w:val="bottom"/>
            <w:shd w:val="clear" w:color="auto" w:fill="E1E1DF"/>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94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Incremental Cost</w:t>
            </w:r>
          </w:p>
        </w:tc>
        <w:tc>
          <w:tcPr>
            <w:tcW w:w="480" w:type="dxa"/>
            <w:vAlign w:val="bottom"/>
            <w:shd w:val="clear" w:color="auto" w:fill="E1E1DF"/>
          </w:tcPr>
          <w:p>
            <w:pPr>
              <w:spacing w:after="0"/>
              <w:rPr>
                <w:sz w:val="24"/>
                <w:szCs w:val="24"/>
                <w:color w:val="auto"/>
              </w:rPr>
            </w:pPr>
          </w:p>
        </w:tc>
        <w:tc>
          <w:tcPr>
            <w:tcW w:w="132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$300 million</w:t>
            </w:r>
          </w:p>
        </w:tc>
        <w:tc>
          <w:tcPr>
            <w:tcW w:w="120" w:type="dxa"/>
            <w:vAlign w:val="bottom"/>
            <w:shd w:val="clear" w:color="auto" w:fill="E1E1DF"/>
          </w:tcPr>
          <w:p>
            <w:pPr>
              <w:spacing w:after="0"/>
              <w:rPr>
                <w:sz w:val="24"/>
                <w:szCs w:val="24"/>
                <w:color w:val="auto"/>
              </w:rPr>
            </w:pPr>
          </w:p>
        </w:tc>
        <w:tc>
          <w:tcPr>
            <w:tcW w:w="166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$350 million</w:t>
            </w:r>
          </w:p>
        </w:tc>
        <w:tc>
          <w:tcPr>
            <w:tcW w:w="180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$400 million</w:t>
            </w:r>
          </w:p>
        </w:tc>
        <w:tc>
          <w:tcPr>
            <w:tcW w:w="100" w:type="dxa"/>
            <w:vAlign w:val="bottom"/>
            <w:shd w:val="clear" w:color="auto" w:fill="E1E1DF"/>
          </w:tcPr>
          <w:p>
            <w:pPr>
              <w:spacing w:after="0"/>
              <w:rPr>
                <w:sz w:val="24"/>
                <w:szCs w:val="24"/>
                <w:color w:val="auto"/>
              </w:rPr>
            </w:pPr>
          </w:p>
        </w:tc>
        <w:tc>
          <w:tcPr>
            <w:tcW w:w="1580" w:type="dxa"/>
            <w:vAlign w:val="bottom"/>
            <w:gridSpan w:val="2"/>
            <w:shd w:val="clear" w:color="auto" w:fill="E1E1DF"/>
          </w:tcPr>
          <w:p>
            <w:pPr>
              <w:jc w:val="right"/>
              <w:ind w:right="320"/>
              <w:spacing w:after="0"/>
              <w:rPr>
                <w:sz w:val="20"/>
                <w:szCs w:val="20"/>
                <w:color w:val="auto"/>
              </w:rPr>
            </w:pPr>
            <w:r>
              <w:rPr>
                <w:rFonts w:ascii="Arial" w:cs="Arial" w:eastAsia="Arial" w:hAnsi="Arial"/>
                <w:sz w:val="16"/>
                <w:szCs w:val="16"/>
                <w:color w:val="3B3C43"/>
              </w:rPr>
              <w:t>Greater than</w:t>
            </w:r>
          </w:p>
        </w:tc>
        <w:tc>
          <w:tcPr>
            <w:tcW w:w="122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100%</w:t>
            </w:r>
          </w:p>
        </w:tc>
        <w:tc>
          <w:tcPr>
            <w:tcW w:w="0" w:type="dxa"/>
            <w:vAlign w:val="bottom"/>
          </w:tcPr>
          <w:p>
            <w:pPr>
              <w:spacing w:after="0"/>
              <w:rPr>
                <w:sz w:val="1"/>
                <w:szCs w:val="1"/>
                <w:color w:val="auto"/>
              </w:rPr>
            </w:pPr>
          </w:p>
        </w:tc>
      </w:tr>
      <w:tr>
        <w:trPr>
          <w:trHeight w:val="215"/>
        </w:trPr>
        <w:tc>
          <w:tcPr>
            <w:tcW w:w="294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Savings</w:t>
            </w:r>
          </w:p>
        </w:tc>
        <w:tc>
          <w:tcPr>
            <w:tcW w:w="480" w:type="dxa"/>
            <w:vAlign w:val="bottom"/>
            <w:shd w:val="clear" w:color="auto" w:fill="E1E1DF"/>
          </w:tcPr>
          <w:p>
            <w:pPr>
              <w:spacing w:after="0"/>
              <w:rPr>
                <w:sz w:val="18"/>
                <w:szCs w:val="18"/>
                <w:color w:val="auto"/>
              </w:rPr>
            </w:pPr>
          </w:p>
        </w:tc>
        <w:tc>
          <w:tcPr>
            <w:tcW w:w="1320" w:type="dxa"/>
            <w:vAlign w:val="bottom"/>
            <w:shd w:val="clear" w:color="auto" w:fill="E1E1DF"/>
          </w:tcPr>
          <w:p>
            <w:pPr>
              <w:spacing w:after="0"/>
              <w:rPr>
                <w:sz w:val="18"/>
                <w:szCs w:val="18"/>
                <w:color w:val="auto"/>
              </w:rPr>
            </w:pPr>
          </w:p>
        </w:tc>
        <w:tc>
          <w:tcPr>
            <w:tcW w:w="120" w:type="dxa"/>
            <w:vAlign w:val="bottom"/>
            <w:shd w:val="clear" w:color="auto" w:fill="E1E1DF"/>
          </w:tcPr>
          <w:p>
            <w:pPr>
              <w:spacing w:after="0"/>
              <w:rPr>
                <w:sz w:val="18"/>
                <w:szCs w:val="18"/>
                <w:color w:val="auto"/>
              </w:rPr>
            </w:pPr>
          </w:p>
        </w:tc>
        <w:tc>
          <w:tcPr>
            <w:tcW w:w="1660" w:type="dxa"/>
            <w:vAlign w:val="bottom"/>
            <w:shd w:val="clear" w:color="auto" w:fill="E1E1DF"/>
          </w:tcPr>
          <w:p>
            <w:pPr>
              <w:spacing w:after="0"/>
              <w:rPr>
                <w:sz w:val="18"/>
                <w:szCs w:val="18"/>
                <w:color w:val="auto"/>
              </w:rPr>
            </w:pPr>
          </w:p>
        </w:tc>
        <w:tc>
          <w:tcPr>
            <w:tcW w:w="1800" w:type="dxa"/>
            <w:vAlign w:val="bottom"/>
            <w:shd w:val="clear" w:color="auto" w:fill="E1E1DF"/>
          </w:tcPr>
          <w:p>
            <w:pPr>
              <w:spacing w:after="0"/>
              <w:rPr>
                <w:sz w:val="18"/>
                <w:szCs w:val="18"/>
                <w:color w:val="auto"/>
              </w:rPr>
            </w:pPr>
          </w:p>
        </w:tc>
        <w:tc>
          <w:tcPr>
            <w:tcW w:w="100" w:type="dxa"/>
            <w:vAlign w:val="bottom"/>
            <w:shd w:val="clear" w:color="auto" w:fill="E1E1DF"/>
          </w:tcPr>
          <w:p>
            <w:pPr>
              <w:spacing w:after="0"/>
              <w:rPr>
                <w:sz w:val="18"/>
                <w:szCs w:val="18"/>
                <w:color w:val="auto"/>
              </w:rPr>
            </w:pPr>
          </w:p>
        </w:tc>
        <w:tc>
          <w:tcPr>
            <w:tcW w:w="1580" w:type="dxa"/>
            <w:vAlign w:val="bottom"/>
            <w:gridSpan w:val="2"/>
            <w:shd w:val="clear" w:color="auto" w:fill="E1E1DF"/>
          </w:tcPr>
          <w:p>
            <w:pPr>
              <w:jc w:val="right"/>
              <w:ind w:right="320"/>
              <w:spacing w:after="0"/>
              <w:rPr>
                <w:sz w:val="20"/>
                <w:szCs w:val="20"/>
                <w:color w:val="auto"/>
              </w:rPr>
            </w:pPr>
            <w:r>
              <w:rPr>
                <w:rFonts w:ascii="Arial" w:cs="Arial" w:eastAsia="Arial" w:hAnsi="Arial"/>
                <w:sz w:val="16"/>
                <w:szCs w:val="16"/>
                <w:color w:val="3B3C43"/>
              </w:rPr>
              <w:t>$400 million</w:t>
            </w:r>
          </w:p>
        </w:tc>
        <w:tc>
          <w:tcPr>
            <w:tcW w:w="1220" w:type="dxa"/>
            <w:vAlign w:val="bottom"/>
            <w:shd w:val="clear" w:color="auto" w:fill="E1E1D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294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Payout Percentage</w:t>
            </w:r>
          </w:p>
        </w:tc>
        <w:tc>
          <w:tcPr>
            <w:tcW w:w="480" w:type="dxa"/>
            <w:vAlign w:val="bottom"/>
            <w:shd w:val="clear" w:color="auto" w:fill="E1E1DF"/>
          </w:tcPr>
          <w:p>
            <w:pPr>
              <w:spacing w:after="0"/>
              <w:rPr>
                <w:sz w:val="24"/>
                <w:szCs w:val="24"/>
                <w:color w:val="auto"/>
              </w:rPr>
            </w:pPr>
          </w:p>
        </w:tc>
        <w:tc>
          <w:tcPr>
            <w:tcW w:w="132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0%</w:t>
            </w:r>
          </w:p>
        </w:tc>
        <w:tc>
          <w:tcPr>
            <w:tcW w:w="120" w:type="dxa"/>
            <w:vAlign w:val="bottom"/>
            <w:shd w:val="clear" w:color="auto" w:fill="E1E1DF"/>
          </w:tcPr>
          <w:p>
            <w:pPr>
              <w:spacing w:after="0"/>
              <w:rPr>
                <w:sz w:val="24"/>
                <w:szCs w:val="24"/>
                <w:color w:val="auto"/>
              </w:rPr>
            </w:pPr>
          </w:p>
        </w:tc>
        <w:tc>
          <w:tcPr>
            <w:tcW w:w="1660" w:type="dxa"/>
            <w:vAlign w:val="bottom"/>
            <w:shd w:val="clear" w:color="auto" w:fill="E1E1DF"/>
          </w:tcPr>
          <w:p>
            <w:pPr>
              <w:jc w:val="right"/>
              <w:spacing w:after="0"/>
              <w:rPr>
                <w:sz w:val="20"/>
                <w:szCs w:val="20"/>
                <w:color w:val="auto"/>
              </w:rPr>
            </w:pPr>
            <w:r>
              <w:rPr>
                <w:rFonts w:ascii="Arial" w:cs="Arial" w:eastAsia="Arial" w:hAnsi="Arial"/>
                <w:sz w:val="16"/>
                <w:szCs w:val="16"/>
                <w:color w:val="3B3C43"/>
              </w:rPr>
              <w:t>100%</w:t>
            </w:r>
          </w:p>
        </w:tc>
        <w:tc>
          <w:tcPr>
            <w:tcW w:w="1800" w:type="dxa"/>
            <w:vAlign w:val="bottom"/>
            <w:shd w:val="clear" w:color="auto" w:fill="E1E1DF"/>
          </w:tcPr>
          <w:p>
            <w:pPr>
              <w:jc w:val="right"/>
              <w:ind w:right="19"/>
              <w:spacing w:after="0"/>
              <w:rPr>
                <w:sz w:val="20"/>
                <w:szCs w:val="20"/>
                <w:color w:val="auto"/>
              </w:rPr>
            </w:pPr>
            <w:r>
              <w:rPr>
                <w:rFonts w:ascii="Arial" w:cs="Arial" w:eastAsia="Arial" w:hAnsi="Arial"/>
                <w:sz w:val="16"/>
                <w:szCs w:val="16"/>
                <w:color w:val="3B3C43"/>
              </w:rPr>
              <w:t>100%</w:t>
            </w:r>
            <w:r>
              <w:rPr>
                <w:rFonts w:ascii="Arial" w:cs="Arial" w:eastAsia="Arial" w:hAnsi="Arial"/>
                <w:sz w:val="26"/>
                <w:szCs w:val="26"/>
                <w:color w:val="3B3C43"/>
                <w:vertAlign w:val="superscript"/>
              </w:rPr>
              <w:t>4</w:t>
            </w:r>
          </w:p>
        </w:tc>
        <w:tc>
          <w:tcPr>
            <w:tcW w:w="100" w:type="dxa"/>
            <w:vAlign w:val="bottom"/>
            <w:shd w:val="clear" w:color="auto" w:fill="E1E1DF"/>
          </w:tcPr>
          <w:p>
            <w:pPr>
              <w:spacing w:after="0"/>
              <w:rPr>
                <w:sz w:val="24"/>
                <w:szCs w:val="24"/>
                <w:color w:val="auto"/>
              </w:rPr>
            </w:pPr>
          </w:p>
        </w:tc>
        <w:tc>
          <w:tcPr>
            <w:tcW w:w="1260" w:type="dxa"/>
            <w:vAlign w:val="bottom"/>
            <w:shd w:val="clear" w:color="auto" w:fill="E1E1DF"/>
          </w:tcPr>
          <w:p>
            <w:pPr>
              <w:spacing w:after="0"/>
              <w:rPr>
                <w:sz w:val="24"/>
                <w:szCs w:val="24"/>
                <w:color w:val="auto"/>
              </w:rPr>
            </w:pPr>
          </w:p>
        </w:tc>
        <w:tc>
          <w:tcPr>
            <w:tcW w:w="320" w:type="dxa"/>
            <w:vAlign w:val="bottom"/>
            <w:shd w:val="clear" w:color="auto" w:fill="E1E1DF"/>
          </w:tcPr>
          <w:p>
            <w:pPr>
              <w:spacing w:after="0"/>
              <w:rPr>
                <w:sz w:val="24"/>
                <w:szCs w:val="24"/>
                <w:color w:val="auto"/>
              </w:rPr>
            </w:pPr>
          </w:p>
        </w:tc>
        <w:tc>
          <w:tcPr>
            <w:tcW w:w="1220" w:type="dxa"/>
            <w:vAlign w:val="bottom"/>
            <w:shd w:val="clear" w:color="auto" w:fill="E1E1DF"/>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60" w:type="dxa"/>
            <w:vAlign w:val="bottom"/>
            <w:gridSpan w:val="4"/>
            <w:shd w:val="clear" w:color="auto" w:fill="6A6D72"/>
          </w:tcPr>
          <w:p>
            <w:pPr>
              <w:ind w:left="100"/>
              <w:spacing w:after="0"/>
              <w:rPr>
                <w:sz w:val="20"/>
                <w:szCs w:val="20"/>
                <w:color w:val="auto"/>
              </w:rPr>
            </w:pPr>
            <w:r>
              <w:rPr>
                <w:rFonts w:ascii="Arial" w:cs="Arial" w:eastAsia="Arial" w:hAnsi="Arial"/>
                <w:sz w:val="16"/>
                <w:szCs w:val="16"/>
                <w:b w:val="1"/>
                <w:bCs w:val="1"/>
                <w:color w:val="FFFFFF"/>
              </w:rPr>
              <w:t>Final BPI Payout Percentage for Q2-Q4 2020 (75% Weighting)</w:t>
            </w:r>
          </w:p>
        </w:tc>
        <w:tc>
          <w:tcPr>
            <w:tcW w:w="1660" w:type="dxa"/>
            <w:vAlign w:val="bottom"/>
            <w:shd w:val="clear" w:color="auto" w:fill="6A6D72"/>
          </w:tcPr>
          <w:p>
            <w:pPr>
              <w:spacing w:after="0"/>
              <w:rPr>
                <w:sz w:val="24"/>
                <w:szCs w:val="24"/>
                <w:color w:val="auto"/>
              </w:rPr>
            </w:pPr>
          </w:p>
        </w:tc>
        <w:tc>
          <w:tcPr>
            <w:tcW w:w="1800" w:type="dxa"/>
            <w:vAlign w:val="bottom"/>
            <w:shd w:val="clear" w:color="auto" w:fill="6A6D72"/>
          </w:tcPr>
          <w:p>
            <w:pPr>
              <w:spacing w:after="0"/>
              <w:rPr>
                <w:sz w:val="24"/>
                <w:szCs w:val="24"/>
                <w:color w:val="auto"/>
              </w:rPr>
            </w:pPr>
          </w:p>
        </w:tc>
        <w:tc>
          <w:tcPr>
            <w:tcW w:w="100" w:type="dxa"/>
            <w:vAlign w:val="bottom"/>
            <w:shd w:val="clear" w:color="auto" w:fill="6A6D72"/>
          </w:tcPr>
          <w:p>
            <w:pPr>
              <w:spacing w:after="0"/>
              <w:rPr>
                <w:sz w:val="24"/>
                <w:szCs w:val="24"/>
                <w:color w:val="auto"/>
              </w:rPr>
            </w:pPr>
          </w:p>
        </w:tc>
        <w:tc>
          <w:tcPr>
            <w:tcW w:w="1260" w:type="dxa"/>
            <w:vAlign w:val="bottom"/>
            <w:shd w:val="clear" w:color="auto" w:fill="6A6D72"/>
          </w:tcPr>
          <w:p>
            <w:pPr>
              <w:spacing w:after="0"/>
              <w:rPr>
                <w:sz w:val="24"/>
                <w:szCs w:val="24"/>
                <w:color w:val="auto"/>
              </w:rPr>
            </w:pPr>
          </w:p>
        </w:tc>
        <w:tc>
          <w:tcPr>
            <w:tcW w:w="320" w:type="dxa"/>
            <w:vAlign w:val="bottom"/>
            <w:shd w:val="clear" w:color="auto" w:fill="6A6D72"/>
          </w:tcPr>
          <w:p>
            <w:pPr>
              <w:spacing w:after="0"/>
              <w:rPr>
                <w:sz w:val="24"/>
                <w:szCs w:val="24"/>
                <w:color w:val="auto"/>
              </w:rPr>
            </w:pPr>
          </w:p>
        </w:tc>
        <w:tc>
          <w:tcPr>
            <w:tcW w:w="1220" w:type="dxa"/>
            <w:vAlign w:val="bottom"/>
            <w:shd w:val="clear" w:color="auto" w:fill="6A6D72"/>
          </w:tcPr>
          <w:p>
            <w:pPr>
              <w:jc w:val="right"/>
              <w:spacing w:after="0"/>
              <w:rPr>
                <w:sz w:val="20"/>
                <w:szCs w:val="20"/>
                <w:color w:val="auto"/>
              </w:rPr>
            </w:pPr>
            <w:r>
              <w:rPr>
                <w:rFonts w:ascii="Arial" w:cs="Arial" w:eastAsia="Arial" w:hAnsi="Arial"/>
                <w:sz w:val="16"/>
                <w:szCs w:val="16"/>
                <w:b w:val="1"/>
                <w:bCs w:val="1"/>
                <w:color w:val="FFFFFF"/>
              </w:rPr>
              <w:t>100%</w:t>
            </w:r>
          </w:p>
        </w:tc>
        <w:tc>
          <w:tcPr>
            <w:tcW w:w="0" w:type="dxa"/>
            <w:vAlign w:val="bottom"/>
          </w:tcPr>
          <w:p>
            <w:pPr>
              <w:spacing w:after="0"/>
              <w:rPr>
                <w:sz w:val="1"/>
                <w:szCs w:val="1"/>
                <w:color w:val="auto"/>
              </w:rPr>
            </w:pPr>
          </w:p>
        </w:tc>
      </w:tr>
      <w:tr>
        <w:trPr>
          <w:trHeight w:val="351"/>
        </w:trPr>
        <w:tc>
          <w:tcPr>
            <w:tcW w:w="3420" w:type="dxa"/>
            <w:vAlign w:val="bottom"/>
            <w:gridSpan w:val="2"/>
            <w:shd w:val="clear" w:color="auto" w:fill="6A6D72"/>
          </w:tcPr>
          <w:p>
            <w:pPr>
              <w:ind w:left="100"/>
              <w:spacing w:after="0"/>
              <w:rPr>
                <w:sz w:val="20"/>
                <w:szCs w:val="20"/>
                <w:color w:val="auto"/>
              </w:rPr>
            </w:pPr>
            <w:r>
              <w:rPr>
                <w:rFonts w:ascii="Arial" w:cs="Arial" w:eastAsia="Arial" w:hAnsi="Arial"/>
                <w:sz w:val="16"/>
                <w:szCs w:val="16"/>
                <w:b w:val="1"/>
                <w:bCs w:val="1"/>
                <w:color w:val="FFFFFF"/>
              </w:rPr>
              <w:t>Final Weighted Payout Percentage (BPI)</w:t>
            </w:r>
          </w:p>
        </w:tc>
        <w:tc>
          <w:tcPr>
            <w:tcW w:w="1320" w:type="dxa"/>
            <w:vAlign w:val="bottom"/>
            <w:shd w:val="clear" w:color="auto" w:fill="6A6D72"/>
          </w:tcPr>
          <w:p>
            <w:pPr>
              <w:spacing w:after="0"/>
              <w:rPr>
                <w:sz w:val="24"/>
                <w:szCs w:val="24"/>
                <w:color w:val="auto"/>
              </w:rPr>
            </w:pPr>
          </w:p>
        </w:tc>
        <w:tc>
          <w:tcPr>
            <w:tcW w:w="120" w:type="dxa"/>
            <w:vAlign w:val="bottom"/>
            <w:shd w:val="clear" w:color="auto" w:fill="6A6D72"/>
          </w:tcPr>
          <w:p>
            <w:pPr>
              <w:spacing w:after="0"/>
              <w:rPr>
                <w:sz w:val="24"/>
                <w:szCs w:val="24"/>
                <w:color w:val="auto"/>
              </w:rPr>
            </w:pPr>
          </w:p>
        </w:tc>
        <w:tc>
          <w:tcPr>
            <w:tcW w:w="1660" w:type="dxa"/>
            <w:vAlign w:val="bottom"/>
            <w:shd w:val="clear" w:color="auto" w:fill="6A6D72"/>
          </w:tcPr>
          <w:p>
            <w:pPr>
              <w:spacing w:after="0"/>
              <w:rPr>
                <w:sz w:val="24"/>
                <w:szCs w:val="24"/>
                <w:color w:val="auto"/>
              </w:rPr>
            </w:pPr>
          </w:p>
        </w:tc>
        <w:tc>
          <w:tcPr>
            <w:tcW w:w="1800" w:type="dxa"/>
            <w:vAlign w:val="bottom"/>
            <w:shd w:val="clear" w:color="auto" w:fill="6A6D72"/>
          </w:tcPr>
          <w:p>
            <w:pPr>
              <w:spacing w:after="0"/>
              <w:rPr>
                <w:sz w:val="24"/>
                <w:szCs w:val="24"/>
                <w:color w:val="auto"/>
              </w:rPr>
            </w:pPr>
          </w:p>
        </w:tc>
        <w:tc>
          <w:tcPr>
            <w:tcW w:w="100" w:type="dxa"/>
            <w:vAlign w:val="bottom"/>
            <w:shd w:val="clear" w:color="auto" w:fill="6A6D72"/>
          </w:tcPr>
          <w:p>
            <w:pPr>
              <w:spacing w:after="0"/>
              <w:rPr>
                <w:sz w:val="24"/>
                <w:szCs w:val="24"/>
                <w:color w:val="auto"/>
              </w:rPr>
            </w:pPr>
          </w:p>
        </w:tc>
        <w:tc>
          <w:tcPr>
            <w:tcW w:w="1260" w:type="dxa"/>
            <w:vAlign w:val="bottom"/>
            <w:shd w:val="clear" w:color="auto" w:fill="6A6D72"/>
          </w:tcPr>
          <w:p>
            <w:pPr>
              <w:spacing w:after="0"/>
              <w:rPr>
                <w:sz w:val="24"/>
                <w:szCs w:val="24"/>
                <w:color w:val="auto"/>
              </w:rPr>
            </w:pPr>
          </w:p>
        </w:tc>
        <w:tc>
          <w:tcPr>
            <w:tcW w:w="320" w:type="dxa"/>
            <w:vAlign w:val="bottom"/>
            <w:shd w:val="clear" w:color="auto" w:fill="6A6D72"/>
          </w:tcPr>
          <w:p>
            <w:pPr>
              <w:spacing w:after="0"/>
              <w:rPr>
                <w:sz w:val="24"/>
                <w:szCs w:val="24"/>
                <w:color w:val="auto"/>
              </w:rPr>
            </w:pPr>
          </w:p>
        </w:tc>
        <w:tc>
          <w:tcPr>
            <w:tcW w:w="1220" w:type="dxa"/>
            <w:vAlign w:val="bottom"/>
            <w:shd w:val="clear" w:color="auto" w:fill="6A6D72"/>
          </w:tcPr>
          <w:p>
            <w:pPr>
              <w:jc w:val="right"/>
              <w:spacing w:after="0"/>
              <w:rPr>
                <w:sz w:val="20"/>
                <w:szCs w:val="20"/>
                <w:color w:val="auto"/>
              </w:rPr>
            </w:pPr>
            <w:r>
              <w:rPr>
                <w:rFonts w:ascii="Arial" w:cs="Arial" w:eastAsia="Arial" w:hAnsi="Arial"/>
                <w:sz w:val="16"/>
                <w:szCs w:val="16"/>
                <w:b w:val="1"/>
                <w:bCs w:val="1"/>
                <w:color w:val="FFFFFF"/>
              </w:rPr>
              <w:t>75%</w:t>
            </w:r>
          </w:p>
        </w:tc>
        <w:tc>
          <w:tcPr>
            <w:tcW w:w="0" w:type="dxa"/>
            <w:vAlign w:val="bottom"/>
          </w:tcPr>
          <w:p>
            <w:pPr>
              <w:spacing w:after="0"/>
              <w:rPr>
                <w:sz w:val="1"/>
                <w:szCs w:val="1"/>
                <w:color w:val="auto"/>
              </w:rPr>
            </w:pPr>
          </w:p>
        </w:tc>
      </w:tr>
      <w:tr>
        <w:trPr>
          <w:trHeight w:val="74"/>
        </w:trPr>
        <w:tc>
          <w:tcPr>
            <w:tcW w:w="2940" w:type="dxa"/>
            <w:vAlign w:val="bottom"/>
            <w:shd w:val="clear" w:color="auto" w:fill="6A6D72"/>
          </w:tcPr>
          <w:p>
            <w:pPr>
              <w:spacing w:after="0"/>
              <w:rPr>
                <w:sz w:val="6"/>
                <w:szCs w:val="6"/>
                <w:color w:val="auto"/>
              </w:rPr>
            </w:pPr>
          </w:p>
        </w:tc>
        <w:tc>
          <w:tcPr>
            <w:tcW w:w="480" w:type="dxa"/>
            <w:vAlign w:val="bottom"/>
            <w:shd w:val="clear" w:color="auto" w:fill="6A6D72"/>
          </w:tcPr>
          <w:p>
            <w:pPr>
              <w:spacing w:after="0"/>
              <w:rPr>
                <w:sz w:val="6"/>
                <w:szCs w:val="6"/>
                <w:color w:val="auto"/>
              </w:rPr>
            </w:pPr>
          </w:p>
        </w:tc>
        <w:tc>
          <w:tcPr>
            <w:tcW w:w="1320" w:type="dxa"/>
            <w:vAlign w:val="bottom"/>
            <w:shd w:val="clear" w:color="auto" w:fill="6A6D72"/>
          </w:tcPr>
          <w:p>
            <w:pPr>
              <w:spacing w:after="0"/>
              <w:rPr>
                <w:sz w:val="6"/>
                <w:szCs w:val="6"/>
                <w:color w:val="auto"/>
              </w:rPr>
            </w:pPr>
          </w:p>
        </w:tc>
        <w:tc>
          <w:tcPr>
            <w:tcW w:w="120" w:type="dxa"/>
            <w:vAlign w:val="bottom"/>
            <w:shd w:val="clear" w:color="auto" w:fill="6A6D72"/>
          </w:tcPr>
          <w:p>
            <w:pPr>
              <w:spacing w:after="0"/>
              <w:rPr>
                <w:sz w:val="6"/>
                <w:szCs w:val="6"/>
                <w:color w:val="auto"/>
              </w:rPr>
            </w:pPr>
          </w:p>
        </w:tc>
        <w:tc>
          <w:tcPr>
            <w:tcW w:w="1660" w:type="dxa"/>
            <w:vAlign w:val="bottom"/>
            <w:shd w:val="clear" w:color="auto" w:fill="6A6D72"/>
          </w:tcPr>
          <w:p>
            <w:pPr>
              <w:spacing w:after="0"/>
              <w:rPr>
                <w:sz w:val="6"/>
                <w:szCs w:val="6"/>
                <w:color w:val="auto"/>
              </w:rPr>
            </w:pPr>
          </w:p>
        </w:tc>
        <w:tc>
          <w:tcPr>
            <w:tcW w:w="1800" w:type="dxa"/>
            <w:vAlign w:val="bottom"/>
            <w:shd w:val="clear" w:color="auto" w:fill="6A6D72"/>
          </w:tcPr>
          <w:p>
            <w:pPr>
              <w:spacing w:after="0"/>
              <w:rPr>
                <w:sz w:val="6"/>
                <w:szCs w:val="6"/>
                <w:color w:val="auto"/>
              </w:rPr>
            </w:pPr>
          </w:p>
        </w:tc>
        <w:tc>
          <w:tcPr>
            <w:tcW w:w="100" w:type="dxa"/>
            <w:vAlign w:val="bottom"/>
            <w:shd w:val="clear" w:color="auto" w:fill="6A6D72"/>
          </w:tcPr>
          <w:p>
            <w:pPr>
              <w:spacing w:after="0"/>
              <w:rPr>
                <w:sz w:val="6"/>
                <w:szCs w:val="6"/>
                <w:color w:val="auto"/>
              </w:rPr>
            </w:pPr>
          </w:p>
        </w:tc>
        <w:tc>
          <w:tcPr>
            <w:tcW w:w="1260" w:type="dxa"/>
            <w:vAlign w:val="bottom"/>
            <w:shd w:val="clear" w:color="auto" w:fill="6A6D72"/>
          </w:tcPr>
          <w:p>
            <w:pPr>
              <w:spacing w:after="0"/>
              <w:rPr>
                <w:sz w:val="6"/>
                <w:szCs w:val="6"/>
                <w:color w:val="auto"/>
              </w:rPr>
            </w:pPr>
          </w:p>
        </w:tc>
        <w:tc>
          <w:tcPr>
            <w:tcW w:w="320" w:type="dxa"/>
            <w:vAlign w:val="bottom"/>
            <w:shd w:val="clear" w:color="auto" w:fill="6A6D72"/>
          </w:tcPr>
          <w:p>
            <w:pPr>
              <w:spacing w:after="0"/>
              <w:rPr>
                <w:sz w:val="6"/>
                <w:szCs w:val="6"/>
                <w:color w:val="auto"/>
              </w:rPr>
            </w:pPr>
          </w:p>
        </w:tc>
        <w:tc>
          <w:tcPr>
            <w:tcW w:w="1220" w:type="dxa"/>
            <w:vAlign w:val="bottom"/>
            <w:shd w:val="clear" w:color="auto" w:fill="6A6D72"/>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-3557270</wp:posOffset>
            </wp:positionV>
            <wp:extent cx="7123430" cy="3557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23430" cy="3557905"/>
                    </a:xfrm>
                    <a:prstGeom prst="rect">
                      <a:avLst/>
                    </a:prstGeom>
                    <a:noFill/>
                  </pic:spPr>
                </pic:pic>
              </a:graphicData>
            </a:graphic>
          </wp:anchor>
        </w:drawing>
      </w:r>
    </w:p>
    <w:p>
      <w:pPr>
        <w:spacing w:after="0" w:line="174" w:lineRule="exact"/>
        <w:rPr>
          <w:sz w:val="20"/>
          <w:szCs w:val="20"/>
          <w:color w:val="auto"/>
        </w:rPr>
      </w:pPr>
    </w:p>
    <w:p>
      <w:pPr>
        <w:ind w:left="260" w:right="420" w:hanging="252"/>
        <w:spacing w:after="0" w:line="258" w:lineRule="auto"/>
        <w:tabs>
          <w:tab w:leader="none" w:pos="260" w:val="left"/>
        </w:tabs>
        <w:numPr>
          <w:ilvl w:val="0"/>
          <w:numId w:val="97"/>
        </w:numPr>
        <w:rPr>
          <w:rFonts w:ascii="Arial" w:cs="Arial" w:eastAsia="Arial" w:hAnsi="Arial"/>
          <w:sz w:val="14"/>
          <w:szCs w:val="14"/>
          <w:color w:val="3B3C43"/>
        </w:rPr>
      </w:pPr>
      <w:r>
        <w:rPr>
          <w:rFonts w:ascii="Arial" w:cs="Arial" w:eastAsia="Arial" w:hAnsi="Arial"/>
          <w:sz w:val="14"/>
          <w:szCs w:val="14"/>
          <w:color w:val="3B3C43"/>
        </w:rPr>
        <w:t>Payout for performance between the threshold, target, and maximum payouts are interpolated on a straight-line basis. The final weighted payout percentage for BPI is rounded to the nearest whole percent for calculating the annual cash incentive payout.</w:t>
      </w:r>
    </w:p>
    <w:p>
      <w:pPr>
        <w:spacing w:after="0" w:line="58" w:lineRule="exact"/>
        <w:rPr>
          <w:rFonts w:ascii="Arial" w:cs="Arial" w:eastAsia="Arial" w:hAnsi="Arial"/>
          <w:sz w:val="14"/>
          <w:szCs w:val="14"/>
          <w:color w:val="3B3C43"/>
        </w:rPr>
      </w:pPr>
    </w:p>
    <w:p>
      <w:pPr>
        <w:ind w:left="260" w:right="140" w:hanging="252"/>
        <w:spacing w:after="0" w:line="245" w:lineRule="auto"/>
        <w:tabs>
          <w:tab w:leader="none" w:pos="260" w:val="left"/>
        </w:tabs>
        <w:numPr>
          <w:ilvl w:val="0"/>
          <w:numId w:val="97"/>
        </w:numPr>
        <w:rPr>
          <w:rFonts w:ascii="Arial" w:cs="Arial" w:eastAsia="Arial" w:hAnsi="Arial"/>
          <w:sz w:val="14"/>
          <w:szCs w:val="14"/>
          <w:color w:val="3B3C43"/>
        </w:rPr>
      </w:pPr>
      <w:r>
        <w:rPr>
          <w:rFonts w:ascii="Arial" w:cs="Arial" w:eastAsia="Arial" w:hAnsi="Arial"/>
          <w:sz w:val="14"/>
          <w:szCs w:val="14"/>
          <w:color w:val="3B3C43"/>
        </w:rPr>
        <w:t>Financial targets and actual performance based on EBITDA exclude non-recurring charges and credits, such as impairments, restructuring costs, integration costs, as well as other items identified in TechnipFMC’s quarterly and annual financial statements. Free Cash Flow Conversion is defined as the ratio of free cash flow to adjusted net income. Free cash flow is defined as cash provided by operating activities less capital expenditures. Adjusted net income is defined as net income, excluding charges and credits. Please refer to “Non-GAAP Measures” beginning on page 60 of our Form 10-K and “Liquidity and Capital Resources” beginning on page 65 for a reconciliation of EBITDA, free cash flow, and adjusted net income to the most directly comparable GAAP measures.</w:t>
      </w:r>
    </w:p>
    <w:p>
      <w:pPr>
        <w:spacing w:after="0" w:line="69" w:lineRule="exact"/>
        <w:rPr>
          <w:rFonts w:ascii="Arial" w:cs="Arial" w:eastAsia="Arial" w:hAnsi="Arial"/>
          <w:sz w:val="14"/>
          <w:szCs w:val="14"/>
          <w:color w:val="3B3C43"/>
        </w:rPr>
      </w:pPr>
    </w:p>
    <w:p>
      <w:pPr>
        <w:ind w:left="260" w:hanging="252"/>
        <w:spacing w:after="0"/>
        <w:tabs>
          <w:tab w:leader="none" w:pos="260" w:val="left"/>
        </w:tabs>
        <w:numPr>
          <w:ilvl w:val="0"/>
          <w:numId w:val="97"/>
        </w:numPr>
        <w:rPr>
          <w:rFonts w:ascii="Arial" w:cs="Arial" w:eastAsia="Arial" w:hAnsi="Arial"/>
          <w:sz w:val="14"/>
          <w:szCs w:val="14"/>
          <w:color w:val="3B3C43"/>
        </w:rPr>
      </w:pPr>
      <w:r>
        <w:rPr>
          <w:rFonts w:ascii="Arial" w:cs="Arial" w:eastAsia="Arial" w:hAnsi="Arial"/>
          <w:sz w:val="14"/>
          <w:szCs w:val="14"/>
          <w:color w:val="3B3C43"/>
        </w:rPr>
        <w:t>Due to the COVID-19 pandemic and the resulting volatility in the oil and gas market, the Compensation Committee set the payout for the Q1 targets at 0%.</w:t>
      </w:r>
    </w:p>
    <w:p>
      <w:pPr>
        <w:spacing w:after="0" w:line="82" w:lineRule="exact"/>
        <w:rPr>
          <w:rFonts w:ascii="Arial" w:cs="Arial" w:eastAsia="Arial" w:hAnsi="Arial"/>
          <w:sz w:val="14"/>
          <w:szCs w:val="14"/>
          <w:color w:val="3B3C43"/>
        </w:rPr>
      </w:pPr>
    </w:p>
    <w:p>
      <w:pPr>
        <w:ind w:left="260" w:right="120" w:hanging="252"/>
        <w:spacing w:after="0" w:line="258" w:lineRule="auto"/>
        <w:tabs>
          <w:tab w:leader="none" w:pos="260" w:val="left"/>
        </w:tabs>
        <w:numPr>
          <w:ilvl w:val="0"/>
          <w:numId w:val="97"/>
        </w:numPr>
        <w:rPr>
          <w:rFonts w:ascii="Arial" w:cs="Arial" w:eastAsia="Arial" w:hAnsi="Arial"/>
          <w:sz w:val="14"/>
          <w:szCs w:val="14"/>
          <w:color w:val="3B3C43"/>
        </w:rPr>
      </w:pPr>
      <w:r>
        <w:rPr>
          <w:rFonts w:ascii="Arial" w:cs="Arial" w:eastAsia="Arial" w:hAnsi="Arial"/>
          <w:sz w:val="14"/>
          <w:szCs w:val="14"/>
          <w:color w:val="3B3C43"/>
        </w:rPr>
        <w:t>Although our performance exceeded the maximum of the performance range, payout was capped at 100% (compared to 200% in prior years) to support the Company and align with shareholder interests in a volatile business environment.</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88</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3B3C43"/>
        </w:rPr>
        <w:t>In accordance with established guidelines, the goals are adjusted for the cumulative effect of changes in accounting principles, significant acquisitions and divestitures, and foreign exchange movements. These changes are intended to ensure that performance is measured on a like-for-like basis relative to the goals that were set.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API Component - 25% of Annual Cash Incentive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Each February the individual performance goals are established for each NEO.</w:t>
      </w:r>
    </w:p>
    <w:p>
      <w:pPr>
        <w:spacing w:after="0" w:line="194"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3B3C43"/>
        </w:rPr>
        <w:t>These objectives are set at “stretch” levels (i.e., objectives that are difficult and challenging but should be achievable with superior execution) and are set using a rigorous evaluation process. If an NEO failed to achieve any of his or her objectives, the API multiple would likely be 0%, absent any mitigating factors. If the NEO met some, but not all of the objectives, the API multiple would fall between the range of 0% to 200%, depending upon the number of objectives accomplished, their relative importance and difficulty as determined by the Compensation Committee, and any factors that may have prevented achievement of certain objectives.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3B3C43"/>
        </w:rPr>
        <w:t>For 2020, the NEOs received API ratings ranging from 100% to 175% for the year, with an average rating of 147%.</w:t>
      </w:r>
    </w:p>
    <w:p>
      <w:pPr>
        <w:spacing w:after="0" w:line="194" w:lineRule="exact"/>
        <w:rPr>
          <w:sz w:val="20"/>
          <w:szCs w:val="20"/>
          <w:color w:val="auto"/>
        </w:rPr>
      </w:pPr>
    </w:p>
    <w:p>
      <w:pPr>
        <w:spacing w:after="0" w:line="249" w:lineRule="auto"/>
        <w:rPr>
          <w:sz w:val="20"/>
          <w:szCs w:val="20"/>
          <w:color w:val="auto"/>
        </w:rPr>
      </w:pPr>
      <w:r>
        <w:rPr>
          <w:rFonts w:ascii="Arial" w:cs="Arial" w:eastAsia="Arial" w:hAnsi="Arial"/>
          <w:sz w:val="16"/>
          <w:szCs w:val="16"/>
          <w:color w:val="3B3C43"/>
        </w:rPr>
        <w:t>In determining the 2020 API rating for our CEO, the Compensation Committee took into account a comprehensive view of his performance and contributions, including performance on key objectives and results, in light of the unprecedented global health and ecpnomic crisis caused by the COVID-19 pandemic. In addition to individual goals related to Company strategy, profitable growth, and safety, his objectives also included the three pillars of our corporate responsibility and sustainability efforts to ensure that the Company makes meaningful and tangible achievements in this area. The Compensation Committee considered the CEO’s overall performance relative to the achievement of his key objectives, the importance of each objective, as well as the challenging market conditions that impacted our industry.</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89</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548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780" w:type="dxa"/>
            <w:vAlign w:val="bottom"/>
            <w:shd w:val="clear" w:color="auto" w:fill="4A1F67"/>
          </w:tcPr>
          <w:p>
            <w:pPr>
              <w:spacing w:after="0"/>
              <w:rPr>
                <w:sz w:val="24"/>
                <w:szCs w:val="24"/>
                <w:color w:val="auto"/>
              </w:rPr>
            </w:pPr>
          </w:p>
        </w:tc>
        <w:tc>
          <w:tcPr>
            <w:tcW w:w="3820" w:type="dxa"/>
            <w:vAlign w:val="bottom"/>
            <w:shd w:val="clear" w:color="auto" w:fill="00ADE9"/>
          </w:tcPr>
          <w:p>
            <w:pPr>
              <w:spacing w:after="0"/>
              <w:rPr>
                <w:sz w:val="24"/>
                <w:szCs w:val="24"/>
                <w:color w:val="auto"/>
              </w:rPr>
            </w:pPr>
          </w:p>
        </w:tc>
        <w:tc>
          <w:tcPr>
            <w:tcW w:w="3640" w:type="dxa"/>
            <w:vAlign w:val="bottom"/>
            <w:gridSpan w:val="3"/>
            <w:shd w:val="clear" w:color="auto" w:fill="D21D22"/>
          </w:tcPr>
          <w:p>
            <w:pPr>
              <w:jc w:val="center"/>
              <w:spacing w:after="0"/>
              <w:rPr>
                <w:sz w:val="20"/>
                <w:szCs w:val="20"/>
                <w:color w:val="auto"/>
              </w:rPr>
            </w:pPr>
            <w:r>
              <w:rPr>
                <w:rFonts w:ascii="Arial" w:cs="Arial" w:eastAsia="Arial" w:hAnsi="Arial"/>
                <w:sz w:val="16"/>
                <w:szCs w:val="16"/>
                <w:b w:val="1"/>
                <w:bCs w:val="1"/>
                <w:color w:val="FFFFFF"/>
              </w:rPr>
              <w:t>Performance Assessment</w:t>
            </w:r>
          </w:p>
        </w:tc>
        <w:tc>
          <w:tcPr>
            <w:tcW w:w="0" w:type="dxa"/>
            <w:vAlign w:val="bottom"/>
          </w:tcPr>
          <w:p>
            <w:pPr>
              <w:spacing w:after="0"/>
              <w:rPr>
                <w:sz w:val="1"/>
                <w:szCs w:val="1"/>
                <w:color w:val="auto"/>
              </w:rPr>
            </w:pPr>
          </w:p>
        </w:tc>
      </w:tr>
      <w:tr>
        <w:trPr>
          <w:trHeight w:val="243"/>
        </w:trPr>
        <w:tc>
          <w:tcPr>
            <w:tcW w:w="378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Objectives</w:t>
            </w:r>
          </w:p>
        </w:tc>
        <w:tc>
          <w:tcPr>
            <w:tcW w:w="382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Key Achievements</w:t>
            </w:r>
          </w:p>
        </w:tc>
        <w:tc>
          <w:tcPr>
            <w:tcW w:w="1200" w:type="dxa"/>
            <w:vAlign w:val="bottom"/>
            <w:vMerge w:val="restart"/>
            <w:shd w:val="clear" w:color="auto" w:fill="D21D22"/>
          </w:tcPr>
          <w:p>
            <w:pPr>
              <w:jc w:val="center"/>
              <w:spacing w:after="0"/>
              <w:rPr>
                <w:sz w:val="20"/>
                <w:szCs w:val="20"/>
                <w:color w:val="auto"/>
              </w:rPr>
            </w:pPr>
            <w:r>
              <w:rPr>
                <w:rFonts w:ascii="Arial" w:cs="Arial" w:eastAsia="Arial" w:hAnsi="Arial"/>
                <w:sz w:val="16"/>
                <w:szCs w:val="16"/>
                <w:b w:val="1"/>
                <w:bCs w:val="1"/>
                <w:color w:val="FFFFFF"/>
                <w:w w:val="97"/>
              </w:rPr>
              <w:t>Below</w:t>
            </w:r>
          </w:p>
        </w:tc>
        <w:tc>
          <w:tcPr>
            <w:tcW w:w="1220" w:type="dxa"/>
            <w:vAlign w:val="bottom"/>
            <w:vMerge w:val="restart"/>
            <w:shd w:val="clear" w:color="auto" w:fill="D21D22"/>
          </w:tcPr>
          <w:p>
            <w:pPr>
              <w:jc w:val="center"/>
              <w:spacing w:after="0"/>
              <w:rPr>
                <w:sz w:val="20"/>
                <w:szCs w:val="20"/>
                <w:color w:val="auto"/>
              </w:rPr>
            </w:pPr>
            <w:r>
              <w:rPr>
                <w:rFonts w:ascii="Arial" w:cs="Arial" w:eastAsia="Arial" w:hAnsi="Arial"/>
                <w:sz w:val="16"/>
                <w:szCs w:val="16"/>
                <w:b w:val="1"/>
                <w:bCs w:val="1"/>
                <w:color w:val="FFFFFF"/>
              </w:rPr>
              <w:t>Meets</w:t>
            </w:r>
          </w:p>
        </w:tc>
        <w:tc>
          <w:tcPr>
            <w:tcW w:w="1220" w:type="dxa"/>
            <w:vAlign w:val="bottom"/>
            <w:vMerge w:val="restart"/>
            <w:shd w:val="clear" w:color="auto" w:fill="D21D22"/>
          </w:tcPr>
          <w:p>
            <w:pPr>
              <w:jc w:val="center"/>
              <w:spacing w:after="0"/>
              <w:rPr>
                <w:sz w:val="20"/>
                <w:szCs w:val="20"/>
                <w:color w:val="auto"/>
              </w:rPr>
            </w:pPr>
            <w:r>
              <w:rPr>
                <w:rFonts w:ascii="Arial" w:cs="Arial" w:eastAsia="Arial" w:hAnsi="Arial"/>
                <w:sz w:val="16"/>
                <w:szCs w:val="16"/>
                <w:b w:val="1"/>
                <w:bCs w:val="1"/>
                <w:color w:val="FFFFFF"/>
                <w:w w:val="98"/>
              </w:rPr>
              <w:t>Exceeds</w:t>
            </w:r>
          </w:p>
        </w:tc>
        <w:tc>
          <w:tcPr>
            <w:tcW w:w="0" w:type="dxa"/>
            <w:vAlign w:val="bottom"/>
          </w:tcPr>
          <w:p>
            <w:pPr>
              <w:spacing w:after="0"/>
              <w:rPr>
                <w:sz w:val="1"/>
                <w:szCs w:val="1"/>
                <w:color w:val="auto"/>
              </w:rPr>
            </w:pPr>
          </w:p>
        </w:tc>
      </w:tr>
      <w:tr>
        <w:trPr>
          <w:trHeight w:val="69"/>
        </w:trPr>
        <w:tc>
          <w:tcPr>
            <w:tcW w:w="3780" w:type="dxa"/>
            <w:vAlign w:val="bottom"/>
            <w:shd w:val="clear" w:color="auto" w:fill="4A1F67"/>
          </w:tcPr>
          <w:p>
            <w:pPr>
              <w:spacing w:after="0"/>
              <w:rPr>
                <w:sz w:val="5"/>
                <w:szCs w:val="5"/>
                <w:color w:val="auto"/>
              </w:rPr>
            </w:pPr>
          </w:p>
        </w:tc>
        <w:tc>
          <w:tcPr>
            <w:tcW w:w="3820" w:type="dxa"/>
            <w:vAlign w:val="bottom"/>
            <w:shd w:val="clear" w:color="auto" w:fill="00ADE9"/>
          </w:tcPr>
          <w:p>
            <w:pPr>
              <w:spacing w:after="0"/>
              <w:rPr>
                <w:sz w:val="5"/>
                <w:szCs w:val="5"/>
                <w:color w:val="auto"/>
              </w:rPr>
            </w:pPr>
          </w:p>
        </w:tc>
        <w:tc>
          <w:tcPr>
            <w:tcW w:w="1200" w:type="dxa"/>
            <w:vAlign w:val="bottom"/>
            <w:vMerge w:val="continue"/>
            <w:shd w:val="clear" w:color="auto" w:fill="D21D22"/>
          </w:tcPr>
          <w:p>
            <w:pPr>
              <w:spacing w:after="0"/>
              <w:rPr>
                <w:sz w:val="5"/>
                <w:szCs w:val="5"/>
                <w:color w:val="auto"/>
              </w:rPr>
            </w:pPr>
          </w:p>
        </w:tc>
        <w:tc>
          <w:tcPr>
            <w:tcW w:w="1220" w:type="dxa"/>
            <w:vAlign w:val="bottom"/>
            <w:vMerge w:val="continue"/>
            <w:shd w:val="clear" w:color="auto" w:fill="D21D22"/>
          </w:tcPr>
          <w:p>
            <w:pPr>
              <w:spacing w:after="0"/>
              <w:rPr>
                <w:sz w:val="5"/>
                <w:szCs w:val="5"/>
                <w:color w:val="auto"/>
              </w:rPr>
            </w:pPr>
          </w:p>
        </w:tc>
        <w:tc>
          <w:tcPr>
            <w:tcW w:w="1220" w:type="dxa"/>
            <w:vAlign w:val="bottom"/>
            <w:vMerge w:val="continue"/>
            <w:shd w:val="clear" w:color="auto" w:fill="D21D22"/>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4A1F67"/>
            </w:tcBorders>
            <w:shd w:val="clear" w:color="auto" w:fill="4A1F67"/>
          </w:tcPr>
          <w:p>
            <w:pPr>
              <w:spacing w:after="0"/>
              <w:rPr>
                <w:sz w:val="20"/>
                <w:szCs w:val="20"/>
                <w:color w:val="auto"/>
              </w:rPr>
            </w:pPr>
          </w:p>
        </w:tc>
        <w:tc>
          <w:tcPr>
            <w:tcW w:w="3820" w:type="dxa"/>
            <w:vAlign w:val="bottom"/>
            <w:tcBorders>
              <w:bottom w:val="single" w:sz="8" w:color="00ADE9"/>
            </w:tcBorders>
            <w:shd w:val="clear" w:color="auto" w:fill="00ADE9"/>
          </w:tcPr>
          <w:p>
            <w:pPr>
              <w:spacing w:after="0"/>
              <w:rPr>
                <w:sz w:val="20"/>
                <w:szCs w:val="20"/>
                <w:color w:val="auto"/>
              </w:rPr>
            </w:pPr>
          </w:p>
        </w:tc>
        <w:tc>
          <w:tcPr>
            <w:tcW w:w="1200" w:type="dxa"/>
            <w:vAlign w:val="bottom"/>
            <w:tcBorders>
              <w:bottom w:val="single" w:sz="8" w:color="D21D22"/>
            </w:tcBorders>
            <w:shd w:val="clear" w:color="auto" w:fill="D21D22"/>
          </w:tcPr>
          <w:p>
            <w:pPr>
              <w:jc w:val="center"/>
              <w:spacing w:after="0"/>
              <w:rPr>
                <w:sz w:val="20"/>
                <w:szCs w:val="20"/>
                <w:color w:val="auto"/>
              </w:rPr>
            </w:pPr>
            <w:r>
              <w:rPr>
                <w:rFonts w:ascii="Arial" w:cs="Arial" w:eastAsia="Arial" w:hAnsi="Arial"/>
                <w:sz w:val="16"/>
                <w:szCs w:val="16"/>
                <w:b w:val="1"/>
                <w:bCs w:val="1"/>
                <w:color w:val="FFFFFF"/>
              </w:rPr>
              <w:t>Expectations</w:t>
            </w:r>
          </w:p>
        </w:tc>
        <w:tc>
          <w:tcPr>
            <w:tcW w:w="1220" w:type="dxa"/>
            <w:vAlign w:val="bottom"/>
            <w:tcBorders>
              <w:bottom w:val="single" w:sz="8" w:color="D21D22"/>
            </w:tcBorders>
            <w:shd w:val="clear" w:color="auto" w:fill="D21D22"/>
          </w:tcPr>
          <w:p>
            <w:pPr>
              <w:jc w:val="center"/>
              <w:spacing w:after="0"/>
              <w:rPr>
                <w:sz w:val="20"/>
                <w:szCs w:val="20"/>
                <w:color w:val="auto"/>
              </w:rPr>
            </w:pPr>
            <w:r>
              <w:rPr>
                <w:rFonts w:ascii="Arial" w:cs="Arial" w:eastAsia="Arial" w:hAnsi="Arial"/>
                <w:sz w:val="16"/>
                <w:szCs w:val="16"/>
                <w:b w:val="1"/>
                <w:bCs w:val="1"/>
                <w:color w:val="FFFFFF"/>
              </w:rPr>
              <w:t>Expectations</w:t>
            </w:r>
          </w:p>
        </w:tc>
        <w:tc>
          <w:tcPr>
            <w:tcW w:w="1220" w:type="dxa"/>
            <w:vAlign w:val="bottom"/>
            <w:tcBorders>
              <w:bottom w:val="single" w:sz="8" w:color="D21D22"/>
            </w:tcBorders>
            <w:shd w:val="clear" w:color="auto" w:fill="D21D22"/>
          </w:tcPr>
          <w:p>
            <w:pPr>
              <w:jc w:val="center"/>
              <w:spacing w:after="0"/>
              <w:rPr>
                <w:sz w:val="20"/>
                <w:szCs w:val="20"/>
                <w:color w:val="auto"/>
              </w:rPr>
            </w:pPr>
            <w:r>
              <w:rPr>
                <w:rFonts w:ascii="Arial" w:cs="Arial" w:eastAsia="Arial" w:hAnsi="Arial"/>
                <w:sz w:val="16"/>
                <w:szCs w:val="16"/>
                <w:b w:val="1"/>
                <w:bCs w:val="1"/>
                <w:color w:val="FFFFFF"/>
              </w:rPr>
              <w:t>Expectations</w:t>
            </w:r>
          </w:p>
        </w:tc>
        <w:tc>
          <w:tcPr>
            <w:tcW w:w="0" w:type="dxa"/>
            <w:vAlign w:val="bottom"/>
          </w:tcPr>
          <w:p>
            <w:pPr>
              <w:spacing w:after="0"/>
              <w:rPr>
                <w:sz w:val="1"/>
                <w:szCs w:val="1"/>
                <w:color w:val="auto"/>
              </w:rPr>
            </w:pPr>
          </w:p>
        </w:tc>
      </w:tr>
      <w:tr>
        <w:trPr>
          <w:trHeight w:val="291"/>
        </w:trPr>
        <w:tc>
          <w:tcPr>
            <w:tcW w:w="378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Mr. Pferdehirt</w:t>
            </w:r>
          </w:p>
        </w:tc>
        <w:tc>
          <w:tcPr>
            <w:tcW w:w="3820" w:type="dxa"/>
            <w:vAlign w:val="bottom"/>
            <w:shd w:val="clear" w:color="auto" w:fill="4A1F67"/>
          </w:tcPr>
          <w:p>
            <w:pPr>
              <w:spacing w:after="0"/>
              <w:rPr>
                <w:sz w:val="24"/>
                <w:szCs w:val="24"/>
                <w:color w:val="auto"/>
              </w:rPr>
            </w:pPr>
          </w:p>
        </w:tc>
        <w:tc>
          <w:tcPr>
            <w:tcW w:w="1200" w:type="dxa"/>
            <w:vAlign w:val="bottom"/>
            <w:shd w:val="clear" w:color="auto" w:fill="4A1F67"/>
          </w:tcPr>
          <w:p>
            <w:pPr>
              <w:spacing w:after="0"/>
              <w:rPr>
                <w:sz w:val="24"/>
                <w:szCs w:val="24"/>
                <w:color w:val="auto"/>
              </w:rPr>
            </w:pPr>
          </w:p>
        </w:tc>
        <w:tc>
          <w:tcPr>
            <w:tcW w:w="1220" w:type="dxa"/>
            <w:vAlign w:val="bottom"/>
            <w:shd w:val="clear" w:color="auto" w:fill="4A1F67"/>
          </w:tcPr>
          <w:p>
            <w:pPr>
              <w:spacing w:after="0"/>
              <w:rPr>
                <w:sz w:val="24"/>
                <w:szCs w:val="24"/>
                <w:color w:val="auto"/>
              </w:rPr>
            </w:pPr>
          </w:p>
        </w:tc>
        <w:tc>
          <w:tcPr>
            <w:tcW w:w="1220" w:type="dxa"/>
            <w:vAlign w:val="bottom"/>
            <w:shd w:val="clear" w:color="auto" w:fill="4A1F67"/>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780" w:type="dxa"/>
            <w:vAlign w:val="bottom"/>
            <w:shd w:val="clear" w:color="auto" w:fill="4A1F67"/>
          </w:tcPr>
          <w:p>
            <w:pPr>
              <w:spacing w:after="0"/>
              <w:rPr>
                <w:sz w:val="6"/>
                <w:szCs w:val="6"/>
                <w:color w:val="auto"/>
              </w:rPr>
            </w:pPr>
          </w:p>
        </w:tc>
        <w:tc>
          <w:tcPr>
            <w:tcW w:w="3820" w:type="dxa"/>
            <w:vAlign w:val="bottom"/>
            <w:shd w:val="clear" w:color="auto" w:fill="4A1F67"/>
          </w:tcPr>
          <w:p>
            <w:pPr>
              <w:spacing w:after="0"/>
              <w:rPr>
                <w:sz w:val="6"/>
                <w:szCs w:val="6"/>
                <w:color w:val="auto"/>
              </w:rPr>
            </w:pPr>
          </w:p>
        </w:tc>
        <w:tc>
          <w:tcPr>
            <w:tcW w:w="1200" w:type="dxa"/>
            <w:vAlign w:val="bottom"/>
            <w:shd w:val="clear" w:color="auto" w:fill="4A1F67"/>
          </w:tcPr>
          <w:p>
            <w:pPr>
              <w:spacing w:after="0"/>
              <w:rPr>
                <w:sz w:val="6"/>
                <w:szCs w:val="6"/>
                <w:color w:val="auto"/>
              </w:rPr>
            </w:pPr>
          </w:p>
        </w:tc>
        <w:tc>
          <w:tcPr>
            <w:tcW w:w="1220" w:type="dxa"/>
            <w:vAlign w:val="bottom"/>
            <w:shd w:val="clear" w:color="auto" w:fill="4A1F67"/>
          </w:tcPr>
          <w:p>
            <w:pPr>
              <w:spacing w:after="0"/>
              <w:rPr>
                <w:sz w:val="6"/>
                <w:szCs w:val="6"/>
                <w:color w:val="auto"/>
              </w:rPr>
            </w:pPr>
          </w:p>
        </w:tc>
        <w:tc>
          <w:tcPr>
            <w:tcW w:w="1220" w:type="dxa"/>
            <w:vAlign w:val="bottom"/>
            <w:shd w:val="clear" w:color="auto" w:fill="4A1F67"/>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378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Strategy &amp; Growth</w:t>
            </w:r>
          </w:p>
        </w:tc>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Technip Energies Spin-off completed in Q1</w:t>
            </w:r>
          </w:p>
        </w:tc>
        <w:tc>
          <w:tcPr>
            <w:tcW w:w="1200" w:type="dxa"/>
            <w:vAlign w:val="bottom"/>
            <w:shd w:val="clear" w:color="auto" w:fill="E1E2E0"/>
          </w:tcPr>
          <w:p>
            <w:pPr>
              <w:spacing w:after="0"/>
              <w:rPr>
                <w:sz w:val="23"/>
                <w:szCs w:val="23"/>
                <w:color w:val="auto"/>
              </w:rPr>
            </w:pPr>
          </w:p>
        </w:tc>
        <w:tc>
          <w:tcPr>
            <w:tcW w:w="1220" w:type="dxa"/>
            <w:vAlign w:val="bottom"/>
            <w:shd w:val="clear" w:color="auto" w:fill="E1E2E0"/>
          </w:tcPr>
          <w:p>
            <w:pPr>
              <w:spacing w:after="0"/>
              <w:rPr>
                <w:sz w:val="23"/>
                <w:szCs w:val="23"/>
                <w:color w:val="auto"/>
              </w:rPr>
            </w:pPr>
          </w:p>
        </w:tc>
        <w:tc>
          <w:tcPr>
            <w:tcW w:w="1220" w:type="dxa"/>
            <w:vAlign w:val="bottom"/>
            <w:shd w:val="clear" w:color="auto" w:fill="E1E2E0"/>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378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Spin-off of Technip Energies</w:t>
            </w:r>
          </w:p>
        </w:tc>
        <w:tc>
          <w:tcPr>
            <w:tcW w:w="382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2021</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80" w:type="dxa"/>
            <w:vAlign w:val="bottom"/>
            <w:vMerge w:val="continue"/>
            <w:shd w:val="clear" w:color="auto" w:fill="E1E2E0"/>
          </w:tcPr>
          <w:p>
            <w:pPr>
              <w:spacing w:after="0"/>
              <w:rPr>
                <w:sz w:val="17"/>
                <w:szCs w:val="17"/>
                <w:color w:val="auto"/>
              </w:rPr>
            </w:pPr>
          </w:p>
        </w:tc>
        <w:tc>
          <w:tcPr>
            <w:tcW w:w="382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2021-2023 ESG objectives and scorecard</w:t>
            </w:r>
          </w:p>
        </w:tc>
        <w:tc>
          <w:tcPr>
            <w:tcW w:w="1200" w:type="dxa"/>
            <w:vAlign w:val="bottom"/>
            <w:shd w:val="clear" w:color="auto" w:fill="E1E2E0"/>
          </w:tcPr>
          <w:p>
            <w:pPr>
              <w:spacing w:after="0"/>
              <w:rPr>
                <w:sz w:val="17"/>
                <w:szCs w:val="17"/>
                <w:color w:val="auto"/>
              </w:rPr>
            </w:pPr>
          </w:p>
        </w:tc>
        <w:tc>
          <w:tcPr>
            <w:tcW w:w="1220" w:type="dxa"/>
            <w:vAlign w:val="bottom"/>
            <w:shd w:val="clear" w:color="auto" w:fill="E1E2E0"/>
          </w:tcPr>
          <w:p>
            <w:pPr>
              <w:spacing w:after="0"/>
              <w:rPr>
                <w:sz w:val="17"/>
                <w:szCs w:val="17"/>
                <w:color w:val="auto"/>
              </w:rPr>
            </w:pPr>
          </w:p>
        </w:tc>
        <w:tc>
          <w:tcPr>
            <w:tcW w:w="1220" w:type="dxa"/>
            <w:vAlign w:val="bottom"/>
            <w:shd w:val="clear" w:color="auto" w:fill="E1E2E0"/>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3780" w:type="dxa"/>
            <w:vAlign w:val="bottom"/>
            <w:shd w:val="clear" w:color="auto" w:fill="E1E2E0"/>
          </w:tcPr>
          <w:p>
            <w:pPr>
              <w:spacing w:after="0"/>
              <w:rPr>
                <w:sz w:val="6"/>
                <w:szCs w:val="6"/>
                <w:color w:val="auto"/>
              </w:rPr>
            </w:pPr>
          </w:p>
        </w:tc>
        <w:tc>
          <w:tcPr>
            <w:tcW w:w="3820" w:type="dxa"/>
            <w:vAlign w:val="bottom"/>
            <w:vMerge w:val="continue"/>
            <w:shd w:val="clear" w:color="auto" w:fill="E1E2E0"/>
          </w:tcPr>
          <w:p>
            <w:pPr>
              <w:spacing w:after="0"/>
              <w:rPr>
                <w:sz w:val="6"/>
                <w:szCs w:val="6"/>
                <w:color w:val="auto"/>
              </w:rPr>
            </w:pPr>
          </w:p>
        </w:tc>
        <w:tc>
          <w:tcPr>
            <w:tcW w:w="1200" w:type="dxa"/>
            <w:vAlign w:val="bottom"/>
            <w:shd w:val="clear" w:color="auto" w:fill="E1E2E0"/>
          </w:tcPr>
          <w:p>
            <w:pPr>
              <w:spacing w:after="0"/>
              <w:rPr>
                <w:sz w:val="6"/>
                <w:szCs w:val="6"/>
                <w:color w:val="auto"/>
              </w:rPr>
            </w:pPr>
          </w:p>
        </w:tc>
        <w:tc>
          <w:tcPr>
            <w:tcW w:w="1220" w:type="dxa"/>
            <w:vAlign w:val="bottom"/>
            <w:shd w:val="clear" w:color="auto" w:fill="E1E2E0"/>
          </w:tcPr>
          <w:p>
            <w:pPr>
              <w:spacing w:after="0"/>
              <w:rPr>
                <w:sz w:val="6"/>
                <w:szCs w:val="6"/>
                <w:color w:val="auto"/>
              </w:rPr>
            </w:pPr>
          </w:p>
        </w:tc>
        <w:tc>
          <w:tcPr>
            <w:tcW w:w="1220" w:type="dxa"/>
            <w:vAlign w:val="bottom"/>
            <w:shd w:val="clear" w:color="auto" w:fill="E1E2E0"/>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378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ESG objectives</w:t>
            </w:r>
          </w:p>
        </w:tc>
        <w:tc>
          <w:tcPr>
            <w:tcW w:w="382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delivered in November 2020</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780" w:type="dxa"/>
            <w:vAlign w:val="bottom"/>
            <w:vMerge w:val="continue"/>
            <w:shd w:val="clear" w:color="auto" w:fill="E1E2E0"/>
          </w:tcPr>
          <w:p>
            <w:pPr>
              <w:spacing w:after="0"/>
              <w:rPr>
                <w:sz w:val="10"/>
                <w:szCs w:val="10"/>
                <w:color w:val="auto"/>
              </w:rPr>
            </w:pPr>
          </w:p>
        </w:tc>
        <w:tc>
          <w:tcPr>
            <w:tcW w:w="382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Commercialized Subsea Studio™: +50% of all</w:t>
            </w:r>
          </w:p>
        </w:tc>
        <w:tc>
          <w:tcPr>
            <w:tcW w:w="1200" w:type="dxa"/>
            <w:vAlign w:val="bottom"/>
            <w:shd w:val="clear" w:color="auto" w:fill="E1E2E0"/>
          </w:tcPr>
          <w:p>
            <w:pPr>
              <w:spacing w:after="0"/>
              <w:rPr>
                <w:sz w:val="10"/>
                <w:szCs w:val="10"/>
                <w:color w:val="auto"/>
              </w:rPr>
            </w:pPr>
          </w:p>
        </w:tc>
        <w:tc>
          <w:tcPr>
            <w:tcW w:w="1220" w:type="dxa"/>
            <w:vAlign w:val="bottom"/>
            <w:shd w:val="clear" w:color="auto" w:fill="E1E2E0"/>
          </w:tcPr>
          <w:p>
            <w:pPr>
              <w:spacing w:after="0"/>
              <w:rPr>
                <w:sz w:val="10"/>
                <w:szCs w:val="10"/>
                <w:color w:val="auto"/>
              </w:rPr>
            </w:pPr>
          </w:p>
        </w:tc>
        <w:tc>
          <w:tcPr>
            <w:tcW w:w="1220" w:type="dxa"/>
            <w:vAlign w:val="bottom"/>
            <w:shd w:val="clear" w:color="auto" w:fill="E1E2E0"/>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E1E2E0"/>
          </w:tcPr>
          <w:p>
            <w:pPr>
              <w:spacing w:after="0"/>
              <w:rPr>
                <w:sz w:val="13"/>
                <w:szCs w:val="13"/>
                <w:color w:val="auto"/>
              </w:rPr>
            </w:pPr>
          </w:p>
        </w:tc>
        <w:tc>
          <w:tcPr>
            <w:tcW w:w="3820" w:type="dxa"/>
            <w:vAlign w:val="bottom"/>
            <w:vMerge w:val="continue"/>
            <w:shd w:val="clear" w:color="auto" w:fill="E1E2E0"/>
          </w:tcPr>
          <w:p>
            <w:pPr>
              <w:spacing w:after="0"/>
              <w:rPr>
                <w:sz w:val="13"/>
                <w:szCs w:val="13"/>
                <w:color w:val="auto"/>
              </w:rPr>
            </w:pPr>
          </w:p>
        </w:tc>
        <w:tc>
          <w:tcPr>
            <w:tcW w:w="1200" w:type="dxa"/>
            <w:vAlign w:val="bottom"/>
            <w:shd w:val="clear" w:color="auto" w:fill="E1E2E0"/>
          </w:tcPr>
          <w:p>
            <w:pPr>
              <w:spacing w:after="0"/>
              <w:rPr>
                <w:sz w:val="13"/>
                <w:szCs w:val="13"/>
                <w:color w:val="auto"/>
              </w:rPr>
            </w:pPr>
          </w:p>
        </w:tc>
        <w:tc>
          <w:tcPr>
            <w:tcW w:w="1220" w:type="dxa"/>
            <w:vAlign w:val="bottom"/>
            <w:shd w:val="clear" w:color="auto" w:fill="E1E2E0"/>
          </w:tcPr>
          <w:p>
            <w:pPr>
              <w:spacing w:after="0"/>
              <w:rPr>
                <w:sz w:val="13"/>
                <w:szCs w:val="13"/>
                <w:color w:val="auto"/>
              </w:rPr>
            </w:pPr>
          </w:p>
        </w:tc>
        <w:tc>
          <w:tcPr>
            <w:tcW w:w="1220" w:type="dxa"/>
            <w:vAlign w:val="bottom"/>
            <w:shd w:val="clear" w:color="auto" w:fill="E1E2E0"/>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8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Digital - commercialize Subsea Studio™</w:t>
            </w:r>
          </w:p>
        </w:tc>
        <w:tc>
          <w:tcPr>
            <w:tcW w:w="382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Subsea FEED studies utilized Subsea Studio™</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378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Technology - qualify Flexibles 2.0 (HFP) and</w:t>
            </w:r>
          </w:p>
        </w:tc>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Flexibles 2.0: qualification on-track</w:t>
            </w:r>
          </w:p>
        </w:tc>
        <w:tc>
          <w:tcPr>
            <w:tcW w:w="1200" w:type="dxa"/>
            <w:vAlign w:val="bottom"/>
            <w:shd w:val="clear" w:color="auto" w:fill="E1E2E0"/>
          </w:tcPr>
          <w:p>
            <w:pPr>
              <w:spacing w:after="0"/>
              <w:rPr>
                <w:sz w:val="24"/>
                <w:szCs w:val="24"/>
                <w:color w:val="auto"/>
              </w:rPr>
            </w:pPr>
          </w:p>
        </w:tc>
        <w:tc>
          <w:tcPr>
            <w:tcW w:w="1220" w:type="dxa"/>
            <w:vAlign w:val="bottom"/>
            <w:shd w:val="clear" w:color="auto" w:fill="E1E2E0"/>
          </w:tcPr>
          <w:p>
            <w:pPr>
              <w:spacing w:after="0"/>
              <w:rPr>
                <w:sz w:val="24"/>
                <w:szCs w:val="24"/>
                <w:color w:val="auto"/>
              </w:rPr>
            </w:pPr>
          </w:p>
        </w:tc>
        <w:tc>
          <w:tcPr>
            <w:tcW w:w="1220" w:type="dxa"/>
            <w:vAlign w:val="bottom"/>
            <w:shd w:val="clear" w:color="auto" w:fill="E1E2E0"/>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80" w:type="dxa"/>
            <w:vAlign w:val="bottom"/>
            <w:vMerge w:val="continue"/>
            <w:shd w:val="clear" w:color="auto" w:fill="E1E2E0"/>
          </w:tcPr>
          <w:p>
            <w:pPr>
              <w:spacing w:after="0"/>
              <w:rPr>
                <w:sz w:val="11"/>
                <w:szCs w:val="11"/>
                <w:color w:val="auto"/>
              </w:rPr>
            </w:pPr>
          </w:p>
        </w:tc>
        <w:tc>
          <w:tcPr>
            <w:tcW w:w="382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Gemini: successful commercialization and</w:t>
            </w:r>
          </w:p>
        </w:tc>
        <w:tc>
          <w:tcPr>
            <w:tcW w:w="1200" w:type="dxa"/>
            <w:vAlign w:val="bottom"/>
            <w:shd w:val="clear" w:color="auto" w:fill="E1E2E0"/>
          </w:tcPr>
          <w:p>
            <w:pPr>
              <w:spacing w:after="0"/>
              <w:rPr>
                <w:sz w:val="11"/>
                <w:szCs w:val="11"/>
                <w:color w:val="auto"/>
              </w:rPr>
            </w:pPr>
          </w:p>
        </w:tc>
        <w:tc>
          <w:tcPr>
            <w:tcW w:w="1220" w:type="dxa"/>
            <w:vAlign w:val="bottom"/>
            <w:shd w:val="clear" w:color="auto" w:fill="E1E2E0"/>
          </w:tcPr>
          <w:p>
            <w:pPr>
              <w:spacing w:after="0"/>
              <w:rPr>
                <w:sz w:val="11"/>
                <w:szCs w:val="11"/>
                <w:color w:val="auto"/>
              </w:rPr>
            </w:pPr>
          </w:p>
        </w:tc>
        <w:tc>
          <w:tcPr>
            <w:tcW w:w="1220" w:type="dxa"/>
            <w:vAlign w:val="bottom"/>
            <w:shd w:val="clear" w:color="auto" w:fill="E1E2E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E1E2E0"/>
          </w:tcPr>
          <w:p>
            <w:pPr>
              <w:ind w:left="320"/>
              <w:spacing w:after="0" w:line="148" w:lineRule="exact"/>
              <w:rPr>
                <w:sz w:val="20"/>
                <w:szCs w:val="20"/>
                <w:color w:val="auto"/>
              </w:rPr>
            </w:pPr>
            <w:r>
              <w:rPr>
                <w:rFonts w:ascii="Arial" w:cs="Arial" w:eastAsia="Arial" w:hAnsi="Arial"/>
                <w:sz w:val="16"/>
                <w:szCs w:val="16"/>
                <w:color w:val="3B3C43"/>
              </w:rPr>
              <w:t>commercialize Gemini</w:t>
            </w:r>
          </w:p>
        </w:tc>
        <w:tc>
          <w:tcPr>
            <w:tcW w:w="3820" w:type="dxa"/>
            <w:vAlign w:val="bottom"/>
            <w:vMerge w:val="continue"/>
            <w:shd w:val="clear" w:color="auto" w:fill="E1E2E0"/>
          </w:tcPr>
          <w:p>
            <w:pPr>
              <w:spacing w:after="0"/>
              <w:rPr>
                <w:sz w:val="12"/>
                <w:szCs w:val="12"/>
                <w:color w:val="auto"/>
              </w:rPr>
            </w:pPr>
          </w:p>
        </w:tc>
        <w:tc>
          <w:tcPr>
            <w:tcW w:w="1200" w:type="dxa"/>
            <w:vAlign w:val="bottom"/>
            <w:shd w:val="clear" w:color="auto" w:fill="E1E2E0"/>
          </w:tcPr>
          <w:p>
            <w:pPr>
              <w:spacing w:after="0"/>
              <w:rPr>
                <w:sz w:val="12"/>
                <w:szCs w:val="12"/>
                <w:color w:val="auto"/>
              </w:rPr>
            </w:pPr>
          </w:p>
        </w:tc>
        <w:tc>
          <w:tcPr>
            <w:tcW w:w="1220" w:type="dxa"/>
            <w:vAlign w:val="bottom"/>
            <w:shd w:val="clear" w:color="auto" w:fill="E1E2E0"/>
          </w:tcPr>
          <w:p>
            <w:pPr>
              <w:spacing w:after="0"/>
              <w:rPr>
                <w:sz w:val="12"/>
                <w:szCs w:val="12"/>
                <w:color w:val="auto"/>
              </w:rPr>
            </w:pPr>
          </w:p>
        </w:tc>
        <w:tc>
          <w:tcPr>
            <w:tcW w:w="1220" w:type="dxa"/>
            <w:vAlign w:val="bottom"/>
            <w:shd w:val="clear" w:color="auto" w:fill="E1E2E0"/>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E1E2E0"/>
          </w:tcPr>
          <w:p>
            <w:pPr>
              <w:spacing w:after="0"/>
              <w:rPr>
                <w:sz w:val="16"/>
                <w:szCs w:val="16"/>
                <w:color w:val="auto"/>
              </w:rPr>
            </w:pPr>
          </w:p>
        </w:tc>
        <w:tc>
          <w:tcPr>
            <w:tcW w:w="382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technology introduction</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Foster strategic alliances and relationships</w:t>
            </w:r>
          </w:p>
        </w:tc>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Key strategic alliances: enhanced and</w:t>
            </w:r>
          </w:p>
        </w:tc>
        <w:tc>
          <w:tcPr>
            <w:tcW w:w="1200" w:type="dxa"/>
            <w:vAlign w:val="bottom"/>
            <w:shd w:val="clear" w:color="auto" w:fill="E1E2E0"/>
          </w:tcPr>
          <w:p>
            <w:pPr>
              <w:spacing w:after="0"/>
              <w:rPr>
                <w:sz w:val="22"/>
                <w:szCs w:val="22"/>
                <w:color w:val="auto"/>
              </w:rPr>
            </w:pPr>
          </w:p>
        </w:tc>
        <w:tc>
          <w:tcPr>
            <w:tcW w:w="1220" w:type="dxa"/>
            <w:vAlign w:val="bottom"/>
            <w:shd w:val="clear" w:color="auto" w:fill="E1E2E0"/>
          </w:tcPr>
          <w:p>
            <w:pPr>
              <w:spacing w:after="0"/>
              <w:rPr>
                <w:sz w:val="22"/>
                <w:szCs w:val="22"/>
                <w:color w:val="auto"/>
              </w:rPr>
            </w:pPr>
          </w:p>
        </w:tc>
        <w:tc>
          <w:tcPr>
            <w:tcW w:w="1220" w:type="dxa"/>
            <w:vAlign w:val="bottom"/>
            <w:shd w:val="clear" w:color="auto" w:fill="E1E2E0"/>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E1E2E0"/>
          </w:tcPr>
          <w:p>
            <w:pPr>
              <w:spacing w:after="0"/>
              <w:rPr>
                <w:sz w:val="16"/>
                <w:szCs w:val="16"/>
                <w:color w:val="auto"/>
              </w:rPr>
            </w:pPr>
          </w:p>
        </w:tc>
        <w:tc>
          <w:tcPr>
            <w:tcW w:w="382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expanded</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78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Execute on Key Deliverables</w:t>
            </w:r>
          </w:p>
        </w:tc>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Exceeded Cost Reduction Program objectives</w:t>
            </w:r>
          </w:p>
        </w:tc>
        <w:tc>
          <w:tcPr>
            <w:tcW w:w="1200" w:type="dxa"/>
            <w:vAlign w:val="bottom"/>
            <w:shd w:val="clear" w:color="auto" w:fill="E1E2E0"/>
          </w:tcPr>
          <w:p>
            <w:pPr>
              <w:spacing w:after="0"/>
              <w:rPr>
                <w:sz w:val="24"/>
                <w:szCs w:val="24"/>
                <w:color w:val="auto"/>
              </w:rPr>
            </w:pPr>
          </w:p>
        </w:tc>
        <w:tc>
          <w:tcPr>
            <w:tcW w:w="1220" w:type="dxa"/>
            <w:vAlign w:val="bottom"/>
            <w:shd w:val="clear" w:color="auto" w:fill="E1E2E0"/>
          </w:tcPr>
          <w:p>
            <w:pPr>
              <w:spacing w:after="0"/>
              <w:rPr>
                <w:sz w:val="24"/>
                <w:szCs w:val="24"/>
                <w:color w:val="auto"/>
              </w:rPr>
            </w:pPr>
          </w:p>
        </w:tc>
        <w:tc>
          <w:tcPr>
            <w:tcW w:w="1220" w:type="dxa"/>
            <w:vAlign w:val="bottom"/>
            <w:shd w:val="clear" w:color="auto" w:fill="E1E2E0"/>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8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Cost Reduction Program objectives</w:t>
            </w:r>
          </w:p>
        </w:tc>
        <w:tc>
          <w:tcPr>
            <w:tcW w:w="382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Secured two LNG awards</w:t>
            </w:r>
          </w:p>
        </w:tc>
        <w:tc>
          <w:tcPr>
            <w:tcW w:w="1200" w:type="dxa"/>
            <w:vAlign w:val="bottom"/>
            <w:shd w:val="clear" w:color="auto" w:fill="E1E2E0"/>
          </w:tcPr>
          <w:p>
            <w:pPr>
              <w:spacing w:after="0"/>
              <w:rPr>
                <w:sz w:val="24"/>
                <w:szCs w:val="24"/>
                <w:color w:val="auto"/>
              </w:rPr>
            </w:pPr>
          </w:p>
        </w:tc>
        <w:tc>
          <w:tcPr>
            <w:tcW w:w="1220" w:type="dxa"/>
            <w:vAlign w:val="bottom"/>
            <w:shd w:val="clear" w:color="auto" w:fill="E1E2E0"/>
          </w:tcPr>
          <w:p>
            <w:pPr>
              <w:spacing w:after="0"/>
              <w:rPr>
                <w:sz w:val="24"/>
                <w:szCs w:val="24"/>
                <w:color w:val="auto"/>
              </w:rPr>
            </w:pPr>
          </w:p>
        </w:tc>
        <w:tc>
          <w:tcPr>
            <w:tcW w:w="1220" w:type="dxa"/>
            <w:vAlign w:val="bottom"/>
            <w:shd w:val="clear" w:color="auto" w:fill="E1E2E0"/>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E1E2E0"/>
          </w:tcPr>
          <w:p>
            <w:pPr>
              <w:spacing w:after="0"/>
              <w:rPr>
                <w:sz w:val="11"/>
                <w:szCs w:val="11"/>
                <w:color w:val="auto"/>
              </w:rPr>
            </w:pPr>
          </w:p>
        </w:tc>
        <w:tc>
          <w:tcPr>
            <w:tcW w:w="3820" w:type="dxa"/>
            <w:vAlign w:val="bottom"/>
            <w:vMerge w:val="continue"/>
            <w:shd w:val="clear" w:color="auto" w:fill="E1E2E0"/>
          </w:tcPr>
          <w:p>
            <w:pPr>
              <w:spacing w:after="0"/>
              <w:rPr>
                <w:sz w:val="11"/>
                <w:szCs w:val="11"/>
                <w:color w:val="auto"/>
              </w:rPr>
            </w:pPr>
          </w:p>
        </w:tc>
        <w:tc>
          <w:tcPr>
            <w:tcW w:w="1200" w:type="dxa"/>
            <w:vAlign w:val="bottom"/>
            <w:shd w:val="clear" w:color="auto" w:fill="E1E2E0"/>
          </w:tcPr>
          <w:p>
            <w:pPr>
              <w:spacing w:after="0"/>
              <w:rPr>
                <w:sz w:val="11"/>
                <w:szCs w:val="11"/>
                <w:color w:val="auto"/>
              </w:rPr>
            </w:pPr>
          </w:p>
        </w:tc>
        <w:tc>
          <w:tcPr>
            <w:tcW w:w="1220" w:type="dxa"/>
            <w:vAlign w:val="bottom"/>
            <w:shd w:val="clear" w:color="auto" w:fill="E1E2E0"/>
          </w:tcPr>
          <w:p>
            <w:pPr>
              <w:spacing w:after="0"/>
              <w:rPr>
                <w:sz w:val="11"/>
                <w:szCs w:val="11"/>
                <w:color w:val="auto"/>
              </w:rPr>
            </w:pPr>
          </w:p>
        </w:tc>
        <w:tc>
          <w:tcPr>
            <w:tcW w:w="1220" w:type="dxa"/>
            <w:vAlign w:val="bottom"/>
            <w:shd w:val="clear" w:color="auto" w:fill="E1E2E0"/>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Expand LNG market</w:t>
            </w:r>
          </w:p>
        </w:tc>
        <w:tc>
          <w:tcPr>
            <w:tcW w:w="3820" w:type="dxa"/>
            <w:vAlign w:val="bottom"/>
            <w:shd w:val="clear" w:color="auto" w:fill="E1E2E0"/>
          </w:tcPr>
          <w:p>
            <w:pPr>
              <w:spacing w:after="0"/>
              <w:rPr>
                <w:sz w:val="21"/>
                <w:szCs w:val="21"/>
                <w:color w:val="auto"/>
              </w:rPr>
            </w:pPr>
          </w:p>
        </w:tc>
        <w:tc>
          <w:tcPr>
            <w:tcW w:w="1200" w:type="dxa"/>
            <w:vAlign w:val="bottom"/>
            <w:shd w:val="clear" w:color="auto" w:fill="E1E2E0"/>
          </w:tcPr>
          <w:p>
            <w:pPr>
              <w:spacing w:after="0"/>
              <w:rPr>
                <w:sz w:val="21"/>
                <w:szCs w:val="21"/>
                <w:color w:val="auto"/>
              </w:rPr>
            </w:pPr>
          </w:p>
        </w:tc>
        <w:tc>
          <w:tcPr>
            <w:tcW w:w="1220" w:type="dxa"/>
            <w:vAlign w:val="bottom"/>
            <w:shd w:val="clear" w:color="auto" w:fill="E1E2E0"/>
          </w:tcPr>
          <w:p>
            <w:pPr>
              <w:spacing w:after="0"/>
              <w:rPr>
                <w:sz w:val="21"/>
                <w:szCs w:val="21"/>
                <w:color w:val="auto"/>
              </w:rPr>
            </w:pPr>
          </w:p>
        </w:tc>
        <w:tc>
          <w:tcPr>
            <w:tcW w:w="1220" w:type="dxa"/>
            <w:vAlign w:val="bottom"/>
            <w:shd w:val="clear" w:color="auto" w:fill="E1E2E0"/>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8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Strengthen market position in Surface</w:t>
            </w:r>
          </w:p>
        </w:tc>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Expanded international market presence</w:t>
            </w:r>
          </w:p>
        </w:tc>
        <w:tc>
          <w:tcPr>
            <w:tcW w:w="1200" w:type="dxa"/>
            <w:vAlign w:val="bottom"/>
            <w:shd w:val="clear" w:color="auto" w:fill="E1E2E0"/>
          </w:tcPr>
          <w:p>
            <w:pPr>
              <w:spacing w:after="0"/>
              <w:rPr>
                <w:sz w:val="22"/>
                <w:szCs w:val="22"/>
                <w:color w:val="auto"/>
              </w:rPr>
            </w:pPr>
          </w:p>
        </w:tc>
        <w:tc>
          <w:tcPr>
            <w:tcW w:w="1220" w:type="dxa"/>
            <w:vAlign w:val="bottom"/>
            <w:shd w:val="clear" w:color="auto" w:fill="E1E2E0"/>
          </w:tcPr>
          <w:p>
            <w:pPr>
              <w:spacing w:after="0"/>
              <w:rPr>
                <w:sz w:val="22"/>
                <w:szCs w:val="22"/>
                <w:color w:val="auto"/>
              </w:rPr>
            </w:pPr>
          </w:p>
        </w:tc>
        <w:tc>
          <w:tcPr>
            <w:tcW w:w="1220" w:type="dxa"/>
            <w:vAlign w:val="bottom"/>
            <w:shd w:val="clear" w:color="auto" w:fill="E1E2E0"/>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3780" w:type="dxa"/>
            <w:vAlign w:val="bottom"/>
            <w:vMerge w:val="continue"/>
            <w:shd w:val="clear" w:color="auto" w:fill="E1E2E0"/>
          </w:tcPr>
          <w:p>
            <w:pPr>
              <w:spacing w:after="0"/>
              <w:rPr>
                <w:sz w:val="10"/>
                <w:szCs w:val="10"/>
                <w:color w:val="auto"/>
              </w:rPr>
            </w:pPr>
          </w:p>
        </w:tc>
        <w:tc>
          <w:tcPr>
            <w:tcW w:w="3820" w:type="dxa"/>
            <w:vAlign w:val="bottom"/>
            <w:shd w:val="clear" w:color="auto" w:fill="E1E2E0"/>
          </w:tcPr>
          <w:p>
            <w:pPr>
              <w:spacing w:after="0"/>
              <w:rPr>
                <w:sz w:val="10"/>
                <w:szCs w:val="10"/>
                <w:color w:val="auto"/>
              </w:rPr>
            </w:pPr>
          </w:p>
        </w:tc>
        <w:tc>
          <w:tcPr>
            <w:tcW w:w="1200" w:type="dxa"/>
            <w:vAlign w:val="bottom"/>
            <w:shd w:val="clear" w:color="auto" w:fill="E1E2E0"/>
          </w:tcPr>
          <w:p>
            <w:pPr>
              <w:spacing w:after="0"/>
              <w:rPr>
                <w:sz w:val="10"/>
                <w:szCs w:val="10"/>
                <w:color w:val="auto"/>
              </w:rPr>
            </w:pPr>
          </w:p>
        </w:tc>
        <w:tc>
          <w:tcPr>
            <w:tcW w:w="1220" w:type="dxa"/>
            <w:vAlign w:val="bottom"/>
            <w:shd w:val="clear" w:color="auto" w:fill="E1E2E0"/>
          </w:tcPr>
          <w:p>
            <w:pPr>
              <w:spacing w:after="0"/>
              <w:rPr>
                <w:sz w:val="10"/>
                <w:szCs w:val="10"/>
                <w:color w:val="auto"/>
              </w:rPr>
            </w:pPr>
          </w:p>
        </w:tc>
        <w:tc>
          <w:tcPr>
            <w:tcW w:w="1220" w:type="dxa"/>
            <w:vAlign w:val="bottom"/>
            <w:shd w:val="clear" w:color="auto" w:fill="E1E2E0"/>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Technologies</w:t>
            </w:r>
          </w:p>
        </w:tc>
        <w:tc>
          <w:tcPr>
            <w:tcW w:w="3820" w:type="dxa"/>
            <w:vAlign w:val="bottom"/>
            <w:shd w:val="clear" w:color="auto" w:fill="E1E2E0"/>
          </w:tcPr>
          <w:p>
            <w:pPr>
              <w:spacing w:after="0"/>
              <w:rPr>
                <w:sz w:val="16"/>
                <w:szCs w:val="16"/>
                <w:color w:val="auto"/>
              </w:rPr>
            </w:pP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78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Team &amp; Company Culture</w:t>
            </w:r>
          </w:p>
        </w:tc>
        <w:tc>
          <w:tcPr>
            <w:tcW w:w="382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Board member for Advancing Women</w:t>
            </w:r>
          </w:p>
        </w:tc>
        <w:tc>
          <w:tcPr>
            <w:tcW w:w="1200" w:type="dxa"/>
            <w:vAlign w:val="bottom"/>
            <w:shd w:val="clear" w:color="auto" w:fill="E1E2E0"/>
          </w:tcPr>
          <w:p>
            <w:pPr>
              <w:spacing w:after="0"/>
              <w:rPr>
                <w:sz w:val="24"/>
                <w:szCs w:val="24"/>
                <w:color w:val="auto"/>
              </w:rPr>
            </w:pPr>
          </w:p>
        </w:tc>
        <w:tc>
          <w:tcPr>
            <w:tcW w:w="1220" w:type="dxa"/>
            <w:vAlign w:val="bottom"/>
            <w:shd w:val="clear" w:color="auto" w:fill="E1E2E0"/>
          </w:tcPr>
          <w:p>
            <w:pPr>
              <w:spacing w:after="0"/>
              <w:rPr>
                <w:sz w:val="24"/>
                <w:szCs w:val="24"/>
                <w:color w:val="auto"/>
              </w:rPr>
            </w:pPr>
          </w:p>
        </w:tc>
        <w:tc>
          <w:tcPr>
            <w:tcW w:w="1220" w:type="dxa"/>
            <w:vAlign w:val="bottom"/>
            <w:shd w:val="clear" w:color="auto" w:fill="E1E2E0"/>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E1E2E0"/>
          </w:tcPr>
          <w:p>
            <w:pPr>
              <w:spacing w:after="0"/>
              <w:rPr>
                <w:sz w:val="16"/>
                <w:szCs w:val="16"/>
                <w:color w:val="auto"/>
              </w:rPr>
            </w:pPr>
          </w:p>
        </w:tc>
        <w:tc>
          <w:tcPr>
            <w:tcW w:w="382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Executives in Energy, CEO Action for Diversity</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External leadership</w:t>
            </w:r>
          </w:p>
        </w:tc>
        <w:tc>
          <w:tcPr>
            <w:tcW w:w="382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&amp; Inclusion™, American Heart Association,</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Succession planning</w:t>
            </w:r>
          </w:p>
        </w:tc>
        <w:tc>
          <w:tcPr>
            <w:tcW w:w="382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United Way, Energy Workforce Transformation</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vMerge w:val="continue"/>
            <w:shd w:val="clear" w:color="auto" w:fill="E1E2E0"/>
          </w:tcPr>
          <w:p>
            <w:pPr>
              <w:spacing w:after="0"/>
              <w:rPr>
                <w:sz w:val="16"/>
                <w:szCs w:val="16"/>
                <w:color w:val="auto"/>
              </w:rPr>
            </w:pPr>
          </w:p>
        </w:tc>
        <w:tc>
          <w:tcPr>
            <w:tcW w:w="382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Engagement re-focus on well-being and mental</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3780" w:type="dxa"/>
            <w:vAlign w:val="bottom"/>
            <w:shd w:val="clear" w:color="auto" w:fill="E1E2E0"/>
          </w:tcPr>
          <w:p>
            <w:pPr>
              <w:spacing w:after="0"/>
              <w:rPr>
                <w:sz w:val="6"/>
                <w:szCs w:val="6"/>
                <w:color w:val="auto"/>
              </w:rPr>
            </w:pPr>
          </w:p>
        </w:tc>
        <w:tc>
          <w:tcPr>
            <w:tcW w:w="3820" w:type="dxa"/>
            <w:vAlign w:val="bottom"/>
            <w:vMerge w:val="continue"/>
            <w:shd w:val="clear" w:color="auto" w:fill="E1E2E0"/>
          </w:tcPr>
          <w:p>
            <w:pPr>
              <w:spacing w:after="0"/>
              <w:rPr>
                <w:sz w:val="6"/>
                <w:szCs w:val="6"/>
                <w:color w:val="auto"/>
              </w:rPr>
            </w:pPr>
          </w:p>
        </w:tc>
        <w:tc>
          <w:tcPr>
            <w:tcW w:w="1200" w:type="dxa"/>
            <w:vAlign w:val="bottom"/>
            <w:shd w:val="clear" w:color="auto" w:fill="E1E2E0"/>
          </w:tcPr>
          <w:p>
            <w:pPr>
              <w:spacing w:after="0"/>
              <w:rPr>
                <w:sz w:val="6"/>
                <w:szCs w:val="6"/>
                <w:color w:val="auto"/>
              </w:rPr>
            </w:pPr>
          </w:p>
        </w:tc>
        <w:tc>
          <w:tcPr>
            <w:tcW w:w="1220" w:type="dxa"/>
            <w:vAlign w:val="bottom"/>
            <w:shd w:val="clear" w:color="auto" w:fill="E1E2E0"/>
          </w:tcPr>
          <w:p>
            <w:pPr>
              <w:spacing w:after="0"/>
              <w:rPr>
                <w:sz w:val="6"/>
                <w:szCs w:val="6"/>
                <w:color w:val="auto"/>
              </w:rPr>
            </w:pPr>
          </w:p>
        </w:tc>
        <w:tc>
          <w:tcPr>
            <w:tcW w:w="1220" w:type="dxa"/>
            <w:vAlign w:val="bottom"/>
            <w:shd w:val="clear" w:color="auto" w:fill="E1E2E0"/>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78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Engagement &amp; culture</w:t>
            </w:r>
          </w:p>
        </w:tc>
        <w:tc>
          <w:tcPr>
            <w:tcW w:w="382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health in line with the pandemic environment,</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3780" w:type="dxa"/>
            <w:vAlign w:val="bottom"/>
            <w:vMerge w:val="continue"/>
            <w:shd w:val="clear" w:color="auto" w:fill="E1E2E0"/>
          </w:tcPr>
          <w:p>
            <w:pPr>
              <w:spacing w:after="0"/>
              <w:rPr>
                <w:sz w:val="9"/>
                <w:szCs w:val="9"/>
                <w:color w:val="auto"/>
              </w:rPr>
            </w:pPr>
          </w:p>
        </w:tc>
        <w:tc>
          <w:tcPr>
            <w:tcW w:w="3820" w:type="dxa"/>
            <w:vAlign w:val="bottom"/>
            <w:vMerge w:val="restart"/>
            <w:shd w:val="clear" w:color="auto" w:fill="E1E2E0"/>
          </w:tcPr>
          <w:p>
            <w:pPr>
              <w:ind w:left="320"/>
              <w:spacing w:after="0"/>
              <w:rPr>
                <w:sz w:val="20"/>
                <w:szCs w:val="20"/>
                <w:color w:val="auto"/>
              </w:rPr>
            </w:pPr>
            <w:r>
              <w:rPr>
                <w:rFonts w:ascii="Arial" w:cs="Arial" w:eastAsia="Arial" w:hAnsi="Arial"/>
                <w:sz w:val="16"/>
                <w:szCs w:val="16"/>
                <w:color w:val="3B3C43"/>
              </w:rPr>
              <w:t>all Company well-being survey with actionable</w:t>
            </w:r>
          </w:p>
        </w:tc>
        <w:tc>
          <w:tcPr>
            <w:tcW w:w="1200" w:type="dxa"/>
            <w:vAlign w:val="bottom"/>
            <w:shd w:val="clear" w:color="auto" w:fill="E1E2E0"/>
          </w:tcPr>
          <w:p>
            <w:pPr>
              <w:spacing w:after="0"/>
              <w:rPr>
                <w:sz w:val="9"/>
                <w:szCs w:val="9"/>
                <w:color w:val="auto"/>
              </w:rPr>
            </w:pPr>
          </w:p>
        </w:tc>
        <w:tc>
          <w:tcPr>
            <w:tcW w:w="1220" w:type="dxa"/>
            <w:vAlign w:val="bottom"/>
            <w:shd w:val="clear" w:color="auto" w:fill="E1E2E0"/>
          </w:tcPr>
          <w:p>
            <w:pPr>
              <w:spacing w:after="0"/>
              <w:rPr>
                <w:sz w:val="9"/>
                <w:szCs w:val="9"/>
                <w:color w:val="auto"/>
              </w:rPr>
            </w:pPr>
          </w:p>
        </w:tc>
        <w:tc>
          <w:tcPr>
            <w:tcW w:w="1220" w:type="dxa"/>
            <w:vAlign w:val="bottom"/>
            <w:shd w:val="clear" w:color="auto" w:fill="E1E2E0"/>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780" w:type="dxa"/>
            <w:vAlign w:val="bottom"/>
            <w:shd w:val="clear" w:color="auto" w:fill="E1E2E0"/>
          </w:tcPr>
          <w:p>
            <w:pPr>
              <w:spacing w:after="0"/>
              <w:rPr>
                <w:sz w:val="6"/>
                <w:szCs w:val="6"/>
                <w:color w:val="auto"/>
              </w:rPr>
            </w:pPr>
          </w:p>
        </w:tc>
        <w:tc>
          <w:tcPr>
            <w:tcW w:w="3820" w:type="dxa"/>
            <w:vAlign w:val="bottom"/>
            <w:vMerge w:val="continue"/>
            <w:shd w:val="clear" w:color="auto" w:fill="E1E2E0"/>
          </w:tcPr>
          <w:p>
            <w:pPr>
              <w:spacing w:after="0"/>
              <w:rPr>
                <w:sz w:val="6"/>
                <w:szCs w:val="6"/>
                <w:color w:val="auto"/>
              </w:rPr>
            </w:pPr>
          </w:p>
        </w:tc>
        <w:tc>
          <w:tcPr>
            <w:tcW w:w="1200" w:type="dxa"/>
            <w:vAlign w:val="bottom"/>
            <w:shd w:val="clear" w:color="auto" w:fill="E1E2E0"/>
          </w:tcPr>
          <w:p>
            <w:pPr>
              <w:spacing w:after="0"/>
              <w:rPr>
                <w:sz w:val="6"/>
                <w:szCs w:val="6"/>
                <w:color w:val="auto"/>
              </w:rPr>
            </w:pPr>
          </w:p>
        </w:tc>
        <w:tc>
          <w:tcPr>
            <w:tcW w:w="1220" w:type="dxa"/>
            <w:vAlign w:val="bottom"/>
            <w:shd w:val="clear" w:color="auto" w:fill="E1E2E0"/>
          </w:tcPr>
          <w:p>
            <w:pPr>
              <w:spacing w:after="0"/>
              <w:rPr>
                <w:sz w:val="6"/>
                <w:szCs w:val="6"/>
                <w:color w:val="auto"/>
              </w:rPr>
            </w:pPr>
          </w:p>
        </w:tc>
        <w:tc>
          <w:tcPr>
            <w:tcW w:w="1220" w:type="dxa"/>
            <w:vAlign w:val="bottom"/>
            <w:shd w:val="clear" w:color="auto" w:fill="E1E2E0"/>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E1E2E0"/>
          </w:tcPr>
          <w:p>
            <w:pPr>
              <w:spacing w:after="0"/>
              <w:rPr>
                <w:sz w:val="16"/>
                <w:szCs w:val="16"/>
                <w:color w:val="auto"/>
              </w:rPr>
            </w:pPr>
          </w:p>
        </w:tc>
        <w:tc>
          <w:tcPr>
            <w:tcW w:w="382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results, Company-wide mental health support</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shd w:val="clear" w:color="auto" w:fill="E1E2E0"/>
          </w:tcPr>
          <w:p>
            <w:pPr>
              <w:spacing w:after="0"/>
              <w:rPr>
                <w:sz w:val="16"/>
                <w:szCs w:val="16"/>
                <w:color w:val="auto"/>
              </w:rPr>
            </w:pPr>
          </w:p>
        </w:tc>
        <w:tc>
          <w:tcPr>
            <w:tcW w:w="382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program implemented</w:t>
            </w:r>
          </w:p>
        </w:tc>
        <w:tc>
          <w:tcPr>
            <w:tcW w:w="120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1220" w:type="dxa"/>
            <w:vAlign w:val="bottom"/>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780" w:type="dxa"/>
            <w:vAlign w:val="bottom"/>
            <w:shd w:val="clear" w:color="auto" w:fill="E1E2E0"/>
          </w:tcPr>
          <w:p>
            <w:pPr>
              <w:spacing w:after="0"/>
              <w:rPr>
                <w:sz w:val="6"/>
                <w:szCs w:val="6"/>
                <w:color w:val="auto"/>
              </w:rPr>
            </w:pPr>
          </w:p>
        </w:tc>
        <w:tc>
          <w:tcPr>
            <w:tcW w:w="3820" w:type="dxa"/>
            <w:vAlign w:val="bottom"/>
            <w:shd w:val="clear" w:color="auto" w:fill="E1E2E0"/>
          </w:tcPr>
          <w:p>
            <w:pPr>
              <w:spacing w:after="0"/>
              <w:rPr>
                <w:sz w:val="6"/>
                <w:szCs w:val="6"/>
                <w:color w:val="auto"/>
              </w:rPr>
            </w:pPr>
          </w:p>
        </w:tc>
        <w:tc>
          <w:tcPr>
            <w:tcW w:w="1200" w:type="dxa"/>
            <w:vAlign w:val="bottom"/>
            <w:shd w:val="clear" w:color="auto" w:fill="E1E2E0"/>
          </w:tcPr>
          <w:p>
            <w:pPr>
              <w:spacing w:after="0"/>
              <w:rPr>
                <w:sz w:val="6"/>
                <w:szCs w:val="6"/>
                <w:color w:val="auto"/>
              </w:rPr>
            </w:pPr>
          </w:p>
        </w:tc>
        <w:tc>
          <w:tcPr>
            <w:tcW w:w="1220" w:type="dxa"/>
            <w:vAlign w:val="bottom"/>
            <w:shd w:val="clear" w:color="auto" w:fill="E1E2E0"/>
          </w:tcPr>
          <w:p>
            <w:pPr>
              <w:spacing w:after="0"/>
              <w:rPr>
                <w:sz w:val="6"/>
                <w:szCs w:val="6"/>
                <w:color w:val="auto"/>
              </w:rPr>
            </w:pPr>
          </w:p>
        </w:tc>
        <w:tc>
          <w:tcPr>
            <w:tcW w:w="1220" w:type="dxa"/>
            <w:vAlign w:val="bottom"/>
            <w:shd w:val="clear" w:color="auto" w:fill="E1E2E0"/>
          </w:tcPr>
          <w:p>
            <w:pPr>
              <w:spacing w:after="0"/>
              <w:rPr>
                <w:sz w:val="6"/>
                <w:szCs w:val="6"/>
                <w:color w:val="auto"/>
              </w:rPr>
            </w:pPr>
          </w:p>
        </w:tc>
        <w:tc>
          <w:tcPr>
            <w:tcW w:w="0" w:type="dxa"/>
            <w:vAlign w:val="bottom"/>
          </w:tcPr>
          <w:p>
            <w:pPr>
              <w:spacing w:after="0"/>
              <w:rPr>
                <w:sz w:val="1"/>
                <w:szCs w:val="1"/>
                <w:color w:val="auto"/>
              </w:rPr>
            </w:pPr>
          </w:p>
        </w:tc>
      </w:tr>
      <w:tr>
        <w:trPr>
          <w:trHeight w:val="380"/>
        </w:trPr>
        <w:tc>
          <w:tcPr>
            <w:tcW w:w="3780" w:type="dxa"/>
            <w:vAlign w:val="bottom"/>
          </w:tcPr>
          <w:p>
            <w:pPr>
              <w:spacing w:after="0"/>
              <w:rPr>
                <w:sz w:val="20"/>
                <w:szCs w:val="20"/>
                <w:color w:val="auto"/>
              </w:rPr>
            </w:pPr>
            <w:r>
              <w:rPr>
                <w:rFonts w:ascii="Arial" w:cs="Arial" w:eastAsia="Arial" w:hAnsi="Arial"/>
                <w:sz w:val="14"/>
                <w:szCs w:val="14"/>
                <w:color w:val="auto"/>
              </w:rPr>
              <w:t>90  TechnipFMC</w:t>
            </w:r>
          </w:p>
        </w:tc>
        <w:tc>
          <w:tcPr>
            <w:tcW w:w="3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37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-4636770</wp:posOffset>
            </wp:positionV>
            <wp:extent cx="7132320" cy="40119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21513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215138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800" w:type="dxa"/>
            <w:vAlign w:val="bottom"/>
            <w:shd w:val="clear" w:color="auto" w:fill="4A1F67"/>
          </w:tcPr>
          <w:p>
            <w:pPr>
              <w:spacing w:after="0"/>
              <w:rPr>
                <w:sz w:val="24"/>
                <w:szCs w:val="24"/>
                <w:color w:val="auto"/>
              </w:rPr>
            </w:pPr>
          </w:p>
        </w:tc>
        <w:tc>
          <w:tcPr>
            <w:tcW w:w="3780" w:type="dxa"/>
            <w:vAlign w:val="bottom"/>
            <w:shd w:val="clear" w:color="auto" w:fill="00ADE9"/>
          </w:tcPr>
          <w:p>
            <w:pPr>
              <w:spacing w:after="0"/>
              <w:rPr>
                <w:sz w:val="24"/>
                <w:szCs w:val="24"/>
                <w:color w:val="auto"/>
              </w:rPr>
            </w:pPr>
          </w:p>
        </w:tc>
        <w:tc>
          <w:tcPr>
            <w:tcW w:w="3640" w:type="dxa"/>
            <w:vAlign w:val="bottom"/>
            <w:gridSpan w:val="3"/>
            <w:shd w:val="clear" w:color="auto" w:fill="D21D22"/>
          </w:tcPr>
          <w:p>
            <w:pPr>
              <w:jc w:val="center"/>
              <w:spacing w:after="0"/>
              <w:rPr>
                <w:sz w:val="20"/>
                <w:szCs w:val="20"/>
                <w:color w:val="auto"/>
              </w:rPr>
            </w:pPr>
            <w:r>
              <w:rPr>
                <w:rFonts w:ascii="Arial" w:cs="Arial" w:eastAsia="Arial" w:hAnsi="Arial"/>
                <w:sz w:val="16"/>
                <w:szCs w:val="16"/>
                <w:b w:val="1"/>
                <w:bCs w:val="1"/>
                <w:color w:val="FFFFFF"/>
              </w:rPr>
              <w:t>Performance Assessment</w:t>
            </w:r>
          </w:p>
        </w:tc>
        <w:tc>
          <w:tcPr>
            <w:tcW w:w="0" w:type="dxa"/>
            <w:vAlign w:val="bottom"/>
          </w:tcPr>
          <w:p>
            <w:pPr>
              <w:spacing w:after="0"/>
              <w:rPr>
                <w:sz w:val="1"/>
                <w:szCs w:val="1"/>
                <w:color w:val="auto"/>
              </w:rPr>
            </w:pPr>
          </w:p>
        </w:tc>
      </w:tr>
      <w:tr>
        <w:trPr>
          <w:trHeight w:val="270"/>
        </w:trPr>
        <w:tc>
          <w:tcPr>
            <w:tcW w:w="380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Objectives</w:t>
            </w:r>
          </w:p>
        </w:tc>
        <w:tc>
          <w:tcPr>
            <w:tcW w:w="378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Key Achievements</w:t>
            </w:r>
          </w:p>
        </w:tc>
        <w:tc>
          <w:tcPr>
            <w:tcW w:w="1220" w:type="dxa"/>
            <w:vAlign w:val="bottom"/>
            <w:vMerge w:val="restart"/>
            <w:shd w:val="clear" w:color="auto" w:fill="D21D22"/>
          </w:tcPr>
          <w:p>
            <w:pPr>
              <w:jc w:val="center"/>
              <w:spacing w:after="0"/>
              <w:rPr>
                <w:sz w:val="20"/>
                <w:szCs w:val="20"/>
                <w:color w:val="auto"/>
              </w:rPr>
            </w:pPr>
            <w:r>
              <w:rPr>
                <w:rFonts w:ascii="Arial" w:cs="Arial" w:eastAsia="Arial" w:hAnsi="Arial"/>
                <w:sz w:val="16"/>
                <w:szCs w:val="16"/>
                <w:b w:val="1"/>
                <w:bCs w:val="1"/>
                <w:color w:val="FFFFFF"/>
              </w:rPr>
              <w:t>Below</w:t>
            </w:r>
          </w:p>
        </w:tc>
        <w:tc>
          <w:tcPr>
            <w:tcW w:w="1220" w:type="dxa"/>
            <w:vAlign w:val="bottom"/>
            <w:vMerge w:val="restart"/>
            <w:shd w:val="clear" w:color="auto" w:fill="D21D22"/>
          </w:tcPr>
          <w:p>
            <w:pPr>
              <w:jc w:val="center"/>
              <w:spacing w:after="0"/>
              <w:rPr>
                <w:sz w:val="20"/>
                <w:szCs w:val="20"/>
                <w:color w:val="auto"/>
              </w:rPr>
            </w:pPr>
            <w:r>
              <w:rPr>
                <w:rFonts w:ascii="Arial" w:cs="Arial" w:eastAsia="Arial" w:hAnsi="Arial"/>
                <w:sz w:val="16"/>
                <w:szCs w:val="16"/>
                <w:b w:val="1"/>
                <w:bCs w:val="1"/>
                <w:color w:val="FFFFFF"/>
              </w:rPr>
              <w:t>Meets</w:t>
            </w:r>
          </w:p>
        </w:tc>
        <w:tc>
          <w:tcPr>
            <w:tcW w:w="1200" w:type="dxa"/>
            <w:vAlign w:val="bottom"/>
            <w:vMerge w:val="restart"/>
            <w:shd w:val="clear" w:color="auto" w:fill="D21D22"/>
          </w:tcPr>
          <w:p>
            <w:pPr>
              <w:jc w:val="center"/>
              <w:spacing w:after="0"/>
              <w:rPr>
                <w:sz w:val="20"/>
                <w:szCs w:val="20"/>
                <w:color w:val="auto"/>
              </w:rPr>
            </w:pPr>
            <w:r>
              <w:rPr>
                <w:rFonts w:ascii="Arial" w:cs="Arial" w:eastAsia="Arial" w:hAnsi="Arial"/>
                <w:sz w:val="16"/>
                <w:szCs w:val="16"/>
                <w:b w:val="1"/>
                <w:bCs w:val="1"/>
                <w:color w:val="FFFFFF"/>
              </w:rPr>
              <w:t>Exceeds</w:t>
            </w:r>
          </w:p>
        </w:tc>
        <w:tc>
          <w:tcPr>
            <w:tcW w:w="0" w:type="dxa"/>
            <w:vAlign w:val="bottom"/>
          </w:tcPr>
          <w:p>
            <w:pPr>
              <w:spacing w:after="0"/>
              <w:rPr>
                <w:sz w:val="1"/>
                <w:szCs w:val="1"/>
                <w:color w:val="auto"/>
              </w:rPr>
            </w:pPr>
          </w:p>
        </w:tc>
      </w:tr>
      <w:tr>
        <w:trPr>
          <w:trHeight w:val="69"/>
        </w:trPr>
        <w:tc>
          <w:tcPr>
            <w:tcW w:w="3800" w:type="dxa"/>
            <w:vAlign w:val="bottom"/>
            <w:shd w:val="clear" w:color="auto" w:fill="4A1F67"/>
          </w:tcPr>
          <w:p>
            <w:pPr>
              <w:spacing w:after="0"/>
              <w:rPr>
                <w:sz w:val="5"/>
                <w:szCs w:val="5"/>
                <w:color w:val="auto"/>
              </w:rPr>
            </w:pPr>
          </w:p>
        </w:tc>
        <w:tc>
          <w:tcPr>
            <w:tcW w:w="3780" w:type="dxa"/>
            <w:vAlign w:val="bottom"/>
            <w:shd w:val="clear" w:color="auto" w:fill="00ADE9"/>
          </w:tcPr>
          <w:p>
            <w:pPr>
              <w:spacing w:after="0"/>
              <w:rPr>
                <w:sz w:val="5"/>
                <w:szCs w:val="5"/>
                <w:color w:val="auto"/>
              </w:rPr>
            </w:pPr>
          </w:p>
        </w:tc>
        <w:tc>
          <w:tcPr>
            <w:tcW w:w="1220" w:type="dxa"/>
            <w:vAlign w:val="bottom"/>
            <w:vMerge w:val="continue"/>
            <w:shd w:val="clear" w:color="auto" w:fill="D21D22"/>
          </w:tcPr>
          <w:p>
            <w:pPr>
              <w:spacing w:after="0"/>
              <w:rPr>
                <w:sz w:val="5"/>
                <w:szCs w:val="5"/>
                <w:color w:val="auto"/>
              </w:rPr>
            </w:pPr>
          </w:p>
        </w:tc>
        <w:tc>
          <w:tcPr>
            <w:tcW w:w="1220" w:type="dxa"/>
            <w:vAlign w:val="bottom"/>
            <w:vMerge w:val="continue"/>
            <w:shd w:val="clear" w:color="auto" w:fill="D21D22"/>
          </w:tcPr>
          <w:p>
            <w:pPr>
              <w:spacing w:after="0"/>
              <w:rPr>
                <w:sz w:val="5"/>
                <w:szCs w:val="5"/>
                <w:color w:val="auto"/>
              </w:rPr>
            </w:pPr>
          </w:p>
        </w:tc>
        <w:tc>
          <w:tcPr>
            <w:tcW w:w="1200" w:type="dxa"/>
            <w:vAlign w:val="bottom"/>
            <w:vMerge w:val="continue"/>
            <w:shd w:val="clear" w:color="auto" w:fill="D21D22"/>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800" w:type="dxa"/>
            <w:vAlign w:val="bottom"/>
            <w:shd w:val="clear" w:color="auto" w:fill="4A1F67"/>
          </w:tcPr>
          <w:p>
            <w:pPr>
              <w:spacing w:after="0"/>
              <w:rPr>
                <w:sz w:val="18"/>
                <w:szCs w:val="18"/>
                <w:color w:val="auto"/>
              </w:rPr>
            </w:pPr>
          </w:p>
        </w:tc>
        <w:tc>
          <w:tcPr>
            <w:tcW w:w="3780" w:type="dxa"/>
            <w:vAlign w:val="bottom"/>
            <w:shd w:val="clear" w:color="auto" w:fill="00ADE9"/>
          </w:tcPr>
          <w:p>
            <w:pPr>
              <w:spacing w:after="0"/>
              <w:rPr>
                <w:sz w:val="18"/>
                <w:szCs w:val="18"/>
                <w:color w:val="auto"/>
              </w:rPr>
            </w:pPr>
          </w:p>
        </w:tc>
        <w:tc>
          <w:tcPr>
            <w:tcW w:w="1220" w:type="dxa"/>
            <w:vAlign w:val="bottom"/>
            <w:shd w:val="clear" w:color="auto" w:fill="D21D22"/>
          </w:tcPr>
          <w:p>
            <w:pPr>
              <w:jc w:val="center"/>
              <w:spacing w:after="0"/>
              <w:rPr>
                <w:sz w:val="20"/>
                <w:szCs w:val="20"/>
                <w:color w:val="auto"/>
              </w:rPr>
            </w:pPr>
            <w:r>
              <w:rPr>
                <w:rFonts w:ascii="Arial" w:cs="Arial" w:eastAsia="Arial" w:hAnsi="Arial"/>
                <w:sz w:val="16"/>
                <w:szCs w:val="16"/>
                <w:b w:val="1"/>
                <w:bCs w:val="1"/>
                <w:color w:val="FFFFFF"/>
              </w:rPr>
              <w:t>Expectations</w:t>
            </w:r>
          </w:p>
        </w:tc>
        <w:tc>
          <w:tcPr>
            <w:tcW w:w="1220" w:type="dxa"/>
            <w:vAlign w:val="bottom"/>
            <w:shd w:val="clear" w:color="auto" w:fill="D21D22"/>
          </w:tcPr>
          <w:p>
            <w:pPr>
              <w:jc w:val="center"/>
              <w:spacing w:after="0"/>
              <w:rPr>
                <w:sz w:val="20"/>
                <w:szCs w:val="20"/>
                <w:color w:val="auto"/>
              </w:rPr>
            </w:pPr>
            <w:r>
              <w:rPr>
                <w:rFonts w:ascii="Arial" w:cs="Arial" w:eastAsia="Arial" w:hAnsi="Arial"/>
                <w:sz w:val="16"/>
                <w:szCs w:val="16"/>
                <w:b w:val="1"/>
                <w:bCs w:val="1"/>
                <w:color w:val="FFFFFF"/>
              </w:rPr>
              <w:t>Expectations</w:t>
            </w:r>
          </w:p>
        </w:tc>
        <w:tc>
          <w:tcPr>
            <w:tcW w:w="1200" w:type="dxa"/>
            <w:vAlign w:val="bottom"/>
            <w:shd w:val="clear" w:color="auto" w:fill="D21D22"/>
          </w:tcPr>
          <w:p>
            <w:pPr>
              <w:jc w:val="center"/>
              <w:spacing w:after="0"/>
              <w:rPr>
                <w:sz w:val="20"/>
                <w:szCs w:val="20"/>
                <w:color w:val="auto"/>
              </w:rPr>
            </w:pPr>
            <w:r>
              <w:rPr>
                <w:rFonts w:ascii="Arial" w:cs="Arial" w:eastAsia="Arial" w:hAnsi="Arial"/>
                <w:sz w:val="16"/>
                <w:szCs w:val="16"/>
                <w:b w:val="1"/>
                <w:bCs w:val="1"/>
                <w:color w:val="FFFFFF"/>
              </w:rPr>
              <w:t>Expectations</w:t>
            </w:r>
          </w:p>
        </w:tc>
        <w:tc>
          <w:tcPr>
            <w:tcW w:w="0" w:type="dxa"/>
            <w:vAlign w:val="bottom"/>
          </w:tcPr>
          <w:p>
            <w:pPr>
              <w:spacing w:after="0"/>
              <w:rPr>
                <w:sz w:val="1"/>
                <w:szCs w:val="1"/>
                <w:color w:val="auto"/>
              </w:rPr>
            </w:pPr>
          </w:p>
        </w:tc>
      </w:tr>
      <w:tr>
        <w:trPr>
          <w:trHeight w:val="73"/>
        </w:trPr>
        <w:tc>
          <w:tcPr>
            <w:tcW w:w="3800" w:type="dxa"/>
            <w:vAlign w:val="bottom"/>
            <w:shd w:val="clear" w:color="auto" w:fill="4A1F67"/>
          </w:tcPr>
          <w:p>
            <w:pPr>
              <w:spacing w:after="0"/>
              <w:rPr>
                <w:sz w:val="6"/>
                <w:szCs w:val="6"/>
                <w:color w:val="auto"/>
              </w:rPr>
            </w:pPr>
          </w:p>
        </w:tc>
        <w:tc>
          <w:tcPr>
            <w:tcW w:w="3780" w:type="dxa"/>
            <w:vAlign w:val="bottom"/>
            <w:shd w:val="clear" w:color="auto" w:fill="00ADE9"/>
          </w:tcPr>
          <w:p>
            <w:pPr>
              <w:spacing w:after="0"/>
              <w:rPr>
                <w:sz w:val="6"/>
                <w:szCs w:val="6"/>
                <w:color w:val="auto"/>
              </w:rPr>
            </w:pPr>
          </w:p>
        </w:tc>
        <w:tc>
          <w:tcPr>
            <w:tcW w:w="1220" w:type="dxa"/>
            <w:vAlign w:val="bottom"/>
            <w:shd w:val="clear" w:color="auto" w:fill="D21D22"/>
          </w:tcPr>
          <w:p>
            <w:pPr>
              <w:spacing w:after="0"/>
              <w:rPr>
                <w:sz w:val="6"/>
                <w:szCs w:val="6"/>
                <w:color w:val="auto"/>
              </w:rPr>
            </w:pPr>
          </w:p>
        </w:tc>
        <w:tc>
          <w:tcPr>
            <w:tcW w:w="1220" w:type="dxa"/>
            <w:vAlign w:val="bottom"/>
            <w:shd w:val="clear" w:color="auto" w:fill="D21D22"/>
          </w:tcPr>
          <w:p>
            <w:pPr>
              <w:spacing w:after="0"/>
              <w:rPr>
                <w:sz w:val="6"/>
                <w:szCs w:val="6"/>
                <w:color w:val="auto"/>
              </w:rPr>
            </w:pPr>
          </w:p>
        </w:tc>
        <w:tc>
          <w:tcPr>
            <w:tcW w:w="1200" w:type="dxa"/>
            <w:vAlign w:val="bottom"/>
            <w:shd w:val="clear" w:color="auto" w:fill="D21D22"/>
          </w:tcPr>
          <w:p>
            <w:pPr>
              <w:spacing w:after="0"/>
              <w:rPr>
                <w:sz w:val="6"/>
                <w:szCs w:val="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Mr. Pferdehirt</w:t>
      </w:r>
    </w:p>
    <w:p>
      <w:pPr>
        <w:spacing w:after="0" w:line="181" w:lineRule="exact"/>
        <w:rPr>
          <w:sz w:val="20"/>
          <w:szCs w:val="20"/>
          <w:color w:val="auto"/>
        </w:rPr>
      </w:pPr>
    </w:p>
    <w:p>
      <w:pPr>
        <w:ind w:left="3900" w:right="3900" w:hanging="4022"/>
        <w:spacing w:after="0" w:line="253" w:lineRule="auto"/>
        <w:tabs>
          <w:tab w:leader="none" w:pos="3880" w:val="left"/>
        </w:tabs>
        <w:rPr>
          <w:sz w:val="20"/>
          <w:szCs w:val="20"/>
          <w:color w:val="auto"/>
        </w:rPr>
      </w:pPr>
      <w:r>
        <w:rPr>
          <w:rFonts w:ascii="Arial" w:cs="Arial" w:eastAsia="Arial" w:hAnsi="Arial"/>
          <w:sz w:val="16"/>
          <w:szCs w:val="16"/>
          <w:b w:val="1"/>
          <w:bCs w:val="1"/>
          <w:color w:val="3B3C43"/>
        </w:rPr>
        <w:t>ESG &amp; Foundational Beliefs</w:t>
      </w:r>
      <w:r>
        <w:rPr>
          <w:sz w:val="20"/>
          <w:szCs w:val="20"/>
          <w:color w:val="auto"/>
        </w:rPr>
        <w:tab/>
      </w:r>
      <w:r>
        <w:rPr>
          <w:rFonts w:ascii="Arial" w:cs="Arial" w:eastAsia="Arial" w:hAnsi="Arial"/>
          <w:sz w:val="16"/>
          <w:szCs w:val="16"/>
          <w:color w:val="4B1F68"/>
        </w:rPr>
        <w:t xml:space="preserve">► </w:t>
      </w:r>
      <w:r>
        <w:rPr>
          <w:rFonts w:ascii="Arial" w:cs="Arial" w:eastAsia="Arial" w:hAnsi="Arial"/>
          <w:sz w:val="16"/>
          <w:szCs w:val="16"/>
          <w:color w:val="3B3C43"/>
        </w:rPr>
        <w:t>Promoted gender diversity through Company</w:t>
      </w:r>
      <w:r>
        <w:rPr>
          <w:rFonts w:ascii="Arial" w:cs="Arial" w:eastAsia="Arial" w:hAnsi="Arial"/>
          <w:sz w:val="16"/>
          <w:szCs w:val="16"/>
          <w:color w:val="4B1F68"/>
        </w:rPr>
        <w:t xml:space="preserve"> </w:t>
      </w:r>
      <w:r>
        <w:rPr>
          <w:rFonts w:ascii="Arial" w:cs="Arial" w:eastAsia="Arial" w:hAnsi="Arial"/>
          <w:sz w:val="16"/>
          <w:szCs w:val="16"/>
          <w:color w:val="3B3C43"/>
        </w:rPr>
        <w:t>programs and key external recruitment</w:t>
      </w:r>
    </w:p>
    <w:p>
      <w:pPr>
        <w:spacing w:after="0" w:line="10" w:lineRule="exact"/>
        <w:rPr>
          <w:sz w:val="20"/>
          <w:szCs w:val="20"/>
          <w:color w:val="auto"/>
        </w:rPr>
      </w:pPr>
    </w:p>
    <w:p>
      <w:pPr>
        <w:ind w:left="320" w:right="8200" w:hanging="222"/>
        <w:spacing w:after="0" w:line="237" w:lineRule="auto"/>
        <w:tabs>
          <w:tab w:leader="none" w:pos="305" w:val="left"/>
        </w:tabs>
        <w:numPr>
          <w:ilvl w:val="0"/>
          <w:numId w:val="98"/>
        </w:numPr>
        <w:rPr>
          <w:rFonts w:ascii="Arial" w:cs="Arial" w:eastAsia="Arial" w:hAnsi="Arial"/>
          <w:sz w:val="16"/>
          <w:szCs w:val="16"/>
          <w:color w:val="4B1F68"/>
        </w:rPr>
      </w:pPr>
      <w:r>
        <w:rPr>
          <w:rFonts w:ascii="Arial" w:cs="Arial" w:eastAsia="Arial" w:hAnsi="Arial"/>
          <w:sz w:val="16"/>
          <w:szCs w:val="16"/>
          <w:color w:val="3B3C43"/>
        </w:rPr>
        <w:t>Focus on gender diversity, community engagement, and environment</w:t>
      </w:r>
    </w:p>
    <w:p>
      <w:pPr>
        <w:spacing w:after="0" w:line="1" w:lineRule="exact"/>
        <w:rPr>
          <w:sz w:val="20"/>
          <w:szCs w:val="20"/>
          <w:color w:val="auto"/>
        </w:rPr>
      </w:pPr>
    </w:p>
    <w:p>
      <w:pPr>
        <w:ind w:left="4100" w:hanging="195"/>
        <w:spacing w:after="0"/>
        <w:tabs>
          <w:tab w:leader="none" w:pos="4100" w:val="left"/>
        </w:tabs>
        <w:numPr>
          <w:ilvl w:val="0"/>
          <w:numId w:val="99"/>
        </w:numPr>
        <w:rPr>
          <w:rFonts w:ascii="Arial" w:cs="Arial" w:eastAsia="Arial" w:hAnsi="Arial"/>
          <w:sz w:val="16"/>
          <w:szCs w:val="16"/>
          <w:color w:val="4B1F68"/>
        </w:rPr>
      </w:pPr>
      <w:r>
        <w:rPr>
          <w:rFonts w:ascii="Arial" w:cs="Arial" w:eastAsia="Arial" w:hAnsi="Arial"/>
          <w:sz w:val="16"/>
          <w:szCs w:val="16"/>
          <w:color w:val="3B3C43"/>
        </w:rPr>
        <w:t>Promoted Company Energy Transition position</w:t>
      </w:r>
    </w:p>
    <w:p>
      <w:pPr>
        <w:spacing w:after="0" w:line="32" w:lineRule="exact"/>
        <w:rPr>
          <w:sz w:val="20"/>
          <w:szCs w:val="20"/>
          <w:color w:val="auto"/>
        </w:rPr>
      </w:pPr>
    </w:p>
    <w:p>
      <w:pPr>
        <w:ind w:left="300" w:hanging="202"/>
        <w:spacing w:after="0"/>
        <w:tabs>
          <w:tab w:leader="none" w:pos="300" w:val="left"/>
        </w:tabs>
        <w:numPr>
          <w:ilvl w:val="0"/>
          <w:numId w:val="100"/>
        </w:numPr>
        <w:rPr>
          <w:rFonts w:ascii="Arial" w:cs="Arial" w:eastAsia="Arial" w:hAnsi="Arial"/>
          <w:sz w:val="16"/>
          <w:szCs w:val="16"/>
          <w:color w:val="4B1F68"/>
        </w:rPr>
      </w:pPr>
      <w:r>
        <w:rPr>
          <w:rFonts w:ascii="Arial" w:cs="Arial" w:eastAsia="Arial" w:hAnsi="Arial"/>
          <w:sz w:val="16"/>
          <w:szCs w:val="16"/>
          <w:color w:val="3B3C43"/>
        </w:rPr>
        <w:t>Expand QHSES transformation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40" w:type="dxa"/>
            <w:vAlign w:val="bottom"/>
            <w:vMerge w:val="restart"/>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Zero fatalities</w:t>
            </w:r>
          </w:p>
        </w:tc>
        <w:tc>
          <w:tcPr>
            <w:tcW w:w="5560" w:type="dxa"/>
            <w:vAlign w:val="bottom"/>
          </w:tcPr>
          <w:p>
            <w:pPr>
              <w:ind w:left="66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Zero fatalities not achieved - one fatality</w:t>
            </w:r>
          </w:p>
        </w:tc>
        <w:tc>
          <w:tcPr>
            <w:tcW w:w="2420" w:type="dxa"/>
            <w:vAlign w:val="bottom"/>
            <w:shd w:val="clear" w:color="auto" w:fill="E1E1DF"/>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5560" w:type="dxa"/>
            <w:vAlign w:val="bottom"/>
          </w:tcPr>
          <w:p>
            <w:pPr>
              <w:spacing w:after="0"/>
              <w:rPr>
                <w:sz w:val="10"/>
                <w:szCs w:val="10"/>
                <w:color w:val="auto"/>
              </w:rPr>
            </w:pPr>
          </w:p>
        </w:tc>
        <w:tc>
          <w:tcPr>
            <w:tcW w:w="2420" w:type="dxa"/>
            <w:vAlign w:val="bottom"/>
            <w:shd w:val="clear" w:color="auto" w:fill="E1E1D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240" w:type="dxa"/>
            <w:vAlign w:val="bottom"/>
          </w:tcPr>
          <w:p>
            <w:pPr>
              <w:spacing w:after="0"/>
              <w:rPr>
                <w:sz w:val="7"/>
                <w:szCs w:val="7"/>
                <w:color w:val="auto"/>
              </w:rPr>
            </w:pPr>
          </w:p>
        </w:tc>
        <w:tc>
          <w:tcPr>
            <w:tcW w:w="5560" w:type="dxa"/>
            <w:vAlign w:val="bottom"/>
          </w:tcPr>
          <w:p>
            <w:pPr>
              <w:spacing w:after="0"/>
              <w:rPr>
                <w:sz w:val="7"/>
                <w:szCs w:val="7"/>
                <w:color w:val="auto"/>
              </w:rPr>
            </w:pPr>
          </w:p>
        </w:tc>
        <w:tc>
          <w:tcPr>
            <w:tcW w:w="2420" w:type="dxa"/>
            <w:vAlign w:val="bottom"/>
            <w:shd w:val="clear" w:color="auto" w:fill="E1E1DF"/>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240" w:type="dxa"/>
            <w:vAlign w:val="bottom"/>
            <w:shd w:val="clear" w:color="auto" w:fill="6A6D72"/>
          </w:tcPr>
          <w:p>
            <w:pPr>
              <w:ind w:left="120"/>
              <w:spacing w:after="0"/>
              <w:rPr>
                <w:sz w:val="20"/>
                <w:szCs w:val="20"/>
                <w:color w:val="auto"/>
              </w:rPr>
            </w:pPr>
            <w:r>
              <w:rPr>
                <w:rFonts w:ascii="Arial" w:cs="Arial" w:eastAsia="Arial" w:hAnsi="Arial"/>
                <w:sz w:val="16"/>
                <w:szCs w:val="16"/>
                <w:b w:val="1"/>
                <w:bCs w:val="1"/>
                <w:color w:val="FFFFFF"/>
              </w:rPr>
              <w:t>Overall Rating for Mr. Pferdehirt</w:t>
            </w:r>
          </w:p>
        </w:tc>
        <w:tc>
          <w:tcPr>
            <w:tcW w:w="7980" w:type="dxa"/>
            <w:vAlign w:val="bottom"/>
            <w:gridSpan w:val="2"/>
            <w:shd w:val="clear" w:color="auto" w:fill="6A6D72"/>
          </w:tcPr>
          <w:p>
            <w:pPr>
              <w:jc w:val="right"/>
              <w:ind w:right="1600"/>
              <w:spacing w:after="0"/>
              <w:rPr>
                <w:sz w:val="20"/>
                <w:szCs w:val="20"/>
                <w:color w:val="auto"/>
              </w:rPr>
            </w:pPr>
            <w:r>
              <w:rPr>
                <w:rFonts w:ascii="Arial" w:cs="Arial" w:eastAsia="Arial" w:hAnsi="Arial"/>
                <w:sz w:val="16"/>
                <w:szCs w:val="16"/>
                <w:b w:val="1"/>
                <w:bCs w:val="1"/>
                <w:color w:val="FFFFFF"/>
              </w:rPr>
              <w:t>175%</w:t>
            </w:r>
          </w:p>
        </w:tc>
        <w:tc>
          <w:tcPr>
            <w:tcW w:w="0" w:type="dxa"/>
            <w:vAlign w:val="bottom"/>
          </w:tcPr>
          <w:p>
            <w:pPr>
              <w:spacing w:after="0"/>
              <w:rPr>
                <w:sz w:val="1"/>
                <w:szCs w:val="1"/>
                <w:color w:val="auto"/>
              </w:rPr>
            </w:pPr>
          </w:p>
        </w:tc>
      </w:tr>
      <w:tr>
        <w:trPr>
          <w:trHeight w:val="73"/>
        </w:trPr>
        <w:tc>
          <w:tcPr>
            <w:tcW w:w="3240" w:type="dxa"/>
            <w:vAlign w:val="bottom"/>
            <w:shd w:val="clear" w:color="auto" w:fill="6A6D72"/>
          </w:tcPr>
          <w:p>
            <w:pPr>
              <w:spacing w:after="0"/>
              <w:rPr>
                <w:sz w:val="6"/>
                <w:szCs w:val="6"/>
                <w:color w:val="auto"/>
              </w:rPr>
            </w:pPr>
          </w:p>
        </w:tc>
        <w:tc>
          <w:tcPr>
            <w:tcW w:w="5560" w:type="dxa"/>
            <w:vAlign w:val="bottom"/>
            <w:shd w:val="clear" w:color="auto" w:fill="6A6D72"/>
          </w:tcPr>
          <w:p>
            <w:pPr>
              <w:spacing w:after="0"/>
              <w:rPr>
                <w:sz w:val="6"/>
                <w:szCs w:val="6"/>
                <w:color w:val="auto"/>
              </w:rPr>
            </w:pPr>
          </w:p>
        </w:tc>
        <w:tc>
          <w:tcPr>
            <w:tcW w:w="2420" w:type="dxa"/>
            <w:vAlign w:val="bottom"/>
            <w:shd w:val="clear" w:color="auto" w:fill="6A6D72"/>
          </w:tcPr>
          <w:p>
            <w:pPr>
              <w:spacing w:after="0"/>
              <w:rPr>
                <w:sz w:val="6"/>
                <w:szCs w:val="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91</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3B3C43"/>
        </w:rPr>
        <w:t>Individual performance assessments for the other NEOs are summarized below. Ms. MacGregor and Mr. Uccelletti are excluded because they did not participate in the annual cash incentive plan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36772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67728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60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NEO</w:t>
            </w:r>
          </w:p>
        </w:tc>
        <w:tc>
          <w:tcPr>
            <w:tcW w:w="864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Summary of 2020 Objectives and Key Achievements</w:t>
            </w:r>
          </w:p>
        </w:tc>
        <w:tc>
          <w:tcPr>
            <w:tcW w:w="0" w:type="dxa"/>
            <w:vAlign w:val="bottom"/>
          </w:tcPr>
          <w:p>
            <w:pPr>
              <w:spacing w:after="0"/>
              <w:rPr>
                <w:sz w:val="1"/>
                <w:szCs w:val="1"/>
                <w:color w:val="auto"/>
              </w:rPr>
            </w:pPr>
          </w:p>
        </w:tc>
      </w:tr>
      <w:tr>
        <w:trPr>
          <w:trHeight w:val="73"/>
        </w:trPr>
        <w:tc>
          <w:tcPr>
            <w:tcW w:w="2600" w:type="dxa"/>
            <w:vAlign w:val="bottom"/>
            <w:shd w:val="clear" w:color="auto" w:fill="4A1F67"/>
          </w:tcPr>
          <w:p>
            <w:pPr>
              <w:spacing w:after="0"/>
              <w:rPr>
                <w:sz w:val="6"/>
                <w:szCs w:val="6"/>
                <w:color w:val="auto"/>
              </w:rPr>
            </w:pPr>
          </w:p>
        </w:tc>
        <w:tc>
          <w:tcPr>
            <w:tcW w:w="8640" w:type="dxa"/>
            <w:vAlign w:val="bottom"/>
            <w:shd w:val="clear" w:color="auto" w:fill="4A1F67"/>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6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Maryann Mannen</w:t>
            </w:r>
          </w:p>
        </w:tc>
        <w:tc>
          <w:tcPr>
            <w:tcW w:w="86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Ms. Mannen’s 2020 individual performance objectives reflected her responsibilities as our Executive Vice President</w:t>
            </w:r>
          </w:p>
        </w:tc>
        <w:tc>
          <w:tcPr>
            <w:tcW w:w="0" w:type="dxa"/>
            <w:vAlign w:val="bottom"/>
          </w:tcPr>
          <w:p>
            <w:pPr>
              <w:spacing w:after="0"/>
              <w:rPr>
                <w:sz w:val="1"/>
                <w:szCs w:val="1"/>
                <w:color w:val="auto"/>
              </w:rPr>
            </w:pPr>
          </w:p>
        </w:tc>
      </w:tr>
      <w:tr>
        <w:trPr>
          <w:trHeight w:val="94"/>
        </w:trPr>
        <w:tc>
          <w:tcPr>
            <w:tcW w:w="260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Executive Vice</w:t>
            </w:r>
          </w:p>
        </w:tc>
        <w:tc>
          <w:tcPr>
            <w:tcW w:w="8640" w:type="dxa"/>
            <w:vAlign w:val="bottom"/>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00" w:type="dxa"/>
            <w:vAlign w:val="bottom"/>
            <w:vMerge w:val="continue"/>
            <w:shd w:val="clear" w:color="auto" w:fill="E1E1DF"/>
          </w:tcPr>
          <w:p>
            <w:pPr>
              <w:spacing w:after="0"/>
              <w:rPr>
                <w:sz w:val="8"/>
                <w:szCs w:val="8"/>
                <w:color w:val="auto"/>
              </w:rPr>
            </w:pPr>
          </w:p>
        </w:tc>
        <w:tc>
          <w:tcPr>
            <w:tcW w:w="86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and Chief Financial Officer in leading our finance function. Ms. Mannen’s 2020 objectives and achievements included</w:t>
            </w:r>
          </w:p>
        </w:tc>
        <w:tc>
          <w:tcPr>
            <w:tcW w:w="0" w:type="dxa"/>
            <w:vAlign w:val="bottom"/>
          </w:tcPr>
          <w:p>
            <w:pPr>
              <w:spacing w:after="0"/>
              <w:rPr>
                <w:sz w:val="1"/>
                <w:szCs w:val="1"/>
                <w:color w:val="auto"/>
              </w:rPr>
            </w:pPr>
          </w:p>
        </w:tc>
      </w:tr>
      <w:tr>
        <w:trPr>
          <w:trHeight w:val="95"/>
        </w:trPr>
        <w:tc>
          <w:tcPr>
            <w:tcW w:w="260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President and Chief</w:t>
            </w:r>
          </w:p>
        </w:tc>
        <w:tc>
          <w:tcPr>
            <w:tcW w:w="8640" w:type="dxa"/>
            <w:vAlign w:val="bottom"/>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00" w:type="dxa"/>
            <w:vAlign w:val="bottom"/>
            <w:vMerge w:val="continue"/>
            <w:shd w:val="clear" w:color="auto" w:fill="E1E1DF"/>
          </w:tcPr>
          <w:p>
            <w:pPr>
              <w:spacing w:after="0"/>
              <w:rPr>
                <w:sz w:val="8"/>
                <w:szCs w:val="8"/>
                <w:color w:val="auto"/>
              </w:rPr>
            </w:pPr>
          </w:p>
        </w:tc>
        <w:tc>
          <w:tcPr>
            <w:tcW w:w="86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stewardship of a cost reduction program, maintaining disciplined capital and cash flow management, and securing a</w:t>
            </w:r>
          </w:p>
        </w:tc>
        <w:tc>
          <w:tcPr>
            <w:tcW w:w="0" w:type="dxa"/>
            <w:vAlign w:val="bottom"/>
          </w:tcPr>
          <w:p>
            <w:pPr>
              <w:spacing w:after="0"/>
              <w:rPr>
                <w:sz w:val="1"/>
                <w:szCs w:val="1"/>
                <w:color w:val="auto"/>
              </w:rPr>
            </w:pPr>
          </w:p>
        </w:tc>
      </w:tr>
      <w:tr>
        <w:trPr>
          <w:trHeight w:val="95"/>
        </w:trPr>
        <w:tc>
          <w:tcPr>
            <w:tcW w:w="260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Financial Officer</w:t>
            </w:r>
          </w:p>
        </w:tc>
        <w:tc>
          <w:tcPr>
            <w:tcW w:w="8640" w:type="dxa"/>
            <w:vAlign w:val="bottom"/>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600" w:type="dxa"/>
            <w:vAlign w:val="bottom"/>
            <w:vMerge w:val="continue"/>
            <w:shd w:val="clear" w:color="auto" w:fill="E1E1DF"/>
          </w:tcPr>
          <w:p>
            <w:pPr>
              <w:spacing w:after="0"/>
              <w:rPr>
                <w:sz w:val="8"/>
                <w:szCs w:val="8"/>
                <w:color w:val="auto"/>
              </w:rPr>
            </w:pPr>
          </w:p>
        </w:tc>
        <w:tc>
          <w:tcPr>
            <w:tcW w:w="86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revolving credit facility and successful bond offering post Spin-off.</w:t>
            </w:r>
          </w:p>
        </w:tc>
        <w:tc>
          <w:tcPr>
            <w:tcW w:w="0" w:type="dxa"/>
            <w:vAlign w:val="bottom"/>
          </w:tcPr>
          <w:p>
            <w:pPr>
              <w:spacing w:after="0"/>
              <w:rPr>
                <w:sz w:val="1"/>
                <w:szCs w:val="1"/>
                <w:color w:val="auto"/>
              </w:rPr>
            </w:pPr>
          </w:p>
        </w:tc>
      </w:tr>
      <w:tr>
        <w:trPr>
          <w:trHeight w:val="95"/>
        </w:trPr>
        <w:tc>
          <w:tcPr>
            <w:tcW w:w="2600" w:type="dxa"/>
            <w:vAlign w:val="bottom"/>
            <w:shd w:val="clear" w:color="auto" w:fill="E1E1DF"/>
          </w:tcPr>
          <w:p>
            <w:pPr>
              <w:spacing w:after="0"/>
              <w:rPr>
                <w:sz w:val="8"/>
                <w:szCs w:val="8"/>
                <w:color w:val="auto"/>
              </w:rPr>
            </w:pPr>
          </w:p>
        </w:tc>
        <w:tc>
          <w:tcPr>
            <w:tcW w:w="8640" w:type="dxa"/>
            <w:vAlign w:val="bottom"/>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453"/>
        </w:trPr>
        <w:tc>
          <w:tcPr>
            <w:tcW w:w="26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Justin Rounce</w:t>
            </w: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Mr. Rounce’s 2020 individual performance objectives reflected his responsibilities as our Executive Vice President</w:t>
            </w:r>
          </w:p>
        </w:tc>
        <w:tc>
          <w:tcPr>
            <w:tcW w:w="0" w:type="dxa"/>
            <w:vAlign w:val="bottom"/>
          </w:tcPr>
          <w:p>
            <w:pPr>
              <w:spacing w:after="0"/>
              <w:rPr>
                <w:sz w:val="1"/>
                <w:szCs w:val="1"/>
                <w:color w:val="auto"/>
              </w:rPr>
            </w:pPr>
          </w:p>
        </w:tc>
      </w:tr>
      <w:tr>
        <w:trPr>
          <w:trHeight w:val="189"/>
        </w:trPr>
        <w:tc>
          <w:tcPr>
            <w:tcW w:w="260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Executive Vice President and</w:t>
            </w: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and Chief Technology Officer in leading our research and innovation, product engineering, procurement and sourcing,</w:t>
            </w:r>
          </w:p>
        </w:tc>
        <w:tc>
          <w:tcPr>
            <w:tcW w:w="0" w:type="dxa"/>
            <w:vAlign w:val="bottom"/>
          </w:tcPr>
          <w:p>
            <w:pPr>
              <w:spacing w:after="0"/>
              <w:rPr>
                <w:sz w:val="1"/>
                <w:szCs w:val="1"/>
                <w:color w:val="auto"/>
              </w:rPr>
            </w:pPr>
          </w:p>
        </w:tc>
      </w:tr>
      <w:tr>
        <w:trPr>
          <w:trHeight w:val="189"/>
        </w:trPr>
        <w:tc>
          <w:tcPr>
            <w:tcW w:w="260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Chief Technology Officer</w:t>
            </w: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manufacturing, quality, safety, security, IT, digital, corporate development, mergers and acquisitions, and external</w:t>
            </w:r>
          </w:p>
        </w:tc>
        <w:tc>
          <w:tcPr>
            <w:tcW w:w="0" w:type="dxa"/>
            <w:vAlign w:val="bottom"/>
          </w:tcPr>
          <w:p>
            <w:pPr>
              <w:spacing w:after="0"/>
              <w:rPr>
                <w:sz w:val="1"/>
                <w:szCs w:val="1"/>
                <w:color w:val="auto"/>
              </w:rPr>
            </w:pPr>
          </w:p>
        </w:tc>
      </w:tr>
      <w:tr>
        <w:trPr>
          <w:trHeight w:val="189"/>
        </w:trPr>
        <w:tc>
          <w:tcPr>
            <w:tcW w:w="2600" w:type="dxa"/>
            <w:vAlign w:val="bottom"/>
            <w:shd w:val="clear" w:color="auto" w:fill="E1E1DF"/>
          </w:tcPr>
          <w:p>
            <w:pPr>
              <w:spacing w:after="0"/>
              <w:rPr>
                <w:sz w:val="16"/>
                <w:szCs w:val="16"/>
                <w:color w:val="auto"/>
              </w:rPr>
            </w:pP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technology engagement functions. Mr. Rounce’s 2020 objectives and achievements included advancing the</w:t>
            </w:r>
          </w:p>
        </w:tc>
        <w:tc>
          <w:tcPr>
            <w:tcW w:w="0" w:type="dxa"/>
            <w:vAlign w:val="bottom"/>
          </w:tcPr>
          <w:p>
            <w:pPr>
              <w:spacing w:after="0"/>
              <w:rPr>
                <w:sz w:val="1"/>
                <w:szCs w:val="1"/>
                <w:color w:val="auto"/>
              </w:rPr>
            </w:pPr>
          </w:p>
        </w:tc>
      </w:tr>
      <w:tr>
        <w:trPr>
          <w:trHeight w:val="189"/>
        </w:trPr>
        <w:tc>
          <w:tcPr>
            <w:tcW w:w="2600" w:type="dxa"/>
            <w:vAlign w:val="bottom"/>
            <w:shd w:val="clear" w:color="auto" w:fill="E1E1DF"/>
          </w:tcPr>
          <w:p>
            <w:pPr>
              <w:spacing w:after="0"/>
              <w:rPr>
                <w:sz w:val="16"/>
                <w:szCs w:val="16"/>
                <w:color w:val="auto"/>
              </w:rPr>
            </w:pP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Company’s manufacturing performance, developing a long-term manufacturing strategy, leading new product</w:t>
            </w:r>
          </w:p>
        </w:tc>
        <w:tc>
          <w:tcPr>
            <w:tcW w:w="0" w:type="dxa"/>
            <w:vAlign w:val="bottom"/>
          </w:tcPr>
          <w:p>
            <w:pPr>
              <w:spacing w:after="0"/>
              <w:rPr>
                <w:sz w:val="1"/>
                <w:szCs w:val="1"/>
                <w:color w:val="auto"/>
              </w:rPr>
            </w:pPr>
          </w:p>
        </w:tc>
      </w:tr>
      <w:tr>
        <w:trPr>
          <w:trHeight w:val="189"/>
        </w:trPr>
        <w:tc>
          <w:tcPr>
            <w:tcW w:w="2600" w:type="dxa"/>
            <w:vAlign w:val="bottom"/>
            <w:shd w:val="clear" w:color="auto" w:fill="E1E1DF"/>
          </w:tcPr>
          <w:p>
            <w:pPr>
              <w:spacing w:after="0"/>
              <w:rPr>
                <w:sz w:val="16"/>
                <w:szCs w:val="16"/>
                <w:color w:val="auto"/>
              </w:rPr>
            </w:pP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development projects and processes, supporting the development of business process changes including digital</w:t>
            </w:r>
          </w:p>
        </w:tc>
        <w:tc>
          <w:tcPr>
            <w:tcW w:w="0" w:type="dxa"/>
            <w:vAlign w:val="bottom"/>
          </w:tcPr>
          <w:p>
            <w:pPr>
              <w:spacing w:after="0"/>
              <w:rPr>
                <w:sz w:val="1"/>
                <w:szCs w:val="1"/>
                <w:color w:val="auto"/>
              </w:rPr>
            </w:pPr>
          </w:p>
        </w:tc>
      </w:tr>
      <w:tr>
        <w:trPr>
          <w:trHeight w:val="189"/>
        </w:trPr>
        <w:tc>
          <w:tcPr>
            <w:tcW w:w="2600" w:type="dxa"/>
            <w:vAlign w:val="bottom"/>
            <w:shd w:val="clear" w:color="auto" w:fill="E1E1DF"/>
          </w:tcPr>
          <w:p>
            <w:pPr>
              <w:spacing w:after="0"/>
              <w:rPr>
                <w:sz w:val="16"/>
                <w:szCs w:val="16"/>
                <w:color w:val="auto"/>
              </w:rPr>
            </w:pP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transformation, development of a long-term energy outlook for the Company, and co-leading the execution of the</w:t>
            </w:r>
          </w:p>
        </w:tc>
        <w:tc>
          <w:tcPr>
            <w:tcW w:w="0" w:type="dxa"/>
            <w:vAlign w:val="bottom"/>
          </w:tcPr>
          <w:p>
            <w:pPr>
              <w:spacing w:after="0"/>
              <w:rPr>
                <w:sz w:val="1"/>
                <w:szCs w:val="1"/>
                <w:color w:val="auto"/>
              </w:rPr>
            </w:pPr>
          </w:p>
        </w:tc>
      </w:tr>
      <w:tr>
        <w:trPr>
          <w:trHeight w:val="195"/>
        </w:trPr>
        <w:tc>
          <w:tcPr>
            <w:tcW w:w="2600" w:type="dxa"/>
            <w:vAlign w:val="bottom"/>
            <w:shd w:val="clear" w:color="auto" w:fill="E1E1DF"/>
          </w:tcPr>
          <w:p>
            <w:pPr>
              <w:spacing w:after="0"/>
              <w:rPr>
                <w:sz w:val="16"/>
                <w:szCs w:val="16"/>
                <w:color w:val="auto"/>
              </w:rPr>
            </w:pP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Spin-off of Technip Energies, which was completed in February 2021.</w:t>
            </w:r>
          </w:p>
        </w:tc>
        <w:tc>
          <w:tcPr>
            <w:tcW w:w="0" w:type="dxa"/>
            <w:vAlign w:val="bottom"/>
          </w:tcPr>
          <w:p>
            <w:pPr>
              <w:spacing w:after="0"/>
              <w:rPr>
                <w:sz w:val="1"/>
                <w:szCs w:val="1"/>
                <w:color w:val="auto"/>
              </w:rPr>
            </w:pPr>
          </w:p>
        </w:tc>
      </w:tr>
      <w:tr>
        <w:trPr>
          <w:trHeight w:val="359"/>
        </w:trPr>
        <w:tc>
          <w:tcPr>
            <w:tcW w:w="26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Arnaud Pieton</w:t>
            </w:r>
          </w:p>
        </w:tc>
        <w:tc>
          <w:tcPr>
            <w:tcW w:w="86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Mr. Pieton’s 2020 individual performance objectives reflected his responsibilities as President of Subsea from January</w:t>
            </w:r>
          </w:p>
        </w:tc>
        <w:tc>
          <w:tcPr>
            <w:tcW w:w="0" w:type="dxa"/>
            <w:vAlign w:val="bottom"/>
          </w:tcPr>
          <w:p>
            <w:pPr>
              <w:spacing w:after="0"/>
              <w:rPr>
                <w:sz w:val="1"/>
                <w:szCs w:val="1"/>
                <w:color w:val="auto"/>
              </w:rPr>
            </w:pPr>
          </w:p>
        </w:tc>
      </w:tr>
      <w:tr>
        <w:trPr>
          <w:trHeight w:val="94"/>
        </w:trPr>
        <w:tc>
          <w:tcPr>
            <w:tcW w:w="260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President of Subsea (January 1</w:t>
            </w:r>
          </w:p>
        </w:tc>
        <w:tc>
          <w:tcPr>
            <w:tcW w:w="8640" w:type="dxa"/>
            <w:vAlign w:val="bottom"/>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600" w:type="dxa"/>
            <w:vAlign w:val="bottom"/>
            <w:vMerge w:val="continue"/>
            <w:shd w:val="clear" w:color="auto" w:fill="E1E1DF"/>
          </w:tcPr>
          <w:p>
            <w:pPr>
              <w:spacing w:after="0"/>
              <w:rPr>
                <w:sz w:val="8"/>
                <w:szCs w:val="8"/>
                <w:color w:val="auto"/>
              </w:rPr>
            </w:pPr>
          </w:p>
        </w:tc>
        <w:tc>
          <w:tcPr>
            <w:tcW w:w="86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1 through October 2, 2020, and as President and CEO-elect of Technip Energies from October 2, 2020 through</w:t>
            </w:r>
          </w:p>
        </w:tc>
        <w:tc>
          <w:tcPr>
            <w:tcW w:w="0" w:type="dxa"/>
            <w:vAlign w:val="bottom"/>
          </w:tcPr>
          <w:p>
            <w:pPr>
              <w:spacing w:after="0"/>
              <w:rPr>
                <w:sz w:val="1"/>
                <w:szCs w:val="1"/>
                <w:color w:val="auto"/>
              </w:rPr>
            </w:pPr>
          </w:p>
        </w:tc>
      </w:tr>
      <w:tr>
        <w:trPr>
          <w:trHeight w:val="94"/>
        </w:trPr>
        <w:tc>
          <w:tcPr>
            <w:tcW w:w="260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to October 2)</w:t>
            </w:r>
          </w:p>
        </w:tc>
        <w:tc>
          <w:tcPr>
            <w:tcW w:w="8640" w:type="dxa"/>
            <w:vAlign w:val="bottom"/>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600" w:type="dxa"/>
            <w:vAlign w:val="bottom"/>
            <w:vMerge w:val="continue"/>
            <w:shd w:val="clear" w:color="auto" w:fill="E1E1DF"/>
          </w:tcPr>
          <w:p>
            <w:pPr>
              <w:spacing w:after="0"/>
              <w:rPr>
                <w:sz w:val="8"/>
                <w:szCs w:val="8"/>
                <w:color w:val="auto"/>
              </w:rPr>
            </w:pPr>
          </w:p>
        </w:tc>
        <w:tc>
          <w:tcPr>
            <w:tcW w:w="86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December 31, 2020. Mr. Pieton’s 2020 objectives and achievements included delivery on Subsea segment revenue</w:t>
            </w:r>
          </w:p>
        </w:tc>
        <w:tc>
          <w:tcPr>
            <w:tcW w:w="0" w:type="dxa"/>
            <w:vAlign w:val="bottom"/>
          </w:tcPr>
          <w:p>
            <w:pPr>
              <w:spacing w:after="0"/>
              <w:rPr>
                <w:sz w:val="1"/>
                <w:szCs w:val="1"/>
                <w:color w:val="auto"/>
              </w:rPr>
            </w:pPr>
          </w:p>
        </w:tc>
      </w:tr>
      <w:tr>
        <w:trPr>
          <w:trHeight w:val="89"/>
        </w:trPr>
        <w:tc>
          <w:tcPr>
            <w:tcW w:w="2600" w:type="dxa"/>
            <w:vAlign w:val="bottom"/>
            <w:shd w:val="clear" w:color="auto" w:fill="E1E1DF"/>
          </w:tcPr>
          <w:p>
            <w:pPr>
              <w:spacing w:after="0"/>
              <w:rPr>
                <w:sz w:val="7"/>
                <w:szCs w:val="7"/>
                <w:color w:val="auto"/>
              </w:rPr>
            </w:pPr>
          </w:p>
        </w:tc>
        <w:tc>
          <w:tcPr>
            <w:tcW w:w="8640" w:type="dxa"/>
            <w:vAlign w:val="bottom"/>
            <w:vMerge w:val="continue"/>
            <w:shd w:val="clear" w:color="auto" w:fill="E1E1D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60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President and CEO-elect of</w:t>
            </w: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and EBITDA targets, completion of a key strategic alliance, maintaining execution quality and backlog in a pandemic</w:t>
            </w:r>
          </w:p>
        </w:tc>
        <w:tc>
          <w:tcPr>
            <w:tcW w:w="0" w:type="dxa"/>
            <w:vAlign w:val="bottom"/>
          </w:tcPr>
          <w:p>
            <w:pPr>
              <w:spacing w:after="0"/>
              <w:rPr>
                <w:sz w:val="1"/>
                <w:szCs w:val="1"/>
                <w:color w:val="auto"/>
              </w:rPr>
            </w:pPr>
          </w:p>
        </w:tc>
      </w:tr>
      <w:tr>
        <w:trPr>
          <w:trHeight w:val="94"/>
        </w:trPr>
        <w:tc>
          <w:tcPr>
            <w:tcW w:w="2600" w:type="dxa"/>
            <w:vAlign w:val="bottom"/>
            <w:vMerge w:val="continue"/>
            <w:shd w:val="clear" w:color="auto" w:fill="E1E1DF"/>
          </w:tcPr>
          <w:p>
            <w:pPr>
              <w:spacing w:after="0"/>
              <w:rPr>
                <w:sz w:val="8"/>
                <w:szCs w:val="8"/>
                <w:color w:val="auto"/>
              </w:rPr>
            </w:pPr>
          </w:p>
        </w:tc>
        <w:tc>
          <w:tcPr>
            <w:tcW w:w="86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environment with no major cancellations, leading the development and deployment of Subsea Studio™, and playing a</w:t>
            </w:r>
          </w:p>
        </w:tc>
        <w:tc>
          <w:tcPr>
            <w:tcW w:w="0" w:type="dxa"/>
            <w:vAlign w:val="bottom"/>
          </w:tcPr>
          <w:p>
            <w:pPr>
              <w:spacing w:after="0"/>
              <w:rPr>
                <w:sz w:val="1"/>
                <w:szCs w:val="1"/>
                <w:color w:val="auto"/>
              </w:rPr>
            </w:pPr>
          </w:p>
        </w:tc>
      </w:tr>
      <w:tr>
        <w:trPr>
          <w:trHeight w:val="95"/>
        </w:trPr>
        <w:tc>
          <w:tcPr>
            <w:tcW w:w="260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Technip Energies (October 2 to</w:t>
            </w:r>
          </w:p>
        </w:tc>
        <w:tc>
          <w:tcPr>
            <w:tcW w:w="8640" w:type="dxa"/>
            <w:vAlign w:val="bottom"/>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00" w:type="dxa"/>
            <w:vAlign w:val="bottom"/>
            <w:vMerge w:val="continue"/>
            <w:shd w:val="clear" w:color="auto" w:fill="E1E1DF"/>
          </w:tcPr>
          <w:p>
            <w:pPr>
              <w:spacing w:after="0"/>
              <w:rPr>
                <w:sz w:val="8"/>
                <w:szCs w:val="8"/>
                <w:color w:val="auto"/>
              </w:rPr>
            </w:pPr>
          </w:p>
        </w:tc>
        <w:tc>
          <w:tcPr>
            <w:tcW w:w="864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leading role in the Spin-off of Technip Energies, which was completed in February 2021.</w:t>
            </w:r>
          </w:p>
        </w:tc>
        <w:tc>
          <w:tcPr>
            <w:tcW w:w="0" w:type="dxa"/>
            <w:vAlign w:val="bottom"/>
          </w:tcPr>
          <w:p>
            <w:pPr>
              <w:spacing w:after="0"/>
              <w:rPr>
                <w:sz w:val="1"/>
                <w:szCs w:val="1"/>
                <w:color w:val="auto"/>
              </w:rPr>
            </w:pPr>
          </w:p>
        </w:tc>
      </w:tr>
      <w:tr>
        <w:trPr>
          <w:trHeight w:val="100"/>
        </w:trPr>
        <w:tc>
          <w:tcPr>
            <w:tcW w:w="260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December 31)</w:t>
            </w:r>
          </w:p>
        </w:tc>
        <w:tc>
          <w:tcPr>
            <w:tcW w:w="8640" w:type="dxa"/>
            <w:vAlign w:val="bottom"/>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600" w:type="dxa"/>
            <w:vAlign w:val="bottom"/>
            <w:vMerge w:val="continue"/>
            <w:shd w:val="clear" w:color="auto" w:fill="E1E1DF"/>
          </w:tcPr>
          <w:p>
            <w:pPr>
              <w:spacing w:after="0"/>
              <w:rPr>
                <w:sz w:val="8"/>
                <w:szCs w:val="8"/>
                <w:color w:val="auto"/>
              </w:rPr>
            </w:pPr>
          </w:p>
        </w:tc>
        <w:tc>
          <w:tcPr>
            <w:tcW w:w="8640" w:type="dxa"/>
            <w:vAlign w:val="bottom"/>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359"/>
        </w:trPr>
        <w:tc>
          <w:tcPr>
            <w:tcW w:w="26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Barry Glickman</w:t>
            </w: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Mr. Glickman’s 2020 individual performance objectives reflected his responsibilities as President of Surface. Mr.</w:t>
            </w:r>
          </w:p>
        </w:tc>
        <w:tc>
          <w:tcPr>
            <w:tcW w:w="0" w:type="dxa"/>
            <w:vAlign w:val="bottom"/>
          </w:tcPr>
          <w:p>
            <w:pPr>
              <w:spacing w:after="0"/>
              <w:rPr>
                <w:sz w:val="1"/>
                <w:szCs w:val="1"/>
                <w:color w:val="auto"/>
              </w:rPr>
            </w:pPr>
          </w:p>
        </w:tc>
      </w:tr>
      <w:tr>
        <w:trPr>
          <w:trHeight w:val="189"/>
        </w:trPr>
        <w:tc>
          <w:tcPr>
            <w:tcW w:w="260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President of Surface</w:t>
            </w: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Glickman’s 2020 objectives and achievements included improving overall safety and quality performance,</w:t>
            </w:r>
          </w:p>
        </w:tc>
        <w:tc>
          <w:tcPr>
            <w:tcW w:w="0" w:type="dxa"/>
            <w:vAlign w:val="bottom"/>
          </w:tcPr>
          <w:p>
            <w:pPr>
              <w:spacing w:after="0"/>
              <w:rPr>
                <w:sz w:val="1"/>
                <w:szCs w:val="1"/>
                <w:color w:val="auto"/>
              </w:rPr>
            </w:pPr>
          </w:p>
        </w:tc>
      </w:tr>
      <w:tr>
        <w:trPr>
          <w:trHeight w:val="189"/>
        </w:trPr>
        <w:tc>
          <w:tcPr>
            <w:tcW w:w="2600" w:type="dxa"/>
            <w:vAlign w:val="bottom"/>
            <w:shd w:val="clear" w:color="auto" w:fill="E1E1DF"/>
          </w:tcPr>
          <w:p>
            <w:pPr>
              <w:spacing w:after="0"/>
              <w:rPr>
                <w:sz w:val="16"/>
                <w:szCs w:val="16"/>
                <w:color w:val="auto"/>
              </w:rPr>
            </w:pP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commercializing new technologies (including iComplete™ and iProduction™), increasing market share in key growth</w:t>
            </w:r>
          </w:p>
        </w:tc>
        <w:tc>
          <w:tcPr>
            <w:tcW w:w="0" w:type="dxa"/>
            <w:vAlign w:val="bottom"/>
          </w:tcPr>
          <w:p>
            <w:pPr>
              <w:spacing w:after="0"/>
              <w:rPr>
                <w:sz w:val="1"/>
                <w:szCs w:val="1"/>
                <w:color w:val="auto"/>
              </w:rPr>
            </w:pPr>
          </w:p>
        </w:tc>
      </w:tr>
      <w:tr>
        <w:trPr>
          <w:trHeight w:val="189"/>
        </w:trPr>
        <w:tc>
          <w:tcPr>
            <w:tcW w:w="2600" w:type="dxa"/>
            <w:vAlign w:val="bottom"/>
            <w:shd w:val="clear" w:color="auto" w:fill="E1E1DF"/>
          </w:tcPr>
          <w:p>
            <w:pPr>
              <w:spacing w:after="0"/>
              <w:rPr>
                <w:sz w:val="16"/>
                <w:szCs w:val="16"/>
                <w:color w:val="auto"/>
              </w:rPr>
            </w:pP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markets, implementing cost reduction in response to the significant drop in market activity, and delivering significant</w:t>
            </w:r>
          </w:p>
        </w:tc>
        <w:tc>
          <w:tcPr>
            <w:tcW w:w="0" w:type="dxa"/>
            <w:vAlign w:val="bottom"/>
          </w:tcPr>
          <w:p>
            <w:pPr>
              <w:spacing w:after="0"/>
              <w:rPr>
                <w:sz w:val="1"/>
                <w:szCs w:val="1"/>
                <w:color w:val="auto"/>
              </w:rPr>
            </w:pPr>
          </w:p>
        </w:tc>
      </w:tr>
      <w:tr>
        <w:trPr>
          <w:trHeight w:val="195"/>
        </w:trPr>
        <w:tc>
          <w:tcPr>
            <w:tcW w:w="2600" w:type="dxa"/>
            <w:vAlign w:val="bottom"/>
            <w:shd w:val="clear" w:color="auto" w:fill="E1E1DF"/>
          </w:tcPr>
          <w:p>
            <w:pPr>
              <w:spacing w:after="0"/>
              <w:rPr>
                <w:sz w:val="16"/>
                <w:szCs w:val="16"/>
                <w:color w:val="auto"/>
              </w:rPr>
            </w:pPr>
          </w:p>
        </w:tc>
        <w:tc>
          <w:tcPr>
            <w:tcW w:w="86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free cash flow for the year.</w:t>
            </w:r>
          </w:p>
        </w:tc>
        <w:tc>
          <w:tcPr>
            <w:tcW w:w="0" w:type="dxa"/>
            <w:vAlign w:val="bottom"/>
          </w:tcPr>
          <w:p>
            <w:pPr>
              <w:spacing w:after="0"/>
              <w:rPr>
                <w:sz w:val="1"/>
                <w:szCs w:val="1"/>
                <w:color w:val="auto"/>
              </w:rPr>
            </w:pPr>
          </w:p>
        </w:tc>
      </w:tr>
      <w:tr>
        <w:trPr>
          <w:trHeight w:val="73"/>
        </w:trPr>
        <w:tc>
          <w:tcPr>
            <w:tcW w:w="2600" w:type="dxa"/>
            <w:vAlign w:val="bottom"/>
            <w:shd w:val="clear" w:color="auto" w:fill="E1E1DF"/>
          </w:tcPr>
          <w:p>
            <w:pPr>
              <w:spacing w:after="0"/>
              <w:rPr>
                <w:sz w:val="6"/>
                <w:szCs w:val="6"/>
                <w:color w:val="auto"/>
              </w:rPr>
            </w:pPr>
          </w:p>
        </w:tc>
        <w:tc>
          <w:tcPr>
            <w:tcW w:w="864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r>
        <w:trPr>
          <w:trHeight w:val="380"/>
        </w:trPr>
        <w:tc>
          <w:tcPr>
            <w:tcW w:w="2600" w:type="dxa"/>
            <w:vAlign w:val="bottom"/>
          </w:tcPr>
          <w:p>
            <w:pPr>
              <w:spacing w:after="0"/>
              <w:rPr>
                <w:sz w:val="20"/>
                <w:szCs w:val="20"/>
                <w:color w:val="auto"/>
              </w:rPr>
            </w:pPr>
            <w:r>
              <w:rPr>
                <w:rFonts w:ascii="Arial" w:cs="Arial" w:eastAsia="Arial" w:hAnsi="Arial"/>
                <w:sz w:val="14"/>
                <w:szCs w:val="14"/>
                <w:color w:val="auto"/>
              </w:rPr>
              <w:t>92  TechnipFMC</w:t>
            </w:r>
          </w:p>
        </w:tc>
        <w:tc>
          <w:tcPr>
            <w:tcW w:w="8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260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9"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Determination of 2020 Payouts under the Annual Cash Incentive Plan</w:t>
      </w:r>
    </w:p>
    <w:p>
      <w:pPr>
        <w:spacing w:after="0" w:line="2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3B3C43"/>
        </w:rPr>
        <w:t>Each executive’s target annual cash bonus is a percentage of his or her base salary for the year. For example, assuming an NEO has a base salary of $600,000, a 100% target bonus, a BPI rating of 75%, and an API rating of 100%, the executive’s annual cash bonus would be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105410</wp:posOffset>
            </wp:positionV>
            <wp:extent cx="8890" cy="2228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22288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105410</wp:posOffset>
            </wp:positionV>
            <wp:extent cx="8255" cy="2228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105410</wp:posOffset>
            </wp:positionV>
            <wp:extent cx="8255" cy="2228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105410</wp:posOffset>
            </wp:positionV>
            <wp:extent cx="8890" cy="2228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22288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105410</wp:posOffset>
            </wp:positionV>
            <wp:extent cx="8890" cy="2228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22288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00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Component</w:t>
            </w:r>
          </w:p>
        </w:tc>
        <w:tc>
          <w:tcPr>
            <w:tcW w:w="1600" w:type="dxa"/>
            <w:vAlign w:val="bottom"/>
            <w:shd w:val="clear" w:color="auto" w:fill="4A1F67"/>
          </w:tcPr>
          <w:p>
            <w:pPr>
              <w:jc w:val="right"/>
              <w:ind w:right="439"/>
              <w:spacing w:after="0"/>
              <w:rPr>
                <w:sz w:val="20"/>
                <w:szCs w:val="20"/>
                <w:color w:val="auto"/>
              </w:rPr>
            </w:pPr>
            <w:r>
              <w:rPr>
                <w:rFonts w:ascii="Arial" w:cs="Arial" w:eastAsia="Arial" w:hAnsi="Arial"/>
                <w:sz w:val="16"/>
                <w:szCs w:val="16"/>
                <w:b w:val="1"/>
                <w:bCs w:val="1"/>
                <w:color w:val="FFFFFF"/>
              </w:rPr>
              <w:t>Base Salary</w:t>
            </w:r>
          </w:p>
        </w:tc>
        <w:tc>
          <w:tcPr>
            <w:tcW w:w="1620" w:type="dxa"/>
            <w:vAlign w:val="bottom"/>
            <w:shd w:val="clear" w:color="auto" w:fill="4A1F67"/>
          </w:tcPr>
          <w:p>
            <w:pPr>
              <w:jc w:val="right"/>
              <w:ind w:right="259"/>
              <w:spacing w:after="0"/>
              <w:rPr>
                <w:sz w:val="20"/>
                <w:szCs w:val="20"/>
                <w:color w:val="auto"/>
              </w:rPr>
            </w:pPr>
            <w:r>
              <w:rPr>
                <w:rFonts w:ascii="Arial" w:cs="Arial" w:eastAsia="Arial" w:hAnsi="Arial"/>
                <w:sz w:val="16"/>
                <w:szCs w:val="16"/>
                <w:b w:val="1"/>
                <w:bCs w:val="1"/>
                <w:color w:val="FFFFFF"/>
              </w:rPr>
              <w:t>Weighting</w:t>
            </w:r>
          </w:p>
        </w:tc>
        <w:tc>
          <w:tcPr>
            <w:tcW w:w="2080" w:type="dxa"/>
            <w:vAlign w:val="bottom"/>
            <w:shd w:val="clear" w:color="auto" w:fill="4A1F67"/>
          </w:tcPr>
          <w:p>
            <w:pPr>
              <w:jc w:val="right"/>
              <w:ind w:right="439"/>
              <w:spacing w:after="0"/>
              <w:rPr>
                <w:sz w:val="20"/>
                <w:szCs w:val="20"/>
                <w:color w:val="auto"/>
              </w:rPr>
            </w:pPr>
            <w:r>
              <w:rPr>
                <w:rFonts w:ascii="Arial" w:cs="Arial" w:eastAsia="Arial" w:hAnsi="Arial"/>
                <w:sz w:val="16"/>
                <w:szCs w:val="16"/>
                <w:b w:val="1"/>
                <w:bCs w:val="1"/>
                <w:color w:val="FFFFFF"/>
              </w:rPr>
              <w:t>Target Bonus %</w:t>
            </w:r>
          </w:p>
        </w:tc>
        <w:tc>
          <w:tcPr>
            <w:tcW w:w="1660" w:type="dxa"/>
            <w:vAlign w:val="bottom"/>
            <w:gridSpan w:val="2"/>
            <w:shd w:val="clear" w:color="auto" w:fill="4A1F67"/>
          </w:tcPr>
          <w:p>
            <w:pPr>
              <w:jc w:val="right"/>
              <w:ind w:right="419"/>
              <w:spacing w:after="0"/>
              <w:rPr>
                <w:sz w:val="20"/>
                <w:szCs w:val="20"/>
                <w:color w:val="auto"/>
              </w:rPr>
            </w:pPr>
            <w:r>
              <w:rPr>
                <w:rFonts w:ascii="Arial" w:cs="Arial" w:eastAsia="Arial" w:hAnsi="Arial"/>
                <w:sz w:val="16"/>
                <w:szCs w:val="16"/>
                <w:b w:val="1"/>
                <w:bCs w:val="1"/>
                <w:color w:val="FFFFFF"/>
              </w:rPr>
              <w:t>Rating</w:t>
            </w:r>
          </w:p>
        </w:tc>
        <w:tc>
          <w:tcPr>
            <w:tcW w:w="126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Payout</w:t>
            </w:r>
          </w:p>
        </w:tc>
      </w:tr>
      <w:tr>
        <w:trPr>
          <w:trHeight w:val="73"/>
        </w:trPr>
        <w:tc>
          <w:tcPr>
            <w:tcW w:w="3000" w:type="dxa"/>
            <w:vAlign w:val="bottom"/>
            <w:shd w:val="clear" w:color="auto" w:fill="4A1F67"/>
          </w:tcPr>
          <w:p>
            <w:pPr>
              <w:spacing w:after="0"/>
              <w:rPr>
                <w:sz w:val="6"/>
                <w:szCs w:val="6"/>
                <w:color w:val="auto"/>
              </w:rPr>
            </w:pPr>
          </w:p>
        </w:tc>
        <w:tc>
          <w:tcPr>
            <w:tcW w:w="1600" w:type="dxa"/>
            <w:vAlign w:val="bottom"/>
            <w:shd w:val="clear" w:color="auto" w:fill="4A1F67"/>
          </w:tcPr>
          <w:p>
            <w:pPr>
              <w:spacing w:after="0"/>
              <w:rPr>
                <w:sz w:val="6"/>
                <w:szCs w:val="6"/>
                <w:color w:val="auto"/>
              </w:rPr>
            </w:pPr>
          </w:p>
        </w:tc>
        <w:tc>
          <w:tcPr>
            <w:tcW w:w="1620" w:type="dxa"/>
            <w:vAlign w:val="bottom"/>
            <w:shd w:val="clear" w:color="auto" w:fill="4A1F67"/>
          </w:tcPr>
          <w:p>
            <w:pPr>
              <w:spacing w:after="0"/>
              <w:rPr>
                <w:sz w:val="6"/>
                <w:szCs w:val="6"/>
                <w:color w:val="auto"/>
              </w:rPr>
            </w:pPr>
          </w:p>
        </w:tc>
        <w:tc>
          <w:tcPr>
            <w:tcW w:w="2080" w:type="dxa"/>
            <w:vAlign w:val="bottom"/>
            <w:shd w:val="clear" w:color="auto" w:fill="4A1F67"/>
          </w:tcPr>
          <w:p>
            <w:pPr>
              <w:spacing w:after="0"/>
              <w:rPr>
                <w:sz w:val="6"/>
                <w:szCs w:val="6"/>
                <w:color w:val="auto"/>
              </w:rPr>
            </w:pPr>
          </w:p>
        </w:tc>
        <w:tc>
          <w:tcPr>
            <w:tcW w:w="1040" w:type="dxa"/>
            <w:vAlign w:val="bottom"/>
            <w:shd w:val="clear" w:color="auto" w:fill="4A1F67"/>
          </w:tcPr>
          <w:p>
            <w:pPr>
              <w:spacing w:after="0"/>
              <w:rPr>
                <w:sz w:val="6"/>
                <w:szCs w:val="6"/>
                <w:color w:val="auto"/>
              </w:rPr>
            </w:pPr>
          </w:p>
        </w:tc>
        <w:tc>
          <w:tcPr>
            <w:tcW w:w="620" w:type="dxa"/>
            <w:vAlign w:val="bottom"/>
            <w:shd w:val="clear" w:color="auto" w:fill="4A1F67"/>
          </w:tcPr>
          <w:p>
            <w:pPr>
              <w:spacing w:after="0"/>
              <w:rPr>
                <w:sz w:val="6"/>
                <w:szCs w:val="6"/>
                <w:color w:val="auto"/>
              </w:rPr>
            </w:pPr>
          </w:p>
        </w:tc>
        <w:tc>
          <w:tcPr>
            <w:tcW w:w="1260" w:type="dxa"/>
            <w:vAlign w:val="bottom"/>
            <w:shd w:val="clear" w:color="auto" w:fill="4A1F67"/>
          </w:tcPr>
          <w:p>
            <w:pPr>
              <w:spacing w:after="0"/>
              <w:rPr>
                <w:sz w:val="6"/>
                <w:szCs w:val="6"/>
                <w:color w:val="auto"/>
              </w:rPr>
            </w:pPr>
          </w:p>
        </w:tc>
      </w:tr>
      <w:tr>
        <w:trPr>
          <w:trHeight w:val="278"/>
        </w:trPr>
        <w:tc>
          <w:tcPr>
            <w:tcW w:w="3000" w:type="dxa"/>
            <w:vAlign w:val="bottom"/>
          </w:tcPr>
          <w:p>
            <w:pPr>
              <w:ind w:left="100"/>
              <w:spacing w:after="0"/>
              <w:rPr>
                <w:sz w:val="20"/>
                <w:szCs w:val="20"/>
                <w:color w:val="auto"/>
              </w:rPr>
            </w:pPr>
            <w:r>
              <w:rPr>
                <w:rFonts w:ascii="Arial" w:cs="Arial" w:eastAsia="Arial" w:hAnsi="Arial"/>
                <w:sz w:val="16"/>
                <w:szCs w:val="16"/>
                <w:b w:val="1"/>
                <w:bCs w:val="1"/>
                <w:color w:val="3B3C43"/>
              </w:rPr>
              <w:t>BPI:</w:t>
            </w:r>
          </w:p>
        </w:tc>
        <w:tc>
          <w:tcPr>
            <w:tcW w:w="1600" w:type="dxa"/>
            <w:vAlign w:val="bottom"/>
          </w:tcPr>
          <w:p>
            <w:pPr>
              <w:jc w:val="right"/>
              <w:ind w:right="439"/>
              <w:spacing w:after="0"/>
              <w:rPr>
                <w:sz w:val="20"/>
                <w:szCs w:val="20"/>
                <w:color w:val="auto"/>
              </w:rPr>
            </w:pPr>
            <w:r>
              <w:rPr>
                <w:rFonts w:ascii="Arial" w:cs="Arial" w:eastAsia="Arial" w:hAnsi="Arial"/>
                <w:sz w:val="16"/>
                <w:szCs w:val="16"/>
                <w:color w:val="3B3C43"/>
              </w:rPr>
              <w:t>$600,000</w:t>
            </w:r>
          </w:p>
        </w:tc>
        <w:tc>
          <w:tcPr>
            <w:tcW w:w="1620" w:type="dxa"/>
            <w:vAlign w:val="bottom"/>
          </w:tcPr>
          <w:p>
            <w:pPr>
              <w:jc w:val="right"/>
              <w:ind w:right="259"/>
              <w:spacing w:after="0"/>
              <w:rPr>
                <w:sz w:val="20"/>
                <w:szCs w:val="20"/>
                <w:color w:val="auto"/>
              </w:rPr>
            </w:pPr>
            <w:r>
              <w:rPr>
                <w:rFonts w:ascii="Arial" w:cs="Arial" w:eastAsia="Arial" w:hAnsi="Arial"/>
                <w:sz w:val="16"/>
                <w:szCs w:val="16"/>
                <w:color w:val="3B3C43"/>
              </w:rPr>
              <w:t>x 75%</w:t>
            </w:r>
          </w:p>
        </w:tc>
        <w:tc>
          <w:tcPr>
            <w:tcW w:w="2080" w:type="dxa"/>
            <w:vAlign w:val="bottom"/>
          </w:tcPr>
          <w:p>
            <w:pPr>
              <w:jc w:val="right"/>
              <w:ind w:right="439"/>
              <w:spacing w:after="0"/>
              <w:rPr>
                <w:sz w:val="20"/>
                <w:szCs w:val="20"/>
                <w:color w:val="auto"/>
              </w:rPr>
            </w:pPr>
            <w:r>
              <w:rPr>
                <w:rFonts w:ascii="Arial" w:cs="Arial" w:eastAsia="Arial" w:hAnsi="Arial"/>
                <w:sz w:val="16"/>
                <w:szCs w:val="16"/>
                <w:color w:val="3B3C43"/>
              </w:rPr>
              <w:t>x 100%</w:t>
            </w:r>
          </w:p>
        </w:tc>
        <w:tc>
          <w:tcPr>
            <w:tcW w:w="1040" w:type="dxa"/>
            <w:vAlign w:val="bottom"/>
          </w:tcPr>
          <w:p>
            <w:pPr>
              <w:jc w:val="right"/>
              <w:spacing w:after="0"/>
              <w:rPr>
                <w:sz w:val="20"/>
                <w:szCs w:val="20"/>
                <w:color w:val="auto"/>
              </w:rPr>
            </w:pPr>
            <w:r>
              <w:rPr>
                <w:rFonts w:ascii="Arial" w:cs="Arial" w:eastAsia="Arial" w:hAnsi="Arial"/>
                <w:sz w:val="16"/>
                <w:szCs w:val="16"/>
                <w:color w:val="3B3C43"/>
              </w:rPr>
              <w:t>x 75%</w:t>
            </w:r>
          </w:p>
        </w:tc>
        <w:tc>
          <w:tcPr>
            <w:tcW w:w="620" w:type="dxa"/>
            <w:vAlign w:val="bottom"/>
          </w:tcPr>
          <w:p>
            <w:pPr>
              <w:jc w:val="right"/>
              <w:ind w:right="419"/>
              <w:spacing w:after="0"/>
              <w:rPr>
                <w:sz w:val="20"/>
                <w:szCs w:val="20"/>
                <w:color w:val="auto"/>
              </w:rPr>
            </w:pPr>
            <w:r>
              <w:rPr>
                <w:rFonts w:ascii="Arial" w:cs="Arial" w:eastAsia="Arial" w:hAnsi="Arial"/>
                <w:sz w:val="16"/>
                <w:szCs w:val="16"/>
                <w:color w:val="3B3C43"/>
              </w:rPr>
              <w:t>=</w:t>
            </w:r>
          </w:p>
        </w:tc>
        <w:tc>
          <w:tcPr>
            <w:tcW w:w="1260" w:type="dxa"/>
            <w:vAlign w:val="bottom"/>
          </w:tcPr>
          <w:p>
            <w:pPr>
              <w:jc w:val="right"/>
              <w:spacing w:after="0"/>
              <w:rPr>
                <w:sz w:val="20"/>
                <w:szCs w:val="20"/>
                <w:color w:val="auto"/>
              </w:rPr>
            </w:pPr>
            <w:r>
              <w:rPr>
                <w:rFonts w:ascii="Arial" w:cs="Arial" w:eastAsia="Arial" w:hAnsi="Arial"/>
                <w:sz w:val="16"/>
                <w:szCs w:val="16"/>
                <w:color w:val="3B3C43"/>
              </w:rPr>
              <w:t>$337,500</w:t>
            </w:r>
          </w:p>
        </w:tc>
      </w:tr>
      <w:tr>
        <w:trPr>
          <w:trHeight w:val="73"/>
        </w:trPr>
        <w:tc>
          <w:tcPr>
            <w:tcW w:w="3000" w:type="dxa"/>
            <w:vAlign w:val="bottom"/>
            <w:tcBorders>
              <w:bottom w:val="single" w:sz="8" w:color="E1E2E0"/>
            </w:tcBorders>
          </w:tcPr>
          <w:p>
            <w:pPr>
              <w:spacing w:after="0"/>
              <w:rPr>
                <w:sz w:val="6"/>
                <w:szCs w:val="6"/>
                <w:color w:val="auto"/>
              </w:rPr>
            </w:pPr>
          </w:p>
        </w:tc>
        <w:tc>
          <w:tcPr>
            <w:tcW w:w="1600" w:type="dxa"/>
            <w:vAlign w:val="bottom"/>
            <w:tcBorders>
              <w:bottom w:val="single" w:sz="8" w:color="E1E2E0"/>
            </w:tcBorders>
          </w:tcPr>
          <w:p>
            <w:pPr>
              <w:spacing w:after="0"/>
              <w:rPr>
                <w:sz w:val="6"/>
                <w:szCs w:val="6"/>
                <w:color w:val="auto"/>
              </w:rPr>
            </w:pPr>
          </w:p>
        </w:tc>
        <w:tc>
          <w:tcPr>
            <w:tcW w:w="1620" w:type="dxa"/>
            <w:vAlign w:val="bottom"/>
            <w:tcBorders>
              <w:bottom w:val="single" w:sz="8" w:color="E1E2E0"/>
            </w:tcBorders>
          </w:tcPr>
          <w:p>
            <w:pPr>
              <w:spacing w:after="0"/>
              <w:rPr>
                <w:sz w:val="6"/>
                <w:szCs w:val="6"/>
                <w:color w:val="auto"/>
              </w:rPr>
            </w:pPr>
          </w:p>
        </w:tc>
        <w:tc>
          <w:tcPr>
            <w:tcW w:w="2080" w:type="dxa"/>
            <w:vAlign w:val="bottom"/>
            <w:tcBorders>
              <w:bottom w:val="single" w:sz="8" w:color="E1E2E0"/>
            </w:tcBorders>
          </w:tcPr>
          <w:p>
            <w:pPr>
              <w:spacing w:after="0"/>
              <w:rPr>
                <w:sz w:val="6"/>
                <w:szCs w:val="6"/>
                <w:color w:val="auto"/>
              </w:rPr>
            </w:pPr>
          </w:p>
        </w:tc>
        <w:tc>
          <w:tcPr>
            <w:tcW w:w="1040" w:type="dxa"/>
            <w:vAlign w:val="bottom"/>
            <w:tcBorders>
              <w:bottom w:val="single" w:sz="8" w:color="E1E2E0"/>
            </w:tcBorders>
          </w:tcPr>
          <w:p>
            <w:pPr>
              <w:spacing w:after="0"/>
              <w:rPr>
                <w:sz w:val="6"/>
                <w:szCs w:val="6"/>
                <w:color w:val="auto"/>
              </w:rPr>
            </w:pPr>
          </w:p>
        </w:tc>
        <w:tc>
          <w:tcPr>
            <w:tcW w:w="620" w:type="dxa"/>
            <w:vAlign w:val="bottom"/>
            <w:tcBorders>
              <w:bottom w:val="single" w:sz="8" w:color="E1E2E0"/>
            </w:tcBorders>
          </w:tcPr>
          <w:p>
            <w:pPr>
              <w:spacing w:after="0"/>
              <w:rPr>
                <w:sz w:val="6"/>
                <w:szCs w:val="6"/>
                <w:color w:val="auto"/>
              </w:rPr>
            </w:pPr>
          </w:p>
        </w:tc>
        <w:tc>
          <w:tcPr>
            <w:tcW w:w="1260" w:type="dxa"/>
            <w:vAlign w:val="bottom"/>
            <w:tcBorders>
              <w:bottom w:val="single" w:sz="8" w:color="E1E2E0"/>
            </w:tcBorders>
          </w:tcPr>
          <w:p>
            <w:pPr>
              <w:spacing w:after="0"/>
              <w:rPr>
                <w:sz w:val="6"/>
                <w:szCs w:val="6"/>
                <w:color w:val="auto"/>
              </w:rPr>
            </w:pPr>
          </w:p>
        </w:tc>
      </w:tr>
      <w:tr>
        <w:trPr>
          <w:trHeight w:val="271"/>
        </w:trPr>
        <w:tc>
          <w:tcPr>
            <w:tcW w:w="3000" w:type="dxa"/>
            <w:vAlign w:val="bottom"/>
          </w:tcPr>
          <w:p>
            <w:pPr>
              <w:ind w:left="100"/>
              <w:spacing w:after="0"/>
              <w:rPr>
                <w:sz w:val="20"/>
                <w:szCs w:val="20"/>
                <w:color w:val="auto"/>
              </w:rPr>
            </w:pPr>
            <w:r>
              <w:rPr>
                <w:rFonts w:ascii="Arial" w:cs="Arial" w:eastAsia="Arial" w:hAnsi="Arial"/>
                <w:sz w:val="16"/>
                <w:szCs w:val="16"/>
                <w:b w:val="1"/>
                <w:bCs w:val="1"/>
                <w:color w:val="3B3C43"/>
              </w:rPr>
              <w:t>API:</w:t>
            </w:r>
          </w:p>
        </w:tc>
        <w:tc>
          <w:tcPr>
            <w:tcW w:w="1600" w:type="dxa"/>
            <w:vAlign w:val="bottom"/>
          </w:tcPr>
          <w:p>
            <w:pPr>
              <w:jc w:val="right"/>
              <w:ind w:right="439"/>
              <w:spacing w:after="0"/>
              <w:rPr>
                <w:sz w:val="20"/>
                <w:szCs w:val="20"/>
                <w:color w:val="auto"/>
              </w:rPr>
            </w:pPr>
            <w:r>
              <w:rPr>
                <w:rFonts w:ascii="Arial" w:cs="Arial" w:eastAsia="Arial" w:hAnsi="Arial"/>
                <w:sz w:val="16"/>
                <w:szCs w:val="16"/>
                <w:color w:val="3B3C43"/>
              </w:rPr>
              <w:t>$600,000</w:t>
            </w:r>
          </w:p>
        </w:tc>
        <w:tc>
          <w:tcPr>
            <w:tcW w:w="1620" w:type="dxa"/>
            <w:vAlign w:val="bottom"/>
          </w:tcPr>
          <w:p>
            <w:pPr>
              <w:jc w:val="right"/>
              <w:ind w:right="259"/>
              <w:spacing w:after="0"/>
              <w:rPr>
                <w:sz w:val="20"/>
                <w:szCs w:val="20"/>
                <w:color w:val="auto"/>
              </w:rPr>
            </w:pPr>
            <w:r>
              <w:rPr>
                <w:rFonts w:ascii="Arial" w:cs="Arial" w:eastAsia="Arial" w:hAnsi="Arial"/>
                <w:sz w:val="16"/>
                <w:szCs w:val="16"/>
                <w:color w:val="3B3C43"/>
              </w:rPr>
              <w:t>x 25%</w:t>
            </w:r>
          </w:p>
        </w:tc>
        <w:tc>
          <w:tcPr>
            <w:tcW w:w="2080" w:type="dxa"/>
            <w:vAlign w:val="bottom"/>
          </w:tcPr>
          <w:p>
            <w:pPr>
              <w:jc w:val="right"/>
              <w:ind w:right="439"/>
              <w:spacing w:after="0"/>
              <w:rPr>
                <w:sz w:val="20"/>
                <w:szCs w:val="20"/>
                <w:color w:val="auto"/>
              </w:rPr>
            </w:pPr>
            <w:r>
              <w:rPr>
                <w:rFonts w:ascii="Arial" w:cs="Arial" w:eastAsia="Arial" w:hAnsi="Arial"/>
                <w:sz w:val="16"/>
                <w:szCs w:val="16"/>
                <w:color w:val="3B3C43"/>
              </w:rPr>
              <w:t>x 100%</w:t>
            </w:r>
          </w:p>
        </w:tc>
        <w:tc>
          <w:tcPr>
            <w:tcW w:w="1040" w:type="dxa"/>
            <w:vAlign w:val="bottom"/>
          </w:tcPr>
          <w:p>
            <w:pPr>
              <w:jc w:val="right"/>
              <w:spacing w:after="0"/>
              <w:rPr>
                <w:sz w:val="20"/>
                <w:szCs w:val="20"/>
                <w:color w:val="auto"/>
              </w:rPr>
            </w:pPr>
            <w:r>
              <w:rPr>
                <w:rFonts w:ascii="Arial" w:cs="Arial" w:eastAsia="Arial" w:hAnsi="Arial"/>
                <w:sz w:val="16"/>
                <w:szCs w:val="16"/>
                <w:color w:val="3B3C43"/>
              </w:rPr>
              <w:t>x100%</w:t>
            </w:r>
          </w:p>
        </w:tc>
        <w:tc>
          <w:tcPr>
            <w:tcW w:w="620" w:type="dxa"/>
            <w:vAlign w:val="bottom"/>
          </w:tcPr>
          <w:p>
            <w:pPr>
              <w:jc w:val="right"/>
              <w:ind w:right="419"/>
              <w:spacing w:after="0"/>
              <w:rPr>
                <w:sz w:val="20"/>
                <w:szCs w:val="20"/>
                <w:color w:val="auto"/>
              </w:rPr>
            </w:pPr>
            <w:r>
              <w:rPr>
                <w:rFonts w:ascii="Arial" w:cs="Arial" w:eastAsia="Arial" w:hAnsi="Arial"/>
                <w:sz w:val="16"/>
                <w:szCs w:val="16"/>
                <w:color w:val="3B3C43"/>
              </w:rPr>
              <w:t>=</w:t>
            </w:r>
          </w:p>
        </w:tc>
        <w:tc>
          <w:tcPr>
            <w:tcW w:w="1260" w:type="dxa"/>
            <w:vAlign w:val="bottom"/>
          </w:tcPr>
          <w:p>
            <w:pPr>
              <w:jc w:val="right"/>
              <w:spacing w:after="0"/>
              <w:rPr>
                <w:sz w:val="20"/>
                <w:szCs w:val="20"/>
                <w:color w:val="auto"/>
              </w:rPr>
            </w:pPr>
            <w:r>
              <w:rPr>
                <w:rFonts w:ascii="Arial" w:cs="Arial" w:eastAsia="Arial" w:hAnsi="Arial"/>
                <w:sz w:val="16"/>
                <w:szCs w:val="16"/>
                <w:color w:val="3B3C43"/>
              </w:rPr>
              <w:t>$150,000</w:t>
            </w:r>
          </w:p>
        </w:tc>
      </w:tr>
      <w:tr>
        <w:trPr>
          <w:trHeight w:val="73"/>
        </w:trPr>
        <w:tc>
          <w:tcPr>
            <w:tcW w:w="30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278"/>
        </w:trPr>
        <w:tc>
          <w:tcPr>
            <w:tcW w:w="3000" w:type="dxa"/>
            <w:vAlign w:val="bottom"/>
            <w:shd w:val="clear" w:color="auto" w:fill="D2C9DE"/>
          </w:tcPr>
          <w:p>
            <w:pPr>
              <w:ind w:left="100"/>
              <w:spacing w:after="0"/>
              <w:rPr>
                <w:sz w:val="20"/>
                <w:szCs w:val="20"/>
                <w:color w:val="auto"/>
              </w:rPr>
            </w:pPr>
            <w:r>
              <w:rPr>
                <w:rFonts w:ascii="Arial" w:cs="Arial" w:eastAsia="Arial" w:hAnsi="Arial"/>
                <w:sz w:val="16"/>
                <w:szCs w:val="16"/>
                <w:b w:val="1"/>
                <w:bCs w:val="1"/>
                <w:color w:val="3B3C43"/>
              </w:rPr>
              <w:t>Total Cash Incentive Compensation</w:t>
            </w:r>
          </w:p>
        </w:tc>
        <w:tc>
          <w:tcPr>
            <w:tcW w:w="1600" w:type="dxa"/>
            <w:vAlign w:val="bottom"/>
            <w:shd w:val="clear" w:color="auto" w:fill="D2C9DE"/>
          </w:tcPr>
          <w:p>
            <w:pPr>
              <w:spacing w:after="0"/>
              <w:rPr>
                <w:sz w:val="24"/>
                <w:szCs w:val="24"/>
                <w:color w:val="auto"/>
              </w:rPr>
            </w:pPr>
          </w:p>
        </w:tc>
        <w:tc>
          <w:tcPr>
            <w:tcW w:w="1620" w:type="dxa"/>
            <w:vAlign w:val="bottom"/>
            <w:shd w:val="clear" w:color="auto" w:fill="D2C9DE"/>
          </w:tcPr>
          <w:p>
            <w:pPr>
              <w:spacing w:after="0"/>
              <w:rPr>
                <w:sz w:val="24"/>
                <w:szCs w:val="24"/>
                <w:color w:val="auto"/>
              </w:rPr>
            </w:pPr>
          </w:p>
        </w:tc>
        <w:tc>
          <w:tcPr>
            <w:tcW w:w="2080" w:type="dxa"/>
            <w:vAlign w:val="bottom"/>
            <w:shd w:val="clear" w:color="auto" w:fill="D2C9DE"/>
          </w:tcPr>
          <w:p>
            <w:pPr>
              <w:spacing w:after="0"/>
              <w:rPr>
                <w:sz w:val="24"/>
                <w:szCs w:val="24"/>
                <w:color w:val="auto"/>
              </w:rPr>
            </w:pPr>
          </w:p>
        </w:tc>
        <w:tc>
          <w:tcPr>
            <w:tcW w:w="1040" w:type="dxa"/>
            <w:vAlign w:val="bottom"/>
            <w:shd w:val="clear" w:color="auto" w:fill="D2C9DE"/>
          </w:tcPr>
          <w:p>
            <w:pPr>
              <w:spacing w:after="0"/>
              <w:rPr>
                <w:sz w:val="24"/>
                <w:szCs w:val="24"/>
                <w:color w:val="auto"/>
              </w:rPr>
            </w:pPr>
          </w:p>
        </w:tc>
        <w:tc>
          <w:tcPr>
            <w:tcW w:w="620" w:type="dxa"/>
            <w:vAlign w:val="bottom"/>
            <w:shd w:val="clear" w:color="auto" w:fill="D2C9DE"/>
          </w:tcPr>
          <w:p>
            <w:pPr>
              <w:spacing w:after="0"/>
              <w:rPr>
                <w:sz w:val="24"/>
                <w:szCs w:val="24"/>
                <w:color w:val="auto"/>
              </w:rPr>
            </w:pPr>
          </w:p>
        </w:tc>
        <w:tc>
          <w:tcPr>
            <w:tcW w:w="1260" w:type="dxa"/>
            <w:vAlign w:val="bottom"/>
            <w:shd w:val="clear" w:color="auto" w:fill="D2C9DE"/>
          </w:tcPr>
          <w:p>
            <w:pPr>
              <w:jc w:val="right"/>
              <w:spacing w:after="0"/>
              <w:rPr>
                <w:sz w:val="20"/>
                <w:szCs w:val="20"/>
                <w:color w:val="auto"/>
              </w:rPr>
            </w:pPr>
            <w:r>
              <w:rPr>
                <w:rFonts w:ascii="Arial" w:cs="Arial" w:eastAsia="Arial" w:hAnsi="Arial"/>
                <w:sz w:val="16"/>
                <w:szCs w:val="16"/>
                <w:b w:val="1"/>
                <w:bCs w:val="1"/>
                <w:color w:val="3B3C43"/>
              </w:rPr>
              <w:t>$487,500</w:t>
            </w:r>
          </w:p>
        </w:tc>
      </w:tr>
      <w:tr>
        <w:trPr>
          <w:trHeight w:val="73"/>
        </w:trPr>
        <w:tc>
          <w:tcPr>
            <w:tcW w:w="3000" w:type="dxa"/>
            <w:vAlign w:val="bottom"/>
            <w:shd w:val="clear" w:color="auto" w:fill="D2C9DE"/>
          </w:tcPr>
          <w:p>
            <w:pPr>
              <w:spacing w:after="0"/>
              <w:rPr>
                <w:sz w:val="6"/>
                <w:szCs w:val="6"/>
                <w:color w:val="auto"/>
              </w:rPr>
            </w:pPr>
          </w:p>
        </w:tc>
        <w:tc>
          <w:tcPr>
            <w:tcW w:w="1600" w:type="dxa"/>
            <w:vAlign w:val="bottom"/>
            <w:shd w:val="clear" w:color="auto" w:fill="D2C9DE"/>
          </w:tcPr>
          <w:p>
            <w:pPr>
              <w:spacing w:after="0"/>
              <w:rPr>
                <w:sz w:val="6"/>
                <w:szCs w:val="6"/>
                <w:color w:val="auto"/>
              </w:rPr>
            </w:pPr>
          </w:p>
        </w:tc>
        <w:tc>
          <w:tcPr>
            <w:tcW w:w="1620" w:type="dxa"/>
            <w:vAlign w:val="bottom"/>
            <w:shd w:val="clear" w:color="auto" w:fill="D2C9DE"/>
          </w:tcPr>
          <w:p>
            <w:pPr>
              <w:spacing w:after="0"/>
              <w:rPr>
                <w:sz w:val="6"/>
                <w:szCs w:val="6"/>
                <w:color w:val="auto"/>
              </w:rPr>
            </w:pPr>
          </w:p>
        </w:tc>
        <w:tc>
          <w:tcPr>
            <w:tcW w:w="2080" w:type="dxa"/>
            <w:vAlign w:val="bottom"/>
            <w:shd w:val="clear" w:color="auto" w:fill="D2C9DE"/>
          </w:tcPr>
          <w:p>
            <w:pPr>
              <w:spacing w:after="0"/>
              <w:rPr>
                <w:sz w:val="6"/>
                <w:szCs w:val="6"/>
                <w:color w:val="auto"/>
              </w:rPr>
            </w:pPr>
          </w:p>
        </w:tc>
        <w:tc>
          <w:tcPr>
            <w:tcW w:w="1040" w:type="dxa"/>
            <w:vAlign w:val="bottom"/>
            <w:shd w:val="clear" w:color="auto" w:fill="D2C9DE"/>
          </w:tcPr>
          <w:p>
            <w:pPr>
              <w:spacing w:after="0"/>
              <w:rPr>
                <w:sz w:val="6"/>
                <w:szCs w:val="6"/>
                <w:color w:val="auto"/>
              </w:rPr>
            </w:pPr>
          </w:p>
        </w:tc>
        <w:tc>
          <w:tcPr>
            <w:tcW w:w="620" w:type="dxa"/>
            <w:vAlign w:val="bottom"/>
            <w:shd w:val="clear" w:color="auto" w:fill="D2C9DE"/>
          </w:tcPr>
          <w:p>
            <w:pPr>
              <w:spacing w:after="0"/>
              <w:rPr>
                <w:sz w:val="6"/>
                <w:szCs w:val="6"/>
                <w:color w:val="auto"/>
              </w:rPr>
            </w:pPr>
          </w:p>
        </w:tc>
        <w:tc>
          <w:tcPr>
            <w:tcW w:w="1260" w:type="dxa"/>
            <w:vAlign w:val="bottom"/>
            <w:shd w:val="clear" w:color="auto" w:fill="D2C9DE"/>
          </w:tcPr>
          <w:p>
            <w:pPr>
              <w:spacing w:after="0"/>
              <w:rPr>
                <w:sz w:val="6"/>
                <w:szCs w:val="6"/>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Long-Term Equity Incentives</w:t>
      </w:r>
    </w:p>
    <w:p>
      <w:pPr>
        <w:spacing w:after="0" w:line="1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3B3C43"/>
        </w:rPr>
        <w:t>Long-term equity incentive awards, granted in the form of TechnipFMC equity, represent the largest component of each NEO’s annual target compensation opportunity, grounded in our compensation philosophy of paying for performance and aligning executives’ interests with those of our shareholders. Awards are made in the form of two complementary vehicles, PSU awards and RSU awards, providing a balanced focus on performance, sustainable long-term value creation, and retention.</w:t>
      </w:r>
    </w:p>
    <w:p>
      <w:pPr>
        <w:spacing w:after="0" w:line="17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3B3C43"/>
        </w:rPr>
        <w:t>In 2020, we discontinued the use of stock option awards in our long-term equity incentive plan, based on feedback from shareholders that stock options are not performance-based.</w:t>
      </w:r>
    </w:p>
    <w:p>
      <w:pPr>
        <w:spacing w:after="0" w:line="378"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3A3D42"/>
        </w:rPr>
        <w:t>Long-Term Equity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134620</wp:posOffset>
            </wp:positionV>
            <wp:extent cx="5812155" cy="13798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1215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3B3C43"/>
        </w:rPr>
        <w:t>The Compensation Committee reviews and approves equity awards for the NEOs on an annual basis. The awards are based on market competitiveness on total target compensation and aim to provide appropriate levels of retention and incentives for achieving the Company’s long-term goals.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3B3C43"/>
        </w:rPr>
        <w:t>For 2020, the Compensation Committee set the target value of equity awards for each NEO with reference to market median total compensation data.</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93</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274955</wp:posOffset>
            </wp:positionV>
            <wp:extent cx="8890"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080" w:type="dxa"/>
            <w:vAlign w:val="bottom"/>
            <w:tcBorders>
              <w:bottom w:val="single" w:sz="8" w:color="4A1F67"/>
            </w:tcBorders>
            <w:shd w:val="clear" w:color="auto" w:fill="4A1F67"/>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616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6"/>
                <w:szCs w:val="16"/>
                <w:b w:val="1"/>
                <w:bCs w:val="1"/>
                <w:color w:val="FFFFFF"/>
              </w:rPr>
              <w:t>2020 Long-Term Incentive Target Value</w:t>
            </w:r>
          </w:p>
        </w:tc>
      </w:tr>
      <w:tr>
        <w:trPr>
          <w:trHeight w:val="251"/>
        </w:trPr>
        <w:tc>
          <w:tcPr>
            <w:tcW w:w="5080" w:type="dxa"/>
            <w:vAlign w:val="bottom"/>
          </w:tcPr>
          <w:p>
            <w:pPr>
              <w:ind w:left="60"/>
              <w:spacing w:after="0"/>
              <w:rPr>
                <w:sz w:val="20"/>
                <w:szCs w:val="20"/>
                <w:color w:val="auto"/>
              </w:rPr>
            </w:pPr>
            <w:r>
              <w:rPr>
                <w:rFonts w:ascii="Arial" w:cs="Arial" w:eastAsia="Arial" w:hAnsi="Arial"/>
                <w:sz w:val="16"/>
                <w:szCs w:val="16"/>
                <w:color w:val="3B3C43"/>
              </w:rPr>
              <w:t>Douglas J. Pferdehirt</w:t>
            </w:r>
          </w:p>
        </w:tc>
        <w:tc>
          <w:tcPr>
            <w:tcW w:w="6160" w:type="dxa"/>
            <w:vAlign w:val="bottom"/>
          </w:tcPr>
          <w:p>
            <w:pPr>
              <w:jc w:val="right"/>
              <w:spacing w:after="0"/>
              <w:rPr>
                <w:sz w:val="20"/>
                <w:szCs w:val="20"/>
                <w:color w:val="auto"/>
              </w:rPr>
            </w:pPr>
            <w:r>
              <w:rPr>
                <w:rFonts w:ascii="Arial" w:cs="Arial" w:eastAsia="Arial" w:hAnsi="Arial"/>
                <w:sz w:val="16"/>
                <w:szCs w:val="16"/>
                <w:color w:val="3B3C43"/>
              </w:rPr>
              <w:t>$9,700,000</w:t>
            </w:r>
          </w:p>
        </w:tc>
      </w:tr>
      <w:tr>
        <w:trPr>
          <w:trHeight w:val="46"/>
        </w:trPr>
        <w:tc>
          <w:tcPr>
            <w:tcW w:w="5080" w:type="dxa"/>
            <w:vAlign w:val="bottom"/>
            <w:tcBorders>
              <w:bottom w:val="single" w:sz="8" w:color="E1E2E0"/>
            </w:tcBorders>
          </w:tcPr>
          <w:p>
            <w:pPr>
              <w:spacing w:after="0"/>
              <w:rPr>
                <w:sz w:val="4"/>
                <w:szCs w:val="4"/>
                <w:color w:val="auto"/>
              </w:rPr>
            </w:pPr>
          </w:p>
        </w:tc>
        <w:tc>
          <w:tcPr>
            <w:tcW w:w="6160" w:type="dxa"/>
            <w:vAlign w:val="bottom"/>
            <w:tcBorders>
              <w:bottom w:val="single" w:sz="8" w:color="E1E2E0"/>
            </w:tcBorders>
          </w:tcPr>
          <w:p>
            <w:pPr>
              <w:spacing w:after="0"/>
              <w:rPr>
                <w:sz w:val="4"/>
                <w:szCs w:val="4"/>
                <w:color w:val="auto"/>
              </w:rPr>
            </w:pPr>
          </w:p>
        </w:tc>
      </w:tr>
      <w:tr>
        <w:trPr>
          <w:trHeight w:val="244"/>
        </w:trPr>
        <w:tc>
          <w:tcPr>
            <w:tcW w:w="5080" w:type="dxa"/>
            <w:vAlign w:val="bottom"/>
          </w:tcPr>
          <w:p>
            <w:pPr>
              <w:ind w:left="60"/>
              <w:spacing w:after="0"/>
              <w:rPr>
                <w:sz w:val="20"/>
                <w:szCs w:val="20"/>
                <w:color w:val="auto"/>
              </w:rPr>
            </w:pPr>
            <w:r>
              <w:rPr>
                <w:rFonts w:ascii="Arial" w:cs="Arial" w:eastAsia="Arial" w:hAnsi="Arial"/>
                <w:sz w:val="16"/>
                <w:szCs w:val="16"/>
                <w:color w:val="3B3C43"/>
              </w:rPr>
              <w:t>Maryann T. Mannen</w:t>
            </w:r>
          </w:p>
        </w:tc>
        <w:tc>
          <w:tcPr>
            <w:tcW w:w="6160" w:type="dxa"/>
            <w:vAlign w:val="bottom"/>
          </w:tcPr>
          <w:p>
            <w:pPr>
              <w:jc w:val="right"/>
              <w:spacing w:after="0"/>
              <w:rPr>
                <w:sz w:val="20"/>
                <w:szCs w:val="20"/>
                <w:color w:val="auto"/>
              </w:rPr>
            </w:pPr>
            <w:r>
              <w:rPr>
                <w:rFonts w:ascii="Arial" w:cs="Arial" w:eastAsia="Arial" w:hAnsi="Arial"/>
                <w:sz w:val="16"/>
                <w:szCs w:val="16"/>
                <w:color w:val="3B3C43"/>
              </w:rPr>
              <w:t>$3,100,000</w:t>
            </w:r>
          </w:p>
        </w:tc>
      </w:tr>
      <w:tr>
        <w:trPr>
          <w:trHeight w:val="46"/>
        </w:trPr>
        <w:tc>
          <w:tcPr>
            <w:tcW w:w="5080" w:type="dxa"/>
            <w:vAlign w:val="bottom"/>
            <w:tcBorders>
              <w:bottom w:val="single" w:sz="8" w:color="E1E2E0"/>
            </w:tcBorders>
          </w:tcPr>
          <w:p>
            <w:pPr>
              <w:spacing w:after="0"/>
              <w:rPr>
                <w:sz w:val="4"/>
                <w:szCs w:val="4"/>
                <w:color w:val="auto"/>
              </w:rPr>
            </w:pPr>
          </w:p>
        </w:tc>
        <w:tc>
          <w:tcPr>
            <w:tcW w:w="6160" w:type="dxa"/>
            <w:vAlign w:val="bottom"/>
            <w:tcBorders>
              <w:bottom w:val="single" w:sz="8" w:color="E1E2E0"/>
            </w:tcBorders>
          </w:tcPr>
          <w:p>
            <w:pPr>
              <w:spacing w:after="0"/>
              <w:rPr>
                <w:sz w:val="4"/>
                <w:szCs w:val="4"/>
                <w:color w:val="auto"/>
              </w:rPr>
            </w:pPr>
          </w:p>
        </w:tc>
      </w:tr>
      <w:tr>
        <w:trPr>
          <w:trHeight w:val="244"/>
        </w:trPr>
        <w:tc>
          <w:tcPr>
            <w:tcW w:w="5080" w:type="dxa"/>
            <w:vAlign w:val="bottom"/>
          </w:tcPr>
          <w:p>
            <w:pPr>
              <w:ind w:left="60"/>
              <w:spacing w:after="0"/>
              <w:rPr>
                <w:sz w:val="20"/>
                <w:szCs w:val="20"/>
                <w:color w:val="auto"/>
              </w:rPr>
            </w:pPr>
            <w:r>
              <w:rPr>
                <w:rFonts w:ascii="Arial" w:cs="Arial" w:eastAsia="Arial" w:hAnsi="Arial"/>
                <w:sz w:val="16"/>
                <w:szCs w:val="16"/>
                <w:color w:val="3B3C43"/>
              </w:rPr>
              <w:t>Justin Rounce</w:t>
            </w:r>
          </w:p>
        </w:tc>
        <w:tc>
          <w:tcPr>
            <w:tcW w:w="6160" w:type="dxa"/>
            <w:vAlign w:val="bottom"/>
          </w:tcPr>
          <w:p>
            <w:pPr>
              <w:jc w:val="right"/>
              <w:spacing w:after="0"/>
              <w:rPr>
                <w:sz w:val="20"/>
                <w:szCs w:val="20"/>
                <w:color w:val="auto"/>
              </w:rPr>
            </w:pPr>
            <w:r>
              <w:rPr>
                <w:rFonts w:ascii="Arial" w:cs="Arial" w:eastAsia="Arial" w:hAnsi="Arial"/>
                <w:sz w:val="16"/>
                <w:szCs w:val="16"/>
                <w:color w:val="3B3C43"/>
              </w:rPr>
              <w:t>$1,800,000</w:t>
            </w:r>
          </w:p>
        </w:tc>
      </w:tr>
      <w:tr>
        <w:trPr>
          <w:trHeight w:val="47"/>
        </w:trPr>
        <w:tc>
          <w:tcPr>
            <w:tcW w:w="5080" w:type="dxa"/>
            <w:vAlign w:val="bottom"/>
            <w:tcBorders>
              <w:bottom w:val="single" w:sz="8" w:color="E1E2E0"/>
            </w:tcBorders>
          </w:tcPr>
          <w:p>
            <w:pPr>
              <w:spacing w:after="0"/>
              <w:rPr>
                <w:sz w:val="4"/>
                <w:szCs w:val="4"/>
                <w:color w:val="auto"/>
              </w:rPr>
            </w:pPr>
          </w:p>
        </w:tc>
        <w:tc>
          <w:tcPr>
            <w:tcW w:w="6160" w:type="dxa"/>
            <w:vAlign w:val="bottom"/>
            <w:tcBorders>
              <w:bottom w:val="single" w:sz="8" w:color="E1E2E0"/>
            </w:tcBorders>
          </w:tcPr>
          <w:p>
            <w:pPr>
              <w:spacing w:after="0"/>
              <w:rPr>
                <w:sz w:val="4"/>
                <w:szCs w:val="4"/>
                <w:color w:val="auto"/>
              </w:rPr>
            </w:pPr>
          </w:p>
        </w:tc>
      </w:tr>
      <w:tr>
        <w:trPr>
          <w:trHeight w:val="244"/>
        </w:trPr>
        <w:tc>
          <w:tcPr>
            <w:tcW w:w="5080" w:type="dxa"/>
            <w:vAlign w:val="bottom"/>
          </w:tcPr>
          <w:p>
            <w:pPr>
              <w:ind w:left="60"/>
              <w:spacing w:after="0"/>
              <w:rPr>
                <w:sz w:val="20"/>
                <w:szCs w:val="20"/>
                <w:color w:val="auto"/>
              </w:rPr>
            </w:pPr>
            <w:r>
              <w:rPr>
                <w:rFonts w:ascii="Arial" w:cs="Arial" w:eastAsia="Arial" w:hAnsi="Arial"/>
                <w:sz w:val="16"/>
                <w:szCs w:val="16"/>
                <w:color w:val="3B3C43"/>
              </w:rPr>
              <w:t>Arnaud Pieton</w:t>
            </w:r>
          </w:p>
        </w:tc>
        <w:tc>
          <w:tcPr>
            <w:tcW w:w="6160" w:type="dxa"/>
            <w:vAlign w:val="bottom"/>
          </w:tcPr>
          <w:p>
            <w:pPr>
              <w:jc w:val="right"/>
              <w:spacing w:after="0"/>
              <w:rPr>
                <w:sz w:val="20"/>
                <w:szCs w:val="20"/>
                <w:color w:val="auto"/>
              </w:rPr>
            </w:pPr>
            <w:r>
              <w:rPr>
                <w:rFonts w:ascii="Arial" w:cs="Arial" w:eastAsia="Arial" w:hAnsi="Arial"/>
                <w:sz w:val="16"/>
                <w:szCs w:val="16"/>
                <w:color w:val="3B3C43"/>
              </w:rPr>
              <w:t>$1,300,000</w:t>
            </w:r>
          </w:p>
        </w:tc>
      </w:tr>
      <w:tr>
        <w:trPr>
          <w:trHeight w:val="46"/>
        </w:trPr>
        <w:tc>
          <w:tcPr>
            <w:tcW w:w="5080" w:type="dxa"/>
            <w:vAlign w:val="bottom"/>
            <w:tcBorders>
              <w:bottom w:val="single" w:sz="8" w:color="E1E2E0"/>
            </w:tcBorders>
          </w:tcPr>
          <w:p>
            <w:pPr>
              <w:spacing w:after="0"/>
              <w:rPr>
                <w:sz w:val="4"/>
                <w:szCs w:val="4"/>
                <w:color w:val="auto"/>
              </w:rPr>
            </w:pPr>
          </w:p>
        </w:tc>
        <w:tc>
          <w:tcPr>
            <w:tcW w:w="6160" w:type="dxa"/>
            <w:vAlign w:val="bottom"/>
            <w:tcBorders>
              <w:bottom w:val="single" w:sz="8" w:color="E1E2E0"/>
            </w:tcBorders>
          </w:tcPr>
          <w:p>
            <w:pPr>
              <w:spacing w:after="0"/>
              <w:rPr>
                <w:sz w:val="4"/>
                <w:szCs w:val="4"/>
                <w:color w:val="auto"/>
              </w:rPr>
            </w:pPr>
          </w:p>
        </w:tc>
      </w:tr>
      <w:tr>
        <w:trPr>
          <w:trHeight w:val="244"/>
        </w:trPr>
        <w:tc>
          <w:tcPr>
            <w:tcW w:w="5080" w:type="dxa"/>
            <w:vAlign w:val="bottom"/>
          </w:tcPr>
          <w:p>
            <w:pPr>
              <w:ind w:left="60"/>
              <w:spacing w:after="0"/>
              <w:rPr>
                <w:sz w:val="20"/>
                <w:szCs w:val="20"/>
                <w:color w:val="auto"/>
              </w:rPr>
            </w:pPr>
            <w:r>
              <w:rPr>
                <w:rFonts w:ascii="Arial" w:cs="Arial" w:eastAsia="Arial" w:hAnsi="Arial"/>
                <w:sz w:val="16"/>
                <w:szCs w:val="16"/>
                <w:color w:val="3B3C43"/>
              </w:rPr>
              <w:t>Barry Glickman</w:t>
            </w:r>
          </w:p>
        </w:tc>
        <w:tc>
          <w:tcPr>
            <w:tcW w:w="6160" w:type="dxa"/>
            <w:vAlign w:val="bottom"/>
          </w:tcPr>
          <w:p>
            <w:pPr>
              <w:jc w:val="right"/>
              <w:spacing w:after="0"/>
              <w:rPr>
                <w:sz w:val="20"/>
                <w:szCs w:val="20"/>
                <w:color w:val="auto"/>
              </w:rPr>
            </w:pPr>
            <w:r>
              <w:rPr>
                <w:rFonts w:ascii="Arial" w:cs="Arial" w:eastAsia="Arial" w:hAnsi="Arial"/>
                <w:sz w:val="16"/>
                <w:szCs w:val="16"/>
                <w:color w:val="3B3C43"/>
              </w:rPr>
              <w:t>$1,300,000</w:t>
            </w:r>
          </w:p>
        </w:tc>
      </w:tr>
      <w:tr>
        <w:trPr>
          <w:trHeight w:val="47"/>
        </w:trPr>
        <w:tc>
          <w:tcPr>
            <w:tcW w:w="5080" w:type="dxa"/>
            <w:vAlign w:val="bottom"/>
            <w:tcBorders>
              <w:bottom w:val="single" w:sz="8" w:color="E1E2E0"/>
            </w:tcBorders>
          </w:tcPr>
          <w:p>
            <w:pPr>
              <w:spacing w:after="0"/>
              <w:rPr>
                <w:sz w:val="4"/>
                <w:szCs w:val="4"/>
                <w:color w:val="auto"/>
              </w:rPr>
            </w:pPr>
          </w:p>
        </w:tc>
        <w:tc>
          <w:tcPr>
            <w:tcW w:w="6160" w:type="dxa"/>
            <w:vAlign w:val="bottom"/>
            <w:tcBorders>
              <w:bottom w:val="single" w:sz="8" w:color="E1E2E0"/>
            </w:tcBorders>
          </w:tcPr>
          <w:p>
            <w:pPr>
              <w:spacing w:after="0"/>
              <w:rPr>
                <w:sz w:val="4"/>
                <w:szCs w:val="4"/>
                <w:color w:val="auto"/>
              </w:rPr>
            </w:pPr>
          </w:p>
        </w:tc>
      </w:tr>
      <w:tr>
        <w:trPr>
          <w:trHeight w:val="290"/>
        </w:trPr>
        <w:tc>
          <w:tcPr>
            <w:tcW w:w="5080" w:type="dxa"/>
            <w:vAlign w:val="bottom"/>
            <w:tcBorders>
              <w:bottom w:val="single" w:sz="8" w:color="E1E2E0"/>
            </w:tcBorders>
          </w:tcPr>
          <w:p>
            <w:pPr>
              <w:ind w:left="60"/>
              <w:spacing w:after="0" w:line="291" w:lineRule="exact"/>
              <w:rPr>
                <w:sz w:val="20"/>
                <w:szCs w:val="20"/>
                <w:color w:val="auto"/>
              </w:rPr>
            </w:pPr>
            <w:r>
              <w:rPr>
                <w:rFonts w:ascii="Arial" w:cs="Arial" w:eastAsia="Arial" w:hAnsi="Arial"/>
                <w:sz w:val="16"/>
                <w:szCs w:val="16"/>
                <w:color w:val="3B3C43"/>
              </w:rPr>
              <w:t>Catherine MacGregor</w:t>
            </w:r>
            <w:r>
              <w:rPr>
                <w:rFonts w:ascii="Arial" w:cs="Arial" w:eastAsia="Arial" w:hAnsi="Arial"/>
                <w:sz w:val="26"/>
                <w:szCs w:val="26"/>
                <w:color w:val="3B3C43"/>
                <w:vertAlign w:val="superscript"/>
              </w:rPr>
              <w:t>1</w:t>
            </w:r>
          </w:p>
        </w:tc>
        <w:tc>
          <w:tcPr>
            <w:tcW w:w="616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$1,900,000</w:t>
            </w:r>
          </w:p>
        </w:tc>
      </w:tr>
      <w:tr>
        <w:trPr>
          <w:trHeight w:val="291"/>
        </w:trPr>
        <w:tc>
          <w:tcPr>
            <w:tcW w:w="5080" w:type="dxa"/>
            <w:vAlign w:val="bottom"/>
            <w:tcBorders>
              <w:bottom w:val="single" w:sz="8" w:color="E1E2E0"/>
            </w:tcBorders>
          </w:tcPr>
          <w:p>
            <w:pPr>
              <w:ind w:left="60"/>
              <w:spacing w:after="0" w:line="291" w:lineRule="exact"/>
              <w:rPr>
                <w:sz w:val="20"/>
                <w:szCs w:val="20"/>
                <w:color w:val="auto"/>
              </w:rPr>
            </w:pPr>
            <w:r>
              <w:rPr>
                <w:rFonts w:ascii="Arial" w:cs="Arial" w:eastAsia="Arial" w:hAnsi="Arial"/>
                <w:sz w:val="16"/>
                <w:szCs w:val="16"/>
                <w:color w:val="3B3C43"/>
              </w:rPr>
              <w:t>Nello Uccelletti</w:t>
            </w:r>
            <w:r>
              <w:rPr>
                <w:rFonts w:ascii="Arial" w:cs="Arial" w:eastAsia="Arial" w:hAnsi="Arial"/>
                <w:sz w:val="26"/>
                <w:szCs w:val="26"/>
                <w:color w:val="3B3C43"/>
                <w:vertAlign w:val="superscript"/>
              </w:rPr>
              <w:t>2</w:t>
            </w:r>
          </w:p>
        </w:tc>
        <w:tc>
          <w:tcPr>
            <w:tcW w:w="616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NA</w:t>
            </w:r>
          </w:p>
        </w:tc>
      </w:tr>
    </w:tbl>
    <w:p>
      <w:pPr>
        <w:spacing w:after="0" w:line="194"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4"/>
          <w:szCs w:val="14"/>
          <w:color w:val="3B3C43"/>
        </w:rPr>
      </w:pPr>
      <w:r>
        <w:rPr>
          <w:rFonts w:ascii="Arial" w:cs="Arial" w:eastAsia="Arial" w:hAnsi="Arial"/>
          <w:sz w:val="14"/>
          <w:szCs w:val="14"/>
          <w:color w:val="3B3C43"/>
        </w:rPr>
        <w:t>Ms. MacGregor’s 2020 long-term incentive grant was forfeited since she left the Company on October 31, 2020.</w:t>
      </w:r>
    </w:p>
    <w:p>
      <w:pPr>
        <w:spacing w:after="0" w:line="1" w:lineRule="exact"/>
        <w:rPr>
          <w:rFonts w:ascii="Arial" w:cs="Arial" w:eastAsia="Arial" w:hAnsi="Arial"/>
          <w:sz w:val="14"/>
          <w:szCs w:val="14"/>
          <w:color w:val="3B3C43"/>
        </w:rPr>
      </w:pPr>
    </w:p>
    <w:p>
      <w:pPr>
        <w:ind w:left="340" w:hanging="332"/>
        <w:spacing w:after="0"/>
        <w:tabs>
          <w:tab w:leader="none" w:pos="340" w:val="left"/>
        </w:tabs>
        <w:numPr>
          <w:ilvl w:val="0"/>
          <w:numId w:val="101"/>
        </w:numPr>
        <w:rPr>
          <w:rFonts w:ascii="Arial" w:cs="Arial" w:eastAsia="Arial" w:hAnsi="Arial"/>
          <w:sz w:val="14"/>
          <w:szCs w:val="14"/>
          <w:color w:val="3B3C43"/>
        </w:rPr>
      </w:pPr>
      <w:r>
        <w:rPr>
          <w:rFonts w:ascii="Arial" w:cs="Arial" w:eastAsia="Arial" w:hAnsi="Arial"/>
          <w:sz w:val="14"/>
          <w:szCs w:val="14"/>
          <w:color w:val="3B3C43"/>
        </w:rPr>
        <w:t>Mr. Uccelletti did not receive a 2020 long-term incentive grant.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2020 Performance Stock Unit Awards (70% of Equity Award)</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3B3C43"/>
        </w:rPr>
        <w:t>The Compensation Committee sets the performance targets associated with PSU awards prior to the beginning of each three-year performance period. For awards in 2020, PSU awards comprised 70% of the total long-term equity award and payout will be based on relative TSR performance for the three-year period.</w:t>
      </w:r>
    </w:p>
    <w:p>
      <w:pPr>
        <w:spacing w:after="0" w:line="174"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3B3C43"/>
        </w:rPr>
        <w:t>In 2019, the long-term equity award grant was based on two performance measures, ROIC and relative TSR. For 2020, the volatility in the oil and gas business environment, as well as our Spin-off, made it challenging to set meaningful ROIC targets. Therefore, in 2020, a single performance measure, relative TSR, was selected.</w:t>
      </w:r>
    </w:p>
    <w:p>
      <w:pPr>
        <w:spacing w:after="0" w:line="174"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3B3C43"/>
        </w:rPr>
        <w:t>We believe that relative TSR is a meaningful measure of our long-term performance and motivates our executive officers to achieve superior share price compared to our key competitors, thus aligning their interests with shareholder interests. We further reinforce this by requiring a minimum threshold of relative TSR performance for payout and capping payout at 100% if the Company’s absolute TSR is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109220</wp:posOffset>
            </wp:positionV>
            <wp:extent cx="8255" cy="8572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5725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109220</wp:posOffset>
            </wp:positionV>
            <wp:extent cx="8890" cy="8572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5725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109220</wp:posOffset>
            </wp:positionV>
            <wp:extent cx="8890" cy="8572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5725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160" w:type="dxa"/>
            <w:vAlign w:val="bottom"/>
            <w:tcBorders>
              <w:bottom w:val="single" w:sz="8" w:color="4A1F67"/>
            </w:tcBorders>
            <w:shd w:val="clear" w:color="auto" w:fill="4A1F67"/>
          </w:tcPr>
          <w:p>
            <w:pPr>
              <w:ind w:left="60"/>
              <w:spacing w:after="0"/>
              <w:rPr>
                <w:sz w:val="20"/>
                <w:szCs w:val="20"/>
                <w:color w:val="auto"/>
              </w:rPr>
            </w:pPr>
            <w:r>
              <w:rPr>
                <w:rFonts w:ascii="Arial" w:cs="Arial" w:eastAsia="Arial" w:hAnsi="Arial"/>
                <w:sz w:val="16"/>
                <w:szCs w:val="16"/>
                <w:b w:val="1"/>
                <w:bCs w:val="1"/>
                <w:color w:val="FFFFFF"/>
              </w:rPr>
              <w:t>PSU Measure</w:t>
            </w:r>
          </w:p>
        </w:tc>
        <w:tc>
          <w:tcPr>
            <w:tcW w:w="2140" w:type="dxa"/>
            <w:vAlign w:val="bottom"/>
            <w:tcBorders>
              <w:bottom w:val="single" w:sz="8" w:color="00ADE9"/>
            </w:tcBorders>
            <w:shd w:val="clear" w:color="auto" w:fill="00ADE9"/>
          </w:tcPr>
          <w:p>
            <w:pPr>
              <w:ind w:left="60"/>
              <w:spacing w:after="0"/>
              <w:rPr>
                <w:sz w:val="20"/>
                <w:szCs w:val="20"/>
                <w:color w:val="auto"/>
              </w:rPr>
            </w:pPr>
            <w:r>
              <w:rPr>
                <w:rFonts w:ascii="Arial" w:cs="Arial" w:eastAsia="Arial" w:hAnsi="Arial"/>
                <w:sz w:val="16"/>
                <w:szCs w:val="16"/>
                <w:b w:val="1"/>
                <w:bCs w:val="1"/>
                <w:color w:val="FFFFFF"/>
              </w:rPr>
              <w:t>Weighting</w:t>
            </w:r>
          </w:p>
        </w:tc>
        <w:tc>
          <w:tcPr>
            <w:tcW w:w="2120" w:type="dxa"/>
            <w:vAlign w:val="bottom"/>
            <w:tcBorders>
              <w:bottom w:val="single" w:sz="8" w:color="00ADE9"/>
            </w:tcBorders>
            <w:shd w:val="clear" w:color="auto" w:fill="00ADE9"/>
          </w:tcPr>
          <w:p>
            <w:pPr>
              <w:ind w:left="60"/>
              <w:spacing w:after="0"/>
              <w:rPr>
                <w:sz w:val="20"/>
                <w:szCs w:val="20"/>
                <w:color w:val="auto"/>
              </w:rPr>
            </w:pPr>
            <w:r>
              <w:rPr>
                <w:rFonts w:ascii="Arial" w:cs="Arial" w:eastAsia="Arial" w:hAnsi="Arial"/>
                <w:sz w:val="16"/>
                <w:szCs w:val="16"/>
                <w:b w:val="1"/>
                <w:bCs w:val="1"/>
                <w:color w:val="FFFFFF"/>
              </w:rPr>
              <w:t>Definition</w:t>
            </w:r>
          </w:p>
        </w:tc>
        <w:tc>
          <w:tcPr>
            <w:tcW w:w="4820" w:type="dxa"/>
            <w:vAlign w:val="bottom"/>
            <w:tcBorders>
              <w:bottom w:val="single" w:sz="8" w:color="D21D22"/>
            </w:tcBorders>
            <w:shd w:val="clear" w:color="auto" w:fill="D21D22"/>
          </w:tcPr>
          <w:p>
            <w:pPr>
              <w:ind w:left="60"/>
              <w:spacing w:after="0"/>
              <w:rPr>
                <w:sz w:val="20"/>
                <w:szCs w:val="20"/>
                <w:color w:val="auto"/>
              </w:rPr>
            </w:pPr>
            <w:r>
              <w:rPr>
                <w:rFonts w:ascii="Arial" w:cs="Arial" w:eastAsia="Arial" w:hAnsi="Arial"/>
                <w:sz w:val="16"/>
                <w:szCs w:val="16"/>
                <w:b w:val="1"/>
                <w:bCs w:val="1"/>
                <w:color w:val="FFFFFF"/>
              </w:rPr>
              <w:t>Why It Matters</w:t>
            </w:r>
          </w:p>
        </w:tc>
      </w:tr>
      <w:tr>
        <w:trPr>
          <w:trHeight w:val="245"/>
        </w:trPr>
        <w:tc>
          <w:tcPr>
            <w:tcW w:w="216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Relative TSR</w:t>
            </w:r>
          </w:p>
        </w:tc>
        <w:tc>
          <w:tcPr>
            <w:tcW w:w="214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70% of total longterm equity</w:t>
            </w:r>
          </w:p>
        </w:tc>
        <w:tc>
          <w:tcPr>
            <w:tcW w:w="212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Cumulative three- year</w:t>
            </w:r>
          </w:p>
        </w:tc>
        <w:tc>
          <w:tcPr>
            <w:tcW w:w="482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Assesses our overall performance in the eyes of our</w:t>
            </w:r>
          </w:p>
        </w:tc>
      </w:tr>
      <w:tr>
        <w:trPr>
          <w:trHeight w:val="189"/>
        </w:trPr>
        <w:tc>
          <w:tcPr>
            <w:tcW w:w="2160" w:type="dxa"/>
            <w:vAlign w:val="bottom"/>
            <w:shd w:val="clear" w:color="auto" w:fill="E1E1DF"/>
          </w:tcPr>
          <w:p>
            <w:pPr>
              <w:spacing w:after="0"/>
              <w:rPr>
                <w:sz w:val="16"/>
                <w:szCs w:val="16"/>
                <w:color w:val="auto"/>
              </w:rPr>
            </w:pPr>
          </w:p>
        </w:tc>
        <w:tc>
          <w:tcPr>
            <w:tcW w:w="2140" w:type="dxa"/>
            <w:vAlign w:val="bottom"/>
            <w:shd w:val="clear" w:color="auto" w:fill="E1E1DF"/>
          </w:tcPr>
          <w:p>
            <w:pPr>
              <w:spacing w:after="0"/>
              <w:rPr>
                <w:sz w:val="16"/>
                <w:szCs w:val="16"/>
                <w:color w:val="auto"/>
              </w:rPr>
            </w:pPr>
          </w:p>
        </w:tc>
        <w:tc>
          <w:tcPr>
            <w:tcW w:w="212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increase in volume-</w:t>
            </w:r>
          </w:p>
        </w:tc>
        <w:tc>
          <w:tcPr>
            <w:tcW w:w="482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shareholders and the broader stock market, relative to</w:t>
            </w:r>
          </w:p>
        </w:tc>
      </w:tr>
      <w:tr>
        <w:trPr>
          <w:trHeight w:val="189"/>
        </w:trPr>
        <w:tc>
          <w:tcPr>
            <w:tcW w:w="2160" w:type="dxa"/>
            <w:vAlign w:val="bottom"/>
            <w:shd w:val="clear" w:color="auto" w:fill="E1E1DF"/>
          </w:tcPr>
          <w:p>
            <w:pPr>
              <w:spacing w:after="0"/>
              <w:rPr>
                <w:sz w:val="16"/>
                <w:szCs w:val="16"/>
                <w:color w:val="auto"/>
              </w:rPr>
            </w:pPr>
          </w:p>
        </w:tc>
        <w:tc>
          <w:tcPr>
            <w:tcW w:w="2140" w:type="dxa"/>
            <w:vAlign w:val="bottom"/>
            <w:shd w:val="clear" w:color="auto" w:fill="E1E1DF"/>
          </w:tcPr>
          <w:p>
            <w:pPr>
              <w:spacing w:after="0"/>
              <w:rPr>
                <w:sz w:val="16"/>
                <w:szCs w:val="16"/>
                <w:color w:val="auto"/>
              </w:rPr>
            </w:pPr>
          </w:p>
        </w:tc>
        <w:tc>
          <w:tcPr>
            <w:tcW w:w="212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weighted average price and</w:t>
            </w:r>
          </w:p>
        </w:tc>
        <w:tc>
          <w:tcPr>
            <w:tcW w:w="482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companies with whom we compete for customers and investors</w:t>
            </w:r>
          </w:p>
        </w:tc>
      </w:tr>
      <w:tr>
        <w:trPr>
          <w:trHeight w:val="189"/>
        </w:trPr>
        <w:tc>
          <w:tcPr>
            <w:tcW w:w="2160" w:type="dxa"/>
            <w:vAlign w:val="bottom"/>
            <w:shd w:val="clear" w:color="auto" w:fill="E1E1DF"/>
          </w:tcPr>
          <w:p>
            <w:pPr>
              <w:spacing w:after="0"/>
              <w:rPr>
                <w:sz w:val="16"/>
                <w:szCs w:val="16"/>
                <w:color w:val="auto"/>
              </w:rPr>
            </w:pPr>
          </w:p>
        </w:tc>
        <w:tc>
          <w:tcPr>
            <w:tcW w:w="2140" w:type="dxa"/>
            <w:vAlign w:val="bottom"/>
            <w:shd w:val="clear" w:color="auto" w:fill="E1E1DF"/>
          </w:tcPr>
          <w:p>
            <w:pPr>
              <w:spacing w:after="0"/>
              <w:rPr>
                <w:sz w:val="16"/>
                <w:szCs w:val="16"/>
                <w:color w:val="auto"/>
              </w:rPr>
            </w:pPr>
          </w:p>
        </w:tc>
        <w:tc>
          <w:tcPr>
            <w:tcW w:w="212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reinvested dividends</w:t>
            </w:r>
          </w:p>
        </w:tc>
        <w:tc>
          <w:tcPr>
            <w:tcW w:w="482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that are subject to similar macroeconomic factors</w:t>
            </w:r>
          </w:p>
        </w:tc>
      </w:tr>
      <w:tr>
        <w:trPr>
          <w:trHeight w:val="195"/>
        </w:trPr>
        <w:tc>
          <w:tcPr>
            <w:tcW w:w="2160" w:type="dxa"/>
            <w:vAlign w:val="bottom"/>
            <w:shd w:val="clear" w:color="auto" w:fill="E1E1DF"/>
          </w:tcPr>
          <w:p>
            <w:pPr>
              <w:spacing w:after="0"/>
              <w:rPr>
                <w:sz w:val="16"/>
                <w:szCs w:val="16"/>
                <w:color w:val="auto"/>
              </w:rPr>
            </w:pPr>
          </w:p>
        </w:tc>
        <w:tc>
          <w:tcPr>
            <w:tcW w:w="2140" w:type="dxa"/>
            <w:vAlign w:val="bottom"/>
            <w:shd w:val="clear" w:color="auto" w:fill="E1E1DF"/>
          </w:tcPr>
          <w:p>
            <w:pPr>
              <w:spacing w:after="0"/>
              <w:rPr>
                <w:sz w:val="16"/>
                <w:szCs w:val="16"/>
                <w:color w:val="auto"/>
              </w:rPr>
            </w:pPr>
          </w:p>
        </w:tc>
        <w:tc>
          <w:tcPr>
            <w:tcW w:w="2120" w:type="dxa"/>
            <w:vAlign w:val="bottom"/>
            <w:shd w:val="clear" w:color="auto" w:fill="E1E1DF"/>
          </w:tcPr>
          <w:p>
            <w:pPr>
              <w:ind w:left="60"/>
              <w:spacing w:after="0"/>
              <w:rPr>
                <w:sz w:val="20"/>
                <w:szCs w:val="20"/>
                <w:color w:val="auto"/>
              </w:rPr>
            </w:pPr>
            <w:r>
              <w:rPr>
                <w:rFonts w:ascii="Arial" w:cs="Arial" w:eastAsia="Arial" w:hAnsi="Arial"/>
                <w:sz w:val="16"/>
                <w:szCs w:val="16"/>
                <w:color w:val="3B3C43"/>
              </w:rPr>
              <w:t>relative to peers</w:t>
            </w:r>
          </w:p>
        </w:tc>
        <w:tc>
          <w:tcPr>
            <w:tcW w:w="4820" w:type="dxa"/>
            <w:vAlign w:val="bottom"/>
            <w:shd w:val="clear" w:color="auto" w:fill="E1E1DF"/>
          </w:tcPr>
          <w:p>
            <w:pPr>
              <w:spacing w:after="0"/>
              <w:rPr>
                <w:sz w:val="16"/>
                <w:szCs w:val="16"/>
                <w:color w:val="auto"/>
              </w:rPr>
            </w:pPr>
          </w:p>
        </w:tc>
      </w:tr>
      <w:tr>
        <w:trPr>
          <w:trHeight w:val="47"/>
        </w:trPr>
        <w:tc>
          <w:tcPr>
            <w:tcW w:w="2160" w:type="dxa"/>
            <w:vAlign w:val="bottom"/>
            <w:shd w:val="clear" w:color="auto" w:fill="E1E1DF"/>
          </w:tcPr>
          <w:p>
            <w:pPr>
              <w:spacing w:after="0"/>
              <w:rPr>
                <w:sz w:val="4"/>
                <w:szCs w:val="4"/>
                <w:color w:val="auto"/>
              </w:rPr>
            </w:pPr>
          </w:p>
        </w:tc>
        <w:tc>
          <w:tcPr>
            <w:tcW w:w="2140" w:type="dxa"/>
            <w:vAlign w:val="bottom"/>
            <w:shd w:val="clear" w:color="auto" w:fill="E1E1DF"/>
          </w:tcPr>
          <w:p>
            <w:pPr>
              <w:spacing w:after="0"/>
              <w:rPr>
                <w:sz w:val="4"/>
                <w:szCs w:val="4"/>
                <w:color w:val="auto"/>
              </w:rPr>
            </w:pPr>
          </w:p>
        </w:tc>
        <w:tc>
          <w:tcPr>
            <w:tcW w:w="2120" w:type="dxa"/>
            <w:vAlign w:val="bottom"/>
            <w:shd w:val="clear" w:color="auto" w:fill="E1E1DF"/>
          </w:tcPr>
          <w:p>
            <w:pPr>
              <w:spacing w:after="0"/>
              <w:rPr>
                <w:sz w:val="4"/>
                <w:szCs w:val="4"/>
                <w:color w:val="auto"/>
              </w:rPr>
            </w:pPr>
          </w:p>
        </w:tc>
        <w:tc>
          <w:tcPr>
            <w:tcW w:w="4820" w:type="dxa"/>
            <w:vAlign w:val="bottom"/>
            <w:shd w:val="clear" w:color="auto" w:fill="E1E1DF"/>
          </w:tcPr>
          <w:p>
            <w:pPr>
              <w:spacing w:after="0"/>
              <w:rPr>
                <w:sz w:val="4"/>
                <w:szCs w:val="4"/>
                <w:color w:val="auto"/>
              </w:rPr>
            </w:pPr>
          </w:p>
        </w:tc>
      </w:tr>
    </w:tbl>
    <w:p>
      <w:pPr>
        <w:spacing w:after="0" w:line="171"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3B3C43"/>
        </w:rPr>
        <w:t>The relative TSR performance for our 2020 PSU awards will be measured against a group of 10 companies (“</w:t>
      </w:r>
      <w:r>
        <w:rPr>
          <w:rFonts w:ascii="Arial" w:cs="Arial" w:eastAsia="Arial" w:hAnsi="Arial"/>
          <w:sz w:val="16"/>
          <w:szCs w:val="16"/>
          <w:b w:val="1"/>
          <w:bCs w:val="1"/>
          <w:color w:val="3B3C43"/>
        </w:rPr>
        <w:t>Relative TSR Peer Group</w:t>
      </w:r>
      <w:r>
        <w:rPr>
          <w:rFonts w:ascii="Arial" w:cs="Arial" w:eastAsia="Arial" w:hAnsi="Arial"/>
          <w:sz w:val="16"/>
          <w:szCs w:val="16"/>
          <w:color w:val="3B3C43"/>
        </w:rPr>
        <w:t>”) that the Compensation Committee believes best reflects the companies that we compete with for both investments and customers. The financial and operational performance of these companies is therefore most directly relevant to TechnipFMC, and we are all subject to similar macro-economic factors.</w:t>
      </w:r>
    </w:p>
    <w:p>
      <w:pPr>
        <w:spacing w:after="0" w:line="16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B3C43"/>
        </w:rPr>
        <w:t>The Compensation Committee reviewed our 2019 Relative TSR Peer Group as defined in our 2020 Proxy Statement, and the following companies were removed from our Relative TSR Peer Group: Chicago Bridge &amp; Iron Company N.V. (due to merger/acquisition activity), McDermott International, Inc. (due to Chapter 11 bankruptcy filing), and Weatherford International plc (due to Chapter 11 bankruptcy filing).</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94</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3B3C43"/>
        </w:rPr>
        <w:t>Accordingly, for awards made in 2020, the Relative TSR Peer Group comprised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228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2020 Relative TSR Peer Group</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50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Baker Hughes Company</w:t>
            </w:r>
          </w:p>
        </w:tc>
        <w:tc>
          <w:tcPr>
            <w:tcW w:w="3600" w:type="dxa"/>
            <w:vAlign w:val="bottom"/>
            <w:shd w:val="clear" w:color="auto" w:fill="E1E1DF"/>
          </w:tcPr>
          <w:p>
            <w:pPr>
              <w:ind w:left="80"/>
              <w:spacing w:after="0"/>
              <w:rPr>
                <w:sz w:val="20"/>
                <w:szCs w:val="20"/>
                <w:color w:val="auto"/>
              </w:rPr>
            </w:pPr>
            <w:r>
              <w:rPr>
                <w:rFonts w:ascii="Arial" w:cs="Arial" w:eastAsia="Arial" w:hAnsi="Arial"/>
                <w:sz w:val="16"/>
                <w:szCs w:val="16"/>
                <w:color w:val="3B3C43"/>
              </w:rPr>
              <w:t>National Oilwell Varco, Inc.</w:t>
            </w:r>
          </w:p>
        </w:tc>
        <w:tc>
          <w:tcPr>
            <w:tcW w:w="4140" w:type="dxa"/>
            <w:vAlign w:val="bottom"/>
            <w:shd w:val="clear" w:color="auto" w:fill="E1E1DF"/>
          </w:tcPr>
          <w:p>
            <w:pPr>
              <w:ind w:left="80"/>
              <w:spacing w:after="0"/>
              <w:rPr>
                <w:sz w:val="20"/>
                <w:szCs w:val="20"/>
                <w:color w:val="auto"/>
              </w:rPr>
            </w:pPr>
            <w:r>
              <w:rPr>
                <w:rFonts w:ascii="Arial" w:cs="Arial" w:eastAsia="Arial" w:hAnsi="Arial"/>
                <w:sz w:val="16"/>
                <w:szCs w:val="16"/>
                <w:color w:val="3B3C43"/>
              </w:rPr>
              <w:t>Schlumberger Limited</w:t>
            </w:r>
          </w:p>
        </w:tc>
      </w:tr>
      <w:tr>
        <w:trPr>
          <w:trHeight w:val="351"/>
        </w:trPr>
        <w:tc>
          <w:tcPr>
            <w:tcW w:w="350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Fluor Corporation</w:t>
            </w:r>
          </w:p>
        </w:tc>
        <w:tc>
          <w:tcPr>
            <w:tcW w:w="3600" w:type="dxa"/>
            <w:vAlign w:val="bottom"/>
            <w:shd w:val="clear" w:color="auto" w:fill="E1E1DF"/>
          </w:tcPr>
          <w:p>
            <w:pPr>
              <w:ind w:left="80"/>
              <w:spacing w:after="0"/>
              <w:rPr>
                <w:sz w:val="20"/>
                <w:szCs w:val="20"/>
                <w:color w:val="auto"/>
              </w:rPr>
            </w:pPr>
            <w:r>
              <w:rPr>
                <w:rFonts w:ascii="Arial" w:cs="Arial" w:eastAsia="Arial" w:hAnsi="Arial"/>
                <w:sz w:val="16"/>
                <w:szCs w:val="16"/>
                <w:color w:val="3B3C43"/>
              </w:rPr>
              <w:t>Oceaneering International, Inc.</w:t>
            </w:r>
          </w:p>
        </w:tc>
        <w:tc>
          <w:tcPr>
            <w:tcW w:w="4140" w:type="dxa"/>
            <w:vAlign w:val="bottom"/>
            <w:shd w:val="clear" w:color="auto" w:fill="E1E1DF"/>
          </w:tcPr>
          <w:p>
            <w:pPr>
              <w:ind w:left="80"/>
              <w:spacing w:after="0"/>
              <w:rPr>
                <w:sz w:val="20"/>
                <w:szCs w:val="20"/>
                <w:color w:val="auto"/>
              </w:rPr>
            </w:pPr>
            <w:r>
              <w:rPr>
                <w:rFonts w:ascii="Arial" w:cs="Arial" w:eastAsia="Arial" w:hAnsi="Arial"/>
                <w:sz w:val="16"/>
                <w:szCs w:val="16"/>
                <w:color w:val="3B3C43"/>
              </w:rPr>
              <w:t>Saipem S.p.A.</w:t>
            </w:r>
          </w:p>
        </w:tc>
      </w:tr>
      <w:tr>
        <w:trPr>
          <w:trHeight w:val="351"/>
        </w:trPr>
        <w:tc>
          <w:tcPr>
            <w:tcW w:w="350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Halliburton Company</w:t>
            </w:r>
          </w:p>
        </w:tc>
        <w:tc>
          <w:tcPr>
            <w:tcW w:w="3600" w:type="dxa"/>
            <w:vAlign w:val="bottom"/>
            <w:shd w:val="clear" w:color="auto" w:fill="E1E1DF"/>
          </w:tcPr>
          <w:p>
            <w:pPr>
              <w:ind w:left="80"/>
              <w:spacing w:after="0"/>
              <w:rPr>
                <w:sz w:val="20"/>
                <w:szCs w:val="20"/>
                <w:color w:val="auto"/>
              </w:rPr>
            </w:pPr>
            <w:r>
              <w:rPr>
                <w:rFonts w:ascii="Arial" w:cs="Arial" w:eastAsia="Arial" w:hAnsi="Arial"/>
                <w:sz w:val="16"/>
                <w:szCs w:val="16"/>
                <w:color w:val="3B3C43"/>
              </w:rPr>
              <w:t>Oil States International, Inc.</w:t>
            </w:r>
          </w:p>
        </w:tc>
        <w:tc>
          <w:tcPr>
            <w:tcW w:w="4140" w:type="dxa"/>
            <w:vAlign w:val="bottom"/>
            <w:shd w:val="clear" w:color="auto" w:fill="E1E1DF"/>
          </w:tcPr>
          <w:p>
            <w:pPr>
              <w:ind w:left="80"/>
              <w:spacing w:after="0"/>
              <w:rPr>
                <w:sz w:val="20"/>
                <w:szCs w:val="20"/>
                <w:color w:val="auto"/>
              </w:rPr>
            </w:pPr>
            <w:r>
              <w:rPr>
                <w:rFonts w:ascii="Arial" w:cs="Arial" w:eastAsia="Arial" w:hAnsi="Arial"/>
                <w:sz w:val="16"/>
                <w:szCs w:val="16"/>
                <w:color w:val="3B3C43"/>
              </w:rPr>
              <w:t>Subsea 7 S.A.</w:t>
            </w:r>
          </w:p>
        </w:tc>
      </w:tr>
      <w:tr>
        <w:trPr>
          <w:trHeight w:val="351"/>
        </w:trPr>
        <w:tc>
          <w:tcPr>
            <w:tcW w:w="350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John Wood Group plc</w:t>
            </w:r>
          </w:p>
        </w:tc>
        <w:tc>
          <w:tcPr>
            <w:tcW w:w="3600" w:type="dxa"/>
            <w:vAlign w:val="bottom"/>
            <w:shd w:val="clear" w:color="auto" w:fill="E1E1DF"/>
          </w:tcPr>
          <w:p>
            <w:pPr>
              <w:spacing w:after="0"/>
              <w:rPr>
                <w:sz w:val="24"/>
                <w:szCs w:val="24"/>
                <w:color w:val="auto"/>
              </w:rPr>
            </w:pPr>
          </w:p>
        </w:tc>
        <w:tc>
          <w:tcPr>
            <w:tcW w:w="4140" w:type="dxa"/>
            <w:vAlign w:val="bottom"/>
            <w:shd w:val="clear" w:color="auto" w:fill="E1E1DF"/>
          </w:tcPr>
          <w:p>
            <w:pPr>
              <w:spacing w:after="0"/>
              <w:rPr>
                <w:sz w:val="24"/>
                <w:szCs w:val="24"/>
                <w:color w:val="auto"/>
              </w:rPr>
            </w:pPr>
          </w:p>
        </w:tc>
      </w:tr>
      <w:tr>
        <w:trPr>
          <w:trHeight w:val="73"/>
        </w:trPr>
        <w:tc>
          <w:tcPr>
            <w:tcW w:w="3500" w:type="dxa"/>
            <w:vAlign w:val="bottom"/>
            <w:shd w:val="clear" w:color="auto" w:fill="E1E1DF"/>
          </w:tcPr>
          <w:p>
            <w:pPr>
              <w:spacing w:after="0"/>
              <w:rPr>
                <w:sz w:val="6"/>
                <w:szCs w:val="6"/>
                <w:color w:val="auto"/>
              </w:rPr>
            </w:pPr>
          </w:p>
        </w:tc>
        <w:tc>
          <w:tcPr>
            <w:tcW w:w="3600" w:type="dxa"/>
            <w:vAlign w:val="bottom"/>
            <w:shd w:val="clear" w:color="auto" w:fill="E1E1DF"/>
          </w:tcPr>
          <w:p>
            <w:pPr>
              <w:spacing w:after="0"/>
              <w:rPr>
                <w:sz w:val="6"/>
                <w:szCs w:val="6"/>
                <w:color w:val="auto"/>
              </w:rPr>
            </w:pPr>
          </w:p>
        </w:tc>
        <w:tc>
          <w:tcPr>
            <w:tcW w:w="4140" w:type="dxa"/>
            <w:vAlign w:val="bottom"/>
            <w:shd w:val="clear" w:color="auto" w:fill="E1E1DF"/>
          </w:tcPr>
          <w:p>
            <w:pPr>
              <w:spacing w:after="0"/>
              <w:rPr>
                <w:sz w:val="6"/>
                <w:szCs w:val="6"/>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3B3C43"/>
        </w:rPr>
        <w:t>The vesting date for these PSU awards is March 9, 2023, with a performance period of January 1, 2020 through December 31,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The Compensation Committee approved the following targets in relation to the 2020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121920</wp:posOffset>
            </wp:positionV>
            <wp:extent cx="8255" cy="1148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1148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121920</wp:posOffset>
            </wp:positionV>
            <wp:extent cx="8255" cy="1148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114871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78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Performance Achievement</w:t>
            </w:r>
          </w:p>
        </w:tc>
        <w:tc>
          <w:tcPr>
            <w:tcW w:w="4480" w:type="dxa"/>
            <w:vAlign w:val="bottom"/>
            <w:shd w:val="clear" w:color="auto" w:fill="4A1F67"/>
          </w:tcPr>
          <w:p>
            <w:pPr>
              <w:jc w:val="right"/>
              <w:ind w:right="719"/>
              <w:spacing w:after="0"/>
              <w:rPr>
                <w:sz w:val="20"/>
                <w:szCs w:val="20"/>
                <w:color w:val="auto"/>
              </w:rPr>
            </w:pPr>
            <w:r>
              <w:rPr>
                <w:rFonts w:ascii="Arial" w:cs="Arial" w:eastAsia="Arial" w:hAnsi="Arial"/>
                <w:sz w:val="16"/>
                <w:szCs w:val="16"/>
                <w:b w:val="1"/>
                <w:bCs w:val="1"/>
                <w:color w:val="FFFFFF"/>
              </w:rPr>
              <w:t>Relative TSR Performance</w:t>
            </w:r>
          </w:p>
        </w:tc>
        <w:tc>
          <w:tcPr>
            <w:tcW w:w="298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Payout (% of earned PSUs)</w:t>
            </w:r>
          </w:p>
        </w:tc>
      </w:tr>
      <w:tr>
        <w:trPr>
          <w:trHeight w:val="73"/>
        </w:trPr>
        <w:tc>
          <w:tcPr>
            <w:tcW w:w="3780" w:type="dxa"/>
            <w:vAlign w:val="bottom"/>
            <w:shd w:val="clear" w:color="auto" w:fill="4A1F67"/>
          </w:tcPr>
          <w:p>
            <w:pPr>
              <w:spacing w:after="0"/>
              <w:rPr>
                <w:sz w:val="6"/>
                <w:szCs w:val="6"/>
                <w:color w:val="auto"/>
              </w:rPr>
            </w:pPr>
          </w:p>
        </w:tc>
        <w:tc>
          <w:tcPr>
            <w:tcW w:w="4480" w:type="dxa"/>
            <w:vAlign w:val="bottom"/>
            <w:shd w:val="clear" w:color="auto" w:fill="4A1F67"/>
          </w:tcPr>
          <w:p>
            <w:pPr>
              <w:spacing w:after="0"/>
              <w:rPr>
                <w:sz w:val="6"/>
                <w:szCs w:val="6"/>
                <w:color w:val="auto"/>
              </w:rPr>
            </w:pPr>
          </w:p>
        </w:tc>
        <w:tc>
          <w:tcPr>
            <w:tcW w:w="2980" w:type="dxa"/>
            <w:vAlign w:val="bottom"/>
            <w:shd w:val="clear" w:color="auto" w:fill="4A1F67"/>
          </w:tcPr>
          <w:p>
            <w:pPr>
              <w:spacing w:after="0"/>
              <w:rPr>
                <w:sz w:val="6"/>
                <w:szCs w:val="6"/>
                <w:color w:val="auto"/>
              </w:rPr>
            </w:pPr>
          </w:p>
        </w:tc>
      </w:tr>
      <w:tr>
        <w:trPr>
          <w:trHeight w:val="278"/>
        </w:trPr>
        <w:tc>
          <w:tcPr>
            <w:tcW w:w="3780" w:type="dxa"/>
            <w:vAlign w:val="bottom"/>
          </w:tcPr>
          <w:p>
            <w:pPr>
              <w:ind w:left="100"/>
              <w:spacing w:after="0"/>
              <w:rPr>
                <w:sz w:val="20"/>
                <w:szCs w:val="20"/>
                <w:color w:val="auto"/>
              </w:rPr>
            </w:pPr>
            <w:r>
              <w:rPr>
                <w:rFonts w:ascii="Arial" w:cs="Arial" w:eastAsia="Arial" w:hAnsi="Arial"/>
                <w:sz w:val="16"/>
                <w:szCs w:val="16"/>
                <w:color w:val="3B3C43"/>
              </w:rPr>
              <w:t>Below Threshold</w:t>
            </w:r>
          </w:p>
        </w:tc>
        <w:tc>
          <w:tcPr>
            <w:tcW w:w="4480" w:type="dxa"/>
            <w:vAlign w:val="bottom"/>
          </w:tcPr>
          <w:p>
            <w:pPr>
              <w:jc w:val="right"/>
              <w:ind w:right="719"/>
              <w:spacing w:after="0"/>
              <w:rPr>
                <w:sz w:val="20"/>
                <w:szCs w:val="20"/>
                <w:color w:val="auto"/>
              </w:rPr>
            </w:pPr>
            <w:r>
              <w:rPr>
                <w:rFonts w:ascii="Arial" w:cs="Arial" w:eastAsia="Arial" w:hAnsi="Arial"/>
                <w:sz w:val="16"/>
                <w:szCs w:val="16"/>
                <w:color w:val="3B3C43"/>
              </w:rPr>
              <w:t>Below 25th percentile</w:t>
            </w:r>
          </w:p>
        </w:tc>
        <w:tc>
          <w:tcPr>
            <w:tcW w:w="298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73"/>
        </w:trPr>
        <w:tc>
          <w:tcPr>
            <w:tcW w:w="3780" w:type="dxa"/>
            <w:vAlign w:val="bottom"/>
            <w:tcBorders>
              <w:bottom w:val="single" w:sz="8" w:color="E1E2E0"/>
            </w:tcBorders>
          </w:tcPr>
          <w:p>
            <w:pPr>
              <w:spacing w:after="0"/>
              <w:rPr>
                <w:sz w:val="6"/>
                <w:szCs w:val="6"/>
                <w:color w:val="auto"/>
              </w:rPr>
            </w:pPr>
          </w:p>
        </w:tc>
        <w:tc>
          <w:tcPr>
            <w:tcW w:w="4480" w:type="dxa"/>
            <w:vAlign w:val="bottom"/>
            <w:tcBorders>
              <w:bottom w:val="single" w:sz="8" w:color="E1E2E0"/>
            </w:tcBorders>
          </w:tcPr>
          <w:p>
            <w:pPr>
              <w:spacing w:after="0"/>
              <w:rPr>
                <w:sz w:val="6"/>
                <w:szCs w:val="6"/>
                <w:color w:val="auto"/>
              </w:rPr>
            </w:pPr>
          </w:p>
        </w:tc>
        <w:tc>
          <w:tcPr>
            <w:tcW w:w="2980" w:type="dxa"/>
            <w:vAlign w:val="bottom"/>
            <w:tcBorders>
              <w:bottom w:val="single" w:sz="8" w:color="E1E2E0"/>
            </w:tcBorders>
          </w:tcPr>
          <w:p>
            <w:pPr>
              <w:spacing w:after="0"/>
              <w:rPr>
                <w:sz w:val="6"/>
                <w:szCs w:val="6"/>
                <w:color w:val="auto"/>
              </w:rPr>
            </w:pPr>
          </w:p>
        </w:tc>
      </w:tr>
      <w:tr>
        <w:trPr>
          <w:trHeight w:val="271"/>
        </w:trPr>
        <w:tc>
          <w:tcPr>
            <w:tcW w:w="3780" w:type="dxa"/>
            <w:vAlign w:val="bottom"/>
          </w:tcPr>
          <w:p>
            <w:pPr>
              <w:ind w:left="100"/>
              <w:spacing w:after="0"/>
              <w:rPr>
                <w:sz w:val="20"/>
                <w:szCs w:val="20"/>
                <w:color w:val="auto"/>
              </w:rPr>
            </w:pPr>
            <w:r>
              <w:rPr>
                <w:rFonts w:ascii="Arial" w:cs="Arial" w:eastAsia="Arial" w:hAnsi="Arial"/>
                <w:sz w:val="16"/>
                <w:szCs w:val="16"/>
                <w:color w:val="3B3C43"/>
              </w:rPr>
              <w:t>Threshold</w:t>
            </w:r>
          </w:p>
        </w:tc>
        <w:tc>
          <w:tcPr>
            <w:tcW w:w="4480" w:type="dxa"/>
            <w:vAlign w:val="bottom"/>
          </w:tcPr>
          <w:p>
            <w:pPr>
              <w:jc w:val="right"/>
              <w:ind w:right="719"/>
              <w:spacing w:after="0"/>
              <w:rPr>
                <w:sz w:val="20"/>
                <w:szCs w:val="20"/>
                <w:color w:val="auto"/>
              </w:rPr>
            </w:pPr>
            <w:r>
              <w:rPr>
                <w:rFonts w:ascii="Arial" w:cs="Arial" w:eastAsia="Arial" w:hAnsi="Arial"/>
                <w:sz w:val="16"/>
                <w:szCs w:val="16"/>
                <w:color w:val="3B3C43"/>
              </w:rPr>
              <w:t>25th percentile</w:t>
            </w:r>
          </w:p>
        </w:tc>
        <w:tc>
          <w:tcPr>
            <w:tcW w:w="2980" w:type="dxa"/>
            <w:vAlign w:val="bottom"/>
          </w:tcPr>
          <w:p>
            <w:pPr>
              <w:jc w:val="right"/>
              <w:spacing w:after="0"/>
              <w:rPr>
                <w:sz w:val="20"/>
                <w:szCs w:val="20"/>
                <w:color w:val="auto"/>
              </w:rPr>
            </w:pPr>
            <w:r>
              <w:rPr>
                <w:rFonts w:ascii="Arial" w:cs="Arial" w:eastAsia="Arial" w:hAnsi="Arial"/>
                <w:sz w:val="16"/>
                <w:szCs w:val="16"/>
                <w:color w:val="3B3C43"/>
              </w:rPr>
              <w:t>50%</w:t>
            </w:r>
          </w:p>
        </w:tc>
      </w:tr>
      <w:tr>
        <w:trPr>
          <w:trHeight w:val="73"/>
        </w:trPr>
        <w:tc>
          <w:tcPr>
            <w:tcW w:w="3780" w:type="dxa"/>
            <w:vAlign w:val="bottom"/>
            <w:tcBorders>
              <w:bottom w:val="single" w:sz="8" w:color="E1E2E0"/>
            </w:tcBorders>
          </w:tcPr>
          <w:p>
            <w:pPr>
              <w:spacing w:after="0"/>
              <w:rPr>
                <w:sz w:val="6"/>
                <w:szCs w:val="6"/>
                <w:color w:val="auto"/>
              </w:rPr>
            </w:pPr>
          </w:p>
        </w:tc>
        <w:tc>
          <w:tcPr>
            <w:tcW w:w="4480" w:type="dxa"/>
            <w:vAlign w:val="bottom"/>
            <w:tcBorders>
              <w:bottom w:val="single" w:sz="8" w:color="E1E2E0"/>
            </w:tcBorders>
          </w:tcPr>
          <w:p>
            <w:pPr>
              <w:spacing w:after="0"/>
              <w:rPr>
                <w:sz w:val="6"/>
                <w:szCs w:val="6"/>
                <w:color w:val="auto"/>
              </w:rPr>
            </w:pPr>
          </w:p>
        </w:tc>
        <w:tc>
          <w:tcPr>
            <w:tcW w:w="2980" w:type="dxa"/>
            <w:vAlign w:val="bottom"/>
            <w:tcBorders>
              <w:bottom w:val="single" w:sz="8" w:color="E1E2E0"/>
            </w:tcBorders>
          </w:tcPr>
          <w:p>
            <w:pPr>
              <w:spacing w:after="0"/>
              <w:rPr>
                <w:sz w:val="6"/>
                <w:szCs w:val="6"/>
                <w:color w:val="auto"/>
              </w:rPr>
            </w:pPr>
          </w:p>
        </w:tc>
      </w:tr>
      <w:tr>
        <w:trPr>
          <w:trHeight w:val="271"/>
        </w:trPr>
        <w:tc>
          <w:tcPr>
            <w:tcW w:w="3780" w:type="dxa"/>
            <w:vAlign w:val="bottom"/>
          </w:tcPr>
          <w:p>
            <w:pPr>
              <w:ind w:left="100"/>
              <w:spacing w:after="0"/>
              <w:rPr>
                <w:sz w:val="20"/>
                <w:szCs w:val="20"/>
                <w:color w:val="auto"/>
              </w:rPr>
            </w:pPr>
            <w:r>
              <w:rPr>
                <w:rFonts w:ascii="Arial" w:cs="Arial" w:eastAsia="Arial" w:hAnsi="Arial"/>
                <w:sz w:val="16"/>
                <w:szCs w:val="16"/>
                <w:color w:val="3B3C43"/>
              </w:rPr>
              <w:t>Target</w:t>
            </w:r>
          </w:p>
        </w:tc>
        <w:tc>
          <w:tcPr>
            <w:tcW w:w="4480" w:type="dxa"/>
            <w:vAlign w:val="bottom"/>
          </w:tcPr>
          <w:p>
            <w:pPr>
              <w:jc w:val="right"/>
              <w:ind w:right="719"/>
              <w:spacing w:after="0"/>
              <w:rPr>
                <w:sz w:val="20"/>
                <w:szCs w:val="20"/>
                <w:color w:val="auto"/>
              </w:rPr>
            </w:pPr>
            <w:r>
              <w:rPr>
                <w:rFonts w:ascii="Arial" w:cs="Arial" w:eastAsia="Arial" w:hAnsi="Arial"/>
                <w:sz w:val="16"/>
                <w:szCs w:val="16"/>
                <w:color w:val="3B3C43"/>
              </w:rPr>
              <w:t>42nd percentile</w:t>
            </w:r>
          </w:p>
        </w:tc>
        <w:tc>
          <w:tcPr>
            <w:tcW w:w="2980" w:type="dxa"/>
            <w:vAlign w:val="bottom"/>
          </w:tcPr>
          <w:p>
            <w:pPr>
              <w:jc w:val="right"/>
              <w:spacing w:after="0"/>
              <w:rPr>
                <w:sz w:val="20"/>
                <w:szCs w:val="20"/>
                <w:color w:val="auto"/>
              </w:rPr>
            </w:pPr>
            <w:r>
              <w:rPr>
                <w:rFonts w:ascii="Arial" w:cs="Arial" w:eastAsia="Arial" w:hAnsi="Arial"/>
                <w:sz w:val="16"/>
                <w:szCs w:val="16"/>
                <w:color w:val="3B3C43"/>
              </w:rPr>
              <w:t>100%</w:t>
            </w:r>
          </w:p>
        </w:tc>
      </w:tr>
      <w:tr>
        <w:trPr>
          <w:trHeight w:val="73"/>
        </w:trPr>
        <w:tc>
          <w:tcPr>
            <w:tcW w:w="3780" w:type="dxa"/>
            <w:vAlign w:val="bottom"/>
            <w:tcBorders>
              <w:bottom w:val="single" w:sz="8" w:color="E1E2E0"/>
            </w:tcBorders>
          </w:tcPr>
          <w:p>
            <w:pPr>
              <w:spacing w:after="0"/>
              <w:rPr>
                <w:sz w:val="6"/>
                <w:szCs w:val="6"/>
                <w:color w:val="auto"/>
              </w:rPr>
            </w:pPr>
          </w:p>
        </w:tc>
        <w:tc>
          <w:tcPr>
            <w:tcW w:w="4480" w:type="dxa"/>
            <w:vAlign w:val="bottom"/>
            <w:tcBorders>
              <w:bottom w:val="single" w:sz="8" w:color="E1E2E0"/>
            </w:tcBorders>
          </w:tcPr>
          <w:p>
            <w:pPr>
              <w:spacing w:after="0"/>
              <w:rPr>
                <w:sz w:val="6"/>
                <w:szCs w:val="6"/>
                <w:color w:val="auto"/>
              </w:rPr>
            </w:pPr>
          </w:p>
        </w:tc>
        <w:tc>
          <w:tcPr>
            <w:tcW w:w="2980" w:type="dxa"/>
            <w:vAlign w:val="bottom"/>
            <w:tcBorders>
              <w:bottom w:val="single" w:sz="8" w:color="E1E2E0"/>
            </w:tcBorders>
          </w:tcPr>
          <w:p>
            <w:pPr>
              <w:spacing w:after="0"/>
              <w:rPr>
                <w:sz w:val="6"/>
                <w:szCs w:val="6"/>
                <w:color w:val="auto"/>
              </w:rPr>
            </w:pPr>
          </w:p>
        </w:tc>
      </w:tr>
      <w:tr>
        <w:trPr>
          <w:trHeight w:val="271"/>
        </w:trPr>
        <w:tc>
          <w:tcPr>
            <w:tcW w:w="3780" w:type="dxa"/>
            <w:vAlign w:val="bottom"/>
          </w:tcPr>
          <w:p>
            <w:pPr>
              <w:ind w:left="100"/>
              <w:spacing w:after="0"/>
              <w:rPr>
                <w:sz w:val="20"/>
                <w:szCs w:val="20"/>
                <w:color w:val="auto"/>
              </w:rPr>
            </w:pPr>
            <w:r>
              <w:rPr>
                <w:rFonts w:ascii="Arial" w:cs="Arial" w:eastAsia="Arial" w:hAnsi="Arial"/>
                <w:sz w:val="16"/>
                <w:szCs w:val="16"/>
                <w:color w:val="3B3C43"/>
              </w:rPr>
              <w:t>Maximum or above</w:t>
            </w:r>
          </w:p>
        </w:tc>
        <w:tc>
          <w:tcPr>
            <w:tcW w:w="4480" w:type="dxa"/>
            <w:vAlign w:val="bottom"/>
          </w:tcPr>
          <w:p>
            <w:pPr>
              <w:jc w:val="right"/>
              <w:ind w:right="719"/>
              <w:spacing w:after="0"/>
              <w:rPr>
                <w:sz w:val="20"/>
                <w:szCs w:val="20"/>
                <w:color w:val="auto"/>
              </w:rPr>
            </w:pPr>
            <w:r>
              <w:rPr>
                <w:rFonts w:ascii="Arial" w:cs="Arial" w:eastAsia="Arial" w:hAnsi="Arial"/>
                <w:sz w:val="16"/>
                <w:szCs w:val="16"/>
                <w:color w:val="3B3C43"/>
              </w:rPr>
              <w:t>75th percentile or greater</w:t>
            </w:r>
          </w:p>
        </w:tc>
        <w:tc>
          <w:tcPr>
            <w:tcW w:w="2980" w:type="dxa"/>
            <w:vAlign w:val="bottom"/>
          </w:tcPr>
          <w:p>
            <w:pPr>
              <w:jc w:val="right"/>
              <w:spacing w:after="0"/>
              <w:rPr>
                <w:sz w:val="20"/>
                <w:szCs w:val="20"/>
                <w:color w:val="auto"/>
              </w:rPr>
            </w:pPr>
            <w:r>
              <w:rPr>
                <w:rFonts w:ascii="Arial" w:cs="Arial" w:eastAsia="Arial" w:hAnsi="Arial"/>
                <w:sz w:val="16"/>
                <w:szCs w:val="16"/>
                <w:color w:val="3B3C43"/>
              </w:rPr>
              <w:t>200%</w:t>
            </w:r>
          </w:p>
        </w:tc>
      </w:tr>
      <w:tr>
        <w:trPr>
          <w:trHeight w:val="73"/>
        </w:trPr>
        <w:tc>
          <w:tcPr>
            <w:tcW w:w="3780" w:type="dxa"/>
            <w:vAlign w:val="bottom"/>
            <w:tcBorders>
              <w:bottom w:val="single" w:sz="8" w:color="E1E2E0"/>
            </w:tcBorders>
          </w:tcPr>
          <w:p>
            <w:pPr>
              <w:spacing w:after="0"/>
              <w:rPr>
                <w:sz w:val="6"/>
                <w:szCs w:val="6"/>
                <w:color w:val="auto"/>
              </w:rPr>
            </w:pPr>
          </w:p>
        </w:tc>
        <w:tc>
          <w:tcPr>
            <w:tcW w:w="4480" w:type="dxa"/>
            <w:vAlign w:val="bottom"/>
            <w:tcBorders>
              <w:bottom w:val="single" w:sz="8" w:color="E1E2E0"/>
            </w:tcBorders>
          </w:tcPr>
          <w:p>
            <w:pPr>
              <w:spacing w:after="0"/>
              <w:rPr>
                <w:sz w:val="6"/>
                <w:szCs w:val="6"/>
                <w:color w:val="auto"/>
              </w:rPr>
            </w:pPr>
          </w:p>
        </w:tc>
        <w:tc>
          <w:tcPr>
            <w:tcW w:w="2980" w:type="dxa"/>
            <w:vAlign w:val="bottom"/>
            <w:tcBorders>
              <w:bottom w:val="single" w:sz="8" w:color="E1E2E0"/>
            </w:tcBorders>
          </w:tcPr>
          <w:p>
            <w:pPr>
              <w:spacing w:after="0"/>
              <w:rPr>
                <w:sz w:val="6"/>
                <w:szCs w:val="6"/>
                <w:color w:val="auto"/>
              </w:rPr>
            </w:pPr>
          </w:p>
        </w:tc>
      </w:tr>
    </w:tbl>
    <w:p>
      <w:pPr>
        <w:spacing w:after="0" w:line="191" w:lineRule="exact"/>
        <w:rPr>
          <w:sz w:val="20"/>
          <w:szCs w:val="20"/>
          <w:color w:val="auto"/>
        </w:rPr>
      </w:pPr>
    </w:p>
    <w:p>
      <w:pPr>
        <w:ind w:left="20" w:right="180"/>
        <w:spacing w:after="0" w:line="260" w:lineRule="auto"/>
        <w:rPr>
          <w:sz w:val="20"/>
          <w:szCs w:val="20"/>
          <w:color w:val="auto"/>
        </w:rPr>
      </w:pPr>
      <w:r>
        <w:rPr>
          <w:rFonts w:ascii="Arial" w:cs="Arial" w:eastAsia="Arial" w:hAnsi="Arial"/>
          <w:sz w:val="16"/>
          <w:szCs w:val="16"/>
          <w:color w:val="3B3C43"/>
        </w:rPr>
        <w:t>Note: If the Company’s absolute TSR is negative for the performance period, the payout in respect of the TSR element will be capped at target, regardless of our relative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3B3C43"/>
        </w:rPr>
        <w:t>For performance achievement between the levels identified above, payout percentage will be interpolated on a straightline basis.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2020 Time-Based RSU Awards (30% of Equity Award)</w:t>
      </w:r>
    </w:p>
    <w:p>
      <w:pPr>
        <w:spacing w:after="0" w:line="2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3B3C43"/>
        </w:rPr>
        <w:t>Time-based RSU awards further align NEOs’ interests with the interests of our shareholders by incentivizing them to increase share price, while reinforcing the retention impact of our compensation program.</w:t>
      </w:r>
    </w:p>
    <w:p>
      <w:pPr>
        <w:spacing w:after="0" w:line="168"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3B3C43"/>
        </w:rPr>
        <w:t>RSUs are subject to three-year cliff vesting terms, with no phased vesting, meaning the NEO must remain employed through the vesting date of March 9, 2023, with exceptions only for retirement, death, and disability. Once vested, the executive receives ownership and the voting rights of the underlying Ordinary Shares.</w:t>
      </w:r>
    </w:p>
    <w:p>
      <w:pPr>
        <w:spacing w:after="0" w:line="17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3B3C43"/>
        </w:rPr>
        <w:t>The number of RSUs granted to each of the NEOs was determined by dividing the target value set for each executive officer by the closing price of the Company’s Ordinary Shares on the NYSE on the grant date.</w:t>
      </w:r>
    </w:p>
    <w:p>
      <w:pPr>
        <w:spacing w:after="0" w:line="16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3B3C43"/>
        </w:rPr>
        <w:t>On vesting, 50% of the after-tax number of RSUs must be held for a period of at least one year to incentivize NEOs to retain the shares and increase share price, further aligning NEOs’ interests with those of our shareholders.</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95</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3B3C43"/>
        </w:rPr>
        <w:t>Vesting of 2018 PSU Awards</w:t>
      </w:r>
    </w:p>
    <w:p>
      <w:pPr>
        <w:spacing w:after="0" w:line="1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3B3C43"/>
        </w:rPr>
        <w:t>In 2018, the Compensation Committee approved PSU awards subject to a three-year performance period. Vesting of these awards was contingent on performance delivered in two areas: ROIC and relative TSR.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3B3C43"/>
        </w:rPr>
        <w:t>As a result of our 2018-2020 performance, our NEOs achieved a payout of 25% of target on their 2018 PSUs.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3B3C43"/>
        </w:rPr>
        <w:t>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140335</wp:posOffset>
            </wp:positionV>
            <wp:extent cx="8255"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18859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460" w:type="dxa"/>
            <w:vAlign w:val="bottom"/>
            <w:tcBorders>
              <w:bottom w:val="single" w:sz="8" w:color="4A1F67"/>
            </w:tcBorders>
            <w:shd w:val="clear" w:color="auto" w:fill="4A1F67"/>
          </w:tcPr>
          <w:p>
            <w:pPr>
              <w:ind w:left="60"/>
              <w:spacing w:after="0"/>
              <w:rPr>
                <w:sz w:val="20"/>
                <w:szCs w:val="20"/>
                <w:color w:val="auto"/>
              </w:rPr>
            </w:pPr>
            <w:r>
              <w:rPr>
                <w:rFonts w:ascii="Arial" w:cs="Arial" w:eastAsia="Arial" w:hAnsi="Arial"/>
                <w:sz w:val="16"/>
                <w:szCs w:val="16"/>
                <w:b w:val="1"/>
                <w:bCs w:val="1"/>
                <w:color w:val="FFFFFF"/>
              </w:rPr>
              <w:t>Goal/Weightings</w:t>
            </w:r>
          </w:p>
        </w:tc>
        <w:tc>
          <w:tcPr>
            <w:tcW w:w="6780" w:type="dxa"/>
            <w:vAlign w:val="bottom"/>
            <w:tcBorders>
              <w:bottom w:val="single" w:sz="8" w:color="4A1F67"/>
            </w:tcBorders>
            <w:shd w:val="clear" w:color="auto" w:fill="4A1F67"/>
          </w:tcPr>
          <w:p>
            <w:pPr>
              <w:ind w:left="1240"/>
              <w:spacing w:after="0"/>
              <w:rPr>
                <w:sz w:val="20"/>
                <w:szCs w:val="20"/>
                <w:color w:val="auto"/>
              </w:rPr>
            </w:pPr>
            <w:r>
              <w:rPr>
                <w:rFonts w:ascii="Arial" w:cs="Arial" w:eastAsia="Arial" w:hAnsi="Arial"/>
                <w:sz w:val="16"/>
                <w:szCs w:val="16"/>
                <w:b w:val="1"/>
                <w:bCs w:val="1"/>
                <w:color w:val="FFFFFF"/>
              </w:rPr>
              <w:t>Performance Measure</w:t>
            </w:r>
          </w:p>
        </w:tc>
      </w:tr>
      <w:tr>
        <w:trPr>
          <w:trHeight w:val="251"/>
        </w:trPr>
        <w:tc>
          <w:tcPr>
            <w:tcW w:w="4460" w:type="dxa"/>
            <w:vAlign w:val="bottom"/>
          </w:tcPr>
          <w:p>
            <w:pPr>
              <w:ind w:left="60"/>
              <w:spacing w:after="0"/>
              <w:rPr>
                <w:sz w:val="20"/>
                <w:szCs w:val="20"/>
                <w:color w:val="auto"/>
              </w:rPr>
            </w:pPr>
            <w:r>
              <w:rPr>
                <w:rFonts w:ascii="Arial" w:cs="Arial" w:eastAsia="Arial" w:hAnsi="Arial"/>
                <w:sz w:val="16"/>
                <w:szCs w:val="16"/>
                <w:color w:val="3B3C43"/>
              </w:rPr>
              <w:t>ROIC (30% of total long-term equity)</w:t>
            </w:r>
          </w:p>
        </w:tc>
        <w:tc>
          <w:tcPr>
            <w:tcW w:w="6780" w:type="dxa"/>
            <w:vAlign w:val="bottom"/>
          </w:tcPr>
          <w:p>
            <w:pPr>
              <w:ind w:left="1220"/>
              <w:spacing w:after="0"/>
              <w:rPr>
                <w:sz w:val="20"/>
                <w:szCs w:val="20"/>
                <w:color w:val="auto"/>
              </w:rPr>
            </w:pPr>
            <w:r>
              <w:rPr>
                <w:rFonts w:ascii="Arial" w:cs="Arial" w:eastAsia="Arial" w:hAnsi="Arial"/>
                <w:sz w:val="16"/>
                <w:szCs w:val="16"/>
                <w:color w:val="3B3C43"/>
              </w:rPr>
              <w:t>Achievement of stated target</w:t>
            </w:r>
          </w:p>
        </w:tc>
      </w:tr>
      <w:tr>
        <w:trPr>
          <w:trHeight w:val="47"/>
        </w:trPr>
        <w:tc>
          <w:tcPr>
            <w:tcW w:w="4460" w:type="dxa"/>
            <w:vAlign w:val="bottom"/>
            <w:tcBorders>
              <w:bottom w:val="single" w:sz="8" w:color="E1E2E0"/>
            </w:tcBorders>
          </w:tcPr>
          <w:p>
            <w:pPr>
              <w:spacing w:after="0"/>
              <w:rPr>
                <w:sz w:val="4"/>
                <w:szCs w:val="4"/>
                <w:color w:val="auto"/>
              </w:rPr>
            </w:pPr>
          </w:p>
        </w:tc>
        <w:tc>
          <w:tcPr>
            <w:tcW w:w="6780" w:type="dxa"/>
            <w:vAlign w:val="bottom"/>
            <w:tcBorders>
              <w:bottom w:val="single" w:sz="8" w:color="E1E2E0"/>
            </w:tcBorders>
          </w:tcPr>
          <w:p>
            <w:pPr>
              <w:spacing w:after="0"/>
              <w:rPr>
                <w:sz w:val="4"/>
                <w:szCs w:val="4"/>
                <w:color w:val="auto"/>
              </w:rPr>
            </w:pPr>
          </w:p>
        </w:tc>
      </w:tr>
      <w:tr>
        <w:trPr>
          <w:trHeight w:val="244"/>
        </w:trPr>
        <w:tc>
          <w:tcPr>
            <w:tcW w:w="4460" w:type="dxa"/>
            <w:vAlign w:val="bottom"/>
          </w:tcPr>
          <w:p>
            <w:pPr>
              <w:ind w:left="60"/>
              <w:spacing w:after="0"/>
              <w:rPr>
                <w:sz w:val="20"/>
                <w:szCs w:val="20"/>
                <w:color w:val="auto"/>
              </w:rPr>
            </w:pPr>
            <w:r>
              <w:rPr>
                <w:rFonts w:ascii="Arial" w:cs="Arial" w:eastAsia="Arial" w:hAnsi="Arial"/>
                <w:sz w:val="16"/>
                <w:szCs w:val="16"/>
                <w:color w:val="3B3C43"/>
              </w:rPr>
              <w:t>Relative TSR (30% of total long-term equity)</w:t>
            </w:r>
          </w:p>
        </w:tc>
        <w:tc>
          <w:tcPr>
            <w:tcW w:w="6780" w:type="dxa"/>
            <w:vAlign w:val="bottom"/>
          </w:tcPr>
          <w:p>
            <w:pPr>
              <w:ind w:left="1220"/>
              <w:spacing w:after="0"/>
              <w:rPr>
                <w:sz w:val="20"/>
                <w:szCs w:val="20"/>
                <w:color w:val="auto"/>
              </w:rPr>
            </w:pPr>
            <w:r>
              <w:rPr>
                <w:rFonts w:ascii="Arial" w:cs="Arial" w:eastAsia="Arial" w:hAnsi="Arial"/>
                <w:sz w:val="16"/>
                <w:szCs w:val="16"/>
                <w:color w:val="3B3C43"/>
              </w:rPr>
              <w:t>Percentile Ranking versus the 2018 Performance Peer Group</w:t>
            </w:r>
          </w:p>
        </w:tc>
      </w:tr>
      <w:tr>
        <w:trPr>
          <w:trHeight w:val="46"/>
        </w:trPr>
        <w:tc>
          <w:tcPr>
            <w:tcW w:w="4460" w:type="dxa"/>
            <w:vAlign w:val="bottom"/>
            <w:tcBorders>
              <w:bottom w:val="single" w:sz="8" w:color="E1E2E0"/>
            </w:tcBorders>
          </w:tcPr>
          <w:p>
            <w:pPr>
              <w:spacing w:after="0"/>
              <w:rPr>
                <w:sz w:val="4"/>
                <w:szCs w:val="4"/>
                <w:color w:val="auto"/>
              </w:rPr>
            </w:pPr>
          </w:p>
        </w:tc>
        <w:tc>
          <w:tcPr>
            <w:tcW w:w="6780" w:type="dxa"/>
            <w:vAlign w:val="bottom"/>
            <w:tcBorders>
              <w:bottom w:val="single" w:sz="8" w:color="E1E2E0"/>
            </w:tcBorders>
          </w:tcPr>
          <w:p>
            <w:pPr>
              <w:spacing w:after="0"/>
              <w:rPr>
                <w:sz w:val="4"/>
                <w:szCs w:val="4"/>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3B3C43"/>
        </w:rPr>
        <w:t>The following are the targets and payout scale for the 2018-2020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126365</wp:posOffset>
            </wp:positionV>
            <wp:extent cx="8890" cy="3257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3257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126365</wp:posOffset>
            </wp:positionV>
            <wp:extent cx="8255" cy="3257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126365</wp:posOffset>
            </wp:positionV>
            <wp:extent cx="8890" cy="3257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shd w:val="clear" w:color="auto" w:fill="4A1F67"/>
          </w:tcPr>
          <w:p>
            <w:pPr>
              <w:ind w:left="60"/>
              <w:spacing w:after="0"/>
              <w:rPr>
                <w:sz w:val="20"/>
                <w:szCs w:val="20"/>
                <w:color w:val="auto"/>
              </w:rPr>
            </w:pPr>
            <w:r>
              <w:rPr>
                <w:rFonts w:ascii="Arial" w:cs="Arial" w:eastAsia="Arial" w:hAnsi="Arial"/>
                <w:sz w:val="18"/>
                <w:szCs w:val="18"/>
                <w:b w:val="1"/>
                <w:bCs w:val="1"/>
                <w:color w:val="FFFFFF"/>
              </w:rPr>
              <w:t>Performance</w:t>
            </w:r>
          </w:p>
        </w:tc>
        <w:tc>
          <w:tcPr>
            <w:tcW w:w="2900" w:type="dxa"/>
            <w:vAlign w:val="bottom"/>
            <w:shd w:val="clear" w:color="auto" w:fill="4A1F67"/>
          </w:tcPr>
          <w:p>
            <w:pPr>
              <w:jc w:val="right"/>
              <w:ind w:right="350"/>
              <w:spacing w:after="0"/>
              <w:rPr>
                <w:sz w:val="20"/>
                <w:szCs w:val="20"/>
                <w:color w:val="auto"/>
              </w:rPr>
            </w:pPr>
            <w:r>
              <w:rPr>
                <w:rFonts w:ascii="Arial" w:cs="Arial" w:eastAsia="Arial" w:hAnsi="Arial"/>
                <w:sz w:val="18"/>
                <w:szCs w:val="18"/>
                <w:b w:val="1"/>
                <w:bCs w:val="1"/>
                <w:color w:val="FFFFFF"/>
              </w:rPr>
              <w:t>ROIC Performance</w:t>
            </w:r>
          </w:p>
        </w:tc>
        <w:tc>
          <w:tcPr>
            <w:tcW w:w="3440" w:type="dxa"/>
            <w:vAlign w:val="bottom"/>
            <w:shd w:val="clear" w:color="auto" w:fill="4A1F67"/>
          </w:tcPr>
          <w:p>
            <w:pPr>
              <w:jc w:val="right"/>
              <w:ind w:right="650"/>
              <w:spacing w:after="0"/>
              <w:rPr>
                <w:sz w:val="20"/>
                <w:szCs w:val="20"/>
                <w:color w:val="auto"/>
              </w:rPr>
            </w:pPr>
            <w:r>
              <w:rPr>
                <w:rFonts w:ascii="Arial" w:cs="Arial" w:eastAsia="Arial" w:hAnsi="Arial"/>
                <w:sz w:val="18"/>
                <w:szCs w:val="18"/>
                <w:b w:val="1"/>
                <w:bCs w:val="1"/>
                <w:color w:val="FFFFFF"/>
              </w:rPr>
              <w:t>Relative TSR Performance</w:t>
            </w:r>
          </w:p>
        </w:tc>
        <w:tc>
          <w:tcPr>
            <w:tcW w:w="2440" w:type="dxa"/>
            <w:vAlign w:val="bottom"/>
            <w:shd w:val="clear" w:color="auto" w:fill="4A1F67"/>
          </w:tcPr>
          <w:p>
            <w:pPr>
              <w:jc w:val="right"/>
              <w:spacing w:after="0"/>
              <w:rPr>
                <w:sz w:val="20"/>
                <w:szCs w:val="20"/>
                <w:color w:val="auto"/>
              </w:rPr>
            </w:pPr>
            <w:r>
              <w:rPr>
                <w:rFonts w:ascii="Arial" w:cs="Arial" w:eastAsia="Arial" w:hAnsi="Arial"/>
                <w:sz w:val="18"/>
                <w:szCs w:val="18"/>
                <w:b w:val="1"/>
                <w:bCs w:val="1"/>
                <w:color w:val="FFFFFF"/>
              </w:rPr>
              <w:t>Payout</w:t>
            </w:r>
          </w:p>
        </w:tc>
      </w:tr>
      <w:tr>
        <w:trPr>
          <w:trHeight w:val="259"/>
        </w:trPr>
        <w:tc>
          <w:tcPr>
            <w:tcW w:w="2440" w:type="dxa"/>
            <w:vAlign w:val="bottom"/>
            <w:tcBorders>
              <w:bottom w:val="single" w:sz="8" w:color="4A1F67"/>
            </w:tcBorders>
            <w:shd w:val="clear" w:color="auto" w:fill="4A1F67"/>
          </w:tcPr>
          <w:p>
            <w:pPr>
              <w:ind w:left="60"/>
              <w:spacing w:after="0"/>
              <w:rPr>
                <w:sz w:val="20"/>
                <w:szCs w:val="20"/>
                <w:color w:val="auto"/>
              </w:rPr>
            </w:pPr>
            <w:r>
              <w:rPr>
                <w:rFonts w:ascii="Arial" w:cs="Arial" w:eastAsia="Arial" w:hAnsi="Arial"/>
                <w:sz w:val="18"/>
                <w:szCs w:val="18"/>
                <w:b w:val="1"/>
                <w:bCs w:val="1"/>
                <w:color w:val="FFFFFF"/>
              </w:rPr>
              <w:t>Achievement</w:t>
            </w:r>
          </w:p>
        </w:tc>
        <w:tc>
          <w:tcPr>
            <w:tcW w:w="2900" w:type="dxa"/>
            <w:vAlign w:val="bottom"/>
            <w:tcBorders>
              <w:bottom w:val="single" w:sz="8" w:color="4A1F67"/>
            </w:tcBorders>
            <w:shd w:val="clear" w:color="auto" w:fill="4A1F67"/>
          </w:tcPr>
          <w:p>
            <w:pPr>
              <w:spacing w:after="0"/>
              <w:rPr>
                <w:sz w:val="22"/>
                <w:szCs w:val="22"/>
                <w:color w:val="auto"/>
              </w:rPr>
            </w:pPr>
          </w:p>
        </w:tc>
        <w:tc>
          <w:tcPr>
            <w:tcW w:w="3440" w:type="dxa"/>
            <w:vAlign w:val="bottom"/>
            <w:tcBorders>
              <w:bottom w:val="single" w:sz="8" w:color="4A1F67"/>
            </w:tcBorders>
            <w:shd w:val="clear" w:color="auto" w:fill="4A1F67"/>
          </w:tcPr>
          <w:p>
            <w:pPr>
              <w:spacing w:after="0"/>
              <w:rPr>
                <w:sz w:val="22"/>
                <w:szCs w:val="22"/>
                <w:color w:val="auto"/>
              </w:rPr>
            </w:pPr>
          </w:p>
        </w:tc>
        <w:tc>
          <w:tcPr>
            <w:tcW w:w="244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8"/>
                <w:szCs w:val="18"/>
                <w:b w:val="1"/>
                <w:bCs w:val="1"/>
                <w:color w:val="FFFFFF"/>
              </w:rPr>
              <w:t>(% of earned PSUs)</w:t>
            </w:r>
          </w:p>
        </w:tc>
      </w:tr>
      <w:tr>
        <w:trPr>
          <w:trHeight w:val="270"/>
        </w:trPr>
        <w:tc>
          <w:tcPr>
            <w:tcW w:w="2440" w:type="dxa"/>
            <w:vAlign w:val="bottom"/>
          </w:tcPr>
          <w:p>
            <w:pPr>
              <w:ind w:left="60"/>
              <w:spacing w:after="0"/>
              <w:rPr>
                <w:sz w:val="20"/>
                <w:szCs w:val="20"/>
                <w:color w:val="auto"/>
              </w:rPr>
            </w:pPr>
            <w:r>
              <w:rPr>
                <w:rFonts w:ascii="Arial" w:cs="Arial" w:eastAsia="Arial" w:hAnsi="Arial"/>
                <w:sz w:val="18"/>
                <w:szCs w:val="18"/>
                <w:color w:val="3B3C43"/>
              </w:rPr>
              <w:t>Below Threshold</w:t>
            </w:r>
          </w:p>
        </w:tc>
        <w:tc>
          <w:tcPr>
            <w:tcW w:w="2900" w:type="dxa"/>
            <w:vAlign w:val="bottom"/>
          </w:tcPr>
          <w:p>
            <w:pPr>
              <w:jc w:val="right"/>
              <w:ind w:right="350"/>
              <w:spacing w:after="0"/>
              <w:rPr>
                <w:sz w:val="20"/>
                <w:szCs w:val="20"/>
                <w:color w:val="auto"/>
              </w:rPr>
            </w:pPr>
            <w:r>
              <w:rPr>
                <w:rFonts w:ascii="Arial" w:cs="Arial" w:eastAsia="Arial" w:hAnsi="Arial"/>
                <w:sz w:val="18"/>
                <w:szCs w:val="18"/>
                <w:color w:val="3B3C43"/>
              </w:rPr>
              <w:t>Below 6%</w:t>
            </w:r>
          </w:p>
        </w:tc>
        <w:tc>
          <w:tcPr>
            <w:tcW w:w="3440" w:type="dxa"/>
            <w:vAlign w:val="bottom"/>
          </w:tcPr>
          <w:p>
            <w:pPr>
              <w:jc w:val="right"/>
              <w:ind w:right="650"/>
              <w:spacing w:after="0"/>
              <w:rPr>
                <w:sz w:val="20"/>
                <w:szCs w:val="20"/>
                <w:color w:val="auto"/>
              </w:rPr>
            </w:pPr>
            <w:r>
              <w:rPr>
                <w:rFonts w:ascii="Arial" w:cs="Arial" w:eastAsia="Arial" w:hAnsi="Arial"/>
                <w:sz w:val="18"/>
                <w:szCs w:val="18"/>
                <w:color w:val="3B3C43"/>
              </w:rPr>
              <w:t>Below 25th percentile</w:t>
            </w:r>
          </w:p>
        </w:tc>
        <w:tc>
          <w:tcPr>
            <w:tcW w:w="2440" w:type="dxa"/>
            <w:vAlign w:val="bottom"/>
          </w:tcPr>
          <w:p>
            <w:pPr>
              <w:jc w:val="right"/>
              <w:spacing w:after="0"/>
              <w:rPr>
                <w:sz w:val="20"/>
                <w:szCs w:val="20"/>
                <w:color w:val="auto"/>
              </w:rPr>
            </w:pPr>
            <w:r>
              <w:rPr>
                <w:rFonts w:ascii="Arial" w:cs="Arial" w:eastAsia="Arial" w:hAnsi="Arial"/>
                <w:sz w:val="18"/>
                <w:szCs w:val="18"/>
                <w:color w:val="3B3C43"/>
              </w:rPr>
              <w:t>0%</w:t>
            </w:r>
          </w:p>
        </w:tc>
      </w:tr>
      <w:tr>
        <w:trPr>
          <w:trHeight w:val="40"/>
        </w:trPr>
        <w:tc>
          <w:tcPr>
            <w:tcW w:w="2440" w:type="dxa"/>
            <w:vAlign w:val="bottom"/>
            <w:tcBorders>
              <w:bottom w:val="single" w:sz="8" w:color="E1E2E0"/>
            </w:tcBorders>
          </w:tcPr>
          <w:p>
            <w:pPr>
              <w:spacing w:after="0"/>
              <w:rPr>
                <w:sz w:val="3"/>
                <w:szCs w:val="3"/>
                <w:color w:val="auto"/>
              </w:rPr>
            </w:pPr>
          </w:p>
        </w:tc>
        <w:tc>
          <w:tcPr>
            <w:tcW w:w="2900" w:type="dxa"/>
            <w:vAlign w:val="bottom"/>
            <w:tcBorders>
              <w:bottom w:val="single" w:sz="8" w:color="E1E2E0"/>
            </w:tcBorders>
          </w:tcPr>
          <w:p>
            <w:pPr>
              <w:spacing w:after="0"/>
              <w:rPr>
                <w:sz w:val="3"/>
                <w:szCs w:val="3"/>
                <w:color w:val="auto"/>
              </w:rPr>
            </w:pPr>
          </w:p>
        </w:tc>
        <w:tc>
          <w:tcPr>
            <w:tcW w:w="3440" w:type="dxa"/>
            <w:vAlign w:val="bottom"/>
            <w:tcBorders>
              <w:bottom w:val="single" w:sz="8" w:color="E1E2E0"/>
            </w:tcBorders>
          </w:tcPr>
          <w:p>
            <w:pPr>
              <w:spacing w:after="0"/>
              <w:rPr>
                <w:sz w:val="3"/>
                <w:szCs w:val="3"/>
                <w:color w:val="auto"/>
              </w:rPr>
            </w:pPr>
          </w:p>
        </w:tc>
        <w:tc>
          <w:tcPr>
            <w:tcW w:w="2440" w:type="dxa"/>
            <w:vAlign w:val="bottom"/>
            <w:tcBorders>
              <w:bottom w:val="single" w:sz="8" w:color="E1E2E0"/>
            </w:tcBorders>
          </w:tcPr>
          <w:p>
            <w:pPr>
              <w:spacing w:after="0"/>
              <w:rPr>
                <w:sz w:val="3"/>
                <w:szCs w:val="3"/>
                <w:color w:val="auto"/>
              </w:rPr>
            </w:pPr>
          </w:p>
        </w:tc>
      </w:tr>
      <w:tr>
        <w:trPr>
          <w:trHeight w:val="264"/>
        </w:trPr>
        <w:tc>
          <w:tcPr>
            <w:tcW w:w="2440" w:type="dxa"/>
            <w:vAlign w:val="bottom"/>
          </w:tcPr>
          <w:p>
            <w:pPr>
              <w:ind w:left="60"/>
              <w:spacing w:after="0"/>
              <w:rPr>
                <w:sz w:val="20"/>
                <w:szCs w:val="20"/>
                <w:color w:val="auto"/>
              </w:rPr>
            </w:pPr>
            <w:r>
              <w:rPr>
                <w:rFonts w:ascii="Arial" w:cs="Arial" w:eastAsia="Arial" w:hAnsi="Arial"/>
                <w:sz w:val="18"/>
                <w:szCs w:val="18"/>
                <w:color w:val="3B3C43"/>
              </w:rPr>
              <w:t>Threshold</w:t>
            </w:r>
          </w:p>
        </w:tc>
        <w:tc>
          <w:tcPr>
            <w:tcW w:w="2900" w:type="dxa"/>
            <w:vAlign w:val="bottom"/>
          </w:tcPr>
          <w:p>
            <w:pPr>
              <w:jc w:val="right"/>
              <w:ind w:right="350"/>
              <w:spacing w:after="0"/>
              <w:rPr>
                <w:sz w:val="20"/>
                <w:szCs w:val="20"/>
                <w:color w:val="auto"/>
              </w:rPr>
            </w:pPr>
            <w:r>
              <w:rPr>
                <w:rFonts w:ascii="Arial" w:cs="Arial" w:eastAsia="Arial" w:hAnsi="Arial"/>
                <w:sz w:val="18"/>
                <w:szCs w:val="18"/>
                <w:color w:val="3B3C43"/>
              </w:rPr>
              <w:t>6%</w:t>
            </w:r>
          </w:p>
        </w:tc>
        <w:tc>
          <w:tcPr>
            <w:tcW w:w="3440" w:type="dxa"/>
            <w:vAlign w:val="bottom"/>
          </w:tcPr>
          <w:p>
            <w:pPr>
              <w:jc w:val="right"/>
              <w:ind w:right="650"/>
              <w:spacing w:after="0"/>
              <w:rPr>
                <w:sz w:val="20"/>
                <w:szCs w:val="20"/>
                <w:color w:val="auto"/>
              </w:rPr>
            </w:pPr>
            <w:r>
              <w:rPr>
                <w:rFonts w:ascii="Arial" w:cs="Arial" w:eastAsia="Arial" w:hAnsi="Arial"/>
                <w:sz w:val="18"/>
                <w:szCs w:val="18"/>
                <w:color w:val="3B3C43"/>
              </w:rPr>
              <w:t>25th percentile</w:t>
            </w:r>
          </w:p>
        </w:tc>
        <w:tc>
          <w:tcPr>
            <w:tcW w:w="2440" w:type="dxa"/>
            <w:vAlign w:val="bottom"/>
          </w:tcPr>
          <w:p>
            <w:pPr>
              <w:jc w:val="right"/>
              <w:spacing w:after="0"/>
              <w:rPr>
                <w:sz w:val="20"/>
                <w:szCs w:val="20"/>
                <w:color w:val="auto"/>
              </w:rPr>
            </w:pPr>
            <w:r>
              <w:rPr>
                <w:rFonts w:ascii="Arial" w:cs="Arial" w:eastAsia="Arial" w:hAnsi="Arial"/>
                <w:sz w:val="18"/>
                <w:szCs w:val="18"/>
                <w:color w:val="3B3C43"/>
              </w:rPr>
              <w:t>50%</w:t>
            </w:r>
          </w:p>
        </w:tc>
      </w:tr>
      <w:tr>
        <w:trPr>
          <w:trHeight w:val="40"/>
        </w:trPr>
        <w:tc>
          <w:tcPr>
            <w:tcW w:w="2440" w:type="dxa"/>
            <w:vAlign w:val="bottom"/>
            <w:tcBorders>
              <w:bottom w:val="single" w:sz="8" w:color="E1E2E0"/>
            </w:tcBorders>
          </w:tcPr>
          <w:p>
            <w:pPr>
              <w:spacing w:after="0"/>
              <w:rPr>
                <w:sz w:val="3"/>
                <w:szCs w:val="3"/>
                <w:color w:val="auto"/>
              </w:rPr>
            </w:pPr>
          </w:p>
        </w:tc>
        <w:tc>
          <w:tcPr>
            <w:tcW w:w="2900" w:type="dxa"/>
            <w:vAlign w:val="bottom"/>
            <w:tcBorders>
              <w:bottom w:val="single" w:sz="8" w:color="E1E2E0"/>
            </w:tcBorders>
          </w:tcPr>
          <w:p>
            <w:pPr>
              <w:spacing w:after="0"/>
              <w:rPr>
                <w:sz w:val="3"/>
                <w:szCs w:val="3"/>
                <w:color w:val="auto"/>
              </w:rPr>
            </w:pPr>
          </w:p>
        </w:tc>
        <w:tc>
          <w:tcPr>
            <w:tcW w:w="3440" w:type="dxa"/>
            <w:vAlign w:val="bottom"/>
            <w:tcBorders>
              <w:bottom w:val="single" w:sz="8" w:color="E1E2E0"/>
            </w:tcBorders>
          </w:tcPr>
          <w:p>
            <w:pPr>
              <w:spacing w:after="0"/>
              <w:rPr>
                <w:sz w:val="3"/>
                <w:szCs w:val="3"/>
                <w:color w:val="auto"/>
              </w:rPr>
            </w:pPr>
          </w:p>
        </w:tc>
        <w:tc>
          <w:tcPr>
            <w:tcW w:w="2440" w:type="dxa"/>
            <w:vAlign w:val="bottom"/>
            <w:tcBorders>
              <w:bottom w:val="single" w:sz="8" w:color="E1E2E0"/>
            </w:tcBorders>
          </w:tcPr>
          <w:p>
            <w:pPr>
              <w:spacing w:after="0"/>
              <w:rPr>
                <w:sz w:val="3"/>
                <w:szCs w:val="3"/>
                <w:color w:val="auto"/>
              </w:rPr>
            </w:pPr>
          </w:p>
        </w:tc>
      </w:tr>
      <w:tr>
        <w:trPr>
          <w:trHeight w:val="264"/>
        </w:trPr>
        <w:tc>
          <w:tcPr>
            <w:tcW w:w="2440" w:type="dxa"/>
            <w:vAlign w:val="bottom"/>
          </w:tcPr>
          <w:p>
            <w:pPr>
              <w:ind w:left="60"/>
              <w:spacing w:after="0"/>
              <w:rPr>
                <w:sz w:val="20"/>
                <w:szCs w:val="20"/>
                <w:color w:val="auto"/>
              </w:rPr>
            </w:pPr>
            <w:r>
              <w:rPr>
                <w:rFonts w:ascii="Arial" w:cs="Arial" w:eastAsia="Arial" w:hAnsi="Arial"/>
                <w:sz w:val="18"/>
                <w:szCs w:val="18"/>
                <w:color w:val="3B3C43"/>
              </w:rPr>
              <w:t>Target</w:t>
            </w:r>
          </w:p>
        </w:tc>
        <w:tc>
          <w:tcPr>
            <w:tcW w:w="2900" w:type="dxa"/>
            <w:vAlign w:val="bottom"/>
          </w:tcPr>
          <w:p>
            <w:pPr>
              <w:jc w:val="right"/>
              <w:ind w:right="350"/>
              <w:spacing w:after="0"/>
              <w:rPr>
                <w:sz w:val="20"/>
                <w:szCs w:val="20"/>
                <w:color w:val="auto"/>
              </w:rPr>
            </w:pPr>
            <w:r>
              <w:rPr>
                <w:rFonts w:ascii="Arial" w:cs="Arial" w:eastAsia="Arial" w:hAnsi="Arial"/>
                <w:sz w:val="18"/>
                <w:szCs w:val="18"/>
                <w:color w:val="3B3C43"/>
              </w:rPr>
              <w:t>7%</w:t>
            </w:r>
          </w:p>
        </w:tc>
        <w:tc>
          <w:tcPr>
            <w:tcW w:w="3440" w:type="dxa"/>
            <w:vAlign w:val="bottom"/>
          </w:tcPr>
          <w:p>
            <w:pPr>
              <w:jc w:val="right"/>
              <w:ind w:right="650"/>
              <w:spacing w:after="0"/>
              <w:rPr>
                <w:sz w:val="20"/>
                <w:szCs w:val="20"/>
                <w:color w:val="auto"/>
              </w:rPr>
            </w:pPr>
            <w:r>
              <w:rPr>
                <w:rFonts w:ascii="Arial" w:cs="Arial" w:eastAsia="Arial" w:hAnsi="Arial"/>
                <w:sz w:val="18"/>
                <w:szCs w:val="18"/>
                <w:color w:val="3B3C43"/>
              </w:rPr>
              <w:t>42nd percentile</w:t>
            </w:r>
          </w:p>
        </w:tc>
        <w:tc>
          <w:tcPr>
            <w:tcW w:w="2440" w:type="dxa"/>
            <w:vAlign w:val="bottom"/>
          </w:tcPr>
          <w:p>
            <w:pPr>
              <w:jc w:val="right"/>
              <w:spacing w:after="0"/>
              <w:rPr>
                <w:sz w:val="20"/>
                <w:szCs w:val="20"/>
                <w:color w:val="auto"/>
              </w:rPr>
            </w:pPr>
            <w:r>
              <w:rPr>
                <w:rFonts w:ascii="Arial" w:cs="Arial" w:eastAsia="Arial" w:hAnsi="Arial"/>
                <w:sz w:val="18"/>
                <w:szCs w:val="18"/>
                <w:color w:val="3B3C43"/>
              </w:rPr>
              <w:t>100%</w:t>
            </w:r>
          </w:p>
        </w:tc>
      </w:tr>
      <w:tr>
        <w:trPr>
          <w:trHeight w:val="40"/>
        </w:trPr>
        <w:tc>
          <w:tcPr>
            <w:tcW w:w="2440" w:type="dxa"/>
            <w:vAlign w:val="bottom"/>
            <w:tcBorders>
              <w:bottom w:val="single" w:sz="8" w:color="E1E2E0"/>
            </w:tcBorders>
          </w:tcPr>
          <w:p>
            <w:pPr>
              <w:spacing w:after="0"/>
              <w:rPr>
                <w:sz w:val="3"/>
                <w:szCs w:val="3"/>
                <w:color w:val="auto"/>
              </w:rPr>
            </w:pPr>
          </w:p>
        </w:tc>
        <w:tc>
          <w:tcPr>
            <w:tcW w:w="2900" w:type="dxa"/>
            <w:vAlign w:val="bottom"/>
            <w:tcBorders>
              <w:bottom w:val="single" w:sz="8" w:color="E1E2E0"/>
            </w:tcBorders>
          </w:tcPr>
          <w:p>
            <w:pPr>
              <w:spacing w:after="0"/>
              <w:rPr>
                <w:sz w:val="3"/>
                <w:szCs w:val="3"/>
                <w:color w:val="auto"/>
              </w:rPr>
            </w:pPr>
          </w:p>
        </w:tc>
        <w:tc>
          <w:tcPr>
            <w:tcW w:w="3440" w:type="dxa"/>
            <w:vAlign w:val="bottom"/>
            <w:tcBorders>
              <w:bottom w:val="single" w:sz="8" w:color="E1E2E0"/>
            </w:tcBorders>
          </w:tcPr>
          <w:p>
            <w:pPr>
              <w:spacing w:after="0"/>
              <w:rPr>
                <w:sz w:val="3"/>
                <w:szCs w:val="3"/>
                <w:color w:val="auto"/>
              </w:rPr>
            </w:pPr>
          </w:p>
        </w:tc>
        <w:tc>
          <w:tcPr>
            <w:tcW w:w="2440" w:type="dxa"/>
            <w:vAlign w:val="bottom"/>
            <w:tcBorders>
              <w:bottom w:val="single" w:sz="8" w:color="E1E2E0"/>
            </w:tcBorders>
          </w:tcPr>
          <w:p>
            <w:pPr>
              <w:spacing w:after="0"/>
              <w:rPr>
                <w:sz w:val="3"/>
                <w:szCs w:val="3"/>
                <w:color w:val="auto"/>
              </w:rPr>
            </w:pPr>
          </w:p>
        </w:tc>
      </w:tr>
      <w:tr>
        <w:trPr>
          <w:trHeight w:val="263"/>
        </w:trPr>
        <w:tc>
          <w:tcPr>
            <w:tcW w:w="2440" w:type="dxa"/>
            <w:vAlign w:val="bottom"/>
          </w:tcPr>
          <w:p>
            <w:pPr>
              <w:ind w:left="60"/>
              <w:spacing w:after="0"/>
              <w:rPr>
                <w:sz w:val="20"/>
                <w:szCs w:val="20"/>
                <w:color w:val="auto"/>
              </w:rPr>
            </w:pPr>
            <w:r>
              <w:rPr>
                <w:rFonts w:ascii="Arial" w:cs="Arial" w:eastAsia="Arial" w:hAnsi="Arial"/>
                <w:sz w:val="18"/>
                <w:szCs w:val="18"/>
                <w:color w:val="3B3C43"/>
              </w:rPr>
              <w:t>Maximum or above</w:t>
            </w:r>
          </w:p>
        </w:tc>
        <w:tc>
          <w:tcPr>
            <w:tcW w:w="2900" w:type="dxa"/>
            <w:vAlign w:val="bottom"/>
          </w:tcPr>
          <w:p>
            <w:pPr>
              <w:jc w:val="right"/>
              <w:ind w:right="350"/>
              <w:spacing w:after="0"/>
              <w:rPr>
                <w:sz w:val="20"/>
                <w:szCs w:val="20"/>
                <w:color w:val="auto"/>
              </w:rPr>
            </w:pPr>
            <w:r>
              <w:rPr>
                <w:rFonts w:ascii="Arial" w:cs="Arial" w:eastAsia="Arial" w:hAnsi="Arial"/>
                <w:sz w:val="18"/>
                <w:szCs w:val="18"/>
                <w:color w:val="3B3C43"/>
              </w:rPr>
              <w:t>8% or above</w:t>
            </w:r>
          </w:p>
        </w:tc>
        <w:tc>
          <w:tcPr>
            <w:tcW w:w="3440" w:type="dxa"/>
            <w:vAlign w:val="bottom"/>
          </w:tcPr>
          <w:p>
            <w:pPr>
              <w:jc w:val="right"/>
              <w:ind w:right="650"/>
              <w:spacing w:after="0"/>
              <w:rPr>
                <w:sz w:val="20"/>
                <w:szCs w:val="20"/>
                <w:color w:val="auto"/>
              </w:rPr>
            </w:pPr>
            <w:r>
              <w:rPr>
                <w:rFonts w:ascii="Arial" w:cs="Arial" w:eastAsia="Arial" w:hAnsi="Arial"/>
                <w:sz w:val="18"/>
                <w:szCs w:val="18"/>
                <w:color w:val="3B3C43"/>
              </w:rPr>
              <w:t>75th percentile or greater</w:t>
            </w:r>
          </w:p>
        </w:tc>
        <w:tc>
          <w:tcPr>
            <w:tcW w:w="2440" w:type="dxa"/>
            <w:vAlign w:val="bottom"/>
          </w:tcPr>
          <w:p>
            <w:pPr>
              <w:jc w:val="right"/>
              <w:spacing w:after="0"/>
              <w:rPr>
                <w:sz w:val="20"/>
                <w:szCs w:val="20"/>
                <w:color w:val="auto"/>
              </w:rPr>
            </w:pPr>
            <w:r>
              <w:rPr>
                <w:rFonts w:ascii="Arial" w:cs="Arial" w:eastAsia="Arial" w:hAnsi="Arial"/>
                <w:sz w:val="18"/>
                <w:szCs w:val="18"/>
                <w:color w:val="3B3C43"/>
              </w:rPr>
              <w:t>200%</w:t>
            </w:r>
          </w:p>
        </w:tc>
      </w:tr>
      <w:tr>
        <w:trPr>
          <w:trHeight w:val="41"/>
        </w:trPr>
        <w:tc>
          <w:tcPr>
            <w:tcW w:w="2440" w:type="dxa"/>
            <w:vAlign w:val="bottom"/>
            <w:tcBorders>
              <w:bottom w:val="single" w:sz="8" w:color="E1E2E0"/>
            </w:tcBorders>
          </w:tcPr>
          <w:p>
            <w:pPr>
              <w:spacing w:after="0"/>
              <w:rPr>
                <w:sz w:val="3"/>
                <w:szCs w:val="3"/>
                <w:color w:val="auto"/>
              </w:rPr>
            </w:pPr>
          </w:p>
        </w:tc>
        <w:tc>
          <w:tcPr>
            <w:tcW w:w="2900" w:type="dxa"/>
            <w:vAlign w:val="bottom"/>
            <w:tcBorders>
              <w:bottom w:val="single" w:sz="8" w:color="E1E2E0"/>
            </w:tcBorders>
          </w:tcPr>
          <w:p>
            <w:pPr>
              <w:spacing w:after="0"/>
              <w:rPr>
                <w:sz w:val="3"/>
                <w:szCs w:val="3"/>
                <w:color w:val="auto"/>
              </w:rPr>
            </w:pPr>
          </w:p>
        </w:tc>
        <w:tc>
          <w:tcPr>
            <w:tcW w:w="3440" w:type="dxa"/>
            <w:vAlign w:val="bottom"/>
            <w:tcBorders>
              <w:bottom w:val="single" w:sz="8" w:color="E1E2E0"/>
            </w:tcBorders>
          </w:tcPr>
          <w:p>
            <w:pPr>
              <w:spacing w:after="0"/>
              <w:rPr>
                <w:sz w:val="3"/>
                <w:szCs w:val="3"/>
                <w:color w:val="auto"/>
              </w:rPr>
            </w:pPr>
          </w:p>
        </w:tc>
        <w:tc>
          <w:tcPr>
            <w:tcW w:w="2440" w:type="dxa"/>
            <w:vAlign w:val="bottom"/>
            <w:tcBorders>
              <w:bottom w:val="single" w:sz="8" w:color="E1E2E0"/>
            </w:tcBorders>
          </w:tcPr>
          <w:p>
            <w:pPr>
              <w:spacing w:after="0"/>
              <w:rPr>
                <w:sz w:val="3"/>
                <w:szCs w:val="3"/>
                <w:color w:val="auto"/>
              </w:rPr>
            </w:pPr>
          </w:p>
        </w:tc>
      </w:tr>
    </w:tbl>
    <w:p>
      <w:pPr>
        <w:spacing w:after="0" w:line="207" w:lineRule="exact"/>
        <w:rPr>
          <w:sz w:val="20"/>
          <w:szCs w:val="20"/>
          <w:color w:val="auto"/>
        </w:rPr>
      </w:pPr>
    </w:p>
    <w:p>
      <w:pPr>
        <w:ind w:left="20" w:right="520"/>
        <w:spacing w:after="0" w:line="258" w:lineRule="auto"/>
        <w:rPr>
          <w:sz w:val="20"/>
          <w:szCs w:val="20"/>
          <w:color w:val="auto"/>
        </w:rPr>
      </w:pPr>
      <w:r>
        <w:rPr>
          <w:rFonts w:ascii="Arial" w:cs="Arial" w:eastAsia="Arial" w:hAnsi="Arial"/>
          <w:sz w:val="14"/>
          <w:szCs w:val="14"/>
          <w:color w:val="3B3C43"/>
        </w:rPr>
        <w:t>Note: If the Company’s absolute TSR is negative for the performance period, the payout in respect of the TSR element will be capped at target, regardless of our relative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3B3C43"/>
        </w:rPr>
        <w:t>The overall achievement for the performance element of our 2018 PSU awards was 25% based on the following:</w:t>
      </w:r>
    </w:p>
    <w:p>
      <w:pPr>
        <w:spacing w:after="0" w:line="198" w:lineRule="exact"/>
        <w:rPr>
          <w:sz w:val="20"/>
          <w:szCs w:val="20"/>
          <w:color w:val="auto"/>
        </w:rPr>
      </w:pPr>
    </w:p>
    <w:p>
      <w:pPr>
        <w:ind w:left="500" w:right="380" w:hanging="317"/>
        <w:spacing w:after="0" w:line="246" w:lineRule="auto"/>
        <w:tabs>
          <w:tab w:leader="none" w:pos="500" w:val="left"/>
        </w:tabs>
        <w:numPr>
          <w:ilvl w:val="0"/>
          <w:numId w:val="102"/>
        </w:numPr>
        <w:rPr>
          <w:rFonts w:ascii="Arial" w:cs="Arial" w:eastAsia="Arial" w:hAnsi="Arial"/>
          <w:sz w:val="18"/>
          <w:szCs w:val="18"/>
          <w:color w:val="4B1F68"/>
        </w:rPr>
      </w:pPr>
      <w:r>
        <w:rPr>
          <w:rFonts w:ascii="Arial" w:cs="Arial" w:eastAsia="Arial" w:hAnsi="Arial"/>
          <w:sz w:val="18"/>
          <w:szCs w:val="18"/>
          <w:color w:val="3B3C43"/>
        </w:rPr>
        <w:t>Three-year ROIC performance for 2018-2020 was 3.3%. This ROIC performance was below the threshold for payout based on the payout scale provided above, and therefore, the ROIC component of the 2018 PSU awards paid out at 0%.</w:t>
      </w:r>
    </w:p>
    <w:p>
      <w:pPr>
        <w:spacing w:after="0" w:line="183" w:lineRule="exact"/>
        <w:rPr>
          <w:rFonts w:ascii="Arial" w:cs="Arial" w:eastAsia="Arial" w:hAnsi="Arial"/>
          <w:sz w:val="18"/>
          <w:szCs w:val="18"/>
          <w:color w:val="4B1F68"/>
        </w:rPr>
      </w:pPr>
    </w:p>
    <w:p>
      <w:pPr>
        <w:ind w:left="500" w:right="220" w:hanging="317"/>
        <w:spacing w:after="0"/>
        <w:tabs>
          <w:tab w:leader="none" w:pos="500" w:val="left"/>
        </w:tabs>
        <w:numPr>
          <w:ilvl w:val="0"/>
          <w:numId w:val="102"/>
        </w:numPr>
        <w:rPr>
          <w:rFonts w:ascii="Arial" w:cs="Arial" w:eastAsia="Arial" w:hAnsi="Arial"/>
          <w:sz w:val="18"/>
          <w:szCs w:val="18"/>
          <w:color w:val="4B1F68"/>
        </w:rPr>
      </w:pPr>
      <w:r>
        <w:rPr>
          <w:rFonts w:ascii="Arial" w:cs="Arial" w:eastAsia="Arial" w:hAnsi="Arial"/>
          <w:sz w:val="18"/>
          <w:szCs w:val="18"/>
          <w:color w:val="3B3C43"/>
        </w:rPr>
        <w:t>Three-year relative TSR performance for the Company for 2018-2020 was -67.9%, which placed the Company at the 25th percentile relative to the 2018 Performance Peer Group. This resulted in a payout for the relative TSR measure of 50%, based on the payout scale above.</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96</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274955</wp:posOffset>
            </wp:positionV>
            <wp:extent cx="4783455" cy="2082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8345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Treatment of Outstanding Long-Term Equity Incentives at Spin-off</w:t>
      </w:r>
    </w:p>
    <w:p>
      <w:pPr>
        <w:spacing w:after="0" w:line="25"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3B3C43"/>
        </w:rPr>
        <w:t>On February 16, 2021, TechnipFMC completed its Spin-off and separated into two independent, publicly traded companies, TechnipFMC and Technip Energies.</w:t>
      </w:r>
    </w:p>
    <w:p>
      <w:pPr>
        <w:spacing w:after="0" w:line="18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3B3C43"/>
        </w:rPr>
        <w:t>Pursuant to the Spin-off, all outstanding 2018, 2019, and 2020 TechnipFMC PSU, RSU, and stock option awards for the NEOs (with the exception of Mr. Pieton who joined Technip Energies) were adjusted based on the ratio of the closing price of TechnipFMC on the NYSE on the date immediately prior to the Spin-off to the closing price of TechnipFMC on the NYSE on the date immediately after the Spin-off. The vesting dates remained the same, and the number of 2019 and 2020 PSUs were set at target performance, as measurement of performance against the set goals was not possible following the Spin-off.</w:t>
      </w:r>
    </w:p>
    <w:p>
      <w:pPr>
        <w:spacing w:after="0" w:line="189" w:lineRule="exact"/>
        <w:rPr>
          <w:sz w:val="20"/>
          <w:szCs w:val="20"/>
          <w:color w:val="auto"/>
        </w:rPr>
      </w:pPr>
    </w:p>
    <w:p>
      <w:pPr>
        <w:spacing w:after="0" w:line="249" w:lineRule="auto"/>
        <w:rPr>
          <w:sz w:val="20"/>
          <w:szCs w:val="20"/>
          <w:color w:val="auto"/>
        </w:rPr>
      </w:pPr>
      <w:r>
        <w:rPr>
          <w:rFonts w:ascii="Arial" w:cs="Arial" w:eastAsia="Arial" w:hAnsi="Arial"/>
          <w:sz w:val="16"/>
          <w:szCs w:val="16"/>
          <w:color w:val="3B3C43"/>
        </w:rPr>
        <w:t>Mr. Pieton left TechnipFMC and became the Chief Executive Officer of Technip Energies on February 16, 2021. On the Spin-off date, all of Mr. Pieton’s outstanding 2018, 2019, and 2020 TechnipFMC PSU, RSU, and stock option awards were cancelled, and he was awarded new Technip Energies RSUs and stock options based on the ratio of the closing price of TechnipFMC on the NYSE on the date immediately prior to the Spin-off (converted to Euros) to the closing price of Technip Energies on the Euronext Paris exchange on the first trading date immediately after the Spin-off. The vesting dates remained the same, and the 2019 and 2020 PSUs were cancelled and awarded as 2019 and 2020 RSUs based on target performance, as measurement of performance against the set goals was not possible following the Spin-off.</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97</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Looking Ahead - 2021 Incentive Plans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2021 Annual Cash Incentive Plan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Our 2021 annual cash incentive plan will be based on the measures outlined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3577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235775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8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Performance</w:t>
            </w:r>
          </w:p>
        </w:tc>
        <w:tc>
          <w:tcPr>
            <w:tcW w:w="1140" w:type="dxa"/>
            <w:vAlign w:val="bottom"/>
            <w:shd w:val="clear" w:color="auto" w:fill="00ADE9"/>
          </w:tcPr>
          <w:p>
            <w:pPr>
              <w:spacing w:after="0"/>
              <w:rPr>
                <w:sz w:val="21"/>
                <w:szCs w:val="21"/>
                <w:color w:val="auto"/>
              </w:rPr>
            </w:pPr>
          </w:p>
        </w:tc>
        <w:tc>
          <w:tcPr>
            <w:tcW w:w="2460" w:type="dxa"/>
            <w:vAlign w:val="bottom"/>
            <w:shd w:val="clear" w:color="auto" w:fill="00ADE9"/>
          </w:tcPr>
          <w:p>
            <w:pPr>
              <w:spacing w:after="0"/>
              <w:rPr>
                <w:sz w:val="21"/>
                <w:szCs w:val="21"/>
                <w:color w:val="auto"/>
              </w:rPr>
            </w:pPr>
          </w:p>
        </w:tc>
        <w:tc>
          <w:tcPr>
            <w:tcW w:w="6040" w:type="dxa"/>
            <w:vAlign w:val="bottom"/>
            <w:shd w:val="clear" w:color="auto" w:fill="D21D22"/>
          </w:tcPr>
          <w:p>
            <w:pPr>
              <w:spacing w:after="0"/>
              <w:rPr>
                <w:sz w:val="21"/>
                <w:szCs w:val="21"/>
                <w:color w:val="auto"/>
              </w:rPr>
            </w:pPr>
          </w:p>
        </w:tc>
      </w:tr>
      <w:tr>
        <w:trPr>
          <w:trHeight w:val="215"/>
        </w:trPr>
        <w:tc>
          <w:tcPr>
            <w:tcW w:w="158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Measure</w:t>
            </w:r>
          </w:p>
        </w:tc>
        <w:tc>
          <w:tcPr>
            <w:tcW w:w="1140" w:type="dxa"/>
            <w:vAlign w:val="bottom"/>
            <w:shd w:val="clear" w:color="auto" w:fill="00ADE9"/>
          </w:tcPr>
          <w:p>
            <w:pPr>
              <w:ind w:left="120"/>
              <w:spacing w:after="0"/>
              <w:rPr>
                <w:sz w:val="20"/>
                <w:szCs w:val="20"/>
                <w:color w:val="auto"/>
              </w:rPr>
            </w:pPr>
            <w:r>
              <w:rPr>
                <w:rFonts w:ascii="Arial" w:cs="Arial" w:eastAsia="Arial" w:hAnsi="Arial"/>
                <w:sz w:val="16"/>
                <w:szCs w:val="16"/>
                <w:b w:val="1"/>
                <w:bCs w:val="1"/>
                <w:color w:val="FFFFFF"/>
              </w:rPr>
              <w:t>Weighting</w:t>
            </w:r>
          </w:p>
        </w:tc>
        <w:tc>
          <w:tcPr>
            <w:tcW w:w="246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Definition</w:t>
            </w:r>
          </w:p>
        </w:tc>
        <w:tc>
          <w:tcPr>
            <w:tcW w:w="6040" w:type="dxa"/>
            <w:vAlign w:val="bottom"/>
            <w:shd w:val="clear" w:color="auto" w:fill="D21D22"/>
          </w:tcPr>
          <w:p>
            <w:pPr>
              <w:ind w:left="100"/>
              <w:spacing w:after="0"/>
              <w:rPr>
                <w:sz w:val="20"/>
                <w:szCs w:val="20"/>
                <w:color w:val="auto"/>
              </w:rPr>
            </w:pPr>
            <w:r>
              <w:rPr>
                <w:rFonts w:ascii="Arial" w:cs="Arial" w:eastAsia="Arial" w:hAnsi="Arial"/>
                <w:sz w:val="16"/>
                <w:szCs w:val="16"/>
                <w:b w:val="1"/>
                <w:bCs w:val="1"/>
                <w:color w:val="FFFFFF"/>
              </w:rPr>
              <w:t>Why It Matters</w:t>
            </w:r>
          </w:p>
        </w:tc>
      </w:tr>
      <w:tr>
        <w:trPr>
          <w:trHeight w:val="73"/>
        </w:trPr>
        <w:tc>
          <w:tcPr>
            <w:tcW w:w="1580" w:type="dxa"/>
            <w:vAlign w:val="bottom"/>
            <w:shd w:val="clear" w:color="auto" w:fill="4A1F67"/>
          </w:tcPr>
          <w:p>
            <w:pPr>
              <w:spacing w:after="0"/>
              <w:rPr>
                <w:sz w:val="6"/>
                <w:szCs w:val="6"/>
                <w:color w:val="auto"/>
              </w:rPr>
            </w:pPr>
          </w:p>
        </w:tc>
        <w:tc>
          <w:tcPr>
            <w:tcW w:w="1140" w:type="dxa"/>
            <w:vAlign w:val="bottom"/>
            <w:shd w:val="clear" w:color="auto" w:fill="00ADE9"/>
          </w:tcPr>
          <w:p>
            <w:pPr>
              <w:spacing w:after="0"/>
              <w:rPr>
                <w:sz w:val="6"/>
                <w:szCs w:val="6"/>
                <w:color w:val="auto"/>
              </w:rPr>
            </w:pPr>
          </w:p>
        </w:tc>
        <w:tc>
          <w:tcPr>
            <w:tcW w:w="2460" w:type="dxa"/>
            <w:vAlign w:val="bottom"/>
            <w:shd w:val="clear" w:color="auto" w:fill="00ADE9"/>
          </w:tcPr>
          <w:p>
            <w:pPr>
              <w:spacing w:after="0"/>
              <w:rPr>
                <w:sz w:val="6"/>
                <w:szCs w:val="6"/>
                <w:color w:val="auto"/>
              </w:rPr>
            </w:pPr>
          </w:p>
        </w:tc>
        <w:tc>
          <w:tcPr>
            <w:tcW w:w="6040" w:type="dxa"/>
            <w:vAlign w:val="bottom"/>
            <w:shd w:val="clear" w:color="auto" w:fill="D21D22"/>
          </w:tcPr>
          <w:p>
            <w:pPr>
              <w:spacing w:after="0"/>
              <w:rPr>
                <w:sz w:val="6"/>
                <w:szCs w:val="6"/>
                <w:color w:val="auto"/>
              </w:rPr>
            </w:pPr>
          </w:p>
        </w:tc>
      </w:tr>
      <w:tr>
        <w:trPr>
          <w:trHeight w:val="265"/>
        </w:trPr>
        <w:tc>
          <w:tcPr>
            <w:tcW w:w="15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EBITDA as a</w:t>
            </w:r>
          </w:p>
        </w:tc>
        <w:tc>
          <w:tcPr>
            <w:tcW w:w="114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25%</w:t>
            </w: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Earnings before interest, taxes,</w:t>
            </w:r>
          </w:p>
        </w:tc>
        <w:tc>
          <w:tcPr>
            <w:tcW w:w="60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Reflects the performance and sustainability of the business, leveraging cost</w:t>
            </w:r>
          </w:p>
        </w:tc>
      </w:tr>
      <w:tr>
        <w:trPr>
          <w:trHeight w:val="189"/>
        </w:trPr>
        <w:tc>
          <w:tcPr>
            <w:tcW w:w="15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Percentage of</w:t>
            </w:r>
          </w:p>
        </w:tc>
        <w:tc>
          <w:tcPr>
            <w:tcW w:w="1140" w:type="dxa"/>
            <w:vAlign w:val="bottom"/>
            <w:shd w:val="clear" w:color="auto" w:fill="E1E1DF"/>
          </w:tcPr>
          <w:p>
            <w:pPr>
              <w:spacing w:after="0"/>
              <w:rPr>
                <w:sz w:val="16"/>
                <w:szCs w:val="16"/>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depreciation, and amortization,</w:t>
            </w:r>
          </w:p>
        </w:tc>
        <w:tc>
          <w:tcPr>
            <w:tcW w:w="60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efficiencies, and driving profitability improvement</w:t>
            </w:r>
          </w:p>
        </w:tc>
      </w:tr>
      <w:tr>
        <w:trPr>
          <w:trHeight w:val="209"/>
        </w:trPr>
        <w:tc>
          <w:tcPr>
            <w:tcW w:w="15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Revenue</w:t>
            </w:r>
          </w:p>
        </w:tc>
        <w:tc>
          <w:tcPr>
            <w:tcW w:w="1140" w:type="dxa"/>
            <w:vAlign w:val="bottom"/>
            <w:shd w:val="clear" w:color="auto" w:fill="E1E1DF"/>
          </w:tcPr>
          <w:p>
            <w:pPr>
              <w:spacing w:after="0"/>
              <w:rPr>
                <w:sz w:val="18"/>
                <w:szCs w:val="18"/>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calculated as a percentage of</w:t>
            </w:r>
          </w:p>
        </w:tc>
        <w:tc>
          <w:tcPr>
            <w:tcW w:w="6040" w:type="dxa"/>
            <w:vAlign w:val="bottom"/>
            <w:shd w:val="clear" w:color="auto" w:fill="E1E1DF"/>
          </w:tcPr>
          <w:p>
            <w:pPr>
              <w:spacing w:after="0"/>
              <w:rPr>
                <w:sz w:val="18"/>
                <w:szCs w:val="18"/>
                <w:color w:val="auto"/>
              </w:rPr>
            </w:pPr>
          </w:p>
        </w:tc>
      </w:tr>
      <w:tr>
        <w:trPr>
          <w:trHeight w:val="195"/>
        </w:trPr>
        <w:tc>
          <w:tcPr>
            <w:tcW w:w="1580" w:type="dxa"/>
            <w:vAlign w:val="bottom"/>
            <w:shd w:val="clear" w:color="auto" w:fill="E1E1DF"/>
          </w:tcPr>
          <w:p>
            <w:pPr>
              <w:spacing w:after="0"/>
              <w:rPr>
                <w:sz w:val="16"/>
                <w:szCs w:val="16"/>
                <w:color w:val="auto"/>
              </w:rPr>
            </w:pPr>
          </w:p>
        </w:tc>
        <w:tc>
          <w:tcPr>
            <w:tcW w:w="1140" w:type="dxa"/>
            <w:vAlign w:val="bottom"/>
            <w:shd w:val="clear" w:color="auto" w:fill="E1E1DF"/>
          </w:tcPr>
          <w:p>
            <w:pPr>
              <w:spacing w:after="0"/>
              <w:rPr>
                <w:sz w:val="16"/>
                <w:szCs w:val="16"/>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revenue</w:t>
            </w:r>
          </w:p>
        </w:tc>
        <w:tc>
          <w:tcPr>
            <w:tcW w:w="6040" w:type="dxa"/>
            <w:vAlign w:val="bottom"/>
            <w:shd w:val="clear" w:color="auto" w:fill="E1E1DF"/>
          </w:tcPr>
          <w:p>
            <w:pPr>
              <w:spacing w:after="0"/>
              <w:rPr>
                <w:sz w:val="16"/>
                <w:szCs w:val="16"/>
                <w:color w:val="auto"/>
              </w:rPr>
            </w:pPr>
          </w:p>
        </w:tc>
      </w:tr>
      <w:tr>
        <w:trPr>
          <w:trHeight w:val="339"/>
        </w:trPr>
        <w:tc>
          <w:tcPr>
            <w:tcW w:w="15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Free Cash Flow</w:t>
            </w:r>
          </w:p>
        </w:tc>
        <w:tc>
          <w:tcPr>
            <w:tcW w:w="114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25%</w:t>
            </w: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Cash provided by operating</w:t>
            </w:r>
          </w:p>
        </w:tc>
        <w:tc>
          <w:tcPr>
            <w:tcW w:w="60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Measures our ability to generate cash as an indicator of the financial health and</w:t>
            </w:r>
          </w:p>
        </w:tc>
      </w:tr>
      <w:tr>
        <w:trPr>
          <w:trHeight w:val="209"/>
        </w:trPr>
        <w:tc>
          <w:tcPr>
            <w:tcW w:w="15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from Operations</w:t>
            </w:r>
          </w:p>
        </w:tc>
        <w:tc>
          <w:tcPr>
            <w:tcW w:w="1140" w:type="dxa"/>
            <w:vAlign w:val="bottom"/>
            <w:shd w:val="clear" w:color="auto" w:fill="E1E1DF"/>
          </w:tcPr>
          <w:p>
            <w:pPr>
              <w:spacing w:after="0"/>
              <w:rPr>
                <w:sz w:val="18"/>
                <w:szCs w:val="18"/>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activities, less capital</w:t>
            </w:r>
          </w:p>
        </w:tc>
        <w:tc>
          <w:tcPr>
            <w:tcW w:w="60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liquidity of the Company</w:t>
            </w:r>
          </w:p>
        </w:tc>
      </w:tr>
      <w:tr>
        <w:trPr>
          <w:trHeight w:val="195"/>
        </w:trPr>
        <w:tc>
          <w:tcPr>
            <w:tcW w:w="1580" w:type="dxa"/>
            <w:vAlign w:val="bottom"/>
            <w:shd w:val="clear" w:color="auto" w:fill="E1E1DF"/>
          </w:tcPr>
          <w:p>
            <w:pPr>
              <w:spacing w:after="0"/>
              <w:rPr>
                <w:sz w:val="16"/>
                <w:szCs w:val="16"/>
                <w:color w:val="auto"/>
              </w:rPr>
            </w:pPr>
          </w:p>
        </w:tc>
        <w:tc>
          <w:tcPr>
            <w:tcW w:w="1140" w:type="dxa"/>
            <w:vAlign w:val="bottom"/>
            <w:shd w:val="clear" w:color="auto" w:fill="E1E1DF"/>
          </w:tcPr>
          <w:p>
            <w:pPr>
              <w:spacing w:after="0"/>
              <w:rPr>
                <w:sz w:val="16"/>
                <w:szCs w:val="16"/>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expenditures</w:t>
            </w:r>
          </w:p>
        </w:tc>
        <w:tc>
          <w:tcPr>
            <w:tcW w:w="6040" w:type="dxa"/>
            <w:vAlign w:val="bottom"/>
            <w:shd w:val="clear" w:color="auto" w:fill="E1E1DF"/>
          </w:tcPr>
          <w:p>
            <w:pPr>
              <w:spacing w:after="0"/>
              <w:rPr>
                <w:sz w:val="16"/>
                <w:szCs w:val="16"/>
                <w:color w:val="auto"/>
              </w:rPr>
            </w:pPr>
          </w:p>
        </w:tc>
      </w:tr>
      <w:tr>
        <w:trPr>
          <w:trHeight w:val="359"/>
        </w:trPr>
        <w:tc>
          <w:tcPr>
            <w:tcW w:w="15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ESG Performance</w:t>
            </w:r>
          </w:p>
        </w:tc>
        <w:tc>
          <w:tcPr>
            <w:tcW w:w="114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25%</w:t>
            </w: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Performance relative to the</w:t>
            </w:r>
          </w:p>
        </w:tc>
        <w:tc>
          <w:tcPr>
            <w:tcW w:w="60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Directly links our compensation program to our ESG commitments and</w:t>
            </w:r>
          </w:p>
        </w:tc>
      </w:tr>
      <w:tr>
        <w:trPr>
          <w:trHeight w:val="195"/>
        </w:trPr>
        <w:tc>
          <w:tcPr>
            <w:tcW w:w="1580" w:type="dxa"/>
            <w:vAlign w:val="bottom"/>
            <w:shd w:val="clear" w:color="auto" w:fill="E1E1DF"/>
          </w:tcPr>
          <w:p>
            <w:pPr>
              <w:spacing w:after="0"/>
              <w:rPr>
                <w:sz w:val="16"/>
                <w:szCs w:val="16"/>
                <w:color w:val="auto"/>
              </w:rPr>
            </w:pPr>
          </w:p>
        </w:tc>
        <w:tc>
          <w:tcPr>
            <w:tcW w:w="1140" w:type="dxa"/>
            <w:vAlign w:val="bottom"/>
            <w:shd w:val="clear" w:color="auto" w:fill="E1E1DF"/>
          </w:tcPr>
          <w:p>
            <w:pPr>
              <w:spacing w:after="0"/>
              <w:rPr>
                <w:sz w:val="16"/>
                <w:szCs w:val="16"/>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TechnipFMC ESG Scorecard</w:t>
            </w:r>
          </w:p>
        </w:tc>
        <w:tc>
          <w:tcPr>
            <w:tcW w:w="60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objectives, including our 2021-2023 ESG scorecard</w:t>
            </w:r>
          </w:p>
        </w:tc>
      </w:tr>
      <w:tr>
        <w:trPr>
          <w:trHeight w:val="339"/>
        </w:trPr>
        <w:tc>
          <w:tcPr>
            <w:tcW w:w="15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Individual API</w:t>
            </w:r>
          </w:p>
        </w:tc>
        <w:tc>
          <w:tcPr>
            <w:tcW w:w="114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25%</w:t>
            </w: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Performance relative to</w:t>
            </w:r>
          </w:p>
        </w:tc>
        <w:tc>
          <w:tcPr>
            <w:tcW w:w="60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Objectives are set at “stretch” levels and are focused on key strategic projects</w:t>
            </w:r>
          </w:p>
        </w:tc>
      </w:tr>
      <w:tr>
        <w:trPr>
          <w:trHeight w:val="209"/>
        </w:trPr>
        <w:tc>
          <w:tcPr>
            <w:tcW w:w="15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Metrics</w:t>
            </w:r>
          </w:p>
        </w:tc>
        <w:tc>
          <w:tcPr>
            <w:tcW w:w="1140" w:type="dxa"/>
            <w:vAlign w:val="bottom"/>
            <w:shd w:val="clear" w:color="auto" w:fill="E1E1DF"/>
          </w:tcPr>
          <w:p>
            <w:pPr>
              <w:spacing w:after="0"/>
              <w:rPr>
                <w:sz w:val="18"/>
                <w:szCs w:val="18"/>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individual performance goals</w:t>
            </w:r>
          </w:p>
        </w:tc>
        <w:tc>
          <w:tcPr>
            <w:tcW w:w="60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and objectives, as well as selfdevelopment goals</w:t>
            </w:r>
          </w:p>
        </w:tc>
      </w:tr>
      <w:tr>
        <w:trPr>
          <w:trHeight w:val="189"/>
        </w:trPr>
        <w:tc>
          <w:tcPr>
            <w:tcW w:w="1580" w:type="dxa"/>
            <w:vAlign w:val="bottom"/>
            <w:shd w:val="clear" w:color="auto" w:fill="E1E1DF"/>
          </w:tcPr>
          <w:p>
            <w:pPr>
              <w:spacing w:after="0"/>
              <w:rPr>
                <w:sz w:val="16"/>
                <w:szCs w:val="16"/>
                <w:color w:val="auto"/>
              </w:rPr>
            </w:pPr>
          </w:p>
        </w:tc>
        <w:tc>
          <w:tcPr>
            <w:tcW w:w="1140" w:type="dxa"/>
            <w:vAlign w:val="bottom"/>
            <w:shd w:val="clear" w:color="auto" w:fill="E1E1DF"/>
          </w:tcPr>
          <w:p>
            <w:pPr>
              <w:spacing w:after="0"/>
              <w:rPr>
                <w:sz w:val="16"/>
                <w:szCs w:val="16"/>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established at the beginning of</w:t>
            </w:r>
          </w:p>
        </w:tc>
        <w:tc>
          <w:tcPr>
            <w:tcW w:w="6040" w:type="dxa"/>
            <w:vAlign w:val="bottom"/>
            <w:shd w:val="clear" w:color="auto" w:fill="E1E1DF"/>
          </w:tcPr>
          <w:p>
            <w:pPr>
              <w:spacing w:after="0"/>
              <w:rPr>
                <w:sz w:val="16"/>
                <w:szCs w:val="16"/>
                <w:color w:val="auto"/>
              </w:rPr>
            </w:pPr>
          </w:p>
        </w:tc>
      </w:tr>
      <w:tr>
        <w:trPr>
          <w:trHeight w:val="195"/>
        </w:trPr>
        <w:tc>
          <w:tcPr>
            <w:tcW w:w="1580" w:type="dxa"/>
            <w:vAlign w:val="bottom"/>
            <w:shd w:val="clear" w:color="auto" w:fill="E1E1DF"/>
          </w:tcPr>
          <w:p>
            <w:pPr>
              <w:spacing w:after="0"/>
              <w:rPr>
                <w:sz w:val="16"/>
                <w:szCs w:val="16"/>
                <w:color w:val="auto"/>
              </w:rPr>
            </w:pPr>
          </w:p>
        </w:tc>
        <w:tc>
          <w:tcPr>
            <w:tcW w:w="1140" w:type="dxa"/>
            <w:vAlign w:val="bottom"/>
            <w:shd w:val="clear" w:color="auto" w:fill="E1E1DF"/>
          </w:tcPr>
          <w:p>
            <w:pPr>
              <w:spacing w:after="0"/>
              <w:rPr>
                <w:sz w:val="16"/>
                <w:szCs w:val="16"/>
                <w:color w:val="auto"/>
              </w:rPr>
            </w:pPr>
          </w:p>
        </w:tc>
        <w:tc>
          <w:tcPr>
            <w:tcW w:w="246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the year</w:t>
            </w:r>
          </w:p>
        </w:tc>
        <w:tc>
          <w:tcPr>
            <w:tcW w:w="6040" w:type="dxa"/>
            <w:vAlign w:val="bottom"/>
            <w:shd w:val="clear" w:color="auto" w:fill="E1E1DF"/>
          </w:tcPr>
          <w:p>
            <w:pPr>
              <w:spacing w:after="0"/>
              <w:rPr>
                <w:sz w:val="16"/>
                <w:szCs w:val="16"/>
                <w:color w:val="auto"/>
              </w:rPr>
            </w:pPr>
          </w:p>
        </w:tc>
      </w:tr>
      <w:tr>
        <w:trPr>
          <w:trHeight w:val="73"/>
        </w:trPr>
        <w:tc>
          <w:tcPr>
            <w:tcW w:w="1580" w:type="dxa"/>
            <w:vAlign w:val="bottom"/>
            <w:shd w:val="clear" w:color="auto" w:fill="E1E1DF"/>
          </w:tcPr>
          <w:p>
            <w:pPr>
              <w:spacing w:after="0"/>
              <w:rPr>
                <w:sz w:val="6"/>
                <w:szCs w:val="6"/>
                <w:color w:val="auto"/>
              </w:rPr>
            </w:pPr>
          </w:p>
        </w:tc>
        <w:tc>
          <w:tcPr>
            <w:tcW w:w="1140" w:type="dxa"/>
            <w:vAlign w:val="bottom"/>
            <w:shd w:val="clear" w:color="auto" w:fill="E1E1DF"/>
          </w:tcPr>
          <w:p>
            <w:pPr>
              <w:spacing w:after="0"/>
              <w:rPr>
                <w:sz w:val="6"/>
                <w:szCs w:val="6"/>
                <w:color w:val="auto"/>
              </w:rPr>
            </w:pPr>
          </w:p>
        </w:tc>
        <w:tc>
          <w:tcPr>
            <w:tcW w:w="2460" w:type="dxa"/>
            <w:vAlign w:val="bottom"/>
            <w:shd w:val="clear" w:color="auto" w:fill="E1E1DF"/>
          </w:tcPr>
          <w:p>
            <w:pPr>
              <w:spacing w:after="0"/>
              <w:rPr>
                <w:sz w:val="6"/>
                <w:szCs w:val="6"/>
                <w:color w:val="auto"/>
              </w:rPr>
            </w:pPr>
          </w:p>
        </w:tc>
        <w:tc>
          <w:tcPr>
            <w:tcW w:w="6040" w:type="dxa"/>
            <w:vAlign w:val="bottom"/>
            <w:shd w:val="clear" w:color="auto" w:fill="E1E1DF"/>
          </w:tcPr>
          <w:p>
            <w:pPr>
              <w:spacing w:after="0"/>
              <w:rPr>
                <w:sz w:val="6"/>
                <w:szCs w:val="6"/>
                <w:color w:val="auto"/>
              </w:rPr>
            </w:pPr>
          </w:p>
        </w:tc>
      </w:tr>
    </w:tbl>
    <w:p>
      <w:pPr>
        <w:spacing w:after="0" w:line="25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B3C43"/>
        </w:rPr>
        <w:t>In 2020, we provided a comprehensive overview of our ESG efforts to our investors, including new initiatives to be realized through 2023 and a commitment to deliver a 50 percent reduction in Scope 1 and 2 equivalent GHG emissions by 2030. In order to directly link our compensation program to our ESG commitments and objectives, we will include an ESG measure in our 2021 annual cash incentive plan at 25% weighting.</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6"/>
          <w:szCs w:val="16"/>
          <w:color w:val="3B3C43"/>
        </w:rPr>
        <w:t>Performance for this measure will be based on a scorecard that measures our performance against our 2021-2023 ESG objectives. These objectives include the following:</w:t>
      </w:r>
    </w:p>
    <w:p>
      <w:pPr>
        <w:spacing w:after="0" w:line="168" w:lineRule="exact"/>
        <w:rPr>
          <w:sz w:val="20"/>
          <w:szCs w:val="20"/>
          <w:color w:val="auto"/>
        </w:rPr>
      </w:pPr>
    </w:p>
    <w:p>
      <w:pPr>
        <w:ind w:left="500" w:right="160" w:hanging="317"/>
        <w:spacing w:after="0" w:line="260" w:lineRule="auto"/>
        <w:tabs>
          <w:tab w:leader="none" w:pos="500" w:val="left"/>
        </w:tabs>
        <w:numPr>
          <w:ilvl w:val="0"/>
          <w:numId w:val="103"/>
        </w:numPr>
        <w:rPr>
          <w:rFonts w:ascii="Arial" w:cs="Arial" w:eastAsia="Arial" w:hAnsi="Arial"/>
          <w:sz w:val="16"/>
          <w:szCs w:val="16"/>
          <w:color w:val="4B1F68"/>
        </w:rPr>
      </w:pPr>
      <w:r>
        <w:rPr>
          <w:rFonts w:ascii="Arial" w:cs="Arial" w:eastAsia="Arial" w:hAnsi="Arial"/>
          <w:sz w:val="16"/>
          <w:szCs w:val="16"/>
          <w:color w:val="3B3C43"/>
        </w:rPr>
        <w:t>Environmental - our carbon footprint (including scope 3 reduction target and carbon intensity reduction target), our clients’ carbon footprint, recycled and reused waste targets</w:t>
      </w:r>
    </w:p>
    <w:p>
      <w:pPr>
        <w:spacing w:after="0" w:line="168" w:lineRule="exact"/>
        <w:rPr>
          <w:rFonts w:ascii="Arial" w:cs="Arial" w:eastAsia="Arial" w:hAnsi="Arial"/>
          <w:sz w:val="16"/>
          <w:szCs w:val="16"/>
          <w:color w:val="4B1F68"/>
        </w:rPr>
      </w:pPr>
    </w:p>
    <w:p>
      <w:pPr>
        <w:ind w:left="500" w:hanging="317"/>
        <w:spacing w:after="0"/>
        <w:tabs>
          <w:tab w:leader="none" w:pos="500" w:val="left"/>
        </w:tabs>
        <w:numPr>
          <w:ilvl w:val="0"/>
          <w:numId w:val="103"/>
        </w:numPr>
        <w:rPr>
          <w:rFonts w:ascii="Arial" w:cs="Arial" w:eastAsia="Arial" w:hAnsi="Arial"/>
          <w:sz w:val="16"/>
          <w:szCs w:val="16"/>
          <w:color w:val="4B1F68"/>
        </w:rPr>
      </w:pPr>
      <w:r>
        <w:rPr>
          <w:rFonts w:ascii="Arial" w:cs="Arial" w:eastAsia="Arial" w:hAnsi="Arial"/>
          <w:sz w:val="16"/>
          <w:szCs w:val="16"/>
          <w:color w:val="3B3C43"/>
        </w:rPr>
        <w:t>Social - fair representation by gender and nationality, awareness and culture, inclusive leadership training and community/STEM initiatives</w:t>
      </w:r>
    </w:p>
    <w:p>
      <w:pPr>
        <w:spacing w:after="0" w:line="194" w:lineRule="exact"/>
        <w:rPr>
          <w:rFonts w:ascii="Arial" w:cs="Arial" w:eastAsia="Arial" w:hAnsi="Arial"/>
          <w:sz w:val="16"/>
          <w:szCs w:val="16"/>
          <w:color w:val="4B1F68"/>
        </w:rPr>
      </w:pPr>
    </w:p>
    <w:p>
      <w:pPr>
        <w:ind w:left="500" w:hanging="317"/>
        <w:spacing w:after="0"/>
        <w:tabs>
          <w:tab w:leader="none" w:pos="500" w:val="left"/>
        </w:tabs>
        <w:numPr>
          <w:ilvl w:val="0"/>
          <w:numId w:val="103"/>
        </w:numPr>
        <w:rPr>
          <w:rFonts w:ascii="Arial" w:cs="Arial" w:eastAsia="Arial" w:hAnsi="Arial"/>
          <w:sz w:val="16"/>
          <w:szCs w:val="16"/>
          <w:color w:val="4B1F68"/>
        </w:rPr>
      </w:pPr>
      <w:r>
        <w:rPr>
          <w:rFonts w:ascii="Arial" w:cs="Arial" w:eastAsia="Arial" w:hAnsi="Arial"/>
          <w:sz w:val="16"/>
          <w:szCs w:val="16"/>
          <w:color w:val="3B3C43"/>
        </w:rPr>
        <w:t>Governance - HSE leadership, human rights due diligence, and ethics and compliance training</w:t>
      </w:r>
    </w:p>
    <w:p>
      <w:pPr>
        <w:spacing w:after="0" w:line="19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3B3C43"/>
        </w:rPr>
        <w:t>We will continue to include EBITDA as a Percentage of Revenue and Free Cash Flow from Operations as measures in the annual cash incentive plan, with an objective to increase our operating profitability, leverage cost efficiencies, maintain the financial health and liquidity of the Company, and drive shareholder value creation.</w:t>
      </w:r>
    </w:p>
    <w:p>
      <w:pPr>
        <w:spacing w:after="0" w:line="174"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3B3C43"/>
        </w:rPr>
        <w:t>We will continue to use individual API metrics in order to incentivize executives to focus on key strategic projects and objectives, as well as personal development goals.</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98</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2021 Long-Term Equity Incentive Plan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Our 2021 Long-Term Equity grant will be based on the measures outlined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347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3479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58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Long-Term Equity</w:t>
            </w:r>
          </w:p>
        </w:tc>
        <w:tc>
          <w:tcPr>
            <w:tcW w:w="1220" w:type="dxa"/>
            <w:vAlign w:val="bottom"/>
            <w:shd w:val="clear" w:color="auto" w:fill="00ADE9"/>
          </w:tcPr>
          <w:p>
            <w:pPr>
              <w:ind w:left="120"/>
              <w:spacing w:after="0"/>
              <w:rPr>
                <w:sz w:val="20"/>
                <w:szCs w:val="20"/>
                <w:color w:val="auto"/>
              </w:rPr>
            </w:pPr>
            <w:r>
              <w:rPr>
                <w:rFonts w:ascii="Arial" w:cs="Arial" w:eastAsia="Arial" w:hAnsi="Arial"/>
                <w:sz w:val="16"/>
                <w:szCs w:val="16"/>
                <w:b w:val="1"/>
                <w:bCs w:val="1"/>
                <w:color w:val="FFFFFF"/>
              </w:rPr>
              <w:t>Weighting</w:t>
            </w:r>
          </w:p>
        </w:tc>
        <w:tc>
          <w:tcPr>
            <w:tcW w:w="1460" w:type="dxa"/>
            <w:vAlign w:val="bottom"/>
            <w:shd w:val="clear" w:color="auto" w:fill="00ADE9"/>
          </w:tcPr>
          <w:p>
            <w:pPr>
              <w:ind w:left="240"/>
              <w:spacing w:after="0"/>
              <w:rPr>
                <w:sz w:val="20"/>
                <w:szCs w:val="20"/>
                <w:color w:val="auto"/>
              </w:rPr>
            </w:pPr>
            <w:r>
              <w:rPr>
                <w:rFonts w:ascii="Arial" w:cs="Arial" w:eastAsia="Arial" w:hAnsi="Arial"/>
                <w:sz w:val="16"/>
                <w:szCs w:val="16"/>
                <w:b w:val="1"/>
                <w:bCs w:val="1"/>
                <w:color w:val="FFFFFF"/>
              </w:rPr>
              <w:t>Vesting</w:t>
            </w:r>
          </w:p>
        </w:tc>
        <w:tc>
          <w:tcPr>
            <w:tcW w:w="2500" w:type="dxa"/>
            <w:vAlign w:val="bottom"/>
            <w:shd w:val="clear" w:color="auto" w:fill="00ADE9"/>
          </w:tcPr>
          <w:p>
            <w:pPr>
              <w:ind w:left="140"/>
              <w:spacing w:after="0"/>
              <w:rPr>
                <w:sz w:val="20"/>
                <w:szCs w:val="20"/>
                <w:color w:val="auto"/>
              </w:rPr>
            </w:pPr>
            <w:r>
              <w:rPr>
                <w:rFonts w:ascii="Arial" w:cs="Arial" w:eastAsia="Arial" w:hAnsi="Arial"/>
                <w:sz w:val="16"/>
                <w:szCs w:val="16"/>
                <w:b w:val="1"/>
                <w:bCs w:val="1"/>
                <w:color w:val="FFFFFF"/>
              </w:rPr>
              <w:t>Performance Measure</w:t>
            </w:r>
          </w:p>
        </w:tc>
        <w:tc>
          <w:tcPr>
            <w:tcW w:w="4480" w:type="dxa"/>
            <w:vAlign w:val="bottom"/>
            <w:shd w:val="clear" w:color="auto" w:fill="D21D22"/>
          </w:tcPr>
          <w:p>
            <w:pPr>
              <w:ind w:left="100"/>
              <w:spacing w:after="0"/>
              <w:rPr>
                <w:sz w:val="20"/>
                <w:szCs w:val="20"/>
                <w:color w:val="auto"/>
              </w:rPr>
            </w:pPr>
            <w:r>
              <w:rPr>
                <w:rFonts w:ascii="Arial" w:cs="Arial" w:eastAsia="Arial" w:hAnsi="Arial"/>
                <w:sz w:val="16"/>
                <w:szCs w:val="16"/>
                <w:b w:val="1"/>
                <w:bCs w:val="1"/>
                <w:color w:val="FFFFFF"/>
              </w:rPr>
              <w:t>Why It Matters</w:t>
            </w:r>
          </w:p>
        </w:tc>
        <w:tc>
          <w:tcPr>
            <w:tcW w:w="0" w:type="dxa"/>
            <w:vAlign w:val="bottom"/>
          </w:tcPr>
          <w:p>
            <w:pPr>
              <w:spacing w:after="0"/>
              <w:rPr>
                <w:sz w:val="1"/>
                <w:szCs w:val="1"/>
                <w:color w:val="auto"/>
              </w:rPr>
            </w:pPr>
          </w:p>
        </w:tc>
      </w:tr>
      <w:tr>
        <w:trPr>
          <w:trHeight w:val="73"/>
        </w:trPr>
        <w:tc>
          <w:tcPr>
            <w:tcW w:w="1580" w:type="dxa"/>
            <w:vAlign w:val="bottom"/>
            <w:shd w:val="clear" w:color="auto" w:fill="4A1F67"/>
          </w:tcPr>
          <w:p>
            <w:pPr>
              <w:spacing w:after="0"/>
              <w:rPr>
                <w:sz w:val="6"/>
                <w:szCs w:val="6"/>
                <w:color w:val="auto"/>
              </w:rPr>
            </w:pPr>
          </w:p>
        </w:tc>
        <w:tc>
          <w:tcPr>
            <w:tcW w:w="1220" w:type="dxa"/>
            <w:vAlign w:val="bottom"/>
            <w:shd w:val="clear" w:color="auto" w:fill="00ADE9"/>
          </w:tcPr>
          <w:p>
            <w:pPr>
              <w:spacing w:after="0"/>
              <w:rPr>
                <w:sz w:val="6"/>
                <w:szCs w:val="6"/>
                <w:color w:val="auto"/>
              </w:rPr>
            </w:pPr>
          </w:p>
        </w:tc>
        <w:tc>
          <w:tcPr>
            <w:tcW w:w="1460" w:type="dxa"/>
            <w:vAlign w:val="bottom"/>
            <w:shd w:val="clear" w:color="auto" w:fill="00ADE9"/>
          </w:tcPr>
          <w:p>
            <w:pPr>
              <w:spacing w:after="0"/>
              <w:rPr>
                <w:sz w:val="6"/>
                <w:szCs w:val="6"/>
                <w:color w:val="auto"/>
              </w:rPr>
            </w:pPr>
          </w:p>
        </w:tc>
        <w:tc>
          <w:tcPr>
            <w:tcW w:w="2500" w:type="dxa"/>
            <w:vAlign w:val="bottom"/>
            <w:shd w:val="clear" w:color="auto" w:fill="00ADE9"/>
          </w:tcPr>
          <w:p>
            <w:pPr>
              <w:spacing w:after="0"/>
              <w:rPr>
                <w:sz w:val="6"/>
                <w:szCs w:val="6"/>
                <w:color w:val="auto"/>
              </w:rPr>
            </w:pPr>
          </w:p>
        </w:tc>
        <w:tc>
          <w:tcPr>
            <w:tcW w:w="4480" w:type="dxa"/>
            <w:vAlign w:val="bottom"/>
            <w:shd w:val="clear" w:color="auto" w:fill="D21D22"/>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5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Performance</w:t>
            </w:r>
          </w:p>
        </w:tc>
        <w:tc>
          <w:tcPr>
            <w:tcW w:w="12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70% of total</w:t>
            </w:r>
          </w:p>
        </w:tc>
        <w:tc>
          <w:tcPr>
            <w:tcW w:w="1460" w:type="dxa"/>
            <w:vAlign w:val="bottom"/>
            <w:shd w:val="clear" w:color="auto" w:fill="E1E1DF"/>
          </w:tcPr>
          <w:p>
            <w:pPr>
              <w:ind w:left="240"/>
              <w:spacing w:after="0"/>
              <w:rPr>
                <w:sz w:val="20"/>
                <w:szCs w:val="20"/>
                <w:color w:val="auto"/>
              </w:rPr>
            </w:pPr>
            <w:r>
              <w:rPr>
                <w:rFonts w:ascii="Arial" w:cs="Arial" w:eastAsia="Arial" w:hAnsi="Arial"/>
                <w:sz w:val="16"/>
                <w:szCs w:val="16"/>
                <w:color w:val="3B3C43"/>
              </w:rPr>
              <w:t>Three-year cliff</w:t>
            </w:r>
          </w:p>
        </w:tc>
        <w:tc>
          <w:tcPr>
            <w:tcW w:w="2500" w:type="dxa"/>
            <w:vAlign w:val="bottom"/>
            <w:shd w:val="clear" w:color="auto" w:fill="E1E1DF"/>
          </w:tcPr>
          <w:p>
            <w:pPr>
              <w:ind w:left="140"/>
              <w:spacing w:after="0"/>
              <w:rPr>
                <w:sz w:val="20"/>
                <w:szCs w:val="20"/>
                <w:color w:val="auto"/>
              </w:rPr>
            </w:pPr>
            <w:r>
              <w:rPr>
                <w:rFonts w:ascii="Arial" w:cs="Arial" w:eastAsia="Arial" w:hAnsi="Arial"/>
                <w:sz w:val="16"/>
                <w:szCs w:val="16"/>
                <w:color w:val="3B3C43"/>
              </w:rPr>
              <w:t>Relative TSR: Cumulative</w:t>
            </w:r>
          </w:p>
        </w:tc>
        <w:tc>
          <w:tcPr>
            <w:tcW w:w="448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Assesses our overall performance in the eyes of our</w:t>
            </w:r>
          </w:p>
        </w:tc>
        <w:tc>
          <w:tcPr>
            <w:tcW w:w="0" w:type="dxa"/>
            <w:vAlign w:val="bottom"/>
          </w:tcPr>
          <w:p>
            <w:pPr>
              <w:spacing w:after="0"/>
              <w:rPr>
                <w:sz w:val="1"/>
                <w:szCs w:val="1"/>
                <w:color w:val="auto"/>
              </w:rPr>
            </w:pPr>
          </w:p>
        </w:tc>
      </w:tr>
      <w:tr>
        <w:trPr>
          <w:trHeight w:val="114"/>
        </w:trPr>
        <w:tc>
          <w:tcPr>
            <w:tcW w:w="1580" w:type="dxa"/>
            <w:vAlign w:val="bottom"/>
            <w:vMerge w:val="restart"/>
            <w:shd w:val="clear" w:color="auto" w:fill="E1E1DF"/>
          </w:tcPr>
          <w:p>
            <w:pPr>
              <w:ind w:left="100"/>
              <w:spacing w:after="0"/>
              <w:rPr>
                <w:sz w:val="20"/>
                <w:szCs w:val="20"/>
                <w:color w:val="auto"/>
              </w:rPr>
            </w:pPr>
            <w:r>
              <w:rPr>
                <w:rFonts w:ascii="Arial" w:cs="Arial" w:eastAsia="Arial" w:hAnsi="Arial"/>
                <w:sz w:val="16"/>
                <w:szCs w:val="16"/>
                <w:b w:val="1"/>
                <w:bCs w:val="1"/>
                <w:color w:val="3B3C43"/>
              </w:rPr>
              <w:t>Stock Units</w:t>
            </w:r>
          </w:p>
        </w:tc>
        <w:tc>
          <w:tcPr>
            <w:tcW w:w="1220" w:type="dxa"/>
            <w:vAlign w:val="bottom"/>
            <w:vMerge w:val="restart"/>
            <w:shd w:val="clear" w:color="auto" w:fill="E1E1DF"/>
          </w:tcPr>
          <w:p>
            <w:pPr>
              <w:ind w:left="120"/>
              <w:spacing w:after="0"/>
              <w:rPr>
                <w:sz w:val="20"/>
                <w:szCs w:val="20"/>
                <w:color w:val="auto"/>
              </w:rPr>
            </w:pPr>
            <w:r>
              <w:rPr>
                <w:rFonts w:ascii="Arial" w:cs="Arial" w:eastAsia="Arial" w:hAnsi="Arial"/>
                <w:sz w:val="16"/>
                <w:szCs w:val="16"/>
                <w:color w:val="3B3C43"/>
              </w:rPr>
              <w:t>long-term</w:t>
            </w:r>
          </w:p>
        </w:tc>
        <w:tc>
          <w:tcPr>
            <w:tcW w:w="1460" w:type="dxa"/>
            <w:vAlign w:val="bottom"/>
            <w:vMerge w:val="restart"/>
            <w:shd w:val="clear" w:color="auto" w:fill="E1E1DF"/>
          </w:tcPr>
          <w:p>
            <w:pPr>
              <w:ind w:left="240"/>
              <w:spacing w:after="0"/>
              <w:rPr>
                <w:sz w:val="20"/>
                <w:szCs w:val="20"/>
                <w:color w:val="auto"/>
              </w:rPr>
            </w:pPr>
            <w:r>
              <w:rPr>
                <w:rFonts w:ascii="Arial" w:cs="Arial" w:eastAsia="Arial" w:hAnsi="Arial"/>
                <w:sz w:val="16"/>
                <w:szCs w:val="16"/>
                <w:color w:val="3B3C43"/>
              </w:rPr>
              <w:t>vesting</w:t>
            </w:r>
          </w:p>
        </w:tc>
        <w:tc>
          <w:tcPr>
            <w:tcW w:w="2500" w:type="dxa"/>
            <w:vAlign w:val="bottom"/>
            <w:vMerge w:val="restart"/>
            <w:shd w:val="clear" w:color="auto" w:fill="E1E1DF"/>
          </w:tcPr>
          <w:p>
            <w:pPr>
              <w:ind w:left="140"/>
              <w:spacing w:after="0"/>
              <w:rPr>
                <w:sz w:val="20"/>
                <w:szCs w:val="20"/>
                <w:color w:val="auto"/>
              </w:rPr>
            </w:pPr>
            <w:r>
              <w:rPr>
                <w:rFonts w:ascii="Arial" w:cs="Arial" w:eastAsia="Arial" w:hAnsi="Arial"/>
                <w:sz w:val="16"/>
                <w:szCs w:val="16"/>
                <w:color w:val="3B3C43"/>
              </w:rPr>
              <w:t>three- year increase in volume-</w:t>
            </w:r>
          </w:p>
        </w:tc>
        <w:tc>
          <w:tcPr>
            <w:tcW w:w="4480" w:type="dxa"/>
            <w:vAlign w:val="bottom"/>
            <w:vMerge w:val="continue"/>
            <w:shd w:val="clear" w:color="auto" w:fill="E1E1D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580" w:type="dxa"/>
            <w:vAlign w:val="bottom"/>
            <w:vMerge w:val="continue"/>
            <w:shd w:val="clear" w:color="auto" w:fill="E1E1DF"/>
          </w:tcPr>
          <w:p>
            <w:pPr>
              <w:spacing w:after="0"/>
              <w:rPr>
                <w:sz w:val="8"/>
                <w:szCs w:val="8"/>
                <w:color w:val="auto"/>
              </w:rPr>
            </w:pPr>
          </w:p>
        </w:tc>
        <w:tc>
          <w:tcPr>
            <w:tcW w:w="1220" w:type="dxa"/>
            <w:vAlign w:val="bottom"/>
            <w:vMerge w:val="continue"/>
            <w:shd w:val="clear" w:color="auto" w:fill="E1E1DF"/>
          </w:tcPr>
          <w:p>
            <w:pPr>
              <w:spacing w:after="0"/>
              <w:rPr>
                <w:sz w:val="8"/>
                <w:szCs w:val="8"/>
                <w:color w:val="auto"/>
              </w:rPr>
            </w:pPr>
          </w:p>
        </w:tc>
        <w:tc>
          <w:tcPr>
            <w:tcW w:w="1460" w:type="dxa"/>
            <w:vAlign w:val="bottom"/>
            <w:vMerge w:val="continue"/>
            <w:shd w:val="clear" w:color="auto" w:fill="E1E1DF"/>
          </w:tcPr>
          <w:p>
            <w:pPr>
              <w:spacing w:after="0"/>
              <w:rPr>
                <w:sz w:val="8"/>
                <w:szCs w:val="8"/>
                <w:color w:val="auto"/>
              </w:rPr>
            </w:pPr>
          </w:p>
        </w:tc>
        <w:tc>
          <w:tcPr>
            <w:tcW w:w="2500" w:type="dxa"/>
            <w:vAlign w:val="bottom"/>
            <w:vMerge w:val="continue"/>
            <w:shd w:val="clear" w:color="auto" w:fill="E1E1DF"/>
          </w:tcPr>
          <w:p>
            <w:pPr>
              <w:spacing w:after="0"/>
              <w:rPr>
                <w:sz w:val="8"/>
                <w:szCs w:val="8"/>
                <w:color w:val="auto"/>
              </w:rPr>
            </w:pPr>
          </w:p>
        </w:tc>
        <w:tc>
          <w:tcPr>
            <w:tcW w:w="448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shareholders and the broader stock market, relative to</w:t>
            </w:r>
          </w:p>
        </w:tc>
        <w:tc>
          <w:tcPr>
            <w:tcW w:w="0" w:type="dxa"/>
            <w:vAlign w:val="bottom"/>
          </w:tcPr>
          <w:p>
            <w:pPr>
              <w:spacing w:after="0"/>
              <w:rPr>
                <w:sz w:val="1"/>
                <w:szCs w:val="1"/>
                <w:color w:val="auto"/>
              </w:rPr>
            </w:pPr>
          </w:p>
        </w:tc>
      </w:tr>
      <w:tr>
        <w:trPr>
          <w:trHeight w:val="95"/>
        </w:trPr>
        <w:tc>
          <w:tcPr>
            <w:tcW w:w="1580" w:type="dxa"/>
            <w:vAlign w:val="bottom"/>
            <w:shd w:val="clear" w:color="auto" w:fill="E1E1DF"/>
          </w:tcPr>
          <w:p>
            <w:pPr>
              <w:spacing w:after="0"/>
              <w:rPr>
                <w:sz w:val="8"/>
                <w:szCs w:val="8"/>
                <w:color w:val="auto"/>
              </w:rPr>
            </w:pPr>
          </w:p>
        </w:tc>
        <w:tc>
          <w:tcPr>
            <w:tcW w:w="1220" w:type="dxa"/>
            <w:vAlign w:val="bottom"/>
            <w:vMerge w:val="restart"/>
            <w:shd w:val="clear" w:color="auto" w:fill="E1E1DF"/>
          </w:tcPr>
          <w:p>
            <w:pPr>
              <w:ind w:left="120"/>
              <w:spacing w:after="0"/>
              <w:rPr>
                <w:sz w:val="20"/>
                <w:szCs w:val="20"/>
                <w:color w:val="auto"/>
              </w:rPr>
            </w:pPr>
            <w:r>
              <w:rPr>
                <w:rFonts w:ascii="Arial" w:cs="Arial" w:eastAsia="Arial" w:hAnsi="Arial"/>
                <w:sz w:val="16"/>
                <w:szCs w:val="16"/>
                <w:color w:val="3B3C43"/>
              </w:rPr>
              <w:t>equity</w:t>
            </w:r>
          </w:p>
        </w:tc>
        <w:tc>
          <w:tcPr>
            <w:tcW w:w="1460" w:type="dxa"/>
            <w:vAlign w:val="bottom"/>
            <w:shd w:val="clear" w:color="auto" w:fill="E1E1DF"/>
          </w:tcPr>
          <w:p>
            <w:pPr>
              <w:spacing w:after="0"/>
              <w:rPr>
                <w:sz w:val="8"/>
                <w:szCs w:val="8"/>
                <w:color w:val="auto"/>
              </w:rPr>
            </w:pPr>
          </w:p>
        </w:tc>
        <w:tc>
          <w:tcPr>
            <w:tcW w:w="2500" w:type="dxa"/>
            <w:vAlign w:val="bottom"/>
            <w:vMerge w:val="restart"/>
            <w:shd w:val="clear" w:color="auto" w:fill="E1E1DF"/>
          </w:tcPr>
          <w:p>
            <w:pPr>
              <w:ind w:left="140"/>
              <w:spacing w:after="0"/>
              <w:rPr>
                <w:sz w:val="20"/>
                <w:szCs w:val="20"/>
                <w:color w:val="auto"/>
              </w:rPr>
            </w:pPr>
            <w:r>
              <w:rPr>
                <w:rFonts w:ascii="Arial" w:cs="Arial" w:eastAsia="Arial" w:hAnsi="Arial"/>
                <w:sz w:val="16"/>
                <w:szCs w:val="16"/>
                <w:color w:val="3B3C43"/>
              </w:rPr>
              <w:t>weighted average price and</w:t>
            </w:r>
          </w:p>
        </w:tc>
        <w:tc>
          <w:tcPr>
            <w:tcW w:w="4480" w:type="dxa"/>
            <w:vAlign w:val="bottom"/>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80" w:type="dxa"/>
            <w:vAlign w:val="bottom"/>
            <w:shd w:val="clear" w:color="auto" w:fill="E1E1DF"/>
          </w:tcPr>
          <w:p>
            <w:pPr>
              <w:spacing w:after="0"/>
              <w:rPr>
                <w:sz w:val="8"/>
                <w:szCs w:val="8"/>
                <w:color w:val="auto"/>
              </w:rPr>
            </w:pPr>
          </w:p>
        </w:tc>
        <w:tc>
          <w:tcPr>
            <w:tcW w:w="1220" w:type="dxa"/>
            <w:vAlign w:val="bottom"/>
            <w:vMerge w:val="continue"/>
            <w:shd w:val="clear" w:color="auto" w:fill="E1E1DF"/>
          </w:tcPr>
          <w:p>
            <w:pPr>
              <w:spacing w:after="0"/>
              <w:rPr>
                <w:sz w:val="8"/>
                <w:szCs w:val="8"/>
                <w:color w:val="auto"/>
              </w:rPr>
            </w:pPr>
          </w:p>
        </w:tc>
        <w:tc>
          <w:tcPr>
            <w:tcW w:w="1460" w:type="dxa"/>
            <w:vAlign w:val="bottom"/>
            <w:shd w:val="clear" w:color="auto" w:fill="E1E1DF"/>
          </w:tcPr>
          <w:p>
            <w:pPr>
              <w:spacing w:after="0"/>
              <w:rPr>
                <w:sz w:val="8"/>
                <w:szCs w:val="8"/>
                <w:color w:val="auto"/>
              </w:rPr>
            </w:pPr>
          </w:p>
        </w:tc>
        <w:tc>
          <w:tcPr>
            <w:tcW w:w="2500" w:type="dxa"/>
            <w:vAlign w:val="bottom"/>
            <w:vMerge w:val="continue"/>
            <w:shd w:val="clear" w:color="auto" w:fill="E1E1DF"/>
          </w:tcPr>
          <w:p>
            <w:pPr>
              <w:spacing w:after="0"/>
              <w:rPr>
                <w:sz w:val="8"/>
                <w:szCs w:val="8"/>
                <w:color w:val="auto"/>
              </w:rPr>
            </w:pPr>
          </w:p>
        </w:tc>
        <w:tc>
          <w:tcPr>
            <w:tcW w:w="448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companies with whom we compete for customers and</w:t>
            </w:r>
          </w:p>
        </w:tc>
        <w:tc>
          <w:tcPr>
            <w:tcW w:w="0" w:type="dxa"/>
            <w:vAlign w:val="bottom"/>
          </w:tcPr>
          <w:p>
            <w:pPr>
              <w:spacing w:after="0"/>
              <w:rPr>
                <w:sz w:val="1"/>
                <w:szCs w:val="1"/>
                <w:color w:val="auto"/>
              </w:rPr>
            </w:pPr>
          </w:p>
        </w:tc>
      </w:tr>
      <w:tr>
        <w:trPr>
          <w:trHeight w:val="95"/>
        </w:trPr>
        <w:tc>
          <w:tcPr>
            <w:tcW w:w="1580" w:type="dxa"/>
            <w:vAlign w:val="bottom"/>
            <w:shd w:val="clear" w:color="auto" w:fill="E1E1DF"/>
          </w:tcPr>
          <w:p>
            <w:pPr>
              <w:spacing w:after="0"/>
              <w:rPr>
                <w:sz w:val="8"/>
                <w:szCs w:val="8"/>
                <w:color w:val="auto"/>
              </w:rPr>
            </w:pPr>
          </w:p>
        </w:tc>
        <w:tc>
          <w:tcPr>
            <w:tcW w:w="1220" w:type="dxa"/>
            <w:vAlign w:val="bottom"/>
            <w:shd w:val="clear" w:color="auto" w:fill="E1E1DF"/>
          </w:tcPr>
          <w:p>
            <w:pPr>
              <w:spacing w:after="0"/>
              <w:rPr>
                <w:sz w:val="8"/>
                <w:szCs w:val="8"/>
                <w:color w:val="auto"/>
              </w:rPr>
            </w:pPr>
          </w:p>
        </w:tc>
        <w:tc>
          <w:tcPr>
            <w:tcW w:w="1460" w:type="dxa"/>
            <w:vAlign w:val="bottom"/>
            <w:shd w:val="clear" w:color="auto" w:fill="E1E1DF"/>
          </w:tcPr>
          <w:p>
            <w:pPr>
              <w:spacing w:after="0"/>
              <w:rPr>
                <w:sz w:val="8"/>
                <w:szCs w:val="8"/>
                <w:color w:val="auto"/>
              </w:rPr>
            </w:pPr>
          </w:p>
        </w:tc>
        <w:tc>
          <w:tcPr>
            <w:tcW w:w="2500" w:type="dxa"/>
            <w:vAlign w:val="bottom"/>
            <w:vMerge w:val="restart"/>
            <w:shd w:val="clear" w:color="auto" w:fill="E1E1DF"/>
          </w:tcPr>
          <w:p>
            <w:pPr>
              <w:ind w:left="140"/>
              <w:spacing w:after="0"/>
              <w:rPr>
                <w:sz w:val="20"/>
                <w:szCs w:val="20"/>
                <w:color w:val="auto"/>
              </w:rPr>
            </w:pPr>
            <w:r>
              <w:rPr>
                <w:rFonts w:ascii="Arial" w:cs="Arial" w:eastAsia="Arial" w:hAnsi="Arial"/>
                <w:sz w:val="16"/>
                <w:szCs w:val="16"/>
                <w:color w:val="3B3C43"/>
              </w:rPr>
              <w:t>reinvested dividends relative to</w:t>
            </w:r>
          </w:p>
        </w:tc>
        <w:tc>
          <w:tcPr>
            <w:tcW w:w="4480" w:type="dxa"/>
            <w:vAlign w:val="bottom"/>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80" w:type="dxa"/>
            <w:vAlign w:val="bottom"/>
            <w:shd w:val="clear" w:color="auto" w:fill="E1E1DF"/>
          </w:tcPr>
          <w:p>
            <w:pPr>
              <w:spacing w:after="0"/>
              <w:rPr>
                <w:sz w:val="8"/>
                <w:szCs w:val="8"/>
                <w:color w:val="auto"/>
              </w:rPr>
            </w:pPr>
          </w:p>
        </w:tc>
        <w:tc>
          <w:tcPr>
            <w:tcW w:w="1220" w:type="dxa"/>
            <w:vAlign w:val="bottom"/>
            <w:shd w:val="clear" w:color="auto" w:fill="E1E1DF"/>
          </w:tcPr>
          <w:p>
            <w:pPr>
              <w:spacing w:after="0"/>
              <w:rPr>
                <w:sz w:val="8"/>
                <w:szCs w:val="8"/>
                <w:color w:val="auto"/>
              </w:rPr>
            </w:pPr>
          </w:p>
        </w:tc>
        <w:tc>
          <w:tcPr>
            <w:tcW w:w="1460" w:type="dxa"/>
            <w:vAlign w:val="bottom"/>
            <w:shd w:val="clear" w:color="auto" w:fill="E1E1DF"/>
          </w:tcPr>
          <w:p>
            <w:pPr>
              <w:spacing w:after="0"/>
              <w:rPr>
                <w:sz w:val="8"/>
                <w:szCs w:val="8"/>
                <w:color w:val="auto"/>
              </w:rPr>
            </w:pPr>
          </w:p>
        </w:tc>
        <w:tc>
          <w:tcPr>
            <w:tcW w:w="2500" w:type="dxa"/>
            <w:vAlign w:val="bottom"/>
            <w:vMerge w:val="continue"/>
            <w:shd w:val="clear" w:color="auto" w:fill="E1E1DF"/>
          </w:tcPr>
          <w:p>
            <w:pPr>
              <w:spacing w:after="0"/>
              <w:rPr>
                <w:sz w:val="8"/>
                <w:szCs w:val="8"/>
                <w:color w:val="auto"/>
              </w:rPr>
            </w:pPr>
          </w:p>
        </w:tc>
        <w:tc>
          <w:tcPr>
            <w:tcW w:w="4480" w:type="dxa"/>
            <w:vAlign w:val="bottom"/>
            <w:vMerge w:val="restart"/>
            <w:shd w:val="clear" w:color="auto" w:fill="E1E1DF"/>
          </w:tcPr>
          <w:p>
            <w:pPr>
              <w:ind w:left="100"/>
              <w:spacing w:after="0"/>
              <w:rPr>
                <w:sz w:val="20"/>
                <w:szCs w:val="20"/>
                <w:color w:val="auto"/>
              </w:rPr>
            </w:pPr>
            <w:r>
              <w:rPr>
                <w:rFonts w:ascii="Arial" w:cs="Arial" w:eastAsia="Arial" w:hAnsi="Arial"/>
                <w:sz w:val="16"/>
                <w:szCs w:val="16"/>
                <w:color w:val="3B3C43"/>
              </w:rPr>
              <w:t>investors that are subject to similar macro-economic factors</w:t>
            </w:r>
          </w:p>
        </w:tc>
        <w:tc>
          <w:tcPr>
            <w:tcW w:w="0" w:type="dxa"/>
            <w:vAlign w:val="bottom"/>
          </w:tcPr>
          <w:p>
            <w:pPr>
              <w:spacing w:after="0"/>
              <w:rPr>
                <w:sz w:val="1"/>
                <w:szCs w:val="1"/>
                <w:color w:val="auto"/>
              </w:rPr>
            </w:pPr>
          </w:p>
        </w:tc>
      </w:tr>
      <w:tr>
        <w:trPr>
          <w:trHeight w:val="100"/>
        </w:trPr>
        <w:tc>
          <w:tcPr>
            <w:tcW w:w="1580" w:type="dxa"/>
            <w:vAlign w:val="bottom"/>
            <w:shd w:val="clear" w:color="auto" w:fill="E1E1DF"/>
          </w:tcPr>
          <w:p>
            <w:pPr>
              <w:spacing w:after="0"/>
              <w:rPr>
                <w:sz w:val="8"/>
                <w:szCs w:val="8"/>
                <w:color w:val="auto"/>
              </w:rPr>
            </w:pPr>
          </w:p>
        </w:tc>
        <w:tc>
          <w:tcPr>
            <w:tcW w:w="1220" w:type="dxa"/>
            <w:vAlign w:val="bottom"/>
            <w:shd w:val="clear" w:color="auto" w:fill="E1E1DF"/>
          </w:tcPr>
          <w:p>
            <w:pPr>
              <w:spacing w:after="0"/>
              <w:rPr>
                <w:sz w:val="8"/>
                <w:szCs w:val="8"/>
                <w:color w:val="auto"/>
              </w:rPr>
            </w:pPr>
          </w:p>
        </w:tc>
        <w:tc>
          <w:tcPr>
            <w:tcW w:w="1460" w:type="dxa"/>
            <w:vAlign w:val="bottom"/>
            <w:shd w:val="clear" w:color="auto" w:fill="E1E1DF"/>
          </w:tcPr>
          <w:p>
            <w:pPr>
              <w:spacing w:after="0"/>
              <w:rPr>
                <w:sz w:val="8"/>
                <w:szCs w:val="8"/>
                <w:color w:val="auto"/>
              </w:rPr>
            </w:pPr>
          </w:p>
        </w:tc>
        <w:tc>
          <w:tcPr>
            <w:tcW w:w="2500" w:type="dxa"/>
            <w:vAlign w:val="bottom"/>
            <w:vMerge w:val="restart"/>
            <w:shd w:val="clear" w:color="auto" w:fill="E1E1DF"/>
          </w:tcPr>
          <w:p>
            <w:pPr>
              <w:ind w:left="140"/>
              <w:spacing w:after="0"/>
              <w:rPr>
                <w:sz w:val="20"/>
                <w:szCs w:val="20"/>
                <w:color w:val="auto"/>
              </w:rPr>
            </w:pPr>
            <w:r>
              <w:rPr>
                <w:rFonts w:ascii="Arial" w:cs="Arial" w:eastAsia="Arial" w:hAnsi="Arial"/>
                <w:sz w:val="16"/>
                <w:szCs w:val="16"/>
                <w:color w:val="3B3C43"/>
              </w:rPr>
              <w:t>peers</w:t>
            </w:r>
          </w:p>
        </w:tc>
        <w:tc>
          <w:tcPr>
            <w:tcW w:w="4480" w:type="dxa"/>
            <w:vAlign w:val="bottom"/>
            <w:vMerge w:val="continue"/>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80" w:type="dxa"/>
            <w:vAlign w:val="bottom"/>
            <w:shd w:val="clear" w:color="auto" w:fill="E1E1DF"/>
          </w:tcPr>
          <w:p>
            <w:pPr>
              <w:spacing w:after="0"/>
              <w:rPr>
                <w:sz w:val="8"/>
                <w:szCs w:val="8"/>
                <w:color w:val="auto"/>
              </w:rPr>
            </w:pPr>
          </w:p>
        </w:tc>
        <w:tc>
          <w:tcPr>
            <w:tcW w:w="1220" w:type="dxa"/>
            <w:vAlign w:val="bottom"/>
            <w:shd w:val="clear" w:color="auto" w:fill="E1E1DF"/>
          </w:tcPr>
          <w:p>
            <w:pPr>
              <w:spacing w:after="0"/>
              <w:rPr>
                <w:sz w:val="8"/>
                <w:szCs w:val="8"/>
                <w:color w:val="auto"/>
              </w:rPr>
            </w:pPr>
          </w:p>
        </w:tc>
        <w:tc>
          <w:tcPr>
            <w:tcW w:w="1460" w:type="dxa"/>
            <w:vAlign w:val="bottom"/>
            <w:shd w:val="clear" w:color="auto" w:fill="E1E1DF"/>
          </w:tcPr>
          <w:p>
            <w:pPr>
              <w:spacing w:after="0"/>
              <w:rPr>
                <w:sz w:val="8"/>
                <w:szCs w:val="8"/>
                <w:color w:val="auto"/>
              </w:rPr>
            </w:pPr>
          </w:p>
        </w:tc>
        <w:tc>
          <w:tcPr>
            <w:tcW w:w="2500" w:type="dxa"/>
            <w:vAlign w:val="bottom"/>
            <w:vMerge w:val="continue"/>
            <w:shd w:val="clear" w:color="auto" w:fill="E1E1DF"/>
          </w:tcPr>
          <w:p>
            <w:pPr>
              <w:spacing w:after="0"/>
              <w:rPr>
                <w:sz w:val="8"/>
                <w:szCs w:val="8"/>
                <w:color w:val="auto"/>
              </w:rPr>
            </w:pPr>
          </w:p>
        </w:tc>
        <w:tc>
          <w:tcPr>
            <w:tcW w:w="4480" w:type="dxa"/>
            <w:vAlign w:val="bottom"/>
            <w:shd w:val="clear" w:color="auto" w:fill="E1E1DF"/>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15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Restricted Stock</w:t>
            </w:r>
          </w:p>
        </w:tc>
        <w:tc>
          <w:tcPr>
            <w:tcW w:w="12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30% of total</w:t>
            </w:r>
          </w:p>
        </w:tc>
        <w:tc>
          <w:tcPr>
            <w:tcW w:w="1460" w:type="dxa"/>
            <w:vAlign w:val="bottom"/>
            <w:shd w:val="clear" w:color="auto" w:fill="E1E1DF"/>
          </w:tcPr>
          <w:p>
            <w:pPr>
              <w:ind w:left="240"/>
              <w:spacing w:after="0"/>
              <w:rPr>
                <w:sz w:val="20"/>
                <w:szCs w:val="20"/>
                <w:color w:val="auto"/>
              </w:rPr>
            </w:pPr>
            <w:r>
              <w:rPr>
                <w:rFonts w:ascii="Arial" w:cs="Arial" w:eastAsia="Arial" w:hAnsi="Arial"/>
                <w:sz w:val="16"/>
                <w:szCs w:val="16"/>
                <w:color w:val="3B3C43"/>
              </w:rPr>
              <w:t>Three-year cliff</w:t>
            </w:r>
          </w:p>
        </w:tc>
        <w:tc>
          <w:tcPr>
            <w:tcW w:w="2500" w:type="dxa"/>
            <w:vAlign w:val="bottom"/>
            <w:shd w:val="clear" w:color="auto" w:fill="E1E1DF"/>
          </w:tcPr>
          <w:p>
            <w:pPr>
              <w:ind w:left="140"/>
              <w:spacing w:after="0"/>
              <w:rPr>
                <w:sz w:val="20"/>
                <w:szCs w:val="20"/>
                <w:color w:val="auto"/>
              </w:rPr>
            </w:pPr>
            <w:r>
              <w:rPr>
                <w:rFonts w:ascii="Arial" w:cs="Arial" w:eastAsia="Arial" w:hAnsi="Arial"/>
                <w:sz w:val="16"/>
                <w:szCs w:val="16"/>
                <w:color w:val="3B3C43"/>
              </w:rPr>
              <w:t>N/A</w:t>
            </w:r>
          </w:p>
        </w:tc>
        <w:tc>
          <w:tcPr>
            <w:tcW w:w="448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Further align NEOs’ interests with the interests of our</w:t>
            </w:r>
          </w:p>
        </w:tc>
        <w:tc>
          <w:tcPr>
            <w:tcW w:w="0" w:type="dxa"/>
            <w:vAlign w:val="bottom"/>
          </w:tcPr>
          <w:p>
            <w:pPr>
              <w:spacing w:after="0"/>
              <w:rPr>
                <w:sz w:val="1"/>
                <w:szCs w:val="1"/>
                <w:color w:val="auto"/>
              </w:rPr>
            </w:pPr>
          </w:p>
        </w:tc>
      </w:tr>
      <w:tr>
        <w:trPr>
          <w:trHeight w:val="209"/>
        </w:trPr>
        <w:tc>
          <w:tcPr>
            <w:tcW w:w="158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Units</w:t>
            </w:r>
          </w:p>
        </w:tc>
        <w:tc>
          <w:tcPr>
            <w:tcW w:w="12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long-term</w:t>
            </w:r>
          </w:p>
        </w:tc>
        <w:tc>
          <w:tcPr>
            <w:tcW w:w="1460" w:type="dxa"/>
            <w:vAlign w:val="bottom"/>
            <w:shd w:val="clear" w:color="auto" w:fill="E1E1DF"/>
          </w:tcPr>
          <w:p>
            <w:pPr>
              <w:ind w:left="240"/>
              <w:spacing w:after="0"/>
              <w:rPr>
                <w:sz w:val="20"/>
                <w:szCs w:val="20"/>
                <w:color w:val="auto"/>
              </w:rPr>
            </w:pPr>
            <w:r>
              <w:rPr>
                <w:rFonts w:ascii="Arial" w:cs="Arial" w:eastAsia="Arial" w:hAnsi="Arial"/>
                <w:sz w:val="16"/>
                <w:szCs w:val="16"/>
                <w:color w:val="3B3C43"/>
              </w:rPr>
              <w:t>vesting</w:t>
            </w:r>
          </w:p>
        </w:tc>
        <w:tc>
          <w:tcPr>
            <w:tcW w:w="2500" w:type="dxa"/>
            <w:vAlign w:val="bottom"/>
            <w:shd w:val="clear" w:color="auto" w:fill="E1E1DF"/>
          </w:tcPr>
          <w:p>
            <w:pPr>
              <w:spacing w:after="0"/>
              <w:rPr>
                <w:sz w:val="18"/>
                <w:szCs w:val="18"/>
                <w:color w:val="auto"/>
              </w:rPr>
            </w:pPr>
          </w:p>
        </w:tc>
        <w:tc>
          <w:tcPr>
            <w:tcW w:w="448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shareholders by incentivizing them to increase share price,</w:t>
            </w:r>
          </w:p>
        </w:tc>
        <w:tc>
          <w:tcPr>
            <w:tcW w:w="0" w:type="dxa"/>
            <w:vAlign w:val="bottom"/>
          </w:tcPr>
          <w:p>
            <w:pPr>
              <w:spacing w:after="0"/>
              <w:rPr>
                <w:sz w:val="1"/>
                <w:szCs w:val="1"/>
                <w:color w:val="auto"/>
              </w:rPr>
            </w:pPr>
          </w:p>
        </w:tc>
      </w:tr>
      <w:tr>
        <w:trPr>
          <w:trHeight w:val="189"/>
        </w:trPr>
        <w:tc>
          <w:tcPr>
            <w:tcW w:w="1580" w:type="dxa"/>
            <w:vAlign w:val="bottom"/>
            <w:shd w:val="clear" w:color="auto" w:fill="E1E1DF"/>
          </w:tcPr>
          <w:p>
            <w:pPr>
              <w:spacing w:after="0"/>
              <w:rPr>
                <w:sz w:val="16"/>
                <w:szCs w:val="16"/>
                <w:color w:val="auto"/>
              </w:rPr>
            </w:pPr>
          </w:p>
        </w:tc>
        <w:tc>
          <w:tcPr>
            <w:tcW w:w="1220" w:type="dxa"/>
            <w:vAlign w:val="bottom"/>
            <w:shd w:val="clear" w:color="auto" w:fill="E1E1DF"/>
          </w:tcPr>
          <w:p>
            <w:pPr>
              <w:ind w:left="120"/>
              <w:spacing w:after="0"/>
              <w:rPr>
                <w:sz w:val="20"/>
                <w:szCs w:val="20"/>
                <w:color w:val="auto"/>
              </w:rPr>
            </w:pPr>
            <w:r>
              <w:rPr>
                <w:rFonts w:ascii="Arial" w:cs="Arial" w:eastAsia="Arial" w:hAnsi="Arial"/>
                <w:sz w:val="16"/>
                <w:szCs w:val="16"/>
                <w:color w:val="3B3C43"/>
              </w:rPr>
              <w:t>equity</w:t>
            </w:r>
          </w:p>
        </w:tc>
        <w:tc>
          <w:tcPr>
            <w:tcW w:w="1460" w:type="dxa"/>
            <w:vAlign w:val="bottom"/>
            <w:shd w:val="clear" w:color="auto" w:fill="E1E1DF"/>
          </w:tcPr>
          <w:p>
            <w:pPr>
              <w:spacing w:after="0"/>
              <w:rPr>
                <w:sz w:val="16"/>
                <w:szCs w:val="16"/>
                <w:color w:val="auto"/>
              </w:rPr>
            </w:pPr>
          </w:p>
        </w:tc>
        <w:tc>
          <w:tcPr>
            <w:tcW w:w="2500" w:type="dxa"/>
            <w:vAlign w:val="bottom"/>
            <w:shd w:val="clear" w:color="auto" w:fill="E1E1DF"/>
          </w:tcPr>
          <w:p>
            <w:pPr>
              <w:spacing w:after="0"/>
              <w:rPr>
                <w:sz w:val="16"/>
                <w:szCs w:val="16"/>
                <w:color w:val="auto"/>
              </w:rPr>
            </w:pPr>
          </w:p>
        </w:tc>
        <w:tc>
          <w:tcPr>
            <w:tcW w:w="448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while reinforcing the retention impact of our compensation</w:t>
            </w:r>
          </w:p>
        </w:tc>
        <w:tc>
          <w:tcPr>
            <w:tcW w:w="0" w:type="dxa"/>
            <w:vAlign w:val="bottom"/>
          </w:tcPr>
          <w:p>
            <w:pPr>
              <w:spacing w:after="0"/>
              <w:rPr>
                <w:sz w:val="1"/>
                <w:szCs w:val="1"/>
                <w:color w:val="auto"/>
              </w:rPr>
            </w:pPr>
          </w:p>
        </w:tc>
      </w:tr>
      <w:tr>
        <w:trPr>
          <w:trHeight w:val="195"/>
        </w:trPr>
        <w:tc>
          <w:tcPr>
            <w:tcW w:w="1580" w:type="dxa"/>
            <w:vAlign w:val="bottom"/>
            <w:shd w:val="clear" w:color="auto" w:fill="E1E1DF"/>
          </w:tcPr>
          <w:p>
            <w:pPr>
              <w:spacing w:after="0"/>
              <w:rPr>
                <w:sz w:val="16"/>
                <w:szCs w:val="16"/>
                <w:color w:val="auto"/>
              </w:rPr>
            </w:pPr>
          </w:p>
        </w:tc>
        <w:tc>
          <w:tcPr>
            <w:tcW w:w="1220" w:type="dxa"/>
            <w:vAlign w:val="bottom"/>
            <w:shd w:val="clear" w:color="auto" w:fill="E1E1DF"/>
          </w:tcPr>
          <w:p>
            <w:pPr>
              <w:spacing w:after="0"/>
              <w:rPr>
                <w:sz w:val="16"/>
                <w:szCs w:val="16"/>
                <w:color w:val="auto"/>
              </w:rPr>
            </w:pPr>
          </w:p>
        </w:tc>
        <w:tc>
          <w:tcPr>
            <w:tcW w:w="1460" w:type="dxa"/>
            <w:vAlign w:val="bottom"/>
            <w:shd w:val="clear" w:color="auto" w:fill="E1E1DF"/>
          </w:tcPr>
          <w:p>
            <w:pPr>
              <w:spacing w:after="0"/>
              <w:rPr>
                <w:sz w:val="16"/>
                <w:szCs w:val="16"/>
                <w:color w:val="auto"/>
              </w:rPr>
            </w:pPr>
          </w:p>
        </w:tc>
        <w:tc>
          <w:tcPr>
            <w:tcW w:w="2500" w:type="dxa"/>
            <w:vAlign w:val="bottom"/>
            <w:shd w:val="clear" w:color="auto" w:fill="E1E1DF"/>
          </w:tcPr>
          <w:p>
            <w:pPr>
              <w:spacing w:after="0"/>
              <w:rPr>
                <w:sz w:val="16"/>
                <w:szCs w:val="16"/>
                <w:color w:val="auto"/>
              </w:rPr>
            </w:pPr>
          </w:p>
        </w:tc>
        <w:tc>
          <w:tcPr>
            <w:tcW w:w="448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program</w:t>
            </w:r>
          </w:p>
        </w:tc>
        <w:tc>
          <w:tcPr>
            <w:tcW w:w="0" w:type="dxa"/>
            <w:vAlign w:val="bottom"/>
          </w:tcPr>
          <w:p>
            <w:pPr>
              <w:spacing w:after="0"/>
              <w:rPr>
                <w:sz w:val="1"/>
                <w:szCs w:val="1"/>
                <w:color w:val="auto"/>
              </w:rPr>
            </w:pPr>
          </w:p>
        </w:tc>
      </w:tr>
      <w:tr>
        <w:trPr>
          <w:trHeight w:val="73"/>
        </w:trPr>
        <w:tc>
          <w:tcPr>
            <w:tcW w:w="1580" w:type="dxa"/>
            <w:vAlign w:val="bottom"/>
            <w:shd w:val="clear" w:color="auto" w:fill="E1E1DF"/>
          </w:tcPr>
          <w:p>
            <w:pPr>
              <w:spacing w:after="0"/>
              <w:rPr>
                <w:sz w:val="6"/>
                <w:szCs w:val="6"/>
                <w:color w:val="auto"/>
              </w:rPr>
            </w:pPr>
          </w:p>
        </w:tc>
        <w:tc>
          <w:tcPr>
            <w:tcW w:w="1220" w:type="dxa"/>
            <w:vAlign w:val="bottom"/>
            <w:shd w:val="clear" w:color="auto" w:fill="E1E1DF"/>
          </w:tcPr>
          <w:p>
            <w:pPr>
              <w:spacing w:after="0"/>
              <w:rPr>
                <w:sz w:val="6"/>
                <w:szCs w:val="6"/>
                <w:color w:val="auto"/>
              </w:rPr>
            </w:pPr>
          </w:p>
        </w:tc>
        <w:tc>
          <w:tcPr>
            <w:tcW w:w="1460" w:type="dxa"/>
            <w:vAlign w:val="bottom"/>
            <w:shd w:val="clear" w:color="auto" w:fill="E1E1DF"/>
          </w:tcPr>
          <w:p>
            <w:pPr>
              <w:spacing w:after="0"/>
              <w:rPr>
                <w:sz w:val="6"/>
                <w:szCs w:val="6"/>
                <w:color w:val="auto"/>
              </w:rPr>
            </w:pPr>
          </w:p>
        </w:tc>
        <w:tc>
          <w:tcPr>
            <w:tcW w:w="2500" w:type="dxa"/>
            <w:vAlign w:val="bottom"/>
            <w:shd w:val="clear" w:color="auto" w:fill="E1E1DF"/>
          </w:tcPr>
          <w:p>
            <w:pPr>
              <w:spacing w:after="0"/>
              <w:rPr>
                <w:sz w:val="6"/>
                <w:szCs w:val="6"/>
                <w:color w:val="auto"/>
              </w:rPr>
            </w:pPr>
          </w:p>
        </w:tc>
        <w:tc>
          <w:tcPr>
            <w:tcW w:w="448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3B3C43"/>
        </w:rPr>
        <w:t>We believe that relative TSR is a meaningful measure of our long-term performance and motivates our NEOs to achieve superior share price compared to our key competitors, thus aligning their interests with shareholder interests. We further reinforce this by requiring a minimum threshold of relative performance for payout and by capping payout in the case of negative TSR.</w:t>
      </w:r>
    </w:p>
    <w:p>
      <w:pPr>
        <w:spacing w:after="0" w:line="174"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3B3C43"/>
        </w:rPr>
        <w:t>The relative TSR performance for our 2021 PSU awards will be measured against a Relative TSR Peer Group that the Compensation Committee believes best reflects the companies that we compete with for both investments and customers. The financial and operational performance of these companies are most directly relevant to TechnipFMC, and we are all subject to similar macro-economic factors.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3B3C43"/>
        </w:rPr>
        <w:t>The following are the targets in relation to the 2021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121920</wp:posOffset>
            </wp:positionV>
            <wp:extent cx="8890" cy="3429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121920</wp:posOffset>
            </wp:positionV>
            <wp:extent cx="8890" cy="3429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34290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4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Performance Achievement</w:t>
            </w:r>
          </w:p>
        </w:tc>
        <w:tc>
          <w:tcPr>
            <w:tcW w:w="4760" w:type="dxa"/>
            <w:vAlign w:val="bottom"/>
            <w:shd w:val="clear" w:color="auto" w:fill="4A1F67"/>
          </w:tcPr>
          <w:p>
            <w:pPr>
              <w:jc w:val="right"/>
              <w:ind w:right="959"/>
              <w:spacing w:after="0"/>
              <w:rPr>
                <w:sz w:val="20"/>
                <w:szCs w:val="20"/>
                <w:color w:val="auto"/>
              </w:rPr>
            </w:pPr>
            <w:r>
              <w:rPr>
                <w:rFonts w:ascii="Arial" w:cs="Arial" w:eastAsia="Arial" w:hAnsi="Arial"/>
                <w:sz w:val="16"/>
                <w:szCs w:val="16"/>
                <w:b w:val="1"/>
                <w:bCs w:val="1"/>
                <w:color w:val="FFFFFF"/>
              </w:rPr>
              <w:t>Relative TSR Performance</w:t>
            </w:r>
          </w:p>
        </w:tc>
        <w:tc>
          <w:tcPr>
            <w:tcW w:w="264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Payout</w:t>
            </w:r>
          </w:p>
        </w:tc>
      </w:tr>
      <w:tr>
        <w:trPr>
          <w:trHeight w:val="215"/>
        </w:trPr>
        <w:tc>
          <w:tcPr>
            <w:tcW w:w="3840" w:type="dxa"/>
            <w:vAlign w:val="bottom"/>
            <w:shd w:val="clear" w:color="auto" w:fill="4A1F67"/>
          </w:tcPr>
          <w:p>
            <w:pPr>
              <w:spacing w:after="0"/>
              <w:rPr>
                <w:sz w:val="18"/>
                <w:szCs w:val="18"/>
                <w:color w:val="auto"/>
              </w:rPr>
            </w:pPr>
          </w:p>
        </w:tc>
        <w:tc>
          <w:tcPr>
            <w:tcW w:w="4760" w:type="dxa"/>
            <w:vAlign w:val="bottom"/>
            <w:shd w:val="clear" w:color="auto" w:fill="4A1F67"/>
          </w:tcPr>
          <w:p>
            <w:pPr>
              <w:spacing w:after="0"/>
              <w:rPr>
                <w:sz w:val="18"/>
                <w:szCs w:val="18"/>
                <w:color w:val="auto"/>
              </w:rPr>
            </w:pPr>
          </w:p>
        </w:tc>
        <w:tc>
          <w:tcPr>
            <w:tcW w:w="264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 of earned PSUs)</w:t>
            </w:r>
          </w:p>
        </w:tc>
      </w:tr>
      <w:tr>
        <w:trPr>
          <w:trHeight w:val="73"/>
        </w:trPr>
        <w:tc>
          <w:tcPr>
            <w:tcW w:w="3840" w:type="dxa"/>
            <w:vAlign w:val="bottom"/>
            <w:shd w:val="clear" w:color="auto" w:fill="4A1F67"/>
          </w:tcPr>
          <w:p>
            <w:pPr>
              <w:spacing w:after="0"/>
              <w:rPr>
                <w:sz w:val="6"/>
                <w:szCs w:val="6"/>
                <w:color w:val="auto"/>
              </w:rPr>
            </w:pPr>
          </w:p>
        </w:tc>
        <w:tc>
          <w:tcPr>
            <w:tcW w:w="4760" w:type="dxa"/>
            <w:vAlign w:val="bottom"/>
            <w:shd w:val="clear" w:color="auto" w:fill="4A1F67"/>
          </w:tcPr>
          <w:p>
            <w:pPr>
              <w:spacing w:after="0"/>
              <w:rPr>
                <w:sz w:val="6"/>
                <w:szCs w:val="6"/>
                <w:color w:val="auto"/>
              </w:rPr>
            </w:pPr>
          </w:p>
        </w:tc>
        <w:tc>
          <w:tcPr>
            <w:tcW w:w="2640" w:type="dxa"/>
            <w:vAlign w:val="bottom"/>
            <w:shd w:val="clear" w:color="auto" w:fill="4A1F67"/>
          </w:tcPr>
          <w:p>
            <w:pPr>
              <w:spacing w:after="0"/>
              <w:rPr>
                <w:sz w:val="6"/>
                <w:szCs w:val="6"/>
                <w:color w:val="auto"/>
              </w:rPr>
            </w:pPr>
          </w:p>
        </w:tc>
      </w:tr>
      <w:tr>
        <w:trPr>
          <w:trHeight w:val="278"/>
        </w:trPr>
        <w:tc>
          <w:tcPr>
            <w:tcW w:w="3840" w:type="dxa"/>
            <w:vAlign w:val="bottom"/>
          </w:tcPr>
          <w:p>
            <w:pPr>
              <w:ind w:left="100"/>
              <w:spacing w:after="0"/>
              <w:rPr>
                <w:sz w:val="20"/>
                <w:szCs w:val="20"/>
                <w:color w:val="auto"/>
              </w:rPr>
            </w:pPr>
            <w:r>
              <w:rPr>
                <w:rFonts w:ascii="Arial" w:cs="Arial" w:eastAsia="Arial" w:hAnsi="Arial"/>
                <w:sz w:val="16"/>
                <w:szCs w:val="16"/>
                <w:color w:val="3B3C43"/>
              </w:rPr>
              <w:t>Below Threshold</w:t>
            </w:r>
          </w:p>
        </w:tc>
        <w:tc>
          <w:tcPr>
            <w:tcW w:w="4760" w:type="dxa"/>
            <w:vAlign w:val="bottom"/>
          </w:tcPr>
          <w:p>
            <w:pPr>
              <w:jc w:val="right"/>
              <w:ind w:right="959"/>
              <w:spacing w:after="0"/>
              <w:rPr>
                <w:sz w:val="20"/>
                <w:szCs w:val="20"/>
                <w:color w:val="auto"/>
              </w:rPr>
            </w:pPr>
            <w:r>
              <w:rPr>
                <w:rFonts w:ascii="Arial" w:cs="Arial" w:eastAsia="Arial" w:hAnsi="Arial"/>
                <w:sz w:val="16"/>
                <w:szCs w:val="16"/>
                <w:color w:val="3B3C43"/>
              </w:rPr>
              <w:t>Below 25th percentile</w:t>
            </w:r>
          </w:p>
        </w:tc>
        <w:tc>
          <w:tcPr>
            <w:tcW w:w="264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74"/>
        </w:trPr>
        <w:tc>
          <w:tcPr>
            <w:tcW w:w="3840" w:type="dxa"/>
            <w:vAlign w:val="bottom"/>
            <w:tcBorders>
              <w:bottom w:val="single" w:sz="8" w:color="E1E2E0"/>
            </w:tcBorders>
          </w:tcPr>
          <w:p>
            <w:pPr>
              <w:spacing w:after="0"/>
              <w:rPr>
                <w:sz w:val="6"/>
                <w:szCs w:val="6"/>
                <w:color w:val="auto"/>
              </w:rPr>
            </w:pPr>
          </w:p>
        </w:tc>
        <w:tc>
          <w:tcPr>
            <w:tcW w:w="4760" w:type="dxa"/>
            <w:vAlign w:val="bottom"/>
            <w:tcBorders>
              <w:bottom w:val="single" w:sz="8" w:color="E1E2E0"/>
            </w:tcBorders>
          </w:tcPr>
          <w:p>
            <w:pPr>
              <w:spacing w:after="0"/>
              <w:rPr>
                <w:sz w:val="6"/>
                <w:szCs w:val="6"/>
                <w:color w:val="auto"/>
              </w:rPr>
            </w:pPr>
          </w:p>
        </w:tc>
        <w:tc>
          <w:tcPr>
            <w:tcW w:w="2640" w:type="dxa"/>
            <w:vAlign w:val="bottom"/>
            <w:tcBorders>
              <w:bottom w:val="single" w:sz="8" w:color="E1E2E0"/>
            </w:tcBorders>
          </w:tcPr>
          <w:p>
            <w:pPr>
              <w:spacing w:after="0"/>
              <w:rPr>
                <w:sz w:val="6"/>
                <w:szCs w:val="6"/>
                <w:color w:val="auto"/>
              </w:rPr>
            </w:pPr>
          </w:p>
        </w:tc>
      </w:tr>
      <w:tr>
        <w:trPr>
          <w:trHeight w:val="271"/>
        </w:trPr>
        <w:tc>
          <w:tcPr>
            <w:tcW w:w="3840" w:type="dxa"/>
            <w:vAlign w:val="bottom"/>
          </w:tcPr>
          <w:p>
            <w:pPr>
              <w:ind w:left="100"/>
              <w:spacing w:after="0"/>
              <w:rPr>
                <w:sz w:val="20"/>
                <w:szCs w:val="20"/>
                <w:color w:val="auto"/>
              </w:rPr>
            </w:pPr>
            <w:r>
              <w:rPr>
                <w:rFonts w:ascii="Arial" w:cs="Arial" w:eastAsia="Arial" w:hAnsi="Arial"/>
                <w:sz w:val="16"/>
                <w:szCs w:val="16"/>
                <w:color w:val="3B3C43"/>
              </w:rPr>
              <w:t>Threshold</w:t>
            </w:r>
          </w:p>
        </w:tc>
        <w:tc>
          <w:tcPr>
            <w:tcW w:w="4760" w:type="dxa"/>
            <w:vAlign w:val="bottom"/>
          </w:tcPr>
          <w:p>
            <w:pPr>
              <w:jc w:val="right"/>
              <w:ind w:right="959"/>
              <w:spacing w:after="0"/>
              <w:rPr>
                <w:sz w:val="20"/>
                <w:szCs w:val="20"/>
                <w:color w:val="auto"/>
              </w:rPr>
            </w:pPr>
            <w:r>
              <w:rPr>
                <w:rFonts w:ascii="Arial" w:cs="Arial" w:eastAsia="Arial" w:hAnsi="Arial"/>
                <w:sz w:val="16"/>
                <w:szCs w:val="16"/>
                <w:color w:val="3B3C43"/>
              </w:rPr>
              <w:t>25th percentile</w:t>
            </w:r>
          </w:p>
        </w:tc>
        <w:tc>
          <w:tcPr>
            <w:tcW w:w="2640" w:type="dxa"/>
            <w:vAlign w:val="bottom"/>
          </w:tcPr>
          <w:p>
            <w:pPr>
              <w:jc w:val="right"/>
              <w:spacing w:after="0"/>
              <w:rPr>
                <w:sz w:val="20"/>
                <w:szCs w:val="20"/>
                <w:color w:val="auto"/>
              </w:rPr>
            </w:pPr>
            <w:r>
              <w:rPr>
                <w:rFonts w:ascii="Arial" w:cs="Arial" w:eastAsia="Arial" w:hAnsi="Arial"/>
                <w:sz w:val="16"/>
                <w:szCs w:val="16"/>
                <w:color w:val="3B3C43"/>
              </w:rPr>
              <w:t>50%</w:t>
            </w:r>
          </w:p>
        </w:tc>
      </w:tr>
      <w:tr>
        <w:trPr>
          <w:trHeight w:val="73"/>
        </w:trPr>
        <w:tc>
          <w:tcPr>
            <w:tcW w:w="3840" w:type="dxa"/>
            <w:vAlign w:val="bottom"/>
            <w:tcBorders>
              <w:bottom w:val="single" w:sz="8" w:color="E1E2E0"/>
            </w:tcBorders>
          </w:tcPr>
          <w:p>
            <w:pPr>
              <w:spacing w:after="0"/>
              <w:rPr>
                <w:sz w:val="6"/>
                <w:szCs w:val="6"/>
                <w:color w:val="auto"/>
              </w:rPr>
            </w:pPr>
          </w:p>
        </w:tc>
        <w:tc>
          <w:tcPr>
            <w:tcW w:w="4760" w:type="dxa"/>
            <w:vAlign w:val="bottom"/>
            <w:tcBorders>
              <w:bottom w:val="single" w:sz="8" w:color="E1E2E0"/>
            </w:tcBorders>
          </w:tcPr>
          <w:p>
            <w:pPr>
              <w:spacing w:after="0"/>
              <w:rPr>
                <w:sz w:val="6"/>
                <w:szCs w:val="6"/>
                <w:color w:val="auto"/>
              </w:rPr>
            </w:pPr>
          </w:p>
        </w:tc>
        <w:tc>
          <w:tcPr>
            <w:tcW w:w="2640" w:type="dxa"/>
            <w:vAlign w:val="bottom"/>
            <w:tcBorders>
              <w:bottom w:val="single" w:sz="8" w:color="E1E2E0"/>
            </w:tcBorders>
          </w:tcPr>
          <w:p>
            <w:pPr>
              <w:spacing w:after="0"/>
              <w:rPr>
                <w:sz w:val="6"/>
                <w:szCs w:val="6"/>
                <w:color w:val="auto"/>
              </w:rPr>
            </w:pPr>
          </w:p>
        </w:tc>
      </w:tr>
      <w:tr>
        <w:trPr>
          <w:trHeight w:val="271"/>
        </w:trPr>
        <w:tc>
          <w:tcPr>
            <w:tcW w:w="3840" w:type="dxa"/>
            <w:vAlign w:val="bottom"/>
          </w:tcPr>
          <w:p>
            <w:pPr>
              <w:ind w:left="100"/>
              <w:spacing w:after="0"/>
              <w:rPr>
                <w:sz w:val="20"/>
                <w:szCs w:val="20"/>
                <w:color w:val="auto"/>
              </w:rPr>
            </w:pPr>
            <w:r>
              <w:rPr>
                <w:rFonts w:ascii="Arial" w:cs="Arial" w:eastAsia="Arial" w:hAnsi="Arial"/>
                <w:sz w:val="16"/>
                <w:szCs w:val="16"/>
                <w:color w:val="3B3C43"/>
              </w:rPr>
              <w:t>Target</w:t>
            </w:r>
          </w:p>
        </w:tc>
        <w:tc>
          <w:tcPr>
            <w:tcW w:w="4760" w:type="dxa"/>
            <w:vAlign w:val="bottom"/>
          </w:tcPr>
          <w:p>
            <w:pPr>
              <w:jc w:val="right"/>
              <w:ind w:right="959"/>
              <w:spacing w:after="0"/>
              <w:rPr>
                <w:sz w:val="20"/>
                <w:szCs w:val="20"/>
                <w:color w:val="auto"/>
              </w:rPr>
            </w:pPr>
            <w:r>
              <w:rPr>
                <w:rFonts w:ascii="Arial" w:cs="Arial" w:eastAsia="Arial" w:hAnsi="Arial"/>
                <w:sz w:val="16"/>
                <w:szCs w:val="16"/>
                <w:color w:val="3B3C43"/>
              </w:rPr>
              <w:t>42nd percentile</w:t>
            </w:r>
          </w:p>
        </w:tc>
        <w:tc>
          <w:tcPr>
            <w:tcW w:w="2640" w:type="dxa"/>
            <w:vAlign w:val="bottom"/>
          </w:tcPr>
          <w:p>
            <w:pPr>
              <w:jc w:val="right"/>
              <w:spacing w:after="0"/>
              <w:rPr>
                <w:sz w:val="20"/>
                <w:szCs w:val="20"/>
                <w:color w:val="auto"/>
              </w:rPr>
            </w:pPr>
            <w:r>
              <w:rPr>
                <w:rFonts w:ascii="Arial" w:cs="Arial" w:eastAsia="Arial" w:hAnsi="Arial"/>
                <w:sz w:val="16"/>
                <w:szCs w:val="16"/>
                <w:color w:val="3B3C43"/>
              </w:rPr>
              <w:t>100%</w:t>
            </w:r>
          </w:p>
        </w:tc>
      </w:tr>
      <w:tr>
        <w:trPr>
          <w:trHeight w:val="73"/>
        </w:trPr>
        <w:tc>
          <w:tcPr>
            <w:tcW w:w="3840" w:type="dxa"/>
            <w:vAlign w:val="bottom"/>
            <w:tcBorders>
              <w:bottom w:val="single" w:sz="8" w:color="E1E2E0"/>
            </w:tcBorders>
          </w:tcPr>
          <w:p>
            <w:pPr>
              <w:spacing w:after="0"/>
              <w:rPr>
                <w:sz w:val="6"/>
                <w:szCs w:val="6"/>
                <w:color w:val="auto"/>
              </w:rPr>
            </w:pPr>
          </w:p>
        </w:tc>
        <w:tc>
          <w:tcPr>
            <w:tcW w:w="4760" w:type="dxa"/>
            <w:vAlign w:val="bottom"/>
            <w:tcBorders>
              <w:bottom w:val="single" w:sz="8" w:color="E1E2E0"/>
            </w:tcBorders>
          </w:tcPr>
          <w:p>
            <w:pPr>
              <w:spacing w:after="0"/>
              <w:rPr>
                <w:sz w:val="6"/>
                <w:szCs w:val="6"/>
                <w:color w:val="auto"/>
              </w:rPr>
            </w:pPr>
          </w:p>
        </w:tc>
        <w:tc>
          <w:tcPr>
            <w:tcW w:w="2640" w:type="dxa"/>
            <w:vAlign w:val="bottom"/>
            <w:tcBorders>
              <w:bottom w:val="single" w:sz="8" w:color="E1E2E0"/>
            </w:tcBorders>
          </w:tcPr>
          <w:p>
            <w:pPr>
              <w:spacing w:after="0"/>
              <w:rPr>
                <w:sz w:val="6"/>
                <w:szCs w:val="6"/>
                <w:color w:val="auto"/>
              </w:rPr>
            </w:pPr>
          </w:p>
        </w:tc>
      </w:tr>
      <w:tr>
        <w:trPr>
          <w:trHeight w:val="271"/>
        </w:trPr>
        <w:tc>
          <w:tcPr>
            <w:tcW w:w="3840" w:type="dxa"/>
            <w:vAlign w:val="bottom"/>
          </w:tcPr>
          <w:p>
            <w:pPr>
              <w:ind w:left="100"/>
              <w:spacing w:after="0"/>
              <w:rPr>
                <w:sz w:val="20"/>
                <w:szCs w:val="20"/>
                <w:color w:val="auto"/>
              </w:rPr>
            </w:pPr>
            <w:r>
              <w:rPr>
                <w:rFonts w:ascii="Arial" w:cs="Arial" w:eastAsia="Arial" w:hAnsi="Arial"/>
                <w:sz w:val="16"/>
                <w:szCs w:val="16"/>
                <w:color w:val="3B3C43"/>
              </w:rPr>
              <w:t>Maximum or above</w:t>
            </w:r>
          </w:p>
        </w:tc>
        <w:tc>
          <w:tcPr>
            <w:tcW w:w="4760" w:type="dxa"/>
            <w:vAlign w:val="bottom"/>
          </w:tcPr>
          <w:p>
            <w:pPr>
              <w:jc w:val="right"/>
              <w:ind w:right="959"/>
              <w:spacing w:after="0"/>
              <w:rPr>
                <w:sz w:val="20"/>
                <w:szCs w:val="20"/>
                <w:color w:val="auto"/>
              </w:rPr>
            </w:pPr>
            <w:r>
              <w:rPr>
                <w:rFonts w:ascii="Arial" w:cs="Arial" w:eastAsia="Arial" w:hAnsi="Arial"/>
                <w:sz w:val="16"/>
                <w:szCs w:val="16"/>
                <w:color w:val="3B3C43"/>
              </w:rPr>
              <w:t>75th percentile or greater</w:t>
            </w:r>
          </w:p>
        </w:tc>
        <w:tc>
          <w:tcPr>
            <w:tcW w:w="2640" w:type="dxa"/>
            <w:vAlign w:val="bottom"/>
          </w:tcPr>
          <w:p>
            <w:pPr>
              <w:jc w:val="right"/>
              <w:spacing w:after="0"/>
              <w:rPr>
                <w:sz w:val="20"/>
                <w:szCs w:val="20"/>
                <w:color w:val="auto"/>
              </w:rPr>
            </w:pPr>
            <w:r>
              <w:rPr>
                <w:rFonts w:ascii="Arial" w:cs="Arial" w:eastAsia="Arial" w:hAnsi="Arial"/>
                <w:sz w:val="16"/>
                <w:szCs w:val="16"/>
                <w:color w:val="3B3C43"/>
              </w:rPr>
              <w:t>200%</w:t>
            </w:r>
          </w:p>
        </w:tc>
      </w:tr>
    </w:tbl>
    <w:p>
      <w:pPr>
        <w:spacing w:after="0" w:line="173" w:lineRule="exact"/>
        <w:rPr>
          <w:sz w:val="20"/>
          <w:szCs w:val="20"/>
          <w:color w:val="auto"/>
        </w:rPr>
      </w:pPr>
    </w:p>
    <w:p>
      <w:pPr>
        <w:ind w:right="520"/>
        <w:spacing w:after="0" w:line="258" w:lineRule="auto"/>
        <w:rPr>
          <w:sz w:val="20"/>
          <w:szCs w:val="20"/>
          <w:color w:val="auto"/>
        </w:rPr>
      </w:pPr>
      <w:r>
        <w:rPr>
          <w:rFonts w:ascii="Arial" w:cs="Arial" w:eastAsia="Arial" w:hAnsi="Arial"/>
          <w:sz w:val="14"/>
          <w:szCs w:val="14"/>
          <w:color w:val="3B3C43"/>
        </w:rPr>
        <w:t>Note: If the Company’s absolute TSR is negative for the performance period, the payout in respect of the TSR element will be capped at target, regardless of our relative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3B3C43"/>
        </w:rPr>
        <w:t>For performance achievement between the levels identified above, payout percentage will be interpolated on a straightline basis.</w:t>
      </w:r>
    </w:p>
    <w:p>
      <w:pPr>
        <w:spacing w:after="0" w:line="19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99</w:t>
        <w:tab/>
        <w:t>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Indirect Compensation</w:t>
      </w:r>
    </w:p>
    <w:p>
      <w:pPr>
        <w:spacing w:after="0" w:line="16"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3B3C43"/>
        </w:rPr>
        <w:t>The final element of our compensation comprises market-aligned benefits and perquisites. These are intended to both facilitate the performance of our NEOs in their roles while ensuring we are market competitive in what we provide.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Retirement Benefits</w:t>
      </w:r>
    </w:p>
    <w:p>
      <w:pPr>
        <w:spacing w:after="0" w:line="25"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3B3C43"/>
        </w:rPr>
        <w:t>Eligibility for retirement savings plan participation depends on an NEO’s tenure and the country in which he or she is based. The majority of our NEOs participate in the U.S. Qualified and Non-Qualified Savings Plans on the same terms as other eligible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45345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453453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70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Plan</w:t>
            </w:r>
          </w:p>
        </w:tc>
        <w:tc>
          <w:tcPr>
            <w:tcW w:w="224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Eligibility</w:t>
            </w:r>
          </w:p>
        </w:tc>
        <w:tc>
          <w:tcPr>
            <w:tcW w:w="7300" w:type="dxa"/>
            <w:vAlign w:val="bottom"/>
            <w:shd w:val="clear" w:color="auto" w:fill="D21D22"/>
          </w:tcPr>
          <w:p>
            <w:pPr>
              <w:ind w:left="3320"/>
              <w:spacing w:after="0"/>
              <w:rPr>
                <w:sz w:val="20"/>
                <w:szCs w:val="20"/>
                <w:color w:val="auto"/>
              </w:rPr>
            </w:pPr>
            <w:r>
              <w:rPr>
                <w:rFonts w:ascii="Arial" w:cs="Arial" w:eastAsia="Arial" w:hAnsi="Arial"/>
                <w:sz w:val="16"/>
                <w:szCs w:val="16"/>
                <w:b w:val="1"/>
                <w:bCs w:val="1"/>
                <w:color w:val="FFFFFF"/>
              </w:rPr>
              <w:t>Features</w:t>
            </w:r>
          </w:p>
        </w:tc>
        <w:tc>
          <w:tcPr>
            <w:tcW w:w="0" w:type="dxa"/>
            <w:vAlign w:val="bottom"/>
          </w:tcPr>
          <w:p>
            <w:pPr>
              <w:spacing w:after="0"/>
              <w:rPr>
                <w:sz w:val="1"/>
                <w:szCs w:val="1"/>
                <w:color w:val="auto"/>
              </w:rPr>
            </w:pPr>
          </w:p>
        </w:tc>
      </w:tr>
      <w:tr>
        <w:trPr>
          <w:trHeight w:val="73"/>
        </w:trPr>
        <w:tc>
          <w:tcPr>
            <w:tcW w:w="1700" w:type="dxa"/>
            <w:vAlign w:val="bottom"/>
            <w:shd w:val="clear" w:color="auto" w:fill="4A1F67"/>
          </w:tcPr>
          <w:p>
            <w:pPr>
              <w:spacing w:after="0"/>
              <w:rPr>
                <w:sz w:val="6"/>
                <w:szCs w:val="6"/>
                <w:color w:val="auto"/>
              </w:rPr>
            </w:pPr>
          </w:p>
        </w:tc>
        <w:tc>
          <w:tcPr>
            <w:tcW w:w="2240" w:type="dxa"/>
            <w:vAlign w:val="bottom"/>
            <w:shd w:val="clear" w:color="auto" w:fill="00ADE9"/>
          </w:tcPr>
          <w:p>
            <w:pPr>
              <w:spacing w:after="0"/>
              <w:rPr>
                <w:sz w:val="6"/>
                <w:szCs w:val="6"/>
                <w:color w:val="auto"/>
              </w:rPr>
            </w:pPr>
          </w:p>
        </w:tc>
        <w:tc>
          <w:tcPr>
            <w:tcW w:w="7300" w:type="dxa"/>
            <w:vAlign w:val="bottom"/>
            <w:shd w:val="clear" w:color="auto" w:fill="D21D22"/>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7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U.S. Qualified</w:t>
            </w: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U.S. employees working</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Employees can contribute between 1% and 75% of eligible compensation (salary and eligible</w:t>
            </w:r>
          </w:p>
        </w:tc>
        <w:tc>
          <w:tcPr>
            <w:tcW w:w="0" w:type="dxa"/>
            <w:vAlign w:val="bottom"/>
          </w:tcPr>
          <w:p>
            <w:pPr>
              <w:spacing w:after="0"/>
              <w:rPr>
                <w:sz w:val="1"/>
                <w:szCs w:val="1"/>
                <w:color w:val="auto"/>
              </w:rPr>
            </w:pPr>
          </w:p>
        </w:tc>
      </w:tr>
      <w:tr>
        <w:trPr>
          <w:trHeight w:val="215"/>
        </w:trPr>
        <w:tc>
          <w:tcPr>
            <w:tcW w:w="17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Savings Plan</w:t>
            </w: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more than 30 hours a week</w:t>
            </w: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incentives) on a pre- and after-tax basis up to statutory limits for tax qualified plans</w:t>
            </w:r>
          </w:p>
        </w:tc>
        <w:tc>
          <w:tcPr>
            <w:tcW w:w="0" w:type="dxa"/>
            <w:vAlign w:val="bottom"/>
          </w:tcPr>
          <w:p>
            <w:pPr>
              <w:spacing w:after="0"/>
              <w:rPr>
                <w:sz w:val="1"/>
                <w:szCs w:val="1"/>
                <w:color w:val="auto"/>
              </w:rPr>
            </w:pPr>
          </w:p>
        </w:tc>
      </w:tr>
      <w:tr>
        <w:trPr>
          <w:trHeight w:val="378"/>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i w:val="1"/>
                <w:iCs w:val="1"/>
                <w:color w:val="3B3C43"/>
              </w:rPr>
              <w:t>All U.S. NEOs are eligible</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Company matches 100% of the first 5% of eligible contributions</w:t>
            </w:r>
          </w:p>
        </w:tc>
        <w:tc>
          <w:tcPr>
            <w:tcW w:w="0" w:type="dxa"/>
            <w:vAlign w:val="bottom"/>
          </w:tcPr>
          <w:p>
            <w:pPr>
              <w:spacing w:after="0"/>
              <w:rPr>
                <w:sz w:val="1"/>
                <w:szCs w:val="1"/>
                <w:color w:val="auto"/>
              </w:rPr>
            </w:pPr>
          </w:p>
        </w:tc>
      </w:tr>
      <w:tr>
        <w:trPr>
          <w:trHeight w:val="378"/>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spacing w:after="0"/>
              <w:rPr>
                <w:sz w:val="24"/>
                <w:szCs w:val="24"/>
                <w:color w:val="auto"/>
              </w:rPr>
            </w:pP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Participants are 100% vested in their contributions and matching contributions</w:t>
            </w:r>
          </w:p>
        </w:tc>
        <w:tc>
          <w:tcPr>
            <w:tcW w:w="0" w:type="dxa"/>
            <w:vAlign w:val="bottom"/>
          </w:tcPr>
          <w:p>
            <w:pPr>
              <w:spacing w:after="0"/>
              <w:rPr>
                <w:sz w:val="1"/>
                <w:szCs w:val="1"/>
                <w:color w:val="auto"/>
              </w:rPr>
            </w:pPr>
          </w:p>
        </w:tc>
      </w:tr>
      <w:tr>
        <w:trPr>
          <w:trHeight w:val="372"/>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spacing w:after="0"/>
              <w:rPr>
                <w:sz w:val="24"/>
                <w:szCs w:val="24"/>
                <w:color w:val="auto"/>
              </w:rPr>
            </w:pP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Employees receive an additional 2% non-elective Company contribution that vests after three</w:t>
            </w:r>
          </w:p>
        </w:tc>
        <w:tc>
          <w:tcPr>
            <w:tcW w:w="0" w:type="dxa"/>
            <w:vAlign w:val="bottom"/>
          </w:tcPr>
          <w:p>
            <w:pPr>
              <w:spacing w:after="0"/>
              <w:rPr>
                <w:sz w:val="1"/>
                <w:szCs w:val="1"/>
                <w:color w:val="auto"/>
              </w:rPr>
            </w:pPr>
          </w:p>
        </w:tc>
      </w:tr>
      <w:tr>
        <w:trPr>
          <w:trHeight w:val="195"/>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spacing w:after="0"/>
              <w:rPr>
                <w:sz w:val="16"/>
                <w:szCs w:val="16"/>
                <w:color w:val="auto"/>
              </w:rPr>
            </w:pP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years of service</w:t>
            </w:r>
          </w:p>
        </w:tc>
        <w:tc>
          <w:tcPr>
            <w:tcW w:w="0" w:type="dxa"/>
            <w:vAlign w:val="bottom"/>
          </w:tcPr>
          <w:p>
            <w:pPr>
              <w:spacing w:after="0"/>
              <w:rPr>
                <w:sz w:val="1"/>
                <w:szCs w:val="1"/>
                <w:color w:val="auto"/>
              </w:rPr>
            </w:pPr>
          </w:p>
        </w:tc>
      </w:tr>
      <w:tr>
        <w:trPr>
          <w:trHeight w:val="372"/>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spacing w:after="0"/>
              <w:rPr>
                <w:sz w:val="24"/>
                <w:szCs w:val="24"/>
                <w:color w:val="auto"/>
              </w:rPr>
            </w:pP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For annual compensation that exceeds the limit required for the plan to be qualified, the</w:t>
            </w:r>
          </w:p>
        </w:tc>
        <w:tc>
          <w:tcPr>
            <w:tcW w:w="0" w:type="dxa"/>
            <w:vAlign w:val="bottom"/>
          </w:tcPr>
          <w:p>
            <w:pPr>
              <w:spacing w:after="0"/>
              <w:rPr>
                <w:sz w:val="1"/>
                <w:szCs w:val="1"/>
                <w:color w:val="auto"/>
              </w:rPr>
            </w:pPr>
          </w:p>
        </w:tc>
      </w:tr>
      <w:tr>
        <w:trPr>
          <w:trHeight w:val="189"/>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spacing w:after="0"/>
              <w:rPr>
                <w:sz w:val="16"/>
                <w:szCs w:val="16"/>
                <w:color w:val="auto"/>
              </w:rPr>
            </w:pP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Company contributes 5% of such excess to the employee’s non-qualified savings plan (see</w:t>
            </w:r>
          </w:p>
        </w:tc>
        <w:tc>
          <w:tcPr>
            <w:tcW w:w="0" w:type="dxa"/>
            <w:vAlign w:val="bottom"/>
          </w:tcPr>
          <w:p>
            <w:pPr>
              <w:spacing w:after="0"/>
              <w:rPr>
                <w:sz w:val="1"/>
                <w:szCs w:val="1"/>
                <w:color w:val="auto"/>
              </w:rPr>
            </w:pPr>
          </w:p>
        </w:tc>
      </w:tr>
      <w:tr>
        <w:trPr>
          <w:trHeight w:val="195"/>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spacing w:after="0"/>
              <w:rPr>
                <w:sz w:val="16"/>
                <w:szCs w:val="16"/>
                <w:color w:val="auto"/>
              </w:rPr>
            </w:pP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below)</w:t>
            </w:r>
          </w:p>
        </w:tc>
        <w:tc>
          <w:tcPr>
            <w:tcW w:w="0" w:type="dxa"/>
            <w:vAlign w:val="bottom"/>
          </w:tcPr>
          <w:p>
            <w:pPr>
              <w:spacing w:after="0"/>
              <w:rPr>
                <w:sz w:val="1"/>
                <w:szCs w:val="1"/>
                <w:color w:val="auto"/>
              </w:rPr>
            </w:pPr>
          </w:p>
        </w:tc>
      </w:tr>
      <w:tr>
        <w:trPr>
          <w:trHeight w:val="339"/>
        </w:trPr>
        <w:tc>
          <w:tcPr>
            <w:tcW w:w="17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U.S. Non-Qualified</w:t>
            </w: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U.S. executives and other</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The Company contributes an amount equal to any missed Company contribution under the U.S.</w:t>
            </w:r>
          </w:p>
        </w:tc>
        <w:tc>
          <w:tcPr>
            <w:tcW w:w="0" w:type="dxa"/>
            <w:vAlign w:val="bottom"/>
          </w:tcPr>
          <w:p>
            <w:pPr>
              <w:spacing w:after="0"/>
              <w:rPr>
                <w:sz w:val="1"/>
                <w:szCs w:val="1"/>
                <w:color w:val="auto"/>
              </w:rPr>
            </w:pPr>
          </w:p>
        </w:tc>
      </w:tr>
      <w:tr>
        <w:trPr>
          <w:trHeight w:val="209"/>
        </w:trPr>
        <w:tc>
          <w:tcPr>
            <w:tcW w:w="17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Savings Plan</w:t>
            </w: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eligible senior employees</w:t>
            </w: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Qualified Savings Plan on annual compensation that exceeds the maximum limit required for</w:t>
            </w:r>
          </w:p>
        </w:tc>
        <w:tc>
          <w:tcPr>
            <w:tcW w:w="0" w:type="dxa"/>
            <w:vAlign w:val="bottom"/>
          </w:tcPr>
          <w:p>
            <w:pPr>
              <w:spacing w:after="0"/>
              <w:rPr>
                <w:sz w:val="1"/>
                <w:szCs w:val="1"/>
                <w:color w:val="auto"/>
              </w:rPr>
            </w:pPr>
          </w:p>
        </w:tc>
      </w:tr>
      <w:tr>
        <w:trPr>
          <w:trHeight w:val="195"/>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spacing w:after="0"/>
              <w:rPr>
                <w:sz w:val="16"/>
                <w:szCs w:val="16"/>
                <w:color w:val="auto"/>
              </w:rPr>
            </w:pP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the plan to be qualified</w:t>
            </w:r>
          </w:p>
        </w:tc>
        <w:tc>
          <w:tcPr>
            <w:tcW w:w="0" w:type="dxa"/>
            <w:vAlign w:val="bottom"/>
          </w:tcPr>
          <w:p>
            <w:pPr>
              <w:spacing w:after="0"/>
              <w:rPr>
                <w:sz w:val="1"/>
                <w:szCs w:val="1"/>
                <w:color w:val="auto"/>
              </w:rPr>
            </w:pPr>
          </w:p>
        </w:tc>
      </w:tr>
      <w:tr>
        <w:trPr>
          <w:trHeight w:val="372"/>
        </w:trPr>
        <w:tc>
          <w:tcPr>
            <w:tcW w:w="1700" w:type="dxa"/>
            <w:vAlign w:val="bottom"/>
            <w:shd w:val="clear" w:color="auto" w:fill="E1E1DF"/>
          </w:tcPr>
          <w:p>
            <w:pPr>
              <w:spacing w:after="0"/>
              <w:rPr>
                <w:sz w:val="24"/>
                <w:szCs w:val="24"/>
                <w:color w:val="auto"/>
              </w:rPr>
            </w:pPr>
          </w:p>
        </w:tc>
        <w:tc>
          <w:tcPr>
            <w:tcW w:w="2240" w:type="dxa"/>
            <w:vAlign w:val="bottom"/>
            <w:vMerge w:val="restart"/>
            <w:shd w:val="clear" w:color="auto" w:fill="E1E1DF"/>
          </w:tcPr>
          <w:p>
            <w:pPr>
              <w:ind w:left="100"/>
              <w:spacing w:after="0"/>
              <w:rPr>
                <w:sz w:val="20"/>
                <w:szCs w:val="20"/>
                <w:color w:val="auto"/>
              </w:rPr>
            </w:pPr>
            <w:r>
              <w:rPr>
                <w:rFonts w:ascii="Arial" w:cs="Arial" w:eastAsia="Arial" w:hAnsi="Arial"/>
                <w:sz w:val="16"/>
                <w:szCs w:val="16"/>
                <w:i w:val="1"/>
                <w:iCs w:val="1"/>
                <w:color w:val="3B3C43"/>
              </w:rPr>
              <w:t>All U.S. NEOs are eligible</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Intent of the plan is to ensure eligible employees receive the same contribution as a percentage</w:t>
            </w:r>
          </w:p>
        </w:tc>
        <w:tc>
          <w:tcPr>
            <w:tcW w:w="0" w:type="dxa"/>
            <w:vAlign w:val="bottom"/>
          </w:tcPr>
          <w:p>
            <w:pPr>
              <w:spacing w:after="0"/>
              <w:rPr>
                <w:sz w:val="1"/>
                <w:szCs w:val="1"/>
                <w:color w:val="auto"/>
              </w:rPr>
            </w:pPr>
          </w:p>
        </w:tc>
      </w:tr>
      <w:tr>
        <w:trPr>
          <w:trHeight w:val="195"/>
        </w:trPr>
        <w:tc>
          <w:tcPr>
            <w:tcW w:w="1700" w:type="dxa"/>
            <w:vAlign w:val="bottom"/>
            <w:shd w:val="clear" w:color="auto" w:fill="E1E1DF"/>
          </w:tcPr>
          <w:p>
            <w:pPr>
              <w:spacing w:after="0"/>
              <w:rPr>
                <w:sz w:val="16"/>
                <w:szCs w:val="16"/>
                <w:color w:val="auto"/>
              </w:rPr>
            </w:pPr>
          </w:p>
        </w:tc>
        <w:tc>
          <w:tcPr>
            <w:tcW w:w="2240" w:type="dxa"/>
            <w:vAlign w:val="bottom"/>
            <w:vMerge w:val="continue"/>
            <w:shd w:val="clear" w:color="auto" w:fill="E1E1DF"/>
          </w:tcPr>
          <w:p>
            <w:pPr>
              <w:spacing w:after="0"/>
              <w:rPr>
                <w:sz w:val="16"/>
                <w:szCs w:val="16"/>
                <w:color w:val="auto"/>
              </w:rPr>
            </w:pP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of eligible earnings from the Company regardless of their compensation level</w:t>
            </w:r>
          </w:p>
        </w:tc>
        <w:tc>
          <w:tcPr>
            <w:tcW w:w="0" w:type="dxa"/>
            <w:vAlign w:val="bottom"/>
          </w:tcPr>
          <w:p>
            <w:pPr>
              <w:spacing w:after="0"/>
              <w:rPr>
                <w:sz w:val="1"/>
                <w:szCs w:val="1"/>
                <w:color w:val="auto"/>
              </w:rPr>
            </w:pPr>
          </w:p>
        </w:tc>
      </w:tr>
      <w:tr>
        <w:trPr>
          <w:trHeight w:val="378"/>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spacing w:after="0"/>
              <w:rPr>
                <w:sz w:val="24"/>
                <w:szCs w:val="24"/>
                <w:color w:val="auto"/>
              </w:rPr>
            </w:pP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Terms mirror those of the U.S. Qualified Savings Plan</w:t>
            </w:r>
          </w:p>
        </w:tc>
        <w:tc>
          <w:tcPr>
            <w:tcW w:w="0" w:type="dxa"/>
            <w:vAlign w:val="bottom"/>
          </w:tcPr>
          <w:p>
            <w:pPr>
              <w:spacing w:after="0"/>
              <w:rPr>
                <w:sz w:val="1"/>
                <w:szCs w:val="1"/>
                <w:color w:val="auto"/>
              </w:rPr>
            </w:pPr>
          </w:p>
        </w:tc>
      </w:tr>
      <w:tr>
        <w:trPr>
          <w:trHeight w:val="372"/>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spacing w:after="0"/>
              <w:rPr>
                <w:sz w:val="24"/>
                <w:szCs w:val="24"/>
                <w:color w:val="auto"/>
              </w:rPr>
            </w:pP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Participants can contribute up to 75% of their eligible compensation (salary and eligible</w:t>
            </w:r>
          </w:p>
        </w:tc>
        <w:tc>
          <w:tcPr>
            <w:tcW w:w="0" w:type="dxa"/>
            <w:vAlign w:val="bottom"/>
          </w:tcPr>
          <w:p>
            <w:pPr>
              <w:spacing w:after="0"/>
              <w:rPr>
                <w:sz w:val="1"/>
                <w:szCs w:val="1"/>
                <w:color w:val="auto"/>
              </w:rPr>
            </w:pPr>
          </w:p>
        </w:tc>
      </w:tr>
      <w:tr>
        <w:trPr>
          <w:trHeight w:val="195"/>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spacing w:after="0"/>
              <w:rPr>
                <w:sz w:val="16"/>
                <w:szCs w:val="16"/>
                <w:color w:val="auto"/>
              </w:rPr>
            </w:pP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incentives) on a pre-tax basis</w:t>
            </w:r>
          </w:p>
        </w:tc>
        <w:tc>
          <w:tcPr>
            <w:tcW w:w="0" w:type="dxa"/>
            <w:vAlign w:val="bottom"/>
          </w:tcPr>
          <w:p>
            <w:pPr>
              <w:spacing w:after="0"/>
              <w:rPr>
                <w:sz w:val="1"/>
                <w:szCs w:val="1"/>
                <w:color w:val="auto"/>
              </w:rPr>
            </w:pPr>
          </w:p>
        </w:tc>
      </w:tr>
      <w:tr>
        <w:trPr>
          <w:trHeight w:val="378"/>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spacing w:after="0"/>
              <w:rPr>
                <w:sz w:val="24"/>
                <w:szCs w:val="24"/>
                <w:color w:val="auto"/>
              </w:rPr>
            </w:pP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Company matches 100% of the first 5% of eligible contributions</w:t>
            </w:r>
          </w:p>
        </w:tc>
        <w:tc>
          <w:tcPr>
            <w:tcW w:w="0" w:type="dxa"/>
            <w:vAlign w:val="bottom"/>
          </w:tcPr>
          <w:p>
            <w:pPr>
              <w:spacing w:after="0"/>
              <w:rPr>
                <w:sz w:val="1"/>
                <w:szCs w:val="1"/>
                <w:color w:val="auto"/>
              </w:rPr>
            </w:pPr>
          </w:p>
        </w:tc>
      </w:tr>
      <w:tr>
        <w:trPr>
          <w:trHeight w:val="378"/>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spacing w:after="0"/>
              <w:rPr>
                <w:sz w:val="24"/>
                <w:szCs w:val="24"/>
                <w:color w:val="auto"/>
              </w:rPr>
            </w:pP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Participants are 100% vested in their contributions and matching contributions</w:t>
            </w:r>
          </w:p>
        </w:tc>
        <w:tc>
          <w:tcPr>
            <w:tcW w:w="0" w:type="dxa"/>
            <w:vAlign w:val="bottom"/>
          </w:tcPr>
          <w:p>
            <w:pPr>
              <w:spacing w:after="0"/>
              <w:rPr>
                <w:sz w:val="1"/>
                <w:szCs w:val="1"/>
                <w:color w:val="auto"/>
              </w:rPr>
            </w:pPr>
          </w:p>
        </w:tc>
      </w:tr>
      <w:tr>
        <w:trPr>
          <w:trHeight w:val="372"/>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spacing w:after="0"/>
              <w:rPr>
                <w:sz w:val="24"/>
                <w:szCs w:val="24"/>
                <w:color w:val="auto"/>
              </w:rPr>
            </w:pP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Employees receive an additional 2% non-elective Company contribution that vests after three</w:t>
            </w:r>
          </w:p>
        </w:tc>
        <w:tc>
          <w:tcPr>
            <w:tcW w:w="0" w:type="dxa"/>
            <w:vAlign w:val="bottom"/>
          </w:tcPr>
          <w:p>
            <w:pPr>
              <w:spacing w:after="0"/>
              <w:rPr>
                <w:sz w:val="1"/>
                <w:szCs w:val="1"/>
                <w:color w:val="auto"/>
              </w:rPr>
            </w:pPr>
          </w:p>
        </w:tc>
      </w:tr>
      <w:tr>
        <w:trPr>
          <w:trHeight w:val="195"/>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spacing w:after="0"/>
              <w:rPr>
                <w:sz w:val="16"/>
                <w:szCs w:val="16"/>
                <w:color w:val="auto"/>
              </w:rPr>
            </w:pP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years of service</w:t>
            </w:r>
          </w:p>
        </w:tc>
        <w:tc>
          <w:tcPr>
            <w:tcW w:w="0" w:type="dxa"/>
            <w:vAlign w:val="bottom"/>
          </w:tcPr>
          <w:p>
            <w:pPr>
              <w:spacing w:after="0"/>
              <w:rPr>
                <w:sz w:val="1"/>
                <w:szCs w:val="1"/>
                <w:color w:val="auto"/>
              </w:rPr>
            </w:pPr>
          </w:p>
        </w:tc>
      </w:tr>
      <w:tr>
        <w:trPr>
          <w:trHeight w:val="372"/>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spacing w:after="0"/>
              <w:rPr>
                <w:sz w:val="24"/>
                <w:szCs w:val="24"/>
                <w:color w:val="auto"/>
              </w:rPr>
            </w:pP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All vested funds must be distributed upon an employee’s separation from service with the</w:t>
            </w:r>
          </w:p>
        </w:tc>
        <w:tc>
          <w:tcPr>
            <w:tcW w:w="0" w:type="dxa"/>
            <w:vAlign w:val="bottom"/>
          </w:tcPr>
          <w:p>
            <w:pPr>
              <w:spacing w:after="0"/>
              <w:rPr>
                <w:sz w:val="1"/>
                <w:szCs w:val="1"/>
                <w:color w:val="auto"/>
              </w:rPr>
            </w:pPr>
          </w:p>
        </w:tc>
      </w:tr>
      <w:tr>
        <w:trPr>
          <w:trHeight w:val="195"/>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spacing w:after="0"/>
              <w:rPr>
                <w:sz w:val="16"/>
                <w:szCs w:val="16"/>
                <w:color w:val="auto"/>
              </w:rPr>
            </w:pP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Company; provided, however, that there is a six-month delay for key employees</w:t>
            </w:r>
          </w:p>
        </w:tc>
        <w:tc>
          <w:tcPr>
            <w:tcW w:w="0" w:type="dxa"/>
            <w:vAlign w:val="bottom"/>
          </w:tcPr>
          <w:p>
            <w:pPr>
              <w:spacing w:after="0"/>
              <w:rPr>
                <w:sz w:val="1"/>
                <w:szCs w:val="1"/>
                <w:color w:val="auto"/>
              </w:rPr>
            </w:pPr>
          </w:p>
        </w:tc>
      </w:tr>
      <w:tr>
        <w:trPr>
          <w:trHeight w:val="74"/>
        </w:trPr>
        <w:tc>
          <w:tcPr>
            <w:tcW w:w="1700" w:type="dxa"/>
            <w:vAlign w:val="bottom"/>
            <w:shd w:val="clear" w:color="auto" w:fill="E1E1DF"/>
          </w:tcPr>
          <w:p>
            <w:pPr>
              <w:spacing w:after="0"/>
              <w:rPr>
                <w:sz w:val="6"/>
                <w:szCs w:val="6"/>
                <w:color w:val="auto"/>
              </w:rPr>
            </w:pPr>
          </w:p>
        </w:tc>
        <w:tc>
          <w:tcPr>
            <w:tcW w:w="2240" w:type="dxa"/>
            <w:vAlign w:val="bottom"/>
            <w:shd w:val="clear" w:color="auto" w:fill="E1E1DF"/>
          </w:tcPr>
          <w:p>
            <w:pPr>
              <w:spacing w:after="0"/>
              <w:rPr>
                <w:sz w:val="6"/>
                <w:szCs w:val="6"/>
                <w:color w:val="auto"/>
              </w:rPr>
            </w:pPr>
          </w:p>
        </w:tc>
        <w:tc>
          <w:tcPr>
            <w:tcW w:w="730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100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3086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08610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700" w:type="dxa"/>
            <w:vAlign w:val="bottom"/>
            <w:shd w:val="clear" w:color="auto" w:fill="4A1F67"/>
          </w:tcPr>
          <w:p>
            <w:pPr>
              <w:ind w:left="100"/>
              <w:spacing w:after="0"/>
              <w:rPr>
                <w:sz w:val="20"/>
                <w:szCs w:val="20"/>
                <w:color w:val="auto"/>
              </w:rPr>
            </w:pPr>
            <w:r>
              <w:rPr>
                <w:rFonts w:ascii="Arial" w:cs="Arial" w:eastAsia="Arial" w:hAnsi="Arial"/>
                <w:sz w:val="16"/>
                <w:szCs w:val="16"/>
                <w:b w:val="1"/>
                <w:bCs w:val="1"/>
                <w:color w:val="FFFFFF"/>
              </w:rPr>
              <w:t>Plan</w:t>
            </w:r>
          </w:p>
        </w:tc>
        <w:tc>
          <w:tcPr>
            <w:tcW w:w="2240" w:type="dxa"/>
            <w:vAlign w:val="bottom"/>
            <w:shd w:val="clear" w:color="auto" w:fill="00ADE9"/>
          </w:tcPr>
          <w:p>
            <w:pPr>
              <w:ind w:left="100"/>
              <w:spacing w:after="0"/>
              <w:rPr>
                <w:sz w:val="20"/>
                <w:szCs w:val="20"/>
                <w:color w:val="auto"/>
              </w:rPr>
            </w:pPr>
            <w:r>
              <w:rPr>
                <w:rFonts w:ascii="Arial" w:cs="Arial" w:eastAsia="Arial" w:hAnsi="Arial"/>
                <w:sz w:val="16"/>
                <w:szCs w:val="16"/>
                <w:b w:val="1"/>
                <w:bCs w:val="1"/>
                <w:color w:val="FFFFFF"/>
              </w:rPr>
              <w:t>Eligibility</w:t>
            </w:r>
          </w:p>
        </w:tc>
        <w:tc>
          <w:tcPr>
            <w:tcW w:w="7300" w:type="dxa"/>
            <w:vAlign w:val="bottom"/>
            <w:shd w:val="clear" w:color="auto" w:fill="D21D22"/>
          </w:tcPr>
          <w:p>
            <w:pPr>
              <w:ind w:left="120"/>
              <w:spacing w:after="0"/>
              <w:rPr>
                <w:sz w:val="20"/>
                <w:szCs w:val="20"/>
                <w:color w:val="auto"/>
              </w:rPr>
            </w:pPr>
            <w:r>
              <w:rPr>
                <w:rFonts w:ascii="Arial" w:cs="Arial" w:eastAsia="Arial" w:hAnsi="Arial"/>
                <w:sz w:val="16"/>
                <w:szCs w:val="16"/>
                <w:b w:val="1"/>
                <w:bCs w:val="1"/>
                <w:color w:val="FFFFFF"/>
              </w:rPr>
              <w:t>Features</w:t>
            </w:r>
          </w:p>
        </w:tc>
        <w:tc>
          <w:tcPr>
            <w:tcW w:w="0" w:type="dxa"/>
            <w:vAlign w:val="bottom"/>
          </w:tcPr>
          <w:p>
            <w:pPr>
              <w:spacing w:after="0"/>
              <w:rPr>
                <w:sz w:val="1"/>
                <w:szCs w:val="1"/>
                <w:color w:val="auto"/>
              </w:rPr>
            </w:pPr>
          </w:p>
        </w:tc>
      </w:tr>
      <w:tr>
        <w:trPr>
          <w:trHeight w:val="73"/>
        </w:trPr>
        <w:tc>
          <w:tcPr>
            <w:tcW w:w="1700" w:type="dxa"/>
            <w:vAlign w:val="bottom"/>
            <w:shd w:val="clear" w:color="auto" w:fill="4A1F67"/>
          </w:tcPr>
          <w:p>
            <w:pPr>
              <w:spacing w:after="0"/>
              <w:rPr>
                <w:sz w:val="6"/>
                <w:szCs w:val="6"/>
                <w:color w:val="auto"/>
              </w:rPr>
            </w:pPr>
          </w:p>
        </w:tc>
        <w:tc>
          <w:tcPr>
            <w:tcW w:w="2240" w:type="dxa"/>
            <w:vAlign w:val="bottom"/>
            <w:shd w:val="clear" w:color="auto" w:fill="00ADE9"/>
          </w:tcPr>
          <w:p>
            <w:pPr>
              <w:spacing w:after="0"/>
              <w:rPr>
                <w:sz w:val="6"/>
                <w:szCs w:val="6"/>
                <w:color w:val="auto"/>
              </w:rPr>
            </w:pPr>
          </w:p>
        </w:tc>
        <w:tc>
          <w:tcPr>
            <w:tcW w:w="7300" w:type="dxa"/>
            <w:vAlign w:val="bottom"/>
            <w:shd w:val="clear" w:color="auto" w:fill="D21D22"/>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17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U.S. Pension Plan</w:t>
            </w: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U.S. employees of FMC</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 tax-qualified defined benefit plan</w:t>
            </w:r>
          </w:p>
        </w:tc>
        <w:tc>
          <w:tcPr>
            <w:tcW w:w="0" w:type="dxa"/>
            <w:vAlign w:val="bottom"/>
          </w:tcPr>
          <w:p>
            <w:pPr>
              <w:spacing w:after="0"/>
              <w:rPr>
                <w:sz w:val="1"/>
                <w:szCs w:val="1"/>
                <w:color w:val="auto"/>
              </w:rPr>
            </w:pPr>
          </w:p>
        </w:tc>
      </w:tr>
      <w:tr>
        <w:trPr>
          <w:trHeight w:val="189"/>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Technologies with five years</w:t>
            </w:r>
          </w:p>
        </w:tc>
        <w:tc>
          <w:tcPr>
            <w:tcW w:w="7300" w:type="dxa"/>
            <w:vAlign w:val="bottom"/>
            <w:shd w:val="clear" w:color="auto" w:fill="E1E1D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of service prior to January 1,</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Pension based on final average pay, calculated as the highest 60 consecutive months of pay</w:t>
            </w:r>
          </w:p>
        </w:tc>
        <w:tc>
          <w:tcPr>
            <w:tcW w:w="0" w:type="dxa"/>
            <w:vAlign w:val="bottom"/>
          </w:tcPr>
          <w:p>
            <w:pPr>
              <w:spacing w:after="0"/>
              <w:rPr>
                <w:sz w:val="1"/>
                <w:szCs w:val="1"/>
                <w:color w:val="auto"/>
              </w:rPr>
            </w:pPr>
          </w:p>
        </w:tc>
      </w:tr>
      <w:tr>
        <w:trPr>
          <w:trHeight w:val="195"/>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2010</w:t>
            </w: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(base salary and annual cash incentive) in the final 120 months of service</w:t>
            </w:r>
          </w:p>
        </w:tc>
        <w:tc>
          <w:tcPr>
            <w:tcW w:w="0" w:type="dxa"/>
            <w:vAlign w:val="bottom"/>
          </w:tcPr>
          <w:p>
            <w:pPr>
              <w:spacing w:after="0"/>
              <w:rPr>
                <w:sz w:val="1"/>
                <w:szCs w:val="1"/>
                <w:color w:val="auto"/>
              </w:rPr>
            </w:pPr>
          </w:p>
        </w:tc>
      </w:tr>
      <w:tr>
        <w:trPr>
          <w:trHeight w:val="356"/>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i w:val="1"/>
                <w:iCs w:val="1"/>
                <w:color w:val="3B3C43"/>
              </w:rPr>
              <w:t>Ms. Mannen was the only</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Benefit accruals frozen for non-union employees effective December 31, 2017</w:t>
            </w:r>
          </w:p>
        </w:tc>
        <w:tc>
          <w:tcPr>
            <w:tcW w:w="0" w:type="dxa"/>
            <w:vAlign w:val="bottom"/>
          </w:tcPr>
          <w:p>
            <w:pPr>
              <w:spacing w:after="0"/>
              <w:rPr>
                <w:sz w:val="1"/>
                <w:szCs w:val="1"/>
                <w:color w:val="auto"/>
              </w:rPr>
            </w:pPr>
          </w:p>
        </w:tc>
      </w:tr>
      <w:tr>
        <w:trPr>
          <w:trHeight w:val="211"/>
        </w:trPr>
        <w:tc>
          <w:tcPr>
            <w:tcW w:w="1700" w:type="dxa"/>
            <w:vAlign w:val="bottom"/>
            <w:shd w:val="clear" w:color="auto" w:fill="E1E1DF"/>
          </w:tcPr>
          <w:p>
            <w:pPr>
              <w:spacing w:after="0"/>
              <w:rPr>
                <w:sz w:val="18"/>
                <w:szCs w:val="18"/>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i w:val="1"/>
                <w:iCs w:val="1"/>
                <w:color w:val="3B3C43"/>
              </w:rPr>
              <w:t>eligible NEO</w:t>
            </w:r>
          </w:p>
        </w:tc>
        <w:tc>
          <w:tcPr>
            <w:tcW w:w="7300" w:type="dxa"/>
            <w:vAlign w:val="bottom"/>
            <w:shd w:val="clear" w:color="auto" w:fill="E1E1DF"/>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17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U.S. NonQualified</w:t>
            </w: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U.S. executives and other</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 non-qualified defined benefit pension plan</w:t>
            </w:r>
          </w:p>
        </w:tc>
        <w:tc>
          <w:tcPr>
            <w:tcW w:w="0" w:type="dxa"/>
            <w:vAlign w:val="bottom"/>
          </w:tcPr>
          <w:p>
            <w:pPr>
              <w:spacing w:after="0"/>
              <w:rPr>
                <w:sz w:val="1"/>
                <w:szCs w:val="1"/>
                <w:color w:val="auto"/>
              </w:rPr>
            </w:pPr>
          </w:p>
        </w:tc>
      </w:tr>
      <w:tr>
        <w:trPr>
          <w:trHeight w:val="209"/>
        </w:trPr>
        <w:tc>
          <w:tcPr>
            <w:tcW w:w="17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Pension Plan</w:t>
            </w: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eligible senior employees of</w:t>
            </w:r>
          </w:p>
        </w:tc>
        <w:tc>
          <w:tcPr>
            <w:tcW w:w="7300" w:type="dxa"/>
            <w:vAlign w:val="bottom"/>
            <w:shd w:val="clear" w:color="auto" w:fill="E1E1D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FMC Technologies with five</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Pension based on final average pay, calculated as the highest 60 consecutive months of pay</w:t>
            </w:r>
          </w:p>
        </w:tc>
        <w:tc>
          <w:tcPr>
            <w:tcW w:w="0" w:type="dxa"/>
            <w:vAlign w:val="bottom"/>
          </w:tcPr>
          <w:p>
            <w:pPr>
              <w:spacing w:after="0"/>
              <w:rPr>
                <w:sz w:val="1"/>
                <w:szCs w:val="1"/>
                <w:color w:val="auto"/>
              </w:rPr>
            </w:pPr>
          </w:p>
        </w:tc>
      </w:tr>
      <w:tr>
        <w:trPr>
          <w:trHeight w:val="189"/>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years of service prior to</w:t>
            </w: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(base salary, annual cash incentive, and employee contributions made to the U.S. Non-</w:t>
            </w:r>
          </w:p>
        </w:tc>
        <w:tc>
          <w:tcPr>
            <w:tcW w:w="0" w:type="dxa"/>
            <w:vAlign w:val="bottom"/>
          </w:tcPr>
          <w:p>
            <w:pPr>
              <w:spacing w:after="0"/>
              <w:rPr>
                <w:sz w:val="1"/>
                <w:szCs w:val="1"/>
                <w:color w:val="auto"/>
              </w:rPr>
            </w:pPr>
          </w:p>
        </w:tc>
      </w:tr>
      <w:tr>
        <w:trPr>
          <w:trHeight w:val="189"/>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January 1, 2010</w:t>
            </w: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Qualified Savings Plan) in the final 120 months of service up to statutory limits for tax qualified</w:t>
            </w:r>
          </w:p>
        </w:tc>
        <w:tc>
          <w:tcPr>
            <w:tcW w:w="0" w:type="dxa"/>
            <w:vAlign w:val="bottom"/>
          </w:tcPr>
          <w:p>
            <w:pPr>
              <w:spacing w:after="0"/>
              <w:rPr>
                <w:sz w:val="1"/>
                <w:szCs w:val="1"/>
                <w:color w:val="auto"/>
              </w:rPr>
            </w:pPr>
          </w:p>
        </w:tc>
      </w:tr>
      <w:tr>
        <w:trPr>
          <w:trHeight w:val="195"/>
        </w:trPr>
        <w:tc>
          <w:tcPr>
            <w:tcW w:w="1700" w:type="dxa"/>
            <w:vAlign w:val="bottom"/>
            <w:shd w:val="clear" w:color="auto" w:fill="E1E1DF"/>
          </w:tcPr>
          <w:p>
            <w:pPr>
              <w:spacing w:after="0"/>
              <w:rPr>
                <w:sz w:val="16"/>
                <w:szCs w:val="16"/>
                <w:color w:val="auto"/>
              </w:rPr>
            </w:pPr>
          </w:p>
        </w:tc>
        <w:tc>
          <w:tcPr>
            <w:tcW w:w="2240" w:type="dxa"/>
            <w:vAlign w:val="bottom"/>
            <w:vMerge w:val="restart"/>
            <w:shd w:val="clear" w:color="auto" w:fill="E1E1DF"/>
          </w:tcPr>
          <w:p>
            <w:pPr>
              <w:ind w:left="100"/>
              <w:spacing w:after="0"/>
              <w:rPr>
                <w:sz w:val="20"/>
                <w:szCs w:val="20"/>
                <w:color w:val="auto"/>
              </w:rPr>
            </w:pPr>
            <w:r>
              <w:rPr>
                <w:rFonts w:ascii="Arial" w:cs="Arial" w:eastAsia="Arial" w:hAnsi="Arial"/>
                <w:sz w:val="16"/>
                <w:szCs w:val="16"/>
                <w:i w:val="1"/>
                <w:iCs w:val="1"/>
                <w:color w:val="3B3C43"/>
              </w:rPr>
              <w:t>Ms. Mannen was the only</w:t>
            </w: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plans</w:t>
            </w:r>
          </w:p>
        </w:tc>
        <w:tc>
          <w:tcPr>
            <w:tcW w:w="0" w:type="dxa"/>
            <w:vAlign w:val="bottom"/>
          </w:tcPr>
          <w:p>
            <w:pPr>
              <w:spacing w:after="0"/>
              <w:rPr>
                <w:sz w:val="1"/>
                <w:szCs w:val="1"/>
                <w:color w:val="auto"/>
              </w:rPr>
            </w:pPr>
          </w:p>
        </w:tc>
      </w:tr>
      <w:tr>
        <w:trPr>
          <w:trHeight w:val="167"/>
        </w:trPr>
        <w:tc>
          <w:tcPr>
            <w:tcW w:w="1700" w:type="dxa"/>
            <w:vAlign w:val="bottom"/>
            <w:shd w:val="clear" w:color="auto" w:fill="E1E1DF"/>
          </w:tcPr>
          <w:p>
            <w:pPr>
              <w:spacing w:after="0"/>
              <w:rPr>
                <w:sz w:val="14"/>
                <w:szCs w:val="14"/>
                <w:color w:val="auto"/>
              </w:rPr>
            </w:pPr>
          </w:p>
        </w:tc>
        <w:tc>
          <w:tcPr>
            <w:tcW w:w="2240" w:type="dxa"/>
            <w:vAlign w:val="bottom"/>
            <w:vMerge w:val="continue"/>
            <w:shd w:val="clear" w:color="auto" w:fill="E1E1DF"/>
          </w:tcPr>
          <w:p>
            <w:pPr>
              <w:spacing w:after="0"/>
              <w:rPr>
                <w:sz w:val="14"/>
                <w:szCs w:val="14"/>
                <w:color w:val="auto"/>
              </w:rPr>
            </w:pPr>
          </w:p>
        </w:tc>
        <w:tc>
          <w:tcPr>
            <w:tcW w:w="7300" w:type="dxa"/>
            <w:vAlign w:val="bottom"/>
            <w:shd w:val="clear" w:color="auto" w:fill="E1E1D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E1E1DF"/>
          </w:tcPr>
          <w:p>
            <w:pPr>
              <w:spacing w:after="0"/>
              <w:rPr>
                <w:sz w:val="18"/>
                <w:szCs w:val="18"/>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i w:val="1"/>
                <w:iCs w:val="1"/>
                <w:color w:val="3B3C43"/>
              </w:rPr>
              <w:t>eligible NEO</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Benefit accruals frozen for non-union employees effective December 31, 2017</w:t>
            </w:r>
          </w:p>
        </w:tc>
        <w:tc>
          <w:tcPr>
            <w:tcW w:w="0" w:type="dxa"/>
            <w:vAlign w:val="bottom"/>
          </w:tcPr>
          <w:p>
            <w:pPr>
              <w:spacing w:after="0"/>
              <w:rPr>
                <w:sz w:val="1"/>
                <w:szCs w:val="1"/>
                <w:color w:val="auto"/>
              </w:rPr>
            </w:pPr>
          </w:p>
        </w:tc>
      </w:tr>
      <w:tr>
        <w:trPr>
          <w:trHeight w:val="339"/>
        </w:trPr>
        <w:tc>
          <w:tcPr>
            <w:tcW w:w="17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Italian Statutory</w:t>
            </w: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All employees of Technip</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The TFR (Trattamento di fine rapport) is paid in any case of termination of employment</w:t>
            </w:r>
          </w:p>
        </w:tc>
        <w:tc>
          <w:tcPr>
            <w:tcW w:w="0" w:type="dxa"/>
            <w:vAlign w:val="bottom"/>
          </w:tcPr>
          <w:p>
            <w:pPr>
              <w:spacing w:after="0"/>
              <w:rPr>
                <w:sz w:val="1"/>
                <w:szCs w:val="1"/>
                <w:color w:val="auto"/>
              </w:rPr>
            </w:pPr>
          </w:p>
        </w:tc>
      </w:tr>
      <w:tr>
        <w:trPr>
          <w:trHeight w:val="215"/>
        </w:trPr>
        <w:tc>
          <w:tcPr>
            <w:tcW w:w="1700" w:type="dxa"/>
            <w:vAlign w:val="bottom"/>
            <w:shd w:val="clear" w:color="auto" w:fill="E1E1DF"/>
          </w:tcPr>
          <w:p>
            <w:pPr>
              <w:ind w:left="100"/>
              <w:spacing w:after="0"/>
              <w:rPr>
                <w:sz w:val="20"/>
                <w:szCs w:val="20"/>
                <w:color w:val="auto"/>
              </w:rPr>
            </w:pPr>
            <w:r>
              <w:rPr>
                <w:rFonts w:ascii="Arial" w:cs="Arial" w:eastAsia="Arial" w:hAnsi="Arial"/>
                <w:sz w:val="16"/>
                <w:szCs w:val="16"/>
                <w:b w:val="1"/>
                <w:bCs w:val="1"/>
                <w:color w:val="3B3C43"/>
              </w:rPr>
              <w:t>Pension Plan</w:t>
            </w: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color w:val="3B3C43"/>
              </w:rPr>
              <w:t>Italy</w:t>
            </w:r>
          </w:p>
        </w:tc>
        <w:tc>
          <w:tcPr>
            <w:tcW w:w="7300" w:type="dxa"/>
            <w:vAlign w:val="bottom"/>
            <w:shd w:val="clear" w:color="auto" w:fill="E1E1DF"/>
          </w:tcPr>
          <w:p>
            <w:pPr>
              <w:ind w:left="320"/>
              <w:spacing w:after="0"/>
              <w:rPr>
                <w:sz w:val="20"/>
                <w:szCs w:val="20"/>
                <w:color w:val="auto"/>
              </w:rPr>
            </w:pPr>
            <w:r>
              <w:rPr>
                <w:rFonts w:ascii="Arial" w:cs="Arial" w:eastAsia="Arial" w:hAnsi="Arial"/>
                <w:sz w:val="16"/>
                <w:szCs w:val="16"/>
                <w:color w:val="3B3C43"/>
              </w:rPr>
              <w:t>(including retirement)</w:t>
            </w:r>
          </w:p>
        </w:tc>
        <w:tc>
          <w:tcPr>
            <w:tcW w:w="0" w:type="dxa"/>
            <w:vAlign w:val="bottom"/>
          </w:tcPr>
          <w:p>
            <w:pPr>
              <w:spacing w:after="0"/>
              <w:rPr>
                <w:sz w:val="1"/>
                <w:szCs w:val="1"/>
                <w:color w:val="auto"/>
              </w:rPr>
            </w:pPr>
          </w:p>
        </w:tc>
      </w:tr>
      <w:tr>
        <w:trPr>
          <w:trHeight w:val="356"/>
        </w:trPr>
        <w:tc>
          <w:tcPr>
            <w:tcW w:w="1700" w:type="dxa"/>
            <w:vAlign w:val="bottom"/>
            <w:shd w:val="clear" w:color="auto" w:fill="E1E1DF"/>
          </w:tcPr>
          <w:p>
            <w:pPr>
              <w:spacing w:after="0"/>
              <w:rPr>
                <w:sz w:val="24"/>
                <w:szCs w:val="24"/>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i w:val="1"/>
                <w:iCs w:val="1"/>
                <w:color w:val="3B3C43"/>
              </w:rPr>
              <w:t>Mr. Uccelletti was the only</w:t>
            </w:r>
          </w:p>
        </w:tc>
        <w:tc>
          <w:tcPr>
            <w:tcW w:w="7300" w:type="dxa"/>
            <w:vAlign w:val="bottom"/>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Annual accrual is salary divided by 13.5</w:t>
            </w:r>
          </w:p>
        </w:tc>
        <w:tc>
          <w:tcPr>
            <w:tcW w:w="0" w:type="dxa"/>
            <w:vAlign w:val="bottom"/>
          </w:tcPr>
          <w:p>
            <w:pPr>
              <w:spacing w:after="0"/>
              <w:rPr>
                <w:sz w:val="1"/>
                <w:szCs w:val="1"/>
                <w:color w:val="auto"/>
              </w:rPr>
            </w:pPr>
          </w:p>
        </w:tc>
      </w:tr>
      <w:tr>
        <w:trPr>
          <w:trHeight w:val="211"/>
        </w:trPr>
        <w:tc>
          <w:tcPr>
            <w:tcW w:w="1700" w:type="dxa"/>
            <w:vAlign w:val="bottom"/>
            <w:shd w:val="clear" w:color="auto" w:fill="E1E1DF"/>
          </w:tcPr>
          <w:p>
            <w:pPr>
              <w:spacing w:after="0"/>
              <w:rPr>
                <w:sz w:val="18"/>
                <w:szCs w:val="18"/>
                <w:color w:val="auto"/>
              </w:rPr>
            </w:pPr>
          </w:p>
        </w:tc>
        <w:tc>
          <w:tcPr>
            <w:tcW w:w="2240" w:type="dxa"/>
            <w:vAlign w:val="bottom"/>
            <w:shd w:val="clear" w:color="auto" w:fill="E1E1DF"/>
          </w:tcPr>
          <w:p>
            <w:pPr>
              <w:ind w:left="100"/>
              <w:spacing w:after="0"/>
              <w:rPr>
                <w:sz w:val="20"/>
                <w:szCs w:val="20"/>
                <w:color w:val="auto"/>
              </w:rPr>
            </w:pPr>
            <w:r>
              <w:rPr>
                <w:rFonts w:ascii="Arial" w:cs="Arial" w:eastAsia="Arial" w:hAnsi="Arial"/>
                <w:sz w:val="16"/>
                <w:szCs w:val="16"/>
                <w:i w:val="1"/>
                <w:iCs w:val="1"/>
                <w:color w:val="3B3C43"/>
              </w:rPr>
              <w:t>eligible NEO</w:t>
            </w:r>
          </w:p>
        </w:tc>
        <w:tc>
          <w:tcPr>
            <w:tcW w:w="7300" w:type="dxa"/>
            <w:vAlign w:val="bottom"/>
            <w:vMerge w:val="restart"/>
            <w:shd w:val="clear" w:color="auto" w:fill="E1E1DF"/>
          </w:tcPr>
          <w:p>
            <w:pPr>
              <w:ind w:left="12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At the employee’s request, this amount can be transferred to a private pension fund</w:t>
            </w:r>
          </w:p>
        </w:tc>
        <w:tc>
          <w:tcPr>
            <w:tcW w:w="0" w:type="dxa"/>
            <w:vAlign w:val="bottom"/>
          </w:tcPr>
          <w:p>
            <w:pPr>
              <w:spacing w:after="0"/>
              <w:rPr>
                <w:sz w:val="1"/>
                <w:szCs w:val="1"/>
                <w:color w:val="auto"/>
              </w:rPr>
            </w:pPr>
          </w:p>
        </w:tc>
      </w:tr>
      <w:tr>
        <w:trPr>
          <w:trHeight w:val="189"/>
        </w:trPr>
        <w:tc>
          <w:tcPr>
            <w:tcW w:w="1700" w:type="dxa"/>
            <w:vAlign w:val="bottom"/>
            <w:shd w:val="clear" w:color="auto" w:fill="E1E1DF"/>
          </w:tcPr>
          <w:p>
            <w:pPr>
              <w:spacing w:after="0"/>
              <w:rPr>
                <w:sz w:val="16"/>
                <w:szCs w:val="16"/>
                <w:color w:val="auto"/>
              </w:rPr>
            </w:pPr>
          </w:p>
        </w:tc>
        <w:tc>
          <w:tcPr>
            <w:tcW w:w="2240" w:type="dxa"/>
            <w:vAlign w:val="bottom"/>
            <w:shd w:val="clear" w:color="auto" w:fill="E1E1DF"/>
          </w:tcPr>
          <w:p>
            <w:pPr>
              <w:spacing w:after="0"/>
              <w:rPr>
                <w:sz w:val="16"/>
                <w:szCs w:val="16"/>
                <w:color w:val="auto"/>
              </w:rPr>
            </w:pPr>
          </w:p>
        </w:tc>
        <w:tc>
          <w:tcPr>
            <w:tcW w:w="7300" w:type="dxa"/>
            <w:vAlign w:val="bottom"/>
            <w:vMerge w:val="continue"/>
            <w:shd w:val="clear" w:color="auto" w:fill="E1E1DF"/>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700" w:type="dxa"/>
            <w:vAlign w:val="bottom"/>
            <w:shd w:val="clear" w:color="auto" w:fill="E1E1DF"/>
          </w:tcPr>
          <w:p>
            <w:pPr>
              <w:spacing w:after="0"/>
              <w:rPr>
                <w:sz w:val="6"/>
                <w:szCs w:val="6"/>
                <w:color w:val="auto"/>
              </w:rPr>
            </w:pPr>
          </w:p>
        </w:tc>
        <w:tc>
          <w:tcPr>
            <w:tcW w:w="2240" w:type="dxa"/>
            <w:vAlign w:val="bottom"/>
            <w:shd w:val="clear" w:color="auto" w:fill="E1E1DF"/>
          </w:tcPr>
          <w:p>
            <w:pPr>
              <w:spacing w:after="0"/>
              <w:rPr>
                <w:sz w:val="6"/>
                <w:szCs w:val="6"/>
                <w:color w:val="auto"/>
              </w:rPr>
            </w:pPr>
          </w:p>
        </w:tc>
        <w:tc>
          <w:tcPr>
            <w:tcW w:w="7300" w:type="dxa"/>
            <w:vAlign w:val="bottom"/>
            <w:shd w:val="clear" w:color="auto" w:fill="E1E1DF"/>
          </w:tcPr>
          <w:p>
            <w:pPr>
              <w:spacing w:after="0"/>
              <w:rPr>
                <w:sz w:val="6"/>
                <w:szCs w:val="6"/>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Perquisites</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B3C43"/>
        </w:rPr>
        <w:t>The Company also provides limited perquisites to NEOs, facilitating the performance of their roles and to ensure a competitive total compensation package. The perquisites we provide to our executives may include financial planning and personal tax assistance, personal use of Company automobiles, dining club memberships and country club memberships, executive physicals and other minor expenses associated with their business responsibilities. The value of perquisites deemed to be personal is imputed as income to an executive officer, and we do not gross up for the taxes due on such imputed income. Additional allowances or benefits may be granted to NEOs, if considered appropriate and reasonable.</w:t>
      </w:r>
    </w:p>
    <w:p>
      <w:pPr>
        <w:spacing w:after="0" w:line="176"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3B3C43"/>
        </w:rPr>
        <w:t>Reflecting the safety concerns associated with their roles, the Company provides a security program for our executive officers. The Compensation Committee believes this is in the best interests of shareholders as the personal safety and security of our executive officers is critical to the stability of the Company. The security program was developed based on a risk assessment determined to be appropriate by our security team and an outside consultant. We do not consider the security measures provided to our executive officers to be a personal benefit, but rather reasonable and necessary expenses for the benefit of the Company. However, in accordance with SEC disclosure rules, the aggregate incremental cost of these services is reported in the Summary Compensation Table.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101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Other Compensation, Benefits, and Considerations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Executive Severance Benefits</w:t>
      </w:r>
    </w:p>
    <w:p>
      <w:pPr>
        <w:spacing w:after="0" w:line="1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3B3C43"/>
        </w:rPr>
        <w:t>It is our policy to offer severance benefits to our executive officers because we believe that severance benefits provide important financial protection to executive officers in the event of involuntary job loss, are consistent with the practices of peer companies, and are appropriate for the retention of executive talent.</w:t>
      </w:r>
    </w:p>
    <w:p>
      <w:pPr>
        <w:spacing w:after="0" w:line="17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B3C43"/>
        </w:rPr>
        <w:t>Our executive officers, including our NEOs, are entitled to severance benefits outside of a change-in-control context pursuant to our executive severance plan or individual employment agreements, the material terms of which are described in the chart below. Our general executive severance arrangements are consistent with the market practice of large public companies surveyed by Willis Towers Watson. Change-in-control severance benefits, as described below, and general severance benefits are exclusive of one another, and in no circumstance would any NEO receive benefits under both a change-in-control severance agreement and our general executive severance plan.</w:t>
      </w:r>
    </w:p>
    <w:p>
      <w:pPr>
        <w:spacing w:after="0" w:line="17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3B3C43"/>
        </w:rPr>
        <w:t>Each of our NEOs is party to an Executive Severance Agreement, pursuant to which he or she is entitled to enhanced severance in the event of a qualifying termination in connection with a change-in-control event. We entered into the Executive Severance Agreements to ensure executives are incentivized to continue to work in the Company’s best interests during the period of time when a change-in-control transaction is taking place and in order to ensure we have the ability to maintain continuity of management. The Compensation Committee believes it is appropriate to provide executives with the assurance that they will not be adversely affected by a change-in-control transaction without fair compensation, except in the case of termination for cause. The material terms of the Executive Severance Agreements are described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2061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0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Separation</w:t>
            </w:r>
          </w:p>
        </w:tc>
        <w:tc>
          <w:tcPr>
            <w:tcW w:w="9540" w:type="dxa"/>
            <w:vAlign w:val="bottom"/>
            <w:shd w:val="clear" w:color="auto" w:fill="00B0F0"/>
          </w:tcPr>
          <w:p>
            <w:pPr>
              <w:ind w:left="100"/>
              <w:spacing w:after="0"/>
              <w:rPr>
                <w:sz w:val="20"/>
                <w:szCs w:val="20"/>
                <w:color w:val="auto"/>
              </w:rPr>
            </w:pPr>
            <w:r>
              <w:rPr>
                <w:rFonts w:ascii="Arial" w:cs="Arial" w:eastAsia="Arial" w:hAnsi="Arial"/>
                <w:sz w:val="16"/>
                <w:szCs w:val="16"/>
                <w:b w:val="1"/>
                <w:bCs w:val="1"/>
                <w:color w:val="FFFFFF"/>
              </w:rPr>
              <w:t>Provisions under TechnipFMC Executive Severance Plan, Executive</w:t>
            </w:r>
          </w:p>
        </w:tc>
        <w:tc>
          <w:tcPr>
            <w:tcW w:w="0" w:type="dxa"/>
            <w:vAlign w:val="bottom"/>
          </w:tcPr>
          <w:p>
            <w:pPr>
              <w:spacing w:after="0"/>
              <w:rPr>
                <w:sz w:val="1"/>
                <w:szCs w:val="1"/>
                <w:color w:val="auto"/>
              </w:rPr>
            </w:pPr>
          </w:p>
        </w:tc>
      </w:tr>
      <w:tr>
        <w:trPr>
          <w:trHeight w:val="215"/>
        </w:trPr>
        <w:tc>
          <w:tcPr>
            <w:tcW w:w="170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Scenario</w:t>
            </w:r>
          </w:p>
        </w:tc>
        <w:tc>
          <w:tcPr>
            <w:tcW w:w="9540" w:type="dxa"/>
            <w:vAlign w:val="bottom"/>
            <w:shd w:val="clear" w:color="auto" w:fill="00B0F0"/>
          </w:tcPr>
          <w:p>
            <w:pPr>
              <w:ind w:left="100"/>
              <w:spacing w:after="0"/>
              <w:rPr>
                <w:sz w:val="20"/>
                <w:szCs w:val="20"/>
                <w:color w:val="auto"/>
              </w:rPr>
            </w:pPr>
            <w:r>
              <w:rPr>
                <w:rFonts w:ascii="Arial" w:cs="Arial" w:eastAsia="Arial" w:hAnsi="Arial"/>
                <w:sz w:val="16"/>
                <w:szCs w:val="16"/>
                <w:b w:val="1"/>
                <w:bCs w:val="1"/>
                <w:color w:val="FFFFFF"/>
              </w:rPr>
              <w:t>Severance Agreement, or Relevant Equity Award Agreements</w:t>
            </w:r>
          </w:p>
        </w:tc>
        <w:tc>
          <w:tcPr>
            <w:tcW w:w="0" w:type="dxa"/>
            <w:vAlign w:val="bottom"/>
          </w:tcPr>
          <w:p>
            <w:pPr>
              <w:spacing w:after="0"/>
              <w:rPr>
                <w:sz w:val="1"/>
                <w:szCs w:val="1"/>
                <w:color w:val="auto"/>
              </w:rPr>
            </w:pPr>
          </w:p>
        </w:tc>
      </w:tr>
      <w:tr>
        <w:trPr>
          <w:trHeight w:val="73"/>
        </w:trPr>
        <w:tc>
          <w:tcPr>
            <w:tcW w:w="1700" w:type="dxa"/>
            <w:vAlign w:val="bottom"/>
            <w:shd w:val="clear" w:color="auto" w:fill="4B1F68"/>
          </w:tcPr>
          <w:p>
            <w:pPr>
              <w:spacing w:after="0"/>
              <w:rPr>
                <w:sz w:val="6"/>
                <w:szCs w:val="6"/>
                <w:color w:val="auto"/>
              </w:rPr>
            </w:pPr>
          </w:p>
        </w:tc>
        <w:tc>
          <w:tcPr>
            <w:tcW w:w="9540" w:type="dxa"/>
            <w:vAlign w:val="bottom"/>
            <w:shd w:val="clear" w:color="auto" w:fill="00B0F0"/>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Termination</w:t>
            </w: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Cash severance equal to 18 months of base salary and target annual cash incentive</w:t>
            </w:r>
          </w:p>
        </w:tc>
        <w:tc>
          <w:tcPr>
            <w:tcW w:w="0" w:type="dxa"/>
            <w:vAlign w:val="bottom"/>
          </w:tcPr>
          <w:p>
            <w:pPr>
              <w:spacing w:after="0"/>
              <w:rPr>
                <w:sz w:val="1"/>
                <w:szCs w:val="1"/>
                <w:color w:val="auto"/>
              </w:rPr>
            </w:pPr>
          </w:p>
        </w:tc>
      </w:tr>
      <w:tr>
        <w:trPr>
          <w:trHeight w:val="215"/>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without cause</w:t>
            </w:r>
          </w:p>
        </w:tc>
        <w:tc>
          <w:tcPr>
            <w:tcW w:w="9540" w:type="dxa"/>
            <w:vAlign w:val="bottom"/>
            <w:vMerge w:val="restart"/>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Pro-rated target annual cash incentive for the year of termination</w:t>
            </w:r>
          </w:p>
        </w:tc>
        <w:tc>
          <w:tcPr>
            <w:tcW w:w="0" w:type="dxa"/>
            <w:vAlign w:val="bottom"/>
          </w:tcPr>
          <w:p>
            <w:pPr>
              <w:spacing w:after="0"/>
              <w:rPr>
                <w:sz w:val="1"/>
                <w:szCs w:val="1"/>
                <w:color w:val="auto"/>
              </w:rPr>
            </w:pPr>
          </w:p>
        </w:tc>
      </w:tr>
      <w:tr>
        <w:trPr>
          <w:trHeight w:val="189"/>
        </w:trPr>
        <w:tc>
          <w:tcPr>
            <w:tcW w:w="1700" w:type="dxa"/>
            <w:vAlign w:val="bottom"/>
            <w:shd w:val="clear" w:color="auto" w:fill="E1E2E0"/>
          </w:tcPr>
          <w:p>
            <w:pPr>
              <w:spacing w:after="0"/>
              <w:rPr>
                <w:sz w:val="16"/>
                <w:szCs w:val="16"/>
                <w:color w:val="auto"/>
              </w:rPr>
            </w:pPr>
          </w:p>
        </w:tc>
        <w:tc>
          <w:tcPr>
            <w:tcW w:w="9540" w:type="dxa"/>
            <w:vAlign w:val="bottom"/>
            <w:vMerge w:val="continue"/>
            <w:shd w:val="clear" w:color="auto" w:fill="E1E2E0"/>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18 months of medical and dental benefits continuation</w:t>
            </w:r>
          </w:p>
        </w:tc>
        <w:tc>
          <w:tcPr>
            <w:tcW w:w="0" w:type="dxa"/>
            <w:vAlign w:val="bottom"/>
          </w:tcPr>
          <w:p>
            <w:pPr>
              <w:spacing w:after="0"/>
              <w:rPr>
                <w:sz w:val="1"/>
                <w:szCs w:val="1"/>
                <w:color w:val="auto"/>
              </w:rPr>
            </w:pP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Outplacement assistance as appropriate</w:t>
            </w:r>
          </w:p>
        </w:tc>
        <w:tc>
          <w:tcPr>
            <w:tcW w:w="0" w:type="dxa"/>
            <w:vAlign w:val="bottom"/>
          </w:tcPr>
          <w:p>
            <w:pPr>
              <w:spacing w:after="0"/>
              <w:rPr>
                <w:sz w:val="1"/>
                <w:szCs w:val="1"/>
                <w:color w:val="auto"/>
              </w:rPr>
            </w:pP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Financial planning and tax preparation assistance for the final calendar year of employment</w:t>
            </w:r>
          </w:p>
        </w:tc>
        <w:tc>
          <w:tcPr>
            <w:tcW w:w="0" w:type="dxa"/>
            <w:vAlign w:val="bottom"/>
          </w:tcPr>
          <w:p>
            <w:pPr>
              <w:spacing w:after="0"/>
              <w:rPr>
                <w:sz w:val="1"/>
                <w:szCs w:val="1"/>
                <w:color w:val="auto"/>
              </w:rPr>
            </w:pP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Severance benefits subject to compliance with non-disclosure, non-compete, and nonsolicitation covenants</w:t>
            </w:r>
          </w:p>
        </w:tc>
        <w:tc>
          <w:tcPr>
            <w:tcW w:w="0" w:type="dxa"/>
            <w:vAlign w:val="bottom"/>
          </w:tcPr>
          <w:p>
            <w:pPr>
              <w:spacing w:after="0"/>
              <w:rPr>
                <w:sz w:val="1"/>
                <w:szCs w:val="1"/>
                <w:color w:val="auto"/>
              </w:rPr>
            </w:pP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Equity treated pursuant to the terms of the applicable plan</w:t>
            </w:r>
          </w:p>
        </w:tc>
        <w:tc>
          <w:tcPr>
            <w:tcW w:w="0" w:type="dxa"/>
            <w:vAlign w:val="bottom"/>
          </w:tcPr>
          <w:p>
            <w:pPr>
              <w:spacing w:after="0"/>
              <w:rPr>
                <w:sz w:val="1"/>
                <w:szCs w:val="1"/>
                <w:color w:val="auto"/>
              </w:rPr>
            </w:pP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No tax gross-ups on any payments</w:t>
            </w:r>
          </w:p>
        </w:tc>
        <w:tc>
          <w:tcPr>
            <w:tcW w:w="0" w:type="dxa"/>
            <w:vAlign w:val="bottom"/>
          </w:tcPr>
          <w:p>
            <w:pPr>
              <w:spacing w:after="0"/>
              <w:rPr>
                <w:sz w:val="1"/>
                <w:szCs w:val="1"/>
                <w:color w:val="auto"/>
              </w:rPr>
            </w:pPr>
          </w:p>
        </w:tc>
      </w:tr>
      <w:tr>
        <w:trPr>
          <w:trHeight w:val="553"/>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Retirement</w:t>
            </w: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Outstanding equity settled on the originally scheduled date</w:t>
            </w:r>
          </w:p>
        </w:tc>
        <w:tc>
          <w:tcPr>
            <w:tcW w:w="0" w:type="dxa"/>
            <w:vAlign w:val="bottom"/>
          </w:tcPr>
          <w:p>
            <w:pPr>
              <w:spacing w:after="0"/>
              <w:rPr>
                <w:sz w:val="1"/>
                <w:szCs w:val="1"/>
                <w:color w:val="auto"/>
              </w:rPr>
            </w:pP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Outstanding PSUs will remain subject to the original performance conditions, measured at the originally scheduled date</w:t>
            </w:r>
          </w:p>
        </w:tc>
        <w:tc>
          <w:tcPr>
            <w:tcW w:w="0" w:type="dxa"/>
            <w:vAlign w:val="bottom"/>
          </w:tcPr>
          <w:p>
            <w:pPr>
              <w:spacing w:after="0"/>
              <w:rPr>
                <w:sz w:val="1"/>
                <w:szCs w:val="1"/>
                <w:color w:val="auto"/>
              </w:rPr>
            </w:pPr>
          </w:p>
        </w:tc>
      </w:tr>
      <w:tr>
        <w:trPr>
          <w:trHeight w:val="553"/>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Death or disability</w:t>
            </w: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Accelerated vesting of all granted and outstanding equity awards, with outstanding PSUs vesting at target</w:t>
            </w:r>
          </w:p>
        </w:tc>
        <w:tc>
          <w:tcPr>
            <w:tcW w:w="0" w:type="dxa"/>
            <w:vAlign w:val="bottom"/>
          </w:tcPr>
          <w:p>
            <w:pPr>
              <w:spacing w:after="0"/>
              <w:rPr>
                <w:sz w:val="1"/>
                <w:szCs w:val="1"/>
                <w:color w:val="auto"/>
              </w:rPr>
            </w:pPr>
          </w:p>
        </w:tc>
      </w:tr>
      <w:tr>
        <w:trPr>
          <w:trHeight w:val="74"/>
        </w:trPr>
        <w:tc>
          <w:tcPr>
            <w:tcW w:w="1700" w:type="dxa"/>
            <w:vAlign w:val="bottom"/>
            <w:shd w:val="clear" w:color="auto" w:fill="E1E2E0"/>
          </w:tcPr>
          <w:p>
            <w:pPr>
              <w:spacing w:after="0"/>
              <w:rPr>
                <w:sz w:val="6"/>
                <w:szCs w:val="6"/>
                <w:color w:val="auto"/>
              </w:rPr>
            </w:pPr>
          </w:p>
        </w:tc>
        <w:tc>
          <w:tcPr>
            <w:tcW w:w="9540" w:type="dxa"/>
            <w:vAlign w:val="bottom"/>
            <w:shd w:val="clear" w:color="auto" w:fill="E1E2E0"/>
          </w:tcPr>
          <w:p>
            <w:pPr>
              <w:spacing w:after="0"/>
              <w:rPr>
                <w:sz w:val="6"/>
                <w:szCs w:val="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102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274955</wp:posOffset>
            </wp:positionV>
            <wp:extent cx="8890" cy="29660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296608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70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Separation</w:t>
            </w:r>
          </w:p>
        </w:tc>
        <w:tc>
          <w:tcPr>
            <w:tcW w:w="9540" w:type="dxa"/>
            <w:vAlign w:val="bottom"/>
            <w:shd w:val="clear" w:color="auto" w:fill="00B0F0"/>
          </w:tcPr>
          <w:p>
            <w:pPr>
              <w:ind w:left="100"/>
              <w:spacing w:after="0"/>
              <w:rPr>
                <w:sz w:val="20"/>
                <w:szCs w:val="20"/>
                <w:color w:val="auto"/>
              </w:rPr>
            </w:pPr>
            <w:r>
              <w:rPr>
                <w:rFonts w:ascii="Arial" w:cs="Arial" w:eastAsia="Arial" w:hAnsi="Arial"/>
                <w:sz w:val="16"/>
                <w:szCs w:val="16"/>
                <w:b w:val="1"/>
                <w:bCs w:val="1"/>
                <w:color w:val="FFFFFF"/>
              </w:rPr>
              <w:t>Provisions under TechnipFMC Executive Severance Plan, Executive</w:t>
            </w:r>
          </w:p>
        </w:tc>
      </w:tr>
      <w:tr>
        <w:trPr>
          <w:trHeight w:val="215"/>
        </w:trPr>
        <w:tc>
          <w:tcPr>
            <w:tcW w:w="170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Scenario</w:t>
            </w:r>
          </w:p>
        </w:tc>
        <w:tc>
          <w:tcPr>
            <w:tcW w:w="9540" w:type="dxa"/>
            <w:vAlign w:val="bottom"/>
            <w:shd w:val="clear" w:color="auto" w:fill="00B0F0"/>
          </w:tcPr>
          <w:p>
            <w:pPr>
              <w:ind w:left="100"/>
              <w:spacing w:after="0"/>
              <w:rPr>
                <w:sz w:val="20"/>
                <w:szCs w:val="20"/>
                <w:color w:val="auto"/>
              </w:rPr>
            </w:pPr>
            <w:r>
              <w:rPr>
                <w:rFonts w:ascii="Arial" w:cs="Arial" w:eastAsia="Arial" w:hAnsi="Arial"/>
                <w:sz w:val="16"/>
                <w:szCs w:val="16"/>
                <w:b w:val="1"/>
                <w:bCs w:val="1"/>
                <w:color w:val="FFFFFF"/>
              </w:rPr>
              <w:t>Severance Agreement, or Relevant Equity Award Agreements</w:t>
            </w:r>
          </w:p>
        </w:tc>
      </w:tr>
      <w:tr>
        <w:trPr>
          <w:trHeight w:val="73"/>
        </w:trPr>
        <w:tc>
          <w:tcPr>
            <w:tcW w:w="1700" w:type="dxa"/>
            <w:vAlign w:val="bottom"/>
            <w:shd w:val="clear" w:color="auto" w:fill="4B1F68"/>
          </w:tcPr>
          <w:p>
            <w:pPr>
              <w:spacing w:after="0"/>
              <w:rPr>
                <w:sz w:val="6"/>
                <w:szCs w:val="6"/>
                <w:color w:val="auto"/>
              </w:rPr>
            </w:pPr>
          </w:p>
        </w:tc>
        <w:tc>
          <w:tcPr>
            <w:tcW w:w="9540" w:type="dxa"/>
            <w:vAlign w:val="bottom"/>
            <w:shd w:val="clear" w:color="auto" w:fill="00B0F0"/>
          </w:tcPr>
          <w:p>
            <w:pPr>
              <w:spacing w:after="0"/>
              <w:rPr>
                <w:sz w:val="6"/>
                <w:szCs w:val="6"/>
                <w:color w:val="auto"/>
              </w:rPr>
            </w:pPr>
          </w:p>
        </w:tc>
      </w:tr>
      <w:tr>
        <w:trPr>
          <w:trHeight w:val="252"/>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Qualifying</w:t>
            </w: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Double trigger requirements, meaning a change-in-control event must occur, followed by a qualifying termination within 24</w:t>
            </w:r>
          </w:p>
        </w:tc>
      </w:tr>
      <w:tr>
        <w:trPr>
          <w:trHeight w:val="189"/>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termination without</w:t>
            </w:r>
          </w:p>
        </w:tc>
        <w:tc>
          <w:tcPr>
            <w:tcW w:w="954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months</w:t>
            </w:r>
          </w:p>
        </w:tc>
      </w:tr>
      <w:tr>
        <w:trPr>
          <w:trHeight w:val="189"/>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cause or</w:t>
            </w:r>
          </w:p>
        </w:tc>
        <w:tc>
          <w:tcPr>
            <w:tcW w:w="9540" w:type="dxa"/>
            <w:vAlign w:val="bottom"/>
            <w:shd w:val="clear" w:color="auto" w:fill="E1E2E0"/>
          </w:tcPr>
          <w:p>
            <w:pPr>
              <w:spacing w:after="0"/>
              <w:rPr>
                <w:sz w:val="16"/>
                <w:szCs w:val="16"/>
                <w:color w:val="auto"/>
              </w:rPr>
            </w:pPr>
          </w:p>
        </w:tc>
      </w:tr>
      <w:tr>
        <w:trPr>
          <w:trHeight w:val="189"/>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resignation for</w:t>
            </w: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“Qualifying termination” defined as termination by the Company without cause, or if the executive terminates employment for</w:t>
            </w:r>
          </w:p>
        </w:tc>
      </w:tr>
      <w:tr>
        <w:trPr>
          <w:trHeight w:val="189"/>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good reason</w:t>
            </w:r>
          </w:p>
        </w:tc>
        <w:tc>
          <w:tcPr>
            <w:tcW w:w="954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good reason (e.g., material change in responsibilities, material reduction in salary and/or benefits, significant change in location</w:t>
            </w:r>
          </w:p>
        </w:tc>
      </w:tr>
      <w:tr>
        <w:trPr>
          <w:trHeight w:val="189"/>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following a</w:t>
            </w:r>
          </w:p>
        </w:tc>
        <w:tc>
          <w:tcPr>
            <w:tcW w:w="954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of employment)</w:t>
            </w:r>
          </w:p>
        </w:tc>
      </w:tr>
      <w:tr>
        <w:trPr>
          <w:trHeight w:val="189"/>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change-in- control</w:t>
            </w:r>
          </w:p>
        </w:tc>
        <w:tc>
          <w:tcPr>
            <w:tcW w:w="9540" w:type="dxa"/>
            <w:vAlign w:val="bottom"/>
            <w:shd w:val="clear" w:color="auto" w:fill="E1E2E0"/>
          </w:tcPr>
          <w:p>
            <w:pPr>
              <w:spacing w:after="0"/>
              <w:rPr>
                <w:sz w:val="16"/>
                <w:szCs w:val="16"/>
                <w:color w:val="auto"/>
              </w:rPr>
            </w:pPr>
          </w:p>
        </w:tc>
      </w:tr>
      <w:tr>
        <w:trPr>
          <w:trHeight w:val="209"/>
        </w:trPr>
        <w:tc>
          <w:tcPr>
            <w:tcW w:w="1700" w:type="dxa"/>
            <w:vAlign w:val="bottom"/>
            <w:shd w:val="clear" w:color="auto" w:fill="E1E2E0"/>
          </w:tcPr>
          <w:p>
            <w:pPr>
              <w:ind w:left="100"/>
              <w:spacing w:after="0"/>
              <w:rPr>
                <w:sz w:val="20"/>
                <w:szCs w:val="20"/>
                <w:color w:val="auto"/>
              </w:rPr>
            </w:pPr>
            <w:r>
              <w:rPr>
                <w:rFonts w:ascii="Arial" w:cs="Arial" w:eastAsia="Arial" w:hAnsi="Arial"/>
                <w:sz w:val="16"/>
                <w:szCs w:val="16"/>
                <w:b w:val="1"/>
                <w:bCs w:val="1"/>
                <w:color w:val="3B3C43"/>
              </w:rPr>
              <w:t>event</w:t>
            </w: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Cash severance equal to two to three times the greater of the executive’s annual base salary on the date of the agreement or</w:t>
            </w:r>
          </w:p>
        </w:tc>
      </w:tr>
      <w:tr>
        <w:trPr>
          <w:trHeight w:val="189"/>
        </w:trPr>
        <w:tc>
          <w:tcPr>
            <w:tcW w:w="1700" w:type="dxa"/>
            <w:vAlign w:val="bottom"/>
            <w:shd w:val="clear" w:color="auto" w:fill="E1E2E0"/>
          </w:tcPr>
          <w:p>
            <w:pPr>
              <w:spacing w:after="0"/>
              <w:rPr>
                <w:sz w:val="16"/>
                <w:szCs w:val="16"/>
                <w:color w:val="auto"/>
              </w:rPr>
            </w:pPr>
          </w:p>
        </w:tc>
        <w:tc>
          <w:tcPr>
            <w:tcW w:w="954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the date of termination and two to three times the greater of his or her average actual annual cash incentive paid in the three</w:t>
            </w:r>
          </w:p>
        </w:tc>
      </w:tr>
      <w:tr>
        <w:trPr>
          <w:trHeight w:val="195"/>
        </w:trPr>
        <w:tc>
          <w:tcPr>
            <w:tcW w:w="1700" w:type="dxa"/>
            <w:vAlign w:val="bottom"/>
            <w:shd w:val="clear" w:color="auto" w:fill="E1E2E0"/>
          </w:tcPr>
          <w:p>
            <w:pPr>
              <w:spacing w:after="0"/>
              <w:rPr>
                <w:sz w:val="16"/>
                <w:szCs w:val="16"/>
                <w:color w:val="auto"/>
              </w:rPr>
            </w:pPr>
          </w:p>
        </w:tc>
        <w:tc>
          <w:tcPr>
            <w:tcW w:w="9540" w:type="dxa"/>
            <w:vAlign w:val="bottom"/>
            <w:shd w:val="clear" w:color="auto" w:fill="E1E2E0"/>
          </w:tcPr>
          <w:p>
            <w:pPr>
              <w:ind w:left="320"/>
              <w:spacing w:after="0"/>
              <w:rPr>
                <w:sz w:val="20"/>
                <w:szCs w:val="20"/>
                <w:color w:val="auto"/>
              </w:rPr>
            </w:pPr>
            <w:r>
              <w:rPr>
                <w:rFonts w:ascii="Arial" w:cs="Arial" w:eastAsia="Arial" w:hAnsi="Arial"/>
                <w:sz w:val="16"/>
                <w:szCs w:val="16"/>
                <w:color w:val="3B3C43"/>
              </w:rPr>
              <w:t>years prior to termination or his or her target annual cash incentive for the year the executive is terminated</w:t>
            </w: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Pro-rated target annual cash incentive for the year of termination</w:t>
            </w: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Amount equal to the premiums payable for health and welfare coverage for 24 to 36 months</w:t>
            </w: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Up to $50,000 in outplacement assistance</w:t>
            </w: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Accelerated vesting of all granted and outstanding equity awards, with outstanding PSUs vesting at target</w:t>
            </w:r>
          </w:p>
        </w:tc>
      </w:tr>
      <w:tr>
        <w:trPr>
          <w:trHeight w:val="378"/>
        </w:trPr>
        <w:tc>
          <w:tcPr>
            <w:tcW w:w="1700" w:type="dxa"/>
            <w:vAlign w:val="bottom"/>
            <w:shd w:val="clear" w:color="auto" w:fill="E1E2E0"/>
          </w:tcPr>
          <w:p>
            <w:pPr>
              <w:spacing w:after="0"/>
              <w:rPr>
                <w:sz w:val="24"/>
                <w:szCs w:val="24"/>
                <w:color w:val="auto"/>
              </w:rPr>
            </w:pPr>
          </w:p>
        </w:tc>
        <w:tc>
          <w:tcPr>
            <w:tcW w:w="9540" w:type="dxa"/>
            <w:vAlign w:val="bottom"/>
            <w:shd w:val="clear" w:color="auto" w:fill="E1E2E0"/>
          </w:tcPr>
          <w:p>
            <w:pPr>
              <w:ind w:left="100"/>
              <w:spacing w:after="0"/>
              <w:rPr>
                <w:sz w:val="20"/>
                <w:szCs w:val="20"/>
                <w:color w:val="auto"/>
              </w:rPr>
            </w:pPr>
            <w:r>
              <w:rPr>
                <w:rFonts w:ascii="Arial" w:cs="Arial" w:eastAsia="Arial" w:hAnsi="Arial"/>
                <w:sz w:val="16"/>
                <w:szCs w:val="16"/>
                <w:color w:val="4B1F68"/>
              </w:rPr>
              <w:t xml:space="preserve">► </w:t>
            </w:r>
            <w:r>
              <w:rPr>
                <w:rFonts w:ascii="Arial" w:cs="Arial" w:eastAsia="Arial" w:hAnsi="Arial"/>
                <w:sz w:val="16"/>
                <w:szCs w:val="16"/>
                <w:color w:val="3B3C43"/>
              </w:rPr>
              <w:t>“Best-after-tax” cutback for 280G excise tax calculations, with no tax gross-ups on any payments</w:t>
            </w:r>
          </w:p>
        </w:tc>
      </w:tr>
      <w:tr>
        <w:trPr>
          <w:trHeight w:val="263"/>
        </w:trPr>
        <w:tc>
          <w:tcPr>
            <w:tcW w:w="1700" w:type="dxa"/>
            <w:vAlign w:val="bottom"/>
            <w:shd w:val="clear" w:color="auto" w:fill="E1E2E0"/>
          </w:tcPr>
          <w:p>
            <w:pPr>
              <w:spacing w:after="0"/>
              <w:rPr>
                <w:sz w:val="22"/>
                <w:szCs w:val="22"/>
                <w:color w:val="auto"/>
              </w:rPr>
            </w:pPr>
          </w:p>
        </w:tc>
        <w:tc>
          <w:tcPr>
            <w:tcW w:w="9540" w:type="dxa"/>
            <w:vAlign w:val="bottom"/>
            <w:shd w:val="clear" w:color="auto" w:fill="E1E2E0"/>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103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Compensation Risk</w:t>
      </w:r>
    </w:p>
    <w:p>
      <w:pPr>
        <w:spacing w:after="0" w:line="16"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3B3C43"/>
        </w:rPr>
        <w:t>As part of a robust approach to risk mitigation, the Company operates a number of policies that apply to our NEOs, and in many instances to broader employee populations. These policies are intended to align our NEOs with the long-term interests of our shareholders and encourage them to make decisions that expose the Company to an appropriate level of risk within our agreed framework.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Clawback Policy</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3B3C43"/>
        </w:rPr>
        <w:t>The Company has adopted a compensation recovery clawback policy that enables us to recoup and/or cancel previously awarded compensation in defined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28371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2837180"/>
                    </a:xfrm>
                    <a:prstGeom prst="rect">
                      <a:avLst/>
                    </a:prstGeom>
                    <a:noFill/>
                  </pic:spPr>
                </pic:pic>
              </a:graphicData>
            </a:graphic>
          </wp:anchor>
        </w:drawing>
      </w:r>
    </w:p>
    <w:p>
      <w:pPr>
        <w:sectPr>
          <w:pgSz w:w="11900" w:h="16838" w:orient="portrait"/>
          <w:cols w:equalWidth="0" w:num="1">
            <w:col w:w="11120"/>
          </w:cols>
          <w:pgMar w:left="320" w:top="315" w:right="459" w:bottom="1440" w:gutter="0" w:footer="0" w:header="0"/>
        </w:sect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Covered Employees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Covered Compensation</w:t>
      </w:r>
    </w:p>
    <w:p>
      <w:pPr>
        <w:spacing w:after="0" w:line="37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Triggering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 w:right="220"/>
        <w:spacing w:after="0" w:line="286" w:lineRule="auto"/>
        <w:rPr>
          <w:sz w:val="20"/>
          <w:szCs w:val="20"/>
          <w:color w:val="auto"/>
        </w:rPr>
      </w:pPr>
      <w:r>
        <w:rPr>
          <w:rFonts w:ascii="Arial" w:cs="Arial" w:eastAsia="Arial" w:hAnsi="Arial"/>
          <w:sz w:val="16"/>
          <w:szCs w:val="16"/>
          <w:b w:val="1"/>
          <w:bCs w:val="1"/>
          <w:color w:val="FFFFFF"/>
        </w:rPr>
        <w:t>Compensation Committee Authority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197" w:hanging="197"/>
        <w:spacing w:after="0"/>
        <w:tabs>
          <w:tab w:leader="none" w:pos="197" w:val="left"/>
        </w:tabs>
        <w:numPr>
          <w:ilvl w:val="0"/>
          <w:numId w:val="104"/>
        </w:numPr>
        <w:rPr>
          <w:rFonts w:ascii="Arial" w:cs="Arial" w:eastAsia="Arial" w:hAnsi="Arial"/>
          <w:sz w:val="16"/>
          <w:szCs w:val="16"/>
          <w:color w:val="4B1F68"/>
        </w:rPr>
      </w:pPr>
      <w:r>
        <w:rPr>
          <w:rFonts w:ascii="Arial" w:cs="Arial" w:eastAsia="Arial" w:hAnsi="Arial"/>
          <w:sz w:val="16"/>
          <w:szCs w:val="16"/>
          <w:color w:val="3B3C43"/>
        </w:rPr>
        <w:t>Executive officers subject to the reporting requirements of Section 16 of the Exchange Act</w:t>
      </w:r>
    </w:p>
    <w:p>
      <w:pPr>
        <w:spacing w:after="0" w:line="194" w:lineRule="exact"/>
        <w:rPr>
          <w:rFonts w:ascii="Arial" w:cs="Arial" w:eastAsia="Arial" w:hAnsi="Arial"/>
          <w:sz w:val="16"/>
          <w:szCs w:val="16"/>
          <w:color w:val="4B1F68"/>
        </w:rPr>
      </w:pPr>
    </w:p>
    <w:p>
      <w:pPr>
        <w:ind w:left="197" w:hanging="197"/>
        <w:spacing w:after="0"/>
        <w:tabs>
          <w:tab w:leader="none" w:pos="197" w:val="left"/>
        </w:tabs>
        <w:numPr>
          <w:ilvl w:val="0"/>
          <w:numId w:val="104"/>
        </w:numPr>
        <w:rPr>
          <w:rFonts w:ascii="Arial" w:cs="Arial" w:eastAsia="Arial" w:hAnsi="Arial"/>
          <w:sz w:val="16"/>
          <w:szCs w:val="16"/>
          <w:color w:val="4B1F68"/>
        </w:rPr>
      </w:pPr>
      <w:r>
        <w:rPr>
          <w:rFonts w:ascii="Arial" w:cs="Arial" w:eastAsia="Arial" w:hAnsi="Arial"/>
          <w:sz w:val="16"/>
          <w:szCs w:val="16"/>
          <w:color w:val="3B3C43"/>
        </w:rPr>
        <w:t>By definition, this includes all NEOs</w:t>
      </w:r>
    </w:p>
    <w:p>
      <w:pPr>
        <w:spacing w:after="0" w:line="180" w:lineRule="exact"/>
        <w:rPr>
          <w:rFonts w:ascii="Arial" w:cs="Arial" w:eastAsia="Arial" w:hAnsi="Arial"/>
          <w:sz w:val="16"/>
          <w:szCs w:val="16"/>
          <w:color w:val="4B1F68"/>
        </w:rPr>
      </w:pPr>
    </w:p>
    <w:p>
      <w:pPr>
        <w:ind w:left="197" w:hanging="197"/>
        <w:spacing w:after="0"/>
        <w:tabs>
          <w:tab w:leader="none" w:pos="197" w:val="left"/>
        </w:tabs>
        <w:numPr>
          <w:ilvl w:val="0"/>
          <w:numId w:val="104"/>
        </w:numPr>
        <w:rPr>
          <w:rFonts w:ascii="Arial" w:cs="Arial" w:eastAsia="Arial" w:hAnsi="Arial"/>
          <w:sz w:val="16"/>
          <w:szCs w:val="16"/>
          <w:color w:val="4B1F68"/>
        </w:rPr>
      </w:pPr>
      <w:r>
        <w:rPr>
          <w:rFonts w:ascii="Arial" w:cs="Arial" w:eastAsia="Arial" w:hAnsi="Arial"/>
          <w:sz w:val="16"/>
          <w:szCs w:val="16"/>
          <w:color w:val="3B3C43"/>
        </w:rPr>
        <w:t>Cash incentive compensation</w:t>
      </w:r>
    </w:p>
    <w:p>
      <w:pPr>
        <w:spacing w:after="0" w:line="194" w:lineRule="exact"/>
        <w:rPr>
          <w:rFonts w:ascii="Arial" w:cs="Arial" w:eastAsia="Arial" w:hAnsi="Arial"/>
          <w:sz w:val="16"/>
          <w:szCs w:val="16"/>
          <w:color w:val="4B1F68"/>
        </w:rPr>
      </w:pPr>
    </w:p>
    <w:p>
      <w:pPr>
        <w:ind w:left="197" w:hanging="197"/>
        <w:spacing w:after="0"/>
        <w:tabs>
          <w:tab w:leader="none" w:pos="197" w:val="left"/>
        </w:tabs>
        <w:numPr>
          <w:ilvl w:val="0"/>
          <w:numId w:val="104"/>
        </w:numPr>
        <w:rPr>
          <w:rFonts w:ascii="Arial" w:cs="Arial" w:eastAsia="Arial" w:hAnsi="Arial"/>
          <w:sz w:val="16"/>
          <w:szCs w:val="16"/>
          <w:color w:val="4B1F68"/>
        </w:rPr>
      </w:pPr>
      <w:r>
        <w:rPr>
          <w:rFonts w:ascii="Arial" w:cs="Arial" w:eastAsia="Arial" w:hAnsi="Arial"/>
          <w:sz w:val="16"/>
          <w:szCs w:val="16"/>
          <w:color w:val="3B3C43"/>
        </w:rPr>
        <w:t>Equity awards</w:t>
      </w:r>
    </w:p>
    <w:p>
      <w:pPr>
        <w:spacing w:after="0" w:line="180" w:lineRule="exact"/>
        <w:rPr>
          <w:rFonts w:ascii="Arial" w:cs="Arial" w:eastAsia="Arial" w:hAnsi="Arial"/>
          <w:sz w:val="16"/>
          <w:szCs w:val="16"/>
          <w:color w:val="4B1F68"/>
        </w:rPr>
      </w:pPr>
    </w:p>
    <w:p>
      <w:pPr>
        <w:ind w:left="197" w:hanging="197"/>
        <w:spacing w:after="0"/>
        <w:tabs>
          <w:tab w:leader="none" w:pos="197" w:val="left"/>
        </w:tabs>
        <w:numPr>
          <w:ilvl w:val="0"/>
          <w:numId w:val="104"/>
        </w:numPr>
        <w:rPr>
          <w:rFonts w:ascii="Arial" w:cs="Arial" w:eastAsia="Arial" w:hAnsi="Arial"/>
          <w:sz w:val="16"/>
          <w:szCs w:val="16"/>
          <w:color w:val="4B1F68"/>
        </w:rPr>
      </w:pPr>
      <w:r>
        <w:rPr>
          <w:rFonts w:ascii="Arial" w:cs="Arial" w:eastAsia="Arial" w:hAnsi="Arial"/>
          <w:sz w:val="16"/>
          <w:szCs w:val="16"/>
          <w:color w:val="3B3C43"/>
        </w:rPr>
        <w:t>Illegal acts including fraud, material theft of Company assets, bribery, and corruption</w:t>
      </w:r>
    </w:p>
    <w:p>
      <w:pPr>
        <w:spacing w:after="0" w:line="194" w:lineRule="exact"/>
        <w:rPr>
          <w:rFonts w:ascii="Arial" w:cs="Arial" w:eastAsia="Arial" w:hAnsi="Arial"/>
          <w:sz w:val="16"/>
          <w:szCs w:val="16"/>
          <w:color w:val="4B1F68"/>
        </w:rPr>
      </w:pPr>
    </w:p>
    <w:p>
      <w:pPr>
        <w:ind w:left="197" w:hanging="197"/>
        <w:spacing w:after="0"/>
        <w:tabs>
          <w:tab w:leader="none" w:pos="197" w:val="left"/>
        </w:tabs>
        <w:numPr>
          <w:ilvl w:val="0"/>
          <w:numId w:val="104"/>
        </w:numPr>
        <w:rPr>
          <w:rFonts w:ascii="Arial" w:cs="Arial" w:eastAsia="Arial" w:hAnsi="Arial"/>
          <w:sz w:val="16"/>
          <w:szCs w:val="16"/>
          <w:color w:val="4B1F68"/>
        </w:rPr>
      </w:pPr>
      <w:r>
        <w:rPr>
          <w:rFonts w:ascii="Arial" w:cs="Arial" w:eastAsia="Arial" w:hAnsi="Arial"/>
          <w:sz w:val="16"/>
          <w:szCs w:val="16"/>
          <w:color w:val="3B3C43"/>
        </w:rPr>
        <w:t>Gross negligence</w:t>
      </w:r>
    </w:p>
    <w:p>
      <w:pPr>
        <w:spacing w:after="0" w:line="194" w:lineRule="exact"/>
        <w:rPr>
          <w:rFonts w:ascii="Arial" w:cs="Arial" w:eastAsia="Arial" w:hAnsi="Arial"/>
          <w:sz w:val="16"/>
          <w:szCs w:val="16"/>
          <w:color w:val="4B1F68"/>
        </w:rPr>
      </w:pPr>
    </w:p>
    <w:p>
      <w:pPr>
        <w:ind w:left="217" w:right="320" w:hanging="217"/>
        <w:spacing w:after="0" w:line="260" w:lineRule="auto"/>
        <w:tabs>
          <w:tab w:leader="none" w:pos="207" w:val="left"/>
        </w:tabs>
        <w:numPr>
          <w:ilvl w:val="0"/>
          <w:numId w:val="104"/>
        </w:numPr>
        <w:rPr>
          <w:rFonts w:ascii="Arial" w:cs="Arial" w:eastAsia="Arial" w:hAnsi="Arial"/>
          <w:sz w:val="16"/>
          <w:szCs w:val="16"/>
          <w:color w:val="4B1F68"/>
        </w:rPr>
      </w:pPr>
      <w:r>
        <w:rPr>
          <w:rFonts w:ascii="Arial" w:cs="Arial" w:eastAsia="Arial" w:hAnsi="Arial"/>
          <w:sz w:val="16"/>
          <w:szCs w:val="16"/>
          <w:color w:val="3B3C43"/>
        </w:rPr>
        <w:t>Willful misconduct, including conduct that requires the Company to materially restate its quarterly or annual financial or operating results</w:t>
      </w:r>
    </w:p>
    <w:p>
      <w:pPr>
        <w:spacing w:after="0" w:line="154" w:lineRule="exact"/>
        <w:rPr>
          <w:rFonts w:ascii="Arial" w:cs="Arial" w:eastAsia="Arial" w:hAnsi="Arial"/>
          <w:sz w:val="16"/>
          <w:szCs w:val="16"/>
          <w:color w:val="4B1F68"/>
        </w:rPr>
      </w:pPr>
    </w:p>
    <w:p>
      <w:pPr>
        <w:ind w:left="197" w:hanging="197"/>
        <w:spacing w:after="0"/>
        <w:tabs>
          <w:tab w:leader="none" w:pos="197" w:val="left"/>
        </w:tabs>
        <w:numPr>
          <w:ilvl w:val="0"/>
          <w:numId w:val="104"/>
        </w:numPr>
        <w:rPr>
          <w:rFonts w:ascii="Arial" w:cs="Arial" w:eastAsia="Arial" w:hAnsi="Arial"/>
          <w:sz w:val="16"/>
          <w:szCs w:val="16"/>
          <w:color w:val="4B1F68"/>
        </w:rPr>
      </w:pPr>
      <w:r>
        <w:rPr>
          <w:rFonts w:ascii="Arial" w:cs="Arial" w:eastAsia="Arial" w:hAnsi="Arial"/>
          <w:sz w:val="16"/>
          <w:szCs w:val="16"/>
          <w:color w:val="3B3C43"/>
        </w:rPr>
        <w:t>Determine whether a triggering event has occurred</w:t>
      </w:r>
    </w:p>
    <w:p>
      <w:pPr>
        <w:spacing w:after="0" w:line="194" w:lineRule="exact"/>
        <w:rPr>
          <w:rFonts w:ascii="Arial" w:cs="Arial" w:eastAsia="Arial" w:hAnsi="Arial"/>
          <w:sz w:val="16"/>
          <w:szCs w:val="16"/>
          <w:color w:val="4B1F68"/>
        </w:rPr>
      </w:pPr>
    </w:p>
    <w:p>
      <w:pPr>
        <w:ind w:left="197" w:hanging="197"/>
        <w:spacing w:after="0"/>
        <w:tabs>
          <w:tab w:leader="none" w:pos="197" w:val="left"/>
        </w:tabs>
        <w:numPr>
          <w:ilvl w:val="0"/>
          <w:numId w:val="104"/>
        </w:numPr>
        <w:rPr>
          <w:rFonts w:ascii="Arial" w:cs="Arial" w:eastAsia="Arial" w:hAnsi="Arial"/>
          <w:sz w:val="16"/>
          <w:szCs w:val="16"/>
          <w:color w:val="4B1F68"/>
        </w:rPr>
      </w:pPr>
      <w:r>
        <w:rPr>
          <w:rFonts w:ascii="Arial" w:cs="Arial" w:eastAsia="Arial" w:hAnsi="Arial"/>
          <w:sz w:val="16"/>
          <w:szCs w:val="16"/>
          <w:color w:val="3B3C43"/>
        </w:rPr>
        <w:t>Cancel previously granted compensation in part or in whole, whether vested or deferred</w:t>
      </w:r>
    </w:p>
    <w:p>
      <w:pPr>
        <w:spacing w:after="0" w:line="194" w:lineRule="exact"/>
        <w:rPr>
          <w:rFonts w:ascii="Arial" w:cs="Arial" w:eastAsia="Arial" w:hAnsi="Arial"/>
          <w:sz w:val="16"/>
          <w:szCs w:val="16"/>
          <w:color w:val="4B1F68"/>
        </w:rPr>
      </w:pPr>
    </w:p>
    <w:p>
      <w:pPr>
        <w:ind w:left="217" w:right="240" w:hanging="217"/>
        <w:spacing w:after="0" w:line="260" w:lineRule="auto"/>
        <w:tabs>
          <w:tab w:leader="none" w:pos="207" w:val="left"/>
        </w:tabs>
        <w:numPr>
          <w:ilvl w:val="0"/>
          <w:numId w:val="104"/>
        </w:numPr>
        <w:rPr>
          <w:rFonts w:ascii="Arial" w:cs="Arial" w:eastAsia="Arial" w:hAnsi="Arial"/>
          <w:sz w:val="16"/>
          <w:szCs w:val="16"/>
          <w:color w:val="4B1F68"/>
        </w:rPr>
      </w:pPr>
      <w:r>
        <w:rPr>
          <w:rFonts w:ascii="Arial" w:cs="Arial" w:eastAsia="Arial" w:hAnsi="Arial"/>
          <w:sz w:val="16"/>
          <w:szCs w:val="16"/>
          <w:color w:val="3B3C43"/>
        </w:rPr>
        <w:t>Clawback previously earned compensation by requiring the executive officer to repay the Company any gain realized or payment received</w:t>
      </w:r>
    </w:p>
    <w:p>
      <w:pPr>
        <w:spacing w:after="0" w:line="168" w:lineRule="exact"/>
        <w:rPr>
          <w:rFonts w:ascii="Arial" w:cs="Arial" w:eastAsia="Arial" w:hAnsi="Arial"/>
          <w:sz w:val="16"/>
          <w:szCs w:val="16"/>
          <w:color w:val="4B1F68"/>
        </w:rPr>
      </w:pPr>
    </w:p>
    <w:p>
      <w:pPr>
        <w:ind w:left="197" w:hanging="197"/>
        <w:spacing w:after="0"/>
        <w:tabs>
          <w:tab w:leader="none" w:pos="197" w:val="left"/>
        </w:tabs>
        <w:numPr>
          <w:ilvl w:val="0"/>
          <w:numId w:val="104"/>
        </w:numPr>
        <w:rPr>
          <w:rFonts w:ascii="Arial" w:cs="Arial" w:eastAsia="Arial" w:hAnsi="Arial"/>
          <w:sz w:val="16"/>
          <w:szCs w:val="16"/>
          <w:color w:val="4B1F68"/>
        </w:rPr>
      </w:pPr>
      <w:r>
        <w:rPr>
          <w:rFonts w:ascii="Arial" w:cs="Arial" w:eastAsia="Arial" w:hAnsi="Arial"/>
          <w:sz w:val="16"/>
          <w:szCs w:val="16"/>
          <w:color w:val="3B3C43"/>
        </w:rPr>
        <w:t>Reduce or offset future incentive compensation</w:t>
      </w:r>
    </w:p>
    <w:p>
      <w:pPr>
        <w:spacing w:after="0" w:line="200" w:lineRule="exact"/>
        <w:rPr>
          <w:sz w:val="20"/>
          <w:szCs w:val="20"/>
          <w:color w:val="auto"/>
        </w:rPr>
      </w:pPr>
    </w:p>
    <w:p>
      <w:pPr>
        <w:sectPr>
          <w:pgSz w:w="11900" w:h="16838" w:orient="portrait"/>
          <w:cols w:equalWidth="0" w:num="2">
            <w:col w:w="1920" w:space="203"/>
            <w:col w:w="8997"/>
          </w:cols>
          <w:pgMar w:left="320" w:top="315" w:right="45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104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315" w:right="45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Share Ownership and Retention Requirements</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3B3C43"/>
        </w:rPr>
        <w:t>The Compensation Committee oversees the operation of share ownership guidelines that apply to our executive officers. All executive officers, including all NEOs, met their pro rata ownership and retention requirements under the Company’s policy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2708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2708910"/>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p>
      <w:pPr>
        <w:spacing w:after="0" w:line="229" w:lineRule="exact"/>
        <w:rPr>
          <w:sz w:val="20"/>
          <w:szCs w:val="20"/>
          <w:color w:val="auto"/>
        </w:rPr>
      </w:pPr>
    </w:p>
    <w:p>
      <w:pPr>
        <w:ind w:left="100" w:right="480"/>
        <w:spacing w:after="0" w:line="286" w:lineRule="auto"/>
        <w:rPr>
          <w:sz w:val="20"/>
          <w:szCs w:val="20"/>
          <w:color w:val="auto"/>
        </w:rPr>
      </w:pPr>
      <w:r>
        <w:rPr>
          <w:rFonts w:ascii="Arial" w:cs="Arial" w:eastAsia="Arial" w:hAnsi="Arial"/>
          <w:sz w:val="16"/>
          <w:szCs w:val="16"/>
          <w:b w:val="1"/>
          <w:bCs w:val="1"/>
          <w:color w:val="FFFFFF"/>
        </w:rPr>
        <w:t>Share Ownership Requirements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0" w:right="540"/>
        <w:spacing w:after="0" w:line="286" w:lineRule="auto"/>
        <w:rPr>
          <w:sz w:val="20"/>
          <w:szCs w:val="20"/>
          <w:color w:val="auto"/>
        </w:rPr>
      </w:pPr>
      <w:r>
        <w:rPr>
          <w:rFonts w:ascii="Arial" w:cs="Arial" w:eastAsia="Arial" w:hAnsi="Arial"/>
          <w:sz w:val="16"/>
          <w:szCs w:val="16"/>
          <w:b w:val="1"/>
          <w:bCs w:val="1"/>
          <w:color w:val="FFFFFF"/>
        </w:rPr>
        <w:t>Qualifying Share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Time for Achievement</w:t>
      </w:r>
    </w:p>
    <w:p>
      <w:pPr>
        <w:spacing w:after="0" w:line="370" w:lineRule="exact"/>
        <w:rPr>
          <w:sz w:val="20"/>
          <w:szCs w:val="20"/>
          <w:color w:val="auto"/>
        </w:rPr>
      </w:pPr>
    </w:p>
    <w:p>
      <w:pPr>
        <w:ind w:left="100"/>
        <w:spacing w:after="0" w:line="286" w:lineRule="auto"/>
        <w:rPr>
          <w:sz w:val="20"/>
          <w:szCs w:val="20"/>
          <w:color w:val="auto"/>
        </w:rPr>
      </w:pPr>
      <w:r>
        <w:rPr>
          <w:rFonts w:ascii="Arial" w:cs="Arial" w:eastAsia="Arial" w:hAnsi="Arial"/>
          <w:sz w:val="16"/>
          <w:szCs w:val="16"/>
          <w:b w:val="1"/>
          <w:bCs w:val="1"/>
          <w:color w:val="FFFFFF"/>
        </w:rPr>
        <w:t>Consequences for Non-achievement</w:t>
      </w:r>
    </w:p>
    <w:p>
      <w:pPr>
        <w:spacing w:after="0" w:line="30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Retention Requirement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197" w:hanging="197"/>
        <w:spacing w:after="0"/>
        <w:tabs>
          <w:tab w:leader="none" w:pos="197" w:val="left"/>
        </w:tabs>
        <w:numPr>
          <w:ilvl w:val="0"/>
          <w:numId w:val="105"/>
        </w:numPr>
        <w:rPr>
          <w:rFonts w:ascii="Arial" w:cs="Arial" w:eastAsia="Arial" w:hAnsi="Arial"/>
          <w:sz w:val="16"/>
          <w:szCs w:val="16"/>
          <w:color w:val="4B1F68"/>
        </w:rPr>
      </w:pPr>
      <w:r>
        <w:rPr>
          <w:rFonts w:ascii="Arial" w:cs="Arial" w:eastAsia="Arial" w:hAnsi="Arial"/>
          <w:sz w:val="16"/>
          <w:szCs w:val="16"/>
          <w:color w:val="3B3C43"/>
        </w:rPr>
        <w:t>CEO: 6x base salary</w:t>
      </w:r>
    </w:p>
    <w:p>
      <w:pPr>
        <w:spacing w:after="0" w:line="194" w:lineRule="exact"/>
        <w:rPr>
          <w:rFonts w:ascii="Arial" w:cs="Arial" w:eastAsia="Arial" w:hAnsi="Arial"/>
          <w:sz w:val="16"/>
          <w:szCs w:val="16"/>
          <w:color w:val="4B1F68"/>
        </w:rPr>
      </w:pPr>
    </w:p>
    <w:p>
      <w:pPr>
        <w:ind w:left="197" w:hanging="197"/>
        <w:spacing w:after="0"/>
        <w:tabs>
          <w:tab w:leader="none" w:pos="197" w:val="left"/>
        </w:tabs>
        <w:numPr>
          <w:ilvl w:val="0"/>
          <w:numId w:val="105"/>
        </w:numPr>
        <w:rPr>
          <w:rFonts w:ascii="Arial" w:cs="Arial" w:eastAsia="Arial" w:hAnsi="Arial"/>
          <w:sz w:val="16"/>
          <w:szCs w:val="16"/>
          <w:color w:val="4B1F68"/>
        </w:rPr>
      </w:pPr>
      <w:r>
        <w:rPr>
          <w:rFonts w:ascii="Arial" w:cs="Arial" w:eastAsia="Arial" w:hAnsi="Arial"/>
          <w:sz w:val="16"/>
          <w:szCs w:val="16"/>
          <w:color w:val="3B3C43"/>
        </w:rPr>
        <w:t>CFO: 5x base salary</w:t>
      </w:r>
    </w:p>
    <w:p>
      <w:pPr>
        <w:spacing w:after="0" w:line="194" w:lineRule="exact"/>
        <w:rPr>
          <w:rFonts w:ascii="Arial" w:cs="Arial" w:eastAsia="Arial" w:hAnsi="Arial"/>
          <w:sz w:val="16"/>
          <w:szCs w:val="16"/>
          <w:color w:val="4B1F68"/>
        </w:rPr>
      </w:pPr>
    </w:p>
    <w:p>
      <w:pPr>
        <w:ind w:left="197" w:hanging="197"/>
        <w:spacing w:after="0"/>
        <w:tabs>
          <w:tab w:leader="none" w:pos="197" w:val="left"/>
        </w:tabs>
        <w:numPr>
          <w:ilvl w:val="0"/>
          <w:numId w:val="105"/>
        </w:numPr>
        <w:rPr>
          <w:rFonts w:ascii="Arial" w:cs="Arial" w:eastAsia="Arial" w:hAnsi="Arial"/>
          <w:sz w:val="16"/>
          <w:szCs w:val="16"/>
          <w:color w:val="4B1F68"/>
        </w:rPr>
      </w:pPr>
      <w:r>
        <w:rPr>
          <w:rFonts w:ascii="Arial" w:cs="Arial" w:eastAsia="Arial" w:hAnsi="Arial"/>
          <w:sz w:val="16"/>
          <w:szCs w:val="16"/>
          <w:color w:val="3B3C43"/>
        </w:rPr>
        <w:t>Other executive officers: 3x base salary</w:t>
      </w:r>
    </w:p>
    <w:p>
      <w:pPr>
        <w:spacing w:after="0" w:line="180" w:lineRule="exact"/>
        <w:rPr>
          <w:rFonts w:ascii="Arial" w:cs="Arial" w:eastAsia="Arial" w:hAnsi="Arial"/>
          <w:sz w:val="16"/>
          <w:szCs w:val="16"/>
          <w:color w:val="4B1F68"/>
        </w:rPr>
      </w:pPr>
    </w:p>
    <w:p>
      <w:pPr>
        <w:ind w:left="197" w:hanging="197"/>
        <w:spacing w:after="0"/>
        <w:tabs>
          <w:tab w:leader="none" w:pos="197" w:val="left"/>
        </w:tabs>
        <w:numPr>
          <w:ilvl w:val="0"/>
          <w:numId w:val="105"/>
        </w:numPr>
        <w:rPr>
          <w:rFonts w:ascii="Arial" w:cs="Arial" w:eastAsia="Arial" w:hAnsi="Arial"/>
          <w:sz w:val="16"/>
          <w:szCs w:val="16"/>
          <w:color w:val="4B1F68"/>
        </w:rPr>
      </w:pPr>
      <w:r>
        <w:rPr>
          <w:rFonts w:ascii="Arial" w:cs="Arial" w:eastAsia="Arial" w:hAnsi="Arial"/>
          <w:sz w:val="16"/>
          <w:szCs w:val="16"/>
          <w:color w:val="3B3C43"/>
        </w:rPr>
        <w:t>Ordinary shares owned outright</w:t>
      </w:r>
    </w:p>
    <w:p>
      <w:pPr>
        <w:spacing w:after="0" w:line="194" w:lineRule="exact"/>
        <w:rPr>
          <w:rFonts w:ascii="Arial" w:cs="Arial" w:eastAsia="Arial" w:hAnsi="Arial"/>
          <w:sz w:val="16"/>
          <w:szCs w:val="16"/>
          <w:color w:val="4B1F68"/>
        </w:rPr>
      </w:pPr>
    </w:p>
    <w:p>
      <w:pPr>
        <w:ind w:left="197" w:hanging="197"/>
        <w:spacing w:after="0"/>
        <w:tabs>
          <w:tab w:leader="none" w:pos="197" w:val="left"/>
        </w:tabs>
        <w:numPr>
          <w:ilvl w:val="0"/>
          <w:numId w:val="105"/>
        </w:numPr>
        <w:rPr>
          <w:rFonts w:ascii="Arial" w:cs="Arial" w:eastAsia="Arial" w:hAnsi="Arial"/>
          <w:sz w:val="16"/>
          <w:szCs w:val="16"/>
          <w:color w:val="4B1F68"/>
        </w:rPr>
      </w:pPr>
      <w:r>
        <w:rPr>
          <w:rFonts w:ascii="Arial" w:cs="Arial" w:eastAsia="Arial" w:hAnsi="Arial"/>
          <w:sz w:val="16"/>
          <w:szCs w:val="16"/>
          <w:color w:val="3B3C43"/>
        </w:rPr>
        <w:t>PSU awards where the performance period is final and approved</w:t>
      </w:r>
    </w:p>
    <w:p>
      <w:pPr>
        <w:spacing w:after="0" w:line="194" w:lineRule="exact"/>
        <w:rPr>
          <w:rFonts w:ascii="Arial" w:cs="Arial" w:eastAsia="Arial" w:hAnsi="Arial"/>
          <w:sz w:val="16"/>
          <w:szCs w:val="16"/>
          <w:color w:val="4B1F68"/>
        </w:rPr>
      </w:pPr>
    </w:p>
    <w:p>
      <w:pPr>
        <w:ind w:left="197" w:hanging="197"/>
        <w:spacing w:after="0"/>
        <w:tabs>
          <w:tab w:leader="none" w:pos="197" w:val="left"/>
        </w:tabs>
        <w:numPr>
          <w:ilvl w:val="0"/>
          <w:numId w:val="105"/>
        </w:numPr>
        <w:rPr>
          <w:rFonts w:ascii="Arial" w:cs="Arial" w:eastAsia="Arial" w:hAnsi="Arial"/>
          <w:sz w:val="16"/>
          <w:szCs w:val="16"/>
          <w:color w:val="4B1F68"/>
        </w:rPr>
      </w:pPr>
      <w:r>
        <w:rPr>
          <w:rFonts w:ascii="Arial" w:cs="Arial" w:eastAsia="Arial" w:hAnsi="Arial"/>
          <w:sz w:val="16"/>
          <w:szCs w:val="16"/>
          <w:color w:val="3B3C43"/>
        </w:rPr>
        <w:t>Unvested RSUs</w:t>
      </w:r>
    </w:p>
    <w:p>
      <w:pPr>
        <w:spacing w:after="0" w:line="180" w:lineRule="exact"/>
        <w:rPr>
          <w:rFonts w:ascii="Arial" w:cs="Arial" w:eastAsia="Arial" w:hAnsi="Arial"/>
          <w:sz w:val="16"/>
          <w:szCs w:val="16"/>
          <w:color w:val="4B1F68"/>
        </w:rPr>
      </w:pPr>
    </w:p>
    <w:p>
      <w:pPr>
        <w:ind w:left="197" w:hanging="197"/>
        <w:spacing w:after="0"/>
        <w:tabs>
          <w:tab w:leader="none" w:pos="197" w:val="left"/>
        </w:tabs>
        <w:numPr>
          <w:ilvl w:val="0"/>
          <w:numId w:val="105"/>
        </w:numPr>
        <w:rPr>
          <w:rFonts w:ascii="Arial" w:cs="Arial" w:eastAsia="Arial" w:hAnsi="Arial"/>
          <w:sz w:val="16"/>
          <w:szCs w:val="16"/>
          <w:color w:val="4B1F68"/>
        </w:rPr>
      </w:pPr>
      <w:r>
        <w:rPr>
          <w:rFonts w:ascii="Arial" w:cs="Arial" w:eastAsia="Arial" w:hAnsi="Arial"/>
          <w:sz w:val="16"/>
          <w:szCs w:val="16"/>
          <w:color w:val="3B3C43"/>
        </w:rPr>
        <w:t>Five years from the effective date of appointment</w:t>
      </w:r>
    </w:p>
    <w:p>
      <w:pPr>
        <w:spacing w:after="0" w:line="194" w:lineRule="exact"/>
        <w:rPr>
          <w:rFonts w:ascii="Arial" w:cs="Arial" w:eastAsia="Arial" w:hAnsi="Arial"/>
          <w:sz w:val="16"/>
          <w:szCs w:val="16"/>
          <w:color w:val="4B1F68"/>
        </w:rPr>
      </w:pPr>
    </w:p>
    <w:p>
      <w:pPr>
        <w:ind w:left="197" w:hanging="197"/>
        <w:spacing w:after="0"/>
        <w:tabs>
          <w:tab w:leader="none" w:pos="197" w:val="left"/>
        </w:tabs>
        <w:numPr>
          <w:ilvl w:val="0"/>
          <w:numId w:val="105"/>
        </w:numPr>
        <w:rPr>
          <w:rFonts w:ascii="Arial" w:cs="Arial" w:eastAsia="Arial" w:hAnsi="Arial"/>
          <w:sz w:val="16"/>
          <w:szCs w:val="16"/>
          <w:color w:val="4B1F68"/>
        </w:rPr>
      </w:pPr>
      <w:r>
        <w:rPr>
          <w:rFonts w:ascii="Arial" w:cs="Arial" w:eastAsia="Arial" w:hAnsi="Arial"/>
          <w:sz w:val="16"/>
          <w:szCs w:val="16"/>
          <w:color w:val="3B3C43"/>
        </w:rPr>
        <w:t>Pro rata requirement of 20% per year applies within the first five years</w:t>
      </w:r>
    </w:p>
    <w:p>
      <w:pPr>
        <w:spacing w:after="0" w:line="180" w:lineRule="exact"/>
        <w:rPr>
          <w:rFonts w:ascii="Arial" w:cs="Arial" w:eastAsia="Arial" w:hAnsi="Arial"/>
          <w:sz w:val="16"/>
          <w:szCs w:val="16"/>
          <w:color w:val="4B1F68"/>
        </w:rPr>
      </w:pPr>
    </w:p>
    <w:p>
      <w:pPr>
        <w:ind w:left="197" w:hanging="197"/>
        <w:spacing w:after="0"/>
        <w:tabs>
          <w:tab w:leader="none" w:pos="197" w:val="left"/>
        </w:tabs>
        <w:numPr>
          <w:ilvl w:val="0"/>
          <w:numId w:val="105"/>
        </w:numPr>
        <w:rPr>
          <w:rFonts w:ascii="Arial" w:cs="Arial" w:eastAsia="Arial" w:hAnsi="Arial"/>
          <w:sz w:val="16"/>
          <w:szCs w:val="16"/>
          <w:color w:val="4B1F68"/>
        </w:rPr>
      </w:pPr>
      <w:r>
        <w:rPr>
          <w:rFonts w:ascii="Arial" w:cs="Arial" w:eastAsia="Arial" w:hAnsi="Arial"/>
          <w:sz w:val="16"/>
          <w:szCs w:val="16"/>
          <w:color w:val="3B3C43"/>
        </w:rPr>
        <w:t>At the discretion of the Board of Directors</w:t>
      </w:r>
    </w:p>
    <w:p>
      <w:pPr>
        <w:spacing w:after="0" w:line="369" w:lineRule="exact"/>
        <w:rPr>
          <w:rFonts w:ascii="Arial" w:cs="Arial" w:eastAsia="Arial" w:hAnsi="Arial"/>
          <w:sz w:val="16"/>
          <w:szCs w:val="16"/>
          <w:color w:val="4B1F68"/>
        </w:rPr>
      </w:pPr>
    </w:p>
    <w:p>
      <w:pPr>
        <w:ind w:left="197" w:hanging="197"/>
        <w:spacing w:after="0"/>
        <w:tabs>
          <w:tab w:leader="none" w:pos="197" w:val="left"/>
        </w:tabs>
        <w:numPr>
          <w:ilvl w:val="0"/>
          <w:numId w:val="105"/>
        </w:numPr>
        <w:rPr>
          <w:rFonts w:ascii="Arial" w:cs="Arial" w:eastAsia="Arial" w:hAnsi="Arial"/>
          <w:sz w:val="16"/>
          <w:szCs w:val="16"/>
          <w:color w:val="4B1F68"/>
        </w:rPr>
      </w:pPr>
      <w:r>
        <w:rPr>
          <w:rFonts w:ascii="Arial" w:cs="Arial" w:eastAsia="Arial" w:hAnsi="Arial"/>
          <w:sz w:val="16"/>
          <w:szCs w:val="16"/>
          <w:color w:val="3B3C43"/>
        </w:rPr>
        <w:t>50% of the after-tax RSUs must be retained for at least one year following vesting</w:t>
      </w:r>
    </w:p>
    <w:p>
      <w:pPr>
        <w:spacing w:after="0" w:line="194" w:lineRule="exact"/>
        <w:rPr>
          <w:rFonts w:ascii="Arial" w:cs="Arial" w:eastAsia="Arial" w:hAnsi="Arial"/>
          <w:sz w:val="16"/>
          <w:szCs w:val="16"/>
          <w:color w:val="4B1F68"/>
        </w:rPr>
      </w:pPr>
    </w:p>
    <w:p>
      <w:pPr>
        <w:ind w:left="197" w:hanging="197"/>
        <w:spacing w:after="0"/>
        <w:tabs>
          <w:tab w:leader="none" w:pos="197" w:val="left"/>
        </w:tabs>
        <w:numPr>
          <w:ilvl w:val="0"/>
          <w:numId w:val="105"/>
        </w:numPr>
        <w:rPr>
          <w:rFonts w:ascii="Arial" w:cs="Arial" w:eastAsia="Arial" w:hAnsi="Arial"/>
          <w:sz w:val="16"/>
          <w:szCs w:val="16"/>
          <w:color w:val="4B1F68"/>
        </w:rPr>
      </w:pPr>
      <w:r>
        <w:rPr>
          <w:rFonts w:ascii="Arial" w:cs="Arial" w:eastAsia="Arial" w:hAnsi="Arial"/>
          <w:sz w:val="16"/>
          <w:szCs w:val="16"/>
          <w:color w:val="3B3C43"/>
        </w:rPr>
        <w:t>Applies regardless of whether an executive has met the ownership requirement</w:t>
      </w:r>
    </w:p>
    <w:p>
      <w:pPr>
        <w:spacing w:after="0" w:line="200" w:lineRule="exact"/>
        <w:rPr>
          <w:sz w:val="20"/>
          <w:szCs w:val="20"/>
          <w:color w:val="auto"/>
        </w:rPr>
      </w:pPr>
    </w:p>
    <w:p>
      <w:pPr>
        <w:sectPr>
          <w:pgSz w:w="11900" w:h="16838" w:orient="portrait"/>
          <w:cols w:equalWidth="0" w:num="2">
            <w:col w:w="1920" w:space="203"/>
            <w:col w:w="9077"/>
          </w:cols>
          <w:pgMar w:left="320" w:top="315" w:right="37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Insider Trading and Speculation in Company Stock</w:t>
      </w:r>
    </w:p>
    <w:p>
      <w:pPr>
        <w:spacing w:after="0" w:line="25"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Our officers, directors, and employees are prohibited from engaging in discretionary transactions involving our securities while in possession of material, non-public information or otherwise using such information in any manner that would violate applicable laws and regulations. All such individuals are also prohibited from directly or indirectly speculating in Ordinary Shares, including derivative transactions, hedging and pledging activities, short selling, selling or purchasing options in Ordinary Shares, and borrowing against Ordinary Shares. Our Insider Trading Policy aims to align management’s economic ownership risk with those of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Tax Considerations</w:t>
      </w:r>
    </w:p>
    <w:p>
      <w:pPr>
        <w:spacing w:after="0" w:line="1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B3C43"/>
        </w:rPr>
        <w:t>Although the Compensation Committee considers the accounting and tax treatment of the various forms of compensation, the accounting treatment and tax deductibility of compensation have not had and will not have a material impact on the Company’s executive compensation program. Our Compensation Committee will continue to structure our compensation program in the best long-term interests of our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105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ind w:right="360"/>
        <w:spacing w:after="0" w:line="247" w:lineRule="auto"/>
        <w:rPr>
          <w:sz w:val="20"/>
          <w:szCs w:val="20"/>
          <w:color w:val="auto"/>
        </w:rPr>
      </w:pPr>
      <w:r>
        <w:rPr>
          <w:rFonts w:ascii="Arial" w:cs="Arial" w:eastAsia="Arial" w:hAnsi="Arial"/>
          <w:sz w:val="38"/>
          <w:szCs w:val="38"/>
          <w:color w:val="4B1F68"/>
        </w:rPr>
        <w:t>Summary Compensation Table for the Year Ended December 31, 2020</w:t>
      </w:r>
    </w:p>
    <w:p>
      <w:pPr>
        <w:spacing w:after="0" w:line="160"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3B3C43"/>
        </w:rPr>
        <w:t>The following table summarizes the compensation earned by each of the NEOs from all sources for services rendered in all of their capacities to the Company during the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651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40" w:type="dxa"/>
            <w:vAlign w:val="bottom"/>
            <w:shd w:val="clear" w:color="auto" w:fill="4A1F67"/>
          </w:tcPr>
          <w:p>
            <w:pPr>
              <w:spacing w:after="0"/>
              <w:rPr>
                <w:sz w:val="13"/>
                <w:szCs w:val="13"/>
                <w:color w:val="auto"/>
              </w:rPr>
            </w:pPr>
          </w:p>
        </w:tc>
        <w:tc>
          <w:tcPr>
            <w:tcW w:w="540" w:type="dxa"/>
            <w:vAlign w:val="bottom"/>
            <w:shd w:val="clear" w:color="auto" w:fill="4A1F67"/>
          </w:tcPr>
          <w:p>
            <w:pPr>
              <w:spacing w:after="0"/>
              <w:rPr>
                <w:sz w:val="13"/>
                <w:szCs w:val="13"/>
                <w:color w:val="auto"/>
              </w:rPr>
            </w:pPr>
          </w:p>
        </w:tc>
        <w:tc>
          <w:tcPr>
            <w:tcW w:w="1000" w:type="dxa"/>
            <w:vAlign w:val="bottom"/>
            <w:shd w:val="clear" w:color="auto" w:fill="4A1F67"/>
          </w:tcPr>
          <w:p>
            <w:pPr>
              <w:spacing w:after="0"/>
              <w:rPr>
                <w:sz w:val="13"/>
                <w:szCs w:val="13"/>
                <w:color w:val="auto"/>
              </w:rPr>
            </w:pPr>
          </w:p>
        </w:tc>
        <w:tc>
          <w:tcPr>
            <w:tcW w:w="1040" w:type="dxa"/>
            <w:vAlign w:val="bottom"/>
            <w:shd w:val="clear" w:color="auto" w:fill="4A1F67"/>
          </w:tcPr>
          <w:p>
            <w:pPr>
              <w:spacing w:after="0"/>
              <w:rPr>
                <w:sz w:val="13"/>
                <w:szCs w:val="13"/>
                <w:color w:val="auto"/>
              </w:rPr>
            </w:pPr>
          </w:p>
        </w:tc>
        <w:tc>
          <w:tcPr>
            <w:tcW w:w="1000" w:type="dxa"/>
            <w:vAlign w:val="bottom"/>
            <w:shd w:val="clear" w:color="auto" w:fill="4A1F67"/>
          </w:tcPr>
          <w:p>
            <w:pPr>
              <w:spacing w:after="0"/>
              <w:rPr>
                <w:sz w:val="13"/>
                <w:szCs w:val="13"/>
                <w:color w:val="auto"/>
              </w:rPr>
            </w:pPr>
          </w:p>
        </w:tc>
        <w:tc>
          <w:tcPr>
            <w:tcW w:w="900" w:type="dxa"/>
            <w:vAlign w:val="bottom"/>
            <w:shd w:val="clear" w:color="auto" w:fill="4A1F67"/>
          </w:tcPr>
          <w:p>
            <w:pPr>
              <w:spacing w:after="0"/>
              <w:rPr>
                <w:sz w:val="13"/>
                <w:szCs w:val="13"/>
                <w:color w:val="auto"/>
              </w:rPr>
            </w:pPr>
          </w:p>
        </w:tc>
        <w:tc>
          <w:tcPr>
            <w:tcW w:w="160" w:type="dxa"/>
            <w:vAlign w:val="bottom"/>
            <w:shd w:val="clear" w:color="auto" w:fill="4A1F67"/>
          </w:tcPr>
          <w:p>
            <w:pPr>
              <w:spacing w:after="0"/>
              <w:rPr>
                <w:sz w:val="13"/>
                <w:szCs w:val="13"/>
                <w:color w:val="auto"/>
              </w:rPr>
            </w:pPr>
          </w:p>
        </w:tc>
        <w:tc>
          <w:tcPr>
            <w:tcW w:w="1060" w:type="dxa"/>
            <w:vAlign w:val="bottom"/>
            <w:shd w:val="clear" w:color="auto" w:fill="4A1F67"/>
          </w:tcPr>
          <w:p>
            <w:pPr>
              <w:spacing w:after="0"/>
              <w:rPr>
                <w:sz w:val="13"/>
                <w:szCs w:val="13"/>
                <w:color w:val="auto"/>
              </w:rPr>
            </w:pPr>
          </w:p>
        </w:tc>
        <w:tc>
          <w:tcPr>
            <w:tcW w:w="1020" w:type="dxa"/>
            <w:vAlign w:val="bottom"/>
            <w:shd w:val="clear" w:color="auto" w:fill="4A1F67"/>
          </w:tcPr>
          <w:p>
            <w:pPr>
              <w:jc w:val="right"/>
              <w:ind w:right="37"/>
              <w:spacing w:after="0"/>
              <w:rPr>
                <w:sz w:val="20"/>
                <w:szCs w:val="20"/>
                <w:color w:val="auto"/>
              </w:rPr>
            </w:pPr>
            <w:r>
              <w:rPr>
                <w:rFonts w:ascii="Arial" w:cs="Arial" w:eastAsia="Arial" w:hAnsi="Arial"/>
                <w:sz w:val="13"/>
                <w:szCs w:val="13"/>
                <w:b w:val="1"/>
                <w:bCs w:val="1"/>
                <w:color w:val="FFFFFF"/>
              </w:rPr>
              <w:t>Change in</w:t>
            </w:r>
          </w:p>
        </w:tc>
        <w:tc>
          <w:tcPr>
            <w:tcW w:w="1020" w:type="dxa"/>
            <w:vAlign w:val="bottom"/>
            <w:shd w:val="clear" w:color="auto" w:fill="4A1F67"/>
          </w:tcPr>
          <w:p>
            <w:pPr>
              <w:spacing w:after="0"/>
              <w:rPr>
                <w:sz w:val="13"/>
                <w:szCs w:val="13"/>
                <w:color w:val="auto"/>
              </w:rPr>
            </w:pPr>
          </w:p>
        </w:tc>
        <w:tc>
          <w:tcPr>
            <w:tcW w:w="940" w:type="dxa"/>
            <w:vAlign w:val="bottom"/>
            <w:shd w:val="clear" w:color="auto" w:fill="4A1F67"/>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4A1F67"/>
          </w:tcPr>
          <w:p>
            <w:pPr>
              <w:spacing w:after="0"/>
              <w:rPr>
                <w:sz w:val="11"/>
                <w:szCs w:val="11"/>
                <w:color w:val="auto"/>
              </w:rPr>
            </w:pPr>
          </w:p>
        </w:tc>
        <w:tc>
          <w:tcPr>
            <w:tcW w:w="540" w:type="dxa"/>
            <w:vAlign w:val="bottom"/>
            <w:shd w:val="clear" w:color="auto" w:fill="4A1F67"/>
          </w:tcPr>
          <w:p>
            <w:pPr>
              <w:spacing w:after="0"/>
              <w:rPr>
                <w:sz w:val="11"/>
                <w:szCs w:val="11"/>
                <w:color w:val="auto"/>
              </w:rPr>
            </w:pPr>
          </w:p>
        </w:tc>
        <w:tc>
          <w:tcPr>
            <w:tcW w:w="1000" w:type="dxa"/>
            <w:vAlign w:val="bottom"/>
            <w:shd w:val="clear" w:color="auto" w:fill="4A1F67"/>
          </w:tcPr>
          <w:p>
            <w:pPr>
              <w:spacing w:after="0"/>
              <w:rPr>
                <w:sz w:val="11"/>
                <w:szCs w:val="11"/>
                <w:color w:val="auto"/>
              </w:rPr>
            </w:pPr>
          </w:p>
        </w:tc>
        <w:tc>
          <w:tcPr>
            <w:tcW w:w="1040" w:type="dxa"/>
            <w:vAlign w:val="bottom"/>
            <w:shd w:val="clear" w:color="auto" w:fill="4A1F67"/>
          </w:tcPr>
          <w:p>
            <w:pPr>
              <w:spacing w:after="0"/>
              <w:rPr>
                <w:sz w:val="11"/>
                <w:szCs w:val="11"/>
                <w:color w:val="auto"/>
              </w:rPr>
            </w:pPr>
          </w:p>
        </w:tc>
        <w:tc>
          <w:tcPr>
            <w:tcW w:w="100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60" w:type="dxa"/>
            <w:vAlign w:val="bottom"/>
            <w:shd w:val="clear" w:color="auto" w:fill="4A1F67"/>
          </w:tcPr>
          <w:p>
            <w:pPr>
              <w:spacing w:after="0"/>
              <w:rPr>
                <w:sz w:val="11"/>
                <w:szCs w:val="11"/>
                <w:color w:val="auto"/>
              </w:rPr>
            </w:pPr>
          </w:p>
        </w:tc>
        <w:tc>
          <w:tcPr>
            <w:tcW w:w="1060" w:type="dxa"/>
            <w:vAlign w:val="bottom"/>
            <w:shd w:val="clear" w:color="auto" w:fill="4A1F67"/>
          </w:tcPr>
          <w:p>
            <w:pPr>
              <w:spacing w:after="0"/>
              <w:rPr>
                <w:sz w:val="11"/>
                <w:szCs w:val="11"/>
                <w:color w:val="auto"/>
              </w:rPr>
            </w:pPr>
          </w:p>
        </w:tc>
        <w:tc>
          <w:tcPr>
            <w:tcW w:w="10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Pension</w:t>
            </w:r>
          </w:p>
        </w:tc>
        <w:tc>
          <w:tcPr>
            <w:tcW w:w="1020" w:type="dxa"/>
            <w:vAlign w:val="bottom"/>
            <w:shd w:val="clear" w:color="auto" w:fill="4A1F67"/>
          </w:tcPr>
          <w:p>
            <w:pPr>
              <w:spacing w:after="0"/>
              <w:rPr>
                <w:sz w:val="11"/>
                <w:szCs w:val="11"/>
                <w:color w:val="auto"/>
              </w:rPr>
            </w:pPr>
          </w:p>
        </w:tc>
        <w:tc>
          <w:tcPr>
            <w:tcW w:w="940" w:type="dxa"/>
            <w:vAlign w:val="bottom"/>
            <w:shd w:val="clear" w:color="auto" w:fill="4A1F6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4A1F67"/>
          </w:tcPr>
          <w:p>
            <w:pPr>
              <w:spacing w:after="0"/>
              <w:rPr>
                <w:sz w:val="11"/>
                <w:szCs w:val="11"/>
                <w:color w:val="auto"/>
              </w:rPr>
            </w:pPr>
          </w:p>
        </w:tc>
        <w:tc>
          <w:tcPr>
            <w:tcW w:w="540" w:type="dxa"/>
            <w:vAlign w:val="bottom"/>
            <w:shd w:val="clear" w:color="auto" w:fill="4A1F67"/>
          </w:tcPr>
          <w:p>
            <w:pPr>
              <w:spacing w:after="0"/>
              <w:rPr>
                <w:sz w:val="11"/>
                <w:szCs w:val="11"/>
                <w:color w:val="auto"/>
              </w:rPr>
            </w:pPr>
          </w:p>
        </w:tc>
        <w:tc>
          <w:tcPr>
            <w:tcW w:w="1000" w:type="dxa"/>
            <w:vAlign w:val="bottom"/>
            <w:shd w:val="clear" w:color="auto" w:fill="4A1F67"/>
          </w:tcPr>
          <w:p>
            <w:pPr>
              <w:spacing w:after="0"/>
              <w:rPr>
                <w:sz w:val="11"/>
                <w:szCs w:val="11"/>
                <w:color w:val="auto"/>
              </w:rPr>
            </w:pPr>
          </w:p>
        </w:tc>
        <w:tc>
          <w:tcPr>
            <w:tcW w:w="1040" w:type="dxa"/>
            <w:vAlign w:val="bottom"/>
            <w:shd w:val="clear" w:color="auto" w:fill="4A1F67"/>
          </w:tcPr>
          <w:p>
            <w:pPr>
              <w:spacing w:after="0"/>
              <w:rPr>
                <w:sz w:val="11"/>
                <w:szCs w:val="11"/>
                <w:color w:val="auto"/>
              </w:rPr>
            </w:pPr>
          </w:p>
        </w:tc>
        <w:tc>
          <w:tcPr>
            <w:tcW w:w="100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60" w:type="dxa"/>
            <w:vAlign w:val="bottom"/>
            <w:shd w:val="clear" w:color="auto" w:fill="4A1F67"/>
          </w:tcPr>
          <w:p>
            <w:pPr>
              <w:spacing w:after="0"/>
              <w:rPr>
                <w:sz w:val="11"/>
                <w:szCs w:val="11"/>
                <w:color w:val="auto"/>
              </w:rPr>
            </w:pPr>
          </w:p>
        </w:tc>
        <w:tc>
          <w:tcPr>
            <w:tcW w:w="1060" w:type="dxa"/>
            <w:vAlign w:val="bottom"/>
            <w:shd w:val="clear" w:color="auto" w:fill="4A1F67"/>
          </w:tcPr>
          <w:p>
            <w:pPr>
              <w:spacing w:after="0"/>
              <w:rPr>
                <w:sz w:val="11"/>
                <w:szCs w:val="11"/>
                <w:color w:val="auto"/>
              </w:rPr>
            </w:pPr>
          </w:p>
        </w:tc>
        <w:tc>
          <w:tcPr>
            <w:tcW w:w="1020" w:type="dxa"/>
            <w:vAlign w:val="bottom"/>
            <w:shd w:val="clear" w:color="auto" w:fill="4A1F67"/>
          </w:tcPr>
          <w:p>
            <w:pPr>
              <w:jc w:val="right"/>
              <w:ind w:right="37"/>
              <w:spacing w:after="0" w:line="135" w:lineRule="exact"/>
              <w:rPr>
                <w:sz w:val="20"/>
                <w:szCs w:val="20"/>
                <w:color w:val="auto"/>
              </w:rPr>
            </w:pPr>
            <w:r>
              <w:rPr>
                <w:rFonts w:ascii="Arial" w:cs="Arial" w:eastAsia="Arial" w:hAnsi="Arial"/>
                <w:sz w:val="13"/>
                <w:szCs w:val="13"/>
                <w:b w:val="1"/>
                <w:bCs w:val="1"/>
                <w:color w:val="FFFFFF"/>
              </w:rPr>
              <w:t>Value and</w:t>
            </w:r>
          </w:p>
        </w:tc>
        <w:tc>
          <w:tcPr>
            <w:tcW w:w="1020" w:type="dxa"/>
            <w:vAlign w:val="bottom"/>
            <w:shd w:val="clear" w:color="auto" w:fill="4A1F67"/>
          </w:tcPr>
          <w:p>
            <w:pPr>
              <w:spacing w:after="0"/>
              <w:rPr>
                <w:sz w:val="11"/>
                <w:szCs w:val="11"/>
                <w:color w:val="auto"/>
              </w:rPr>
            </w:pPr>
          </w:p>
        </w:tc>
        <w:tc>
          <w:tcPr>
            <w:tcW w:w="940" w:type="dxa"/>
            <w:vAlign w:val="bottom"/>
            <w:shd w:val="clear" w:color="auto" w:fill="4A1F6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4A1F67"/>
          </w:tcPr>
          <w:p>
            <w:pPr>
              <w:spacing w:after="0"/>
              <w:rPr>
                <w:sz w:val="11"/>
                <w:szCs w:val="11"/>
                <w:color w:val="auto"/>
              </w:rPr>
            </w:pPr>
          </w:p>
        </w:tc>
        <w:tc>
          <w:tcPr>
            <w:tcW w:w="540" w:type="dxa"/>
            <w:vAlign w:val="bottom"/>
            <w:shd w:val="clear" w:color="auto" w:fill="4A1F67"/>
          </w:tcPr>
          <w:p>
            <w:pPr>
              <w:spacing w:after="0"/>
              <w:rPr>
                <w:sz w:val="11"/>
                <w:szCs w:val="11"/>
                <w:color w:val="auto"/>
              </w:rPr>
            </w:pPr>
          </w:p>
        </w:tc>
        <w:tc>
          <w:tcPr>
            <w:tcW w:w="1000" w:type="dxa"/>
            <w:vAlign w:val="bottom"/>
            <w:shd w:val="clear" w:color="auto" w:fill="4A1F67"/>
          </w:tcPr>
          <w:p>
            <w:pPr>
              <w:spacing w:after="0"/>
              <w:rPr>
                <w:sz w:val="11"/>
                <w:szCs w:val="11"/>
                <w:color w:val="auto"/>
              </w:rPr>
            </w:pPr>
          </w:p>
        </w:tc>
        <w:tc>
          <w:tcPr>
            <w:tcW w:w="1040" w:type="dxa"/>
            <w:vAlign w:val="bottom"/>
            <w:shd w:val="clear" w:color="auto" w:fill="4A1F67"/>
          </w:tcPr>
          <w:p>
            <w:pPr>
              <w:spacing w:after="0"/>
              <w:rPr>
                <w:sz w:val="11"/>
                <w:szCs w:val="11"/>
                <w:color w:val="auto"/>
              </w:rPr>
            </w:pPr>
          </w:p>
        </w:tc>
        <w:tc>
          <w:tcPr>
            <w:tcW w:w="100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60" w:type="dxa"/>
            <w:vAlign w:val="bottom"/>
            <w:shd w:val="clear" w:color="auto" w:fill="4A1F67"/>
          </w:tcPr>
          <w:p>
            <w:pPr>
              <w:spacing w:after="0"/>
              <w:rPr>
                <w:sz w:val="11"/>
                <w:szCs w:val="11"/>
                <w:color w:val="auto"/>
              </w:rPr>
            </w:pPr>
          </w:p>
        </w:tc>
        <w:tc>
          <w:tcPr>
            <w:tcW w:w="1060" w:type="dxa"/>
            <w:vAlign w:val="bottom"/>
            <w:shd w:val="clear" w:color="auto" w:fill="4A1F67"/>
          </w:tcPr>
          <w:p>
            <w:pPr>
              <w:spacing w:after="0"/>
              <w:rPr>
                <w:sz w:val="11"/>
                <w:szCs w:val="11"/>
                <w:color w:val="auto"/>
              </w:rPr>
            </w:pPr>
          </w:p>
        </w:tc>
        <w:tc>
          <w:tcPr>
            <w:tcW w:w="1020" w:type="dxa"/>
            <w:vAlign w:val="bottom"/>
            <w:shd w:val="clear" w:color="auto" w:fill="4A1F67"/>
          </w:tcPr>
          <w:p>
            <w:pPr>
              <w:jc w:val="right"/>
              <w:ind w:right="37"/>
              <w:spacing w:after="0" w:line="135" w:lineRule="exact"/>
              <w:rPr>
                <w:sz w:val="20"/>
                <w:szCs w:val="20"/>
                <w:color w:val="auto"/>
              </w:rPr>
            </w:pPr>
            <w:r>
              <w:rPr>
                <w:rFonts w:ascii="Arial" w:cs="Arial" w:eastAsia="Arial" w:hAnsi="Arial"/>
                <w:sz w:val="13"/>
                <w:szCs w:val="13"/>
                <w:b w:val="1"/>
                <w:bCs w:val="1"/>
                <w:color w:val="FFFFFF"/>
              </w:rPr>
              <w:t>Nonqualified</w:t>
            </w:r>
          </w:p>
        </w:tc>
        <w:tc>
          <w:tcPr>
            <w:tcW w:w="1020" w:type="dxa"/>
            <w:vAlign w:val="bottom"/>
            <w:shd w:val="clear" w:color="auto" w:fill="4A1F67"/>
          </w:tcPr>
          <w:p>
            <w:pPr>
              <w:spacing w:after="0"/>
              <w:rPr>
                <w:sz w:val="11"/>
                <w:szCs w:val="11"/>
                <w:color w:val="auto"/>
              </w:rPr>
            </w:pPr>
          </w:p>
        </w:tc>
        <w:tc>
          <w:tcPr>
            <w:tcW w:w="940" w:type="dxa"/>
            <w:vAlign w:val="bottom"/>
            <w:shd w:val="clear" w:color="auto" w:fill="4A1F67"/>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4A1F67"/>
          </w:tcPr>
          <w:p>
            <w:pPr>
              <w:spacing w:after="0"/>
              <w:rPr>
                <w:sz w:val="11"/>
                <w:szCs w:val="11"/>
                <w:color w:val="auto"/>
              </w:rPr>
            </w:pPr>
          </w:p>
        </w:tc>
        <w:tc>
          <w:tcPr>
            <w:tcW w:w="540" w:type="dxa"/>
            <w:vAlign w:val="bottom"/>
            <w:shd w:val="clear" w:color="auto" w:fill="4A1F67"/>
          </w:tcPr>
          <w:p>
            <w:pPr>
              <w:spacing w:after="0"/>
              <w:rPr>
                <w:sz w:val="11"/>
                <w:szCs w:val="11"/>
                <w:color w:val="auto"/>
              </w:rPr>
            </w:pPr>
          </w:p>
        </w:tc>
        <w:tc>
          <w:tcPr>
            <w:tcW w:w="1000" w:type="dxa"/>
            <w:vAlign w:val="bottom"/>
            <w:shd w:val="clear" w:color="auto" w:fill="4A1F67"/>
          </w:tcPr>
          <w:p>
            <w:pPr>
              <w:spacing w:after="0"/>
              <w:rPr>
                <w:sz w:val="11"/>
                <w:szCs w:val="11"/>
                <w:color w:val="auto"/>
              </w:rPr>
            </w:pPr>
          </w:p>
        </w:tc>
        <w:tc>
          <w:tcPr>
            <w:tcW w:w="1040" w:type="dxa"/>
            <w:vAlign w:val="bottom"/>
            <w:shd w:val="clear" w:color="auto" w:fill="4A1F67"/>
          </w:tcPr>
          <w:p>
            <w:pPr>
              <w:spacing w:after="0"/>
              <w:rPr>
                <w:sz w:val="11"/>
                <w:szCs w:val="11"/>
                <w:color w:val="auto"/>
              </w:rPr>
            </w:pPr>
          </w:p>
        </w:tc>
        <w:tc>
          <w:tcPr>
            <w:tcW w:w="100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60" w:type="dxa"/>
            <w:vAlign w:val="bottom"/>
            <w:shd w:val="clear" w:color="auto" w:fill="4A1F67"/>
          </w:tcPr>
          <w:p>
            <w:pPr>
              <w:spacing w:after="0"/>
              <w:rPr>
                <w:sz w:val="11"/>
                <w:szCs w:val="11"/>
                <w:color w:val="auto"/>
              </w:rPr>
            </w:pPr>
          </w:p>
        </w:tc>
        <w:tc>
          <w:tcPr>
            <w:tcW w:w="1060" w:type="dxa"/>
            <w:vAlign w:val="bottom"/>
            <w:shd w:val="clear" w:color="auto" w:fill="4A1F67"/>
          </w:tcPr>
          <w:p>
            <w:pPr>
              <w:jc w:val="right"/>
              <w:ind w:right="17"/>
              <w:spacing w:after="0" w:line="135" w:lineRule="exact"/>
              <w:rPr>
                <w:sz w:val="20"/>
                <w:szCs w:val="20"/>
                <w:color w:val="auto"/>
              </w:rPr>
            </w:pPr>
            <w:r>
              <w:rPr>
                <w:rFonts w:ascii="Arial" w:cs="Arial" w:eastAsia="Arial" w:hAnsi="Arial"/>
                <w:sz w:val="13"/>
                <w:szCs w:val="13"/>
                <w:b w:val="1"/>
                <w:bCs w:val="1"/>
                <w:color w:val="FFFFFF"/>
              </w:rPr>
              <w:t>Non-Equity</w:t>
            </w:r>
          </w:p>
        </w:tc>
        <w:tc>
          <w:tcPr>
            <w:tcW w:w="1020" w:type="dxa"/>
            <w:vAlign w:val="bottom"/>
            <w:shd w:val="clear" w:color="auto" w:fill="4A1F67"/>
          </w:tcPr>
          <w:p>
            <w:pPr>
              <w:jc w:val="right"/>
              <w:ind w:right="37"/>
              <w:spacing w:after="0" w:line="135" w:lineRule="exact"/>
              <w:rPr>
                <w:sz w:val="20"/>
                <w:szCs w:val="20"/>
                <w:color w:val="auto"/>
              </w:rPr>
            </w:pPr>
            <w:r>
              <w:rPr>
                <w:rFonts w:ascii="Arial" w:cs="Arial" w:eastAsia="Arial" w:hAnsi="Arial"/>
                <w:sz w:val="13"/>
                <w:szCs w:val="13"/>
                <w:b w:val="1"/>
                <w:bCs w:val="1"/>
                <w:color w:val="FFFFFF"/>
              </w:rPr>
              <w:t>Deferred</w:t>
            </w:r>
          </w:p>
        </w:tc>
        <w:tc>
          <w:tcPr>
            <w:tcW w:w="1020" w:type="dxa"/>
            <w:vAlign w:val="bottom"/>
            <w:shd w:val="clear" w:color="auto" w:fill="4A1F67"/>
          </w:tcPr>
          <w:p>
            <w:pPr>
              <w:jc w:val="right"/>
              <w:ind w:right="57"/>
              <w:spacing w:after="0" w:line="135" w:lineRule="exact"/>
              <w:rPr>
                <w:sz w:val="20"/>
                <w:szCs w:val="20"/>
                <w:color w:val="auto"/>
              </w:rPr>
            </w:pPr>
            <w:r>
              <w:rPr>
                <w:rFonts w:ascii="Arial" w:cs="Arial" w:eastAsia="Arial" w:hAnsi="Arial"/>
                <w:sz w:val="13"/>
                <w:szCs w:val="13"/>
                <w:b w:val="1"/>
                <w:bCs w:val="1"/>
                <w:color w:val="FFFFFF"/>
              </w:rPr>
              <w:t>All Other</w:t>
            </w:r>
          </w:p>
        </w:tc>
        <w:tc>
          <w:tcPr>
            <w:tcW w:w="940" w:type="dxa"/>
            <w:vAlign w:val="bottom"/>
            <w:shd w:val="clear" w:color="auto" w:fill="4A1F67"/>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40" w:type="dxa"/>
            <w:vAlign w:val="bottom"/>
            <w:shd w:val="clear" w:color="auto" w:fill="4A1F67"/>
          </w:tcPr>
          <w:p>
            <w:pPr>
              <w:ind w:left="60"/>
              <w:spacing w:after="0" w:line="131" w:lineRule="exact"/>
              <w:rPr>
                <w:sz w:val="20"/>
                <w:szCs w:val="20"/>
                <w:color w:val="auto"/>
              </w:rPr>
            </w:pPr>
            <w:r>
              <w:rPr>
                <w:rFonts w:ascii="Arial" w:cs="Arial" w:eastAsia="Arial" w:hAnsi="Arial"/>
                <w:sz w:val="13"/>
                <w:szCs w:val="13"/>
                <w:b w:val="1"/>
                <w:bCs w:val="1"/>
                <w:color w:val="FFFFFF"/>
              </w:rPr>
              <w:t>Name and Principal Position</w:t>
            </w:r>
          </w:p>
        </w:tc>
        <w:tc>
          <w:tcPr>
            <w:tcW w:w="540" w:type="dxa"/>
            <w:vAlign w:val="bottom"/>
            <w:shd w:val="clear" w:color="auto" w:fill="4A1F67"/>
          </w:tcPr>
          <w:p>
            <w:pPr>
              <w:spacing w:after="0"/>
              <w:rPr>
                <w:sz w:val="11"/>
                <w:szCs w:val="11"/>
                <w:color w:val="auto"/>
              </w:rPr>
            </w:pPr>
          </w:p>
        </w:tc>
        <w:tc>
          <w:tcPr>
            <w:tcW w:w="1000" w:type="dxa"/>
            <w:vAlign w:val="bottom"/>
            <w:shd w:val="clear" w:color="auto" w:fill="4A1F67"/>
          </w:tcPr>
          <w:p>
            <w:pPr>
              <w:spacing w:after="0"/>
              <w:rPr>
                <w:sz w:val="11"/>
                <w:szCs w:val="11"/>
                <w:color w:val="auto"/>
              </w:rPr>
            </w:pPr>
          </w:p>
        </w:tc>
        <w:tc>
          <w:tcPr>
            <w:tcW w:w="1040" w:type="dxa"/>
            <w:vAlign w:val="bottom"/>
            <w:shd w:val="clear" w:color="auto" w:fill="4A1F67"/>
          </w:tcPr>
          <w:p>
            <w:pPr>
              <w:jc w:val="right"/>
              <w:ind w:right="37"/>
              <w:spacing w:after="0" w:line="131" w:lineRule="exact"/>
              <w:rPr>
                <w:sz w:val="20"/>
                <w:szCs w:val="20"/>
                <w:color w:val="auto"/>
              </w:rPr>
            </w:pPr>
            <w:r>
              <w:rPr>
                <w:rFonts w:ascii="Arial" w:cs="Arial" w:eastAsia="Arial" w:hAnsi="Arial"/>
                <w:sz w:val="13"/>
                <w:szCs w:val="13"/>
                <w:b w:val="1"/>
                <w:bCs w:val="1"/>
                <w:color w:val="FFFFFF"/>
              </w:rPr>
              <w:t>Bonus</w:t>
            </w:r>
          </w:p>
        </w:tc>
        <w:tc>
          <w:tcPr>
            <w:tcW w:w="1000" w:type="dxa"/>
            <w:vAlign w:val="bottom"/>
            <w:shd w:val="clear" w:color="auto" w:fill="4A1F67"/>
          </w:tcPr>
          <w:p>
            <w:pPr>
              <w:jc w:val="right"/>
              <w:ind w:right="37"/>
              <w:spacing w:after="0" w:line="131" w:lineRule="exact"/>
              <w:rPr>
                <w:sz w:val="20"/>
                <w:szCs w:val="20"/>
                <w:color w:val="auto"/>
              </w:rPr>
            </w:pPr>
            <w:r>
              <w:rPr>
                <w:rFonts w:ascii="Arial" w:cs="Arial" w:eastAsia="Arial" w:hAnsi="Arial"/>
                <w:sz w:val="13"/>
                <w:szCs w:val="13"/>
                <w:b w:val="1"/>
                <w:bCs w:val="1"/>
                <w:color w:val="FFFFFF"/>
              </w:rPr>
              <w:t>Stock Awards</w:t>
            </w:r>
          </w:p>
        </w:tc>
        <w:tc>
          <w:tcPr>
            <w:tcW w:w="90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Option</w:t>
            </w:r>
          </w:p>
        </w:tc>
        <w:tc>
          <w:tcPr>
            <w:tcW w:w="160" w:type="dxa"/>
            <w:vAlign w:val="bottom"/>
            <w:shd w:val="clear" w:color="auto" w:fill="4A1F67"/>
          </w:tcPr>
          <w:p>
            <w:pPr>
              <w:spacing w:after="0"/>
              <w:rPr>
                <w:sz w:val="11"/>
                <w:szCs w:val="11"/>
                <w:color w:val="auto"/>
              </w:rPr>
            </w:pPr>
          </w:p>
        </w:tc>
        <w:tc>
          <w:tcPr>
            <w:tcW w:w="1060" w:type="dxa"/>
            <w:vAlign w:val="bottom"/>
            <w:shd w:val="clear" w:color="auto" w:fill="4A1F67"/>
          </w:tcPr>
          <w:p>
            <w:pPr>
              <w:jc w:val="right"/>
              <w:ind w:right="17"/>
              <w:spacing w:after="0" w:line="131" w:lineRule="exact"/>
              <w:rPr>
                <w:sz w:val="20"/>
                <w:szCs w:val="20"/>
                <w:color w:val="auto"/>
              </w:rPr>
            </w:pPr>
            <w:r>
              <w:rPr>
                <w:rFonts w:ascii="Arial" w:cs="Arial" w:eastAsia="Arial" w:hAnsi="Arial"/>
                <w:sz w:val="13"/>
                <w:szCs w:val="13"/>
                <w:b w:val="1"/>
                <w:bCs w:val="1"/>
                <w:color w:val="FFFFFF"/>
              </w:rPr>
              <w:t>Incentive Plan</w:t>
            </w:r>
          </w:p>
        </w:tc>
        <w:tc>
          <w:tcPr>
            <w:tcW w:w="1020" w:type="dxa"/>
            <w:vAlign w:val="bottom"/>
            <w:shd w:val="clear" w:color="auto" w:fill="4A1F67"/>
          </w:tcPr>
          <w:p>
            <w:pPr>
              <w:jc w:val="right"/>
              <w:ind w:right="37"/>
              <w:spacing w:after="0" w:line="131" w:lineRule="exact"/>
              <w:rPr>
                <w:sz w:val="20"/>
                <w:szCs w:val="20"/>
                <w:color w:val="auto"/>
              </w:rPr>
            </w:pPr>
            <w:r>
              <w:rPr>
                <w:rFonts w:ascii="Arial" w:cs="Arial" w:eastAsia="Arial" w:hAnsi="Arial"/>
                <w:sz w:val="13"/>
                <w:szCs w:val="13"/>
                <w:b w:val="1"/>
                <w:bCs w:val="1"/>
                <w:color w:val="FFFFFF"/>
                <w:w w:val="99"/>
              </w:rPr>
              <w:t>Compensation</w:t>
            </w:r>
          </w:p>
        </w:tc>
        <w:tc>
          <w:tcPr>
            <w:tcW w:w="1020" w:type="dxa"/>
            <w:vAlign w:val="bottom"/>
            <w:shd w:val="clear" w:color="auto" w:fill="4A1F67"/>
          </w:tcPr>
          <w:p>
            <w:pPr>
              <w:jc w:val="right"/>
              <w:ind w:right="17"/>
              <w:spacing w:after="0" w:line="131" w:lineRule="exact"/>
              <w:rPr>
                <w:sz w:val="20"/>
                <w:szCs w:val="20"/>
                <w:color w:val="auto"/>
              </w:rPr>
            </w:pPr>
            <w:r>
              <w:rPr>
                <w:rFonts w:ascii="Arial" w:cs="Arial" w:eastAsia="Arial" w:hAnsi="Arial"/>
                <w:sz w:val="13"/>
                <w:szCs w:val="13"/>
                <w:b w:val="1"/>
                <w:bCs w:val="1"/>
                <w:color w:val="FFFFFF"/>
              </w:rPr>
              <w:t>Compensation</w:t>
            </w:r>
          </w:p>
        </w:tc>
        <w:tc>
          <w:tcPr>
            <w:tcW w:w="94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68"/>
        </w:trPr>
        <w:tc>
          <w:tcPr>
            <w:tcW w:w="2540" w:type="dxa"/>
            <w:vAlign w:val="bottom"/>
            <w:tcBorders>
              <w:bottom w:val="single" w:sz="8" w:color="4A1F67"/>
            </w:tcBorders>
            <w:shd w:val="clear" w:color="auto" w:fill="4A1F67"/>
          </w:tcPr>
          <w:p>
            <w:pPr>
              <w:ind w:left="60"/>
              <w:spacing w:after="0"/>
              <w:rPr>
                <w:sz w:val="20"/>
                <w:szCs w:val="20"/>
                <w:color w:val="auto"/>
              </w:rPr>
            </w:pPr>
            <w:r>
              <w:rPr>
                <w:rFonts w:ascii="Arial" w:cs="Arial" w:eastAsia="Arial" w:hAnsi="Arial"/>
                <w:sz w:val="13"/>
                <w:szCs w:val="13"/>
                <w:b w:val="1"/>
                <w:bCs w:val="1"/>
                <w:color w:val="FFFFFF"/>
              </w:rPr>
              <w:t>as of 12/31/2020</w:t>
            </w:r>
          </w:p>
        </w:tc>
        <w:tc>
          <w:tcPr>
            <w:tcW w:w="54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Year</w:t>
            </w:r>
          </w:p>
        </w:tc>
        <w:tc>
          <w:tcPr>
            <w:tcW w:w="100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Salary ($)</w:t>
            </w:r>
          </w:p>
        </w:tc>
        <w:tc>
          <w:tcPr>
            <w:tcW w:w="1040" w:type="dxa"/>
            <w:vAlign w:val="bottom"/>
            <w:tcBorders>
              <w:bottom w:val="single" w:sz="8" w:color="4A1F67"/>
            </w:tcBorders>
            <w:shd w:val="clear" w:color="auto" w:fill="4A1F67"/>
          </w:tcPr>
          <w:p>
            <w:pPr>
              <w:jc w:val="right"/>
              <w:ind w:right="37"/>
              <w:spacing w:after="0"/>
              <w:rPr>
                <w:sz w:val="20"/>
                <w:szCs w:val="20"/>
                <w:color w:val="auto"/>
              </w:rPr>
            </w:pPr>
            <w:r>
              <w:rPr>
                <w:rFonts w:ascii="Arial" w:cs="Arial" w:eastAsia="Arial" w:hAnsi="Arial"/>
                <w:sz w:val="13"/>
                <w:szCs w:val="13"/>
                <w:b w:val="1"/>
                <w:bCs w:val="1"/>
                <w:color w:val="FFFFFF"/>
              </w:rPr>
              <w:t>($)</w:t>
            </w:r>
          </w:p>
        </w:tc>
        <w:tc>
          <w:tcPr>
            <w:tcW w:w="1000" w:type="dxa"/>
            <w:vAlign w:val="bottom"/>
            <w:tcBorders>
              <w:bottom w:val="single" w:sz="8" w:color="4A1F67"/>
            </w:tcBorders>
            <w:shd w:val="clear" w:color="auto" w:fill="4A1F67"/>
          </w:tcPr>
          <w:p>
            <w:pPr>
              <w:jc w:val="right"/>
              <w:ind w:right="37"/>
              <w:spacing w:after="0" w:line="161"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8"/>
                <w:szCs w:val="18"/>
                <w:b w:val="1"/>
                <w:bCs w:val="1"/>
                <w:color w:val="FFFFFF"/>
                <w:vertAlign w:val="superscript"/>
              </w:rPr>
              <w:t>1</w:t>
            </w:r>
          </w:p>
        </w:tc>
        <w:tc>
          <w:tcPr>
            <w:tcW w:w="900" w:type="dxa"/>
            <w:vAlign w:val="bottom"/>
            <w:tcBorders>
              <w:bottom w:val="single" w:sz="8" w:color="4A1F67"/>
            </w:tcBorders>
            <w:shd w:val="clear" w:color="auto" w:fill="4A1F67"/>
          </w:tcPr>
          <w:p>
            <w:pPr>
              <w:jc w:val="right"/>
              <w:spacing w:after="0" w:line="161" w:lineRule="exact"/>
              <w:rPr>
                <w:sz w:val="20"/>
                <w:szCs w:val="20"/>
                <w:color w:val="auto"/>
              </w:rPr>
            </w:pPr>
            <w:r>
              <w:rPr>
                <w:rFonts w:ascii="Arial" w:cs="Arial" w:eastAsia="Arial" w:hAnsi="Arial"/>
                <w:sz w:val="12"/>
                <w:szCs w:val="12"/>
                <w:b w:val="1"/>
                <w:bCs w:val="1"/>
                <w:color w:val="FFFFFF"/>
              </w:rPr>
              <w:t>Awards ($)</w:t>
            </w:r>
            <w:r>
              <w:rPr>
                <w:rFonts w:ascii="Arial" w:cs="Arial" w:eastAsia="Arial" w:hAnsi="Arial"/>
                <w:sz w:val="18"/>
                <w:szCs w:val="18"/>
                <w:b w:val="1"/>
                <w:bCs w:val="1"/>
                <w:color w:val="FFFFFF"/>
                <w:vertAlign w:val="superscript"/>
              </w:rPr>
              <w:t>2</w:t>
            </w:r>
          </w:p>
        </w:tc>
        <w:tc>
          <w:tcPr>
            <w:tcW w:w="1220" w:type="dxa"/>
            <w:vAlign w:val="bottom"/>
            <w:tcBorders>
              <w:bottom w:val="single" w:sz="8" w:color="4A1F67"/>
            </w:tcBorders>
            <w:gridSpan w:val="2"/>
            <w:shd w:val="clear" w:color="auto" w:fill="4A1F67"/>
          </w:tcPr>
          <w:p>
            <w:pPr>
              <w:jc w:val="right"/>
              <w:spacing w:after="0"/>
              <w:rPr>
                <w:sz w:val="20"/>
                <w:szCs w:val="20"/>
                <w:color w:val="auto"/>
              </w:rPr>
            </w:pPr>
            <w:r>
              <w:rPr>
                <w:rFonts w:ascii="Arial" w:cs="Arial" w:eastAsia="Arial" w:hAnsi="Arial"/>
                <w:sz w:val="13"/>
                <w:szCs w:val="13"/>
                <w:b w:val="1"/>
                <w:bCs w:val="1"/>
                <w:color w:val="FFFFFF"/>
              </w:rPr>
              <w:t>Compensation ($)</w:t>
            </w:r>
          </w:p>
        </w:tc>
        <w:tc>
          <w:tcPr>
            <w:tcW w:w="1020" w:type="dxa"/>
            <w:vAlign w:val="bottom"/>
            <w:tcBorders>
              <w:bottom w:val="single" w:sz="8" w:color="4A1F67"/>
            </w:tcBorders>
            <w:shd w:val="clear" w:color="auto" w:fill="4A1F67"/>
          </w:tcPr>
          <w:p>
            <w:pPr>
              <w:jc w:val="right"/>
              <w:spacing w:after="0" w:line="161" w:lineRule="exact"/>
              <w:rPr>
                <w:sz w:val="20"/>
                <w:szCs w:val="20"/>
                <w:color w:val="auto"/>
              </w:rPr>
            </w:pPr>
            <w:r>
              <w:rPr>
                <w:rFonts w:ascii="Arial" w:cs="Arial" w:eastAsia="Arial" w:hAnsi="Arial"/>
                <w:sz w:val="12"/>
                <w:szCs w:val="12"/>
                <w:b w:val="1"/>
                <w:bCs w:val="1"/>
                <w:color w:val="FFFFFF"/>
              </w:rPr>
              <w:t>Earnings ($</w:t>
            </w:r>
            <w:r>
              <w:rPr>
                <w:rFonts w:ascii="Arial" w:cs="Arial" w:eastAsia="Arial" w:hAnsi="Arial"/>
                <w:sz w:val="18"/>
                <w:szCs w:val="18"/>
                <w:b w:val="1"/>
                <w:bCs w:val="1"/>
                <w:color w:val="FFFFFF"/>
                <w:vertAlign w:val="superscript"/>
              </w:rPr>
              <w:t>3</w:t>
            </w:r>
          </w:p>
        </w:tc>
        <w:tc>
          <w:tcPr>
            <w:tcW w:w="1020" w:type="dxa"/>
            <w:vAlign w:val="bottom"/>
            <w:tcBorders>
              <w:bottom w:val="single" w:sz="8" w:color="4A1F67"/>
            </w:tcBorders>
            <w:shd w:val="clear" w:color="auto" w:fill="4A1F67"/>
          </w:tcPr>
          <w:p>
            <w:pPr>
              <w:jc w:val="right"/>
              <w:ind w:right="17"/>
              <w:spacing w:after="0" w:line="161"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8"/>
                <w:szCs w:val="18"/>
                <w:b w:val="1"/>
                <w:bCs w:val="1"/>
                <w:color w:val="FFFFFF"/>
                <w:vertAlign w:val="superscript"/>
              </w:rPr>
              <w:t>4</w:t>
            </w:r>
          </w:p>
        </w:tc>
        <w:tc>
          <w:tcPr>
            <w:tcW w:w="94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0"/>
        </w:trPr>
        <w:tc>
          <w:tcPr>
            <w:tcW w:w="2540" w:type="dxa"/>
            <w:vAlign w:val="bottom"/>
          </w:tcPr>
          <w:p>
            <w:pPr>
              <w:ind w:left="40"/>
              <w:spacing w:after="0"/>
              <w:rPr>
                <w:sz w:val="20"/>
                <w:szCs w:val="20"/>
                <w:color w:val="auto"/>
              </w:rPr>
            </w:pPr>
            <w:r>
              <w:rPr>
                <w:rFonts w:ascii="Arial" w:cs="Arial" w:eastAsia="Arial" w:hAnsi="Arial"/>
                <w:sz w:val="13"/>
                <w:szCs w:val="13"/>
                <w:b w:val="1"/>
                <w:bCs w:val="1"/>
                <w:color w:val="3B3C43"/>
              </w:rPr>
              <w:t>Douglas J. Pferdehirt</w:t>
            </w:r>
          </w:p>
        </w:tc>
        <w:tc>
          <w:tcPr>
            <w:tcW w:w="540" w:type="dxa"/>
            <w:vAlign w:val="bottom"/>
          </w:tcPr>
          <w:p>
            <w:pPr>
              <w:jc w:val="right"/>
              <w:spacing w:after="0"/>
              <w:rPr>
                <w:sz w:val="20"/>
                <w:szCs w:val="20"/>
                <w:color w:val="auto"/>
              </w:rPr>
            </w:pPr>
            <w:r>
              <w:rPr>
                <w:rFonts w:ascii="Arial" w:cs="Arial" w:eastAsia="Arial" w:hAnsi="Arial"/>
                <w:sz w:val="13"/>
                <w:szCs w:val="13"/>
                <w:color w:val="3B3C43"/>
              </w:rPr>
              <w:t>2020</w:t>
            </w:r>
          </w:p>
        </w:tc>
        <w:tc>
          <w:tcPr>
            <w:tcW w:w="1000" w:type="dxa"/>
            <w:vAlign w:val="bottom"/>
          </w:tcPr>
          <w:p>
            <w:pPr>
              <w:jc w:val="right"/>
              <w:spacing w:after="0"/>
              <w:rPr>
                <w:sz w:val="20"/>
                <w:szCs w:val="20"/>
                <w:color w:val="auto"/>
              </w:rPr>
            </w:pPr>
            <w:r>
              <w:rPr>
                <w:rFonts w:ascii="Arial" w:cs="Arial" w:eastAsia="Arial" w:hAnsi="Arial"/>
                <w:sz w:val="13"/>
                <w:szCs w:val="13"/>
                <w:color w:val="3B3C43"/>
              </w:rPr>
              <w:t>988,800</w:t>
            </w:r>
          </w:p>
        </w:tc>
        <w:tc>
          <w:tcPr>
            <w:tcW w:w="1040" w:type="dxa"/>
            <w:vAlign w:val="bottom"/>
          </w:tcPr>
          <w:p>
            <w:pPr>
              <w:jc w:val="right"/>
              <w:ind w:right="17"/>
              <w:spacing w:after="0"/>
              <w:rPr>
                <w:sz w:val="20"/>
                <w:szCs w:val="20"/>
                <w:color w:val="auto"/>
              </w:rPr>
            </w:pPr>
            <w:r>
              <w:rPr>
                <w:rFonts w:ascii="Arial" w:cs="Arial" w:eastAsia="Arial" w:hAnsi="Arial"/>
                <w:sz w:val="13"/>
                <w:szCs w:val="13"/>
                <w:color w:val="3B3C43"/>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3B3C43"/>
              </w:rPr>
              <w:t>9,966,772</w:t>
            </w:r>
          </w:p>
        </w:tc>
        <w:tc>
          <w:tcPr>
            <w:tcW w:w="1060" w:type="dxa"/>
            <w:vAlign w:val="bottom"/>
            <w:gridSpan w:val="2"/>
          </w:tcPr>
          <w:p>
            <w:pPr>
              <w:jc w:val="right"/>
              <w:ind w:right="77"/>
              <w:spacing w:after="0"/>
              <w:rPr>
                <w:sz w:val="20"/>
                <w:szCs w:val="20"/>
                <w:color w:val="auto"/>
              </w:rPr>
            </w:pPr>
            <w:r>
              <w:rPr>
                <w:rFonts w:ascii="Arial" w:cs="Arial" w:eastAsia="Arial" w:hAnsi="Arial"/>
                <w:sz w:val="13"/>
                <w:szCs w:val="13"/>
                <w:color w:val="3B3C43"/>
              </w:rPr>
              <w:t>-</w:t>
            </w:r>
          </w:p>
        </w:tc>
        <w:tc>
          <w:tcPr>
            <w:tcW w:w="1060" w:type="dxa"/>
            <w:vAlign w:val="bottom"/>
          </w:tcPr>
          <w:p>
            <w:pPr>
              <w:jc w:val="right"/>
              <w:spacing w:after="0"/>
              <w:rPr>
                <w:sz w:val="20"/>
                <w:szCs w:val="20"/>
                <w:color w:val="auto"/>
              </w:rPr>
            </w:pPr>
            <w:r>
              <w:rPr>
                <w:rFonts w:ascii="Arial" w:cs="Arial" w:eastAsia="Arial" w:hAnsi="Arial"/>
                <w:sz w:val="13"/>
                <w:szCs w:val="13"/>
                <w:color w:val="3B3C43"/>
              </w:rPr>
              <w:t>1,668,600</w:t>
            </w:r>
          </w:p>
        </w:tc>
        <w:tc>
          <w:tcPr>
            <w:tcW w:w="1020" w:type="dxa"/>
            <w:vAlign w:val="bottom"/>
          </w:tcPr>
          <w:p>
            <w:pPr>
              <w:jc w:val="right"/>
              <w:spacing w:after="0"/>
              <w:rPr>
                <w:sz w:val="20"/>
                <w:szCs w:val="20"/>
                <w:color w:val="auto"/>
              </w:rPr>
            </w:pPr>
            <w:r>
              <w:rPr>
                <w:rFonts w:ascii="Arial" w:cs="Arial" w:eastAsia="Arial" w:hAnsi="Arial"/>
                <w:sz w:val="13"/>
                <w:szCs w:val="13"/>
                <w:color w:val="3B3C43"/>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3B3C43"/>
              </w:rPr>
              <w:t>296,429</w:t>
            </w:r>
          </w:p>
        </w:tc>
        <w:tc>
          <w:tcPr>
            <w:tcW w:w="940" w:type="dxa"/>
            <w:vAlign w:val="bottom"/>
          </w:tcPr>
          <w:p>
            <w:pPr>
              <w:jc w:val="right"/>
              <w:spacing w:after="0"/>
              <w:rPr>
                <w:sz w:val="20"/>
                <w:szCs w:val="20"/>
                <w:color w:val="auto"/>
              </w:rPr>
            </w:pPr>
            <w:r>
              <w:rPr>
                <w:rFonts w:ascii="Arial" w:cs="Arial" w:eastAsia="Arial" w:hAnsi="Arial"/>
                <w:sz w:val="13"/>
                <w:szCs w:val="13"/>
                <w:color w:val="3B3C43"/>
              </w:rPr>
              <w:t>12,920,601</w:t>
            </w:r>
          </w:p>
        </w:tc>
        <w:tc>
          <w:tcPr>
            <w:tcW w:w="0" w:type="dxa"/>
            <w:vAlign w:val="bottom"/>
          </w:tcPr>
          <w:p>
            <w:pPr>
              <w:spacing w:after="0"/>
              <w:rPr>
                <w:sz w:val="1"/>
                <w:szCs w:val="1"/>
                <w:color w:val="auto"/>
              </w:rPr>
            </w:pPr>
          </w:p>
        </w:tc>
      </w:tr>
      <w:tr>
        <w:trPr>
          <w:trHeight w:val="33"/>
        </w:trPr>
        <w:tc>
          <w:tcPr>
            <w:tcW w:w="2540" w:type="dxa"/>
            <w:vAlign w:val="bottom"/>
            <w:vMerge w:val="restart"/>
          </w:tcPr>
          <w:p>
            <w:pPr>
              <w:ind w:left="40"/>
              <w:spacing w:after="0"/>
              <w:rPr>
                <w:sz w:val="20"/>
                <w:szCs w:val="20"/>
                <w:color w:val="auto"/>
              </w:rPr>
            </w:pPr>
            <w:r>
              <w:rPr>
                <w:rFonts w:ascii="Arial" w:cs="Arial" w:eastAsia="Arial" w:hAnsi="Arial"/>
                <w:sz w:val="13"/>
                <w:szCs w:val="13"/>
                <w:color w:val="3B3C43"/>
              </w:rPr>
              <w:t>Chairman and CEO</w:t>
            </w:r>
          </w:p>
        </w:tc>
        <w:tc>
          <w:tcPr>
            <w:tcW w:w="540" w:type="dxa"/>
            <w:vAlign w:val="bottom"/>
            <w:tcBorders>
              <w:bottom w:val="single" w:sz="8" w:color="E1E2E0"/>
            </w:tcBorders>
          </w:tcPr>
          <w:p>
            <w:pPr>
              <w:spacing w:after="0"/>
              <w:rPr>
                <w:sz w:val="2"/>
                <w:szCs w:val="2"/>
                <w:color w:val="auto"/>
              </w:rPr>
            </w:pPr>
          </w:p>
        </w:tc>
        <w:tc>
          <w:tcPr>
            <w:tcW w:w="1000" w:type="dxa"/>
            <w:vAlign w:val="bottom"/>
            <w:tcBorders>
              <w:bottom w:val="single" w:sz="8" w:color="E1E2E0"/>
            </w:tcBorders>
          </w:tcPr>
          <w:p>
            <w:pPr>
              <w:spacing w:after="0"/>
              <w:rPr>
                <w:sz w:val="2"/>
                <w:szCs w:val="2"/>
                <w:color w:val="auto"/>
              </w:rPr>
            </w:pPr>
          </w:p>
        </w:tc>
        <w:tc>
          <w:tcPr>
            <w:tcW w:w="1040" w:type="dxa"/>
            <w:vAlign w:val="bottom"/>
            <w:tcBorders>
              <w:bottom w:val="single" w:sz="8" w:color="E1E2E0"/>
            </w:tcBorders>
          </w:tcPr>
          <w:p>
            <w:pPr>
              <w:spacing w:after="0"/>
              <w:rPr>
                <w:sz w:val="2"/>
                <w:szCs w:val="2"/>
                <w:color w:val="auto"/>
              </w:rPr>
            </w:pPr>
          </w:p>
        </w:tc>
        <w:tc>
          <w:tcPr>
            <w:tcW w:w="1000" w:type="dxa"/>
            <w:vAlign w:val="bottom"/>
            <w:tcBorders>
              <w:bottom w:val="single" w:sz="8" w:color="E1E2E0"/>
            </w:tcBorders>
          </w:tcPr>
          <w:p>
            <w:pPr>
              <w:spacing w:after="0"/>
              <w:rPr>
                <w:sz w:val="2"/>
                <w:szCs w:val="2"/>
                <w:color w:val="auto"/>
              </w:rPr>
            </w:pPr>
          </w:p>
        </w:tc>
        <w:tc>
          <w:tcPr>
            <w:tcW w:w="900" w:type="dxa"/>
            <w:vAlign w:val="bottom"/>
            <w:tcBorders>
              <w:bottom w:val="single" w:sz="8" w:color="E1E2E0"/>
            </w:tcBorders>
          </w:tcPr>
          <w:p>
            <w:pPr>
              <w:spacing w:after="0"/>
              <w:rPr>
                <w:sz w:val="2"/>
                <w:szCs w:val="2"/>
                <w:color w:val="auto"/>
              </w:rPr>
            </w:pPr>
          </w:p>
        </w:tc>
        <w:tc>
          <w:tcPr>
            <w:tcW w:w="160" w:type="dxa"/>
            <w:vAlign w:val="bottom"/>
            <w:tcBorders>
              <w:bottom w:val="single" w:sz="8" w:color="E1E2E0"/>
            </w:tcBorders>
          </w:tcPr>
          <w:p>
            <w:pPr>
              <w:spacing w:after="0"/>
              <w:rPr>
                <w:sz w:val="2"/>
                <w:szCs w:val="2"/>
                <w:color w:val="auto"/>
              </w:rPr>
            </w:pPr>
          </w:p>
        </w:tc>
        <w:tc>
          <w:tcPr>
            <w:tcW w:w="1060" w:type="dxa"/>
            <w:vAlign w:val="bottom"/>
            <w:tcBorders>
              <w:bottom w:val="single" w:sz="8" w:color="E1E2E0"/>
            </w:tcBorders>
          </w:tcPr>
          <w:p>
            <w:pPr>
              <w:spacing w:after="0"/>
              <w:rPr>
                <w:sz w:val="2"/>
                <w:szCs w:val="2"/>
                <w:color w:val="auto"/>
              </w:rPr>
            </w:pPr>
          </w:p>
        </w:tc>
        <w:tc>
          <w:tcPr>
            <w:tcW w:w="1020" w:type="dxa"/>
            <w:vAlign w:val="bottom"/>
            <w:tcBorders>
              <w:bottom w:val="single" w:sz="8" w:color="E1E2E0"/>
            </w:tcBorders>
          </w:tcPr>
          <w:p>
            <w:pPr>
              <w:spacing w:after="0"/>
              <w:rPr>
                <w:sz w:val="2"/>
                <w:szCs w:val="2"/>
                <w:color w:val="auto"/>
              </w:rPr>
            </w:pPr>
          </w:p>
        </w:tc>
        <w:tc>
          <w:tcPr>
            <w:tcW w:w="1020" w:type="dxa"/>
            <w:vAlign w:val="bottom"/>
            <w:tcBorders>
              <w:bottom w:val="single" w:sz="8" w:color="E1E2E0"/>
            </w:tcBorders>
          </w:tcPr>
          <w:p>
            <w:pPr>
              <w:spacing w:after="0"/>
              <w:rPr>
                <w:sz w:val="2"/>
                <w:szCs w:val="2"/>
                <w:color w:val="auto"/>
              </w:rPr>
            </w:pPr>
          </w:p>
        </w:tc>
        <w:tc>
          <w:tcPr>
            <w:tcW w:w="940" w:type="dxa"/>
            <w:vAlign w:val="bottom"/>
            <w:tcBorders>
              <w:bottom w:val="single" w:sz="8" w:color="E1E2E0"/>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2540" w:type="dxa"/>
            <w:vAlign w:val="bottom"/>
            <w:vMerge w:val="continue"/>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3B3C43"/>
              </w:rPr>
              <w:t>2019</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3B3C43"/>
              </w:rPr>
              <w:t>1,236,000</w:t>
            </w:r>
          </w:p>
        </w:tc>
        <w:tc>
          <w:tcPr>
            <w:tcW w:w="1040" w:type="dxa"/>
            <w:vAlign w:val="bottom"/>
            <w:vMerge w:val="restart"/>
          </w:tcPr>
          <w:p>
            <w:pPr>
              <w:jc w:val="right"/>
              <w:ind w:right="17"/>
              <w:spacing w:after="0"/>
              <w:rPr>
                <w:sz w:val="20"/>
                <w:szCs w:val="20"/>
                <w:color w:val="auto"/>
              </w:rPr>
            </w:pPr>
            <w:r>
              <w:rPr>
                <w:rFonts w:ascii="Arial" w:cs="Arial" w:eastAsia="Arial" w:hAnsi="Arial"/>
                <w:sz w:val="13"/>
                <w:szCs w:val="13"/>
                <w:color w:val="3B3C43"/>
              </w:rPr>
              <w:t>-</w:t>
            </w:r>
          </w:p>
        </w:tc>
        <w:tc>
          <w:tcPr>
            <w:tcW w:w="1000" w:type="dxa"/>
            <w:vAlign w:val="bottom"/>
            <w:vMerge w:val="restart"/>
          </w:tcPr>
          <w:p>
            <w:pPr>
              <w:jc w:val="right"/>
              <w:ind w:right="17"/>
              <w:spacing w:after="0"/>
              <w:rPr>
                <w:sz w:val="20"/>
                <w:szCs w:val="20"/>
                <w:color w:val="auto"/>
              </w:rPr>
            </w:pPr>
            <w:r>
              <w:rPr>
                <w:rFonts w:ascii="Arial" w:cs="Arial" w:eastAsia="Arial" w:hAnsi="Arial"/>
                <w:sz w:val="13"/>
                <w:szCs w:val="13"/>
                <w:color w:val="3B3C43"/>
              </w:rPr>
              <w:t>8,877,924</w:t>
            </w:r>
          </w:p>
        </w:tc>
        <w:tc>
          <w:tcPr>
            <w:tcW w:w="1060" w:type="dxa"/>
            <w:vAlign w:val="bottom"/>
            <w:gridSpan w:val="2"/>
            <w:vMerge w:val="restart"/>
          </w:tcPr>
          <w:p>
            <w:pPr>
              <w:jc w:val="right"/>
              <w:ind w:right="77"/>
              <w:spacing w:after="0"/>
              <w:rPr>
                <w:sz w:val="20"/>
                <w:szCs w:val="20"/>
                <w:color w:val="auto"/>
              </w:rPr>
            </w:pPr>
            <w:r>
              <w:rPr>
                <w:rFonts w:ascii="Arial" w:cs="Arial" w:eastAsia="Arial" w:hAnsi="Arial"/>
                <w:sz w:val="13"/>
                <w:szCs w:val="13"/>
                <w:color w:val="3B3C43"/>
              </w:rPr>
              <w:t>1,939,995</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3B3C43"/>
              </w:rPr>
              <w:t>2,903,364</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3B3C43"/>
              </w:rPr>
              <w:t>-</w:t>
            </w:r>
          </w:p>
        </w:tc>
        <w:tc>
          <w:tcPr>
            <w:tcW w:w="1020" w:type="dxa"/>
            <w:vAlign w:val="bottom"/>
            <w:vMerge w:val="restart"/>
          </w:tcPr>
          <w:p>
            <w:pPr>
              <w:jc w:val="right"/>
              <w:ind w:right="17"/>
              <w:spacing w:after="0"/>
              <w:rPr>
                <w:sz w:val="20"/>
                <w:szCs w:val="20"/>
                <w:color w:val="auto"/>
              </w:rPr>
            </w:pPr>
            <w:r>
              <w:rPr>
                <w:rFonts w:ascii="Arial" w:cs="Arial" w:eastAsia="Arial" w:hAnsi="Arial"/>
                <w:sz w:val="13"/>
                <w:szCs w:val="13"/>
                <w:color w:val="3B3C43"/>
              </w:rPr>
              <w:t>393,923</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3B3C43"/>
              </w:rPr>
              <w:t>15,351,206</w:t>
            </w:r>
          </w:p>
        </w:tc>
        <w:tc>
          <w:tcPr>
            <w:tcW w:w="0" w:type="dxa"/>
            <w:vAlign w:val="bottom"/>
          </w:tcPr>
          <w:p>
            <w:pPr>
              <w:spacing w:after="0"/>
              <w:rPr>
                <w:sz w:val="1"/>
                <w:szCs w:val="1"/>
                <w:color w:val="auto"/>
              </w:rPr>
            </w:pPr>
          </w:p>
        </w:tc>
      </w:tr>
      <w:tr>
        <w:trPr>
          <w:trHeight w:val="82"/>
        </w:trPr>
        <w:tc>
          <w:tcPr>
            <w:tcW w:w="2540" w:type="dxa"/>
            <w:vAlign w:val="bottom"/>
          </w:tcPr>
          <w:p>
            <w:pPr>
              <w:spacing w:after="0"/>
              <w:rPr>
                <w:sz w:val="6"/>
                <w:szCs w:val="6"/>
                <w:color w:val="auto"/>
              </w:rPr>
            </w:pPr>
          </w:p>
        </w:tc>
        <w:tc>
          <w:tcPr>
            <w:tcW w:w="540" w:type="dxa"/>
            <w:vAlign w:val="bottom"/>
            <w:tcBorders>
              <w:bottom w:val="single" w:sz="8" w:color="E1E2E0"/>
            </w:tcBorders>
            <w:vMerge w:val="continue"/>
          </w:tcPr>
          <w:p>
            <w:pPr>
              <w:spacing w:after="0"/>
              <w:rPr>
                <w:sz w:val="6"/>
                <w:szCs w:val="6"/>
                <w:color w:val="auto"/>
              </w:rPr>
            </w:pPr>
          </w:p>
        </w:tc>
        <w:tc>
          <w:tcPr>
            <w:tcW w:w="1000" w:type="dxa"/>
            <w:vAlign w:val="bottom"/>
            <w:tcBorders>
              <w:bottom w:val="single" w:sz="8" w:color="E1E2E0"/>
            </w:tcBorders>
            <w:vMerge w:val="continue"/>
          </w:tcPr>
          <w:p>
            <w:pPr>
              <w:spacing w:after="0"/>
              <w:rPr>
                <w:sz w:val="6"/>
                <w:szCs w:val="6"/>
                <w:color w:val="auto"/>
              </w:rPr>
            </w:pPr>
          </w:p>
        </w:tc>
        <w:tc>
          <w:tcPr>
            <w:tcW w:w="1040" w:type="dxa"/>
            <w:vAlign w:val="bottom"/>
            <w:tcBorders>
              <w:bottom w:val="single" w:sz="8" w:color="E1E2E0"/>
            </w:tcBorders>
            <w:vMerge w:val="continue"/>
          </w:tcPr>
          <w:p>
            <w:pPr>
              <w:spacing w:after="0"/>
              <w:rPr>
                <w:sz w:val="6"/>
                <w:szCs w:val="6"/>
                <w:color w:val="auto"/>
              </w:rPr>
            </w:pPr>
          </w:p>
        </w:tc>
        <w:tc>
          <w:tcPr>
            <w:tcW w:w="1000" w:type="dxa"/>
            <w:vAlign w:val="bottom"/>
            <w:tcBorders>
              <w:bottom w:val="single" w:sz="8" w:color="E1E2E0"/>
            </w:tcBorders>
            <w:vMerge w:val="continue"/>
          </w:tcPr>
          <w:p>
            <w:pPr>
              <w:spacing w:after="0"/>
              <w:rPr>
                <w:sz w:val="6"/>
                <w:szCs w:val="6"/>
                <w:color w:val="auto"/>
              </w:rPr>
            </w:pPr>
          </w:p>
        </w:tc>
        <w:tc>
          <w:tcPr>
            <w:tcW w:w="1060" w:type="dxa"/>
            <w:vAlign w:val="bottom"/>
            <w:tcBorders>
              <w:bottom w:val="single" w:sz="8" w:color="E1E2E0"/>
            </w:tcBorders>
            <w:gridSpan w:val="2"/>
            <w:vMerge w:val="continue"/>
          </w:tcPr>
          <w:p>
            <w:pPr>
              <w:spacing w:after="0"/>
              <w:rPr>
                <w:sz w:val="6"/>
                <w:szCs w:val="6"/>
                <w:color w:val="auto"/>
              </w:rPr>
            </w:pPr>
          </w:p>
        </w:tc>
        <w:tc>
          <w:tcPr>
            <w:tcW w:w="1060" w:type="dxa"/>
            <w:vAlign w:val="bottom"/>
            <w:tcBorders>
              <w:bottom w:val="single" w:sz="8" w:color="E1E2E0"/>
            </w:tcBorders>
            <w:vMerge w:val="continue"/>
          </w:tcPr>
          <w:p>
            <w:pPr>
              <w:spacing w:after="0"/>
              <w:rPr>
                <w:sz w:val="6"/>
                <w:szCs w:val="6"/>
                <w:color w:val="auto"/>
              </w:rPr>
            </w:pPr>
          </w:p>
        </w:tc>
        <w:tc>
          <w:tcPr>
            <w:tcW w:w="1020" w:type="dxa"/>
            <w:vAlign w:val="bottom"/>
            <w:tcBorders>
              <w:bottom w:val="single" w:sz="8" w:color="E1E2E0"/>
            </w:tcBorders>
            <w:vMerge w:val="continue"/>
          </w:tcPr>
          <w:p>
            <w:pPr>
              <w:spacing w:after="0"/>
              <w:rPr>
                <w:sz w:val="6"/>
                <w:szCs w:val="6"/>
                <w:color w:val="auto"/>
              </w:rPr>
            </w:pPr>
          </w:p>
        </w:tc>
        <w:tc>
          <w:tcPr>
            <w:tcW w:w="1020" w:type="dxa"/>
            <w:vAlign w:val="bottom"/>
            <w:tcBorders>
              <w:bottom w:val="single" w:sz="8" w:color="E1E2E0"/>
            </w:tcBorders>
            <w:vMerge w:val="continue"/>
          </w:tcPr>
          <w:p>
            <w:pPr>
              <w:spacing w:after="0"/>
              <w:rPr>
                <w:sz w:val="6"/>
                <w:szCs w:val="6"/>
                <w:color w:val="auto"/>
              </w:rPr>
            </w:pPr>
          </w:p>
        </w:tc>
        <w:tc>
          <w:tcPr>
            <w:tcW w:w="940" w:type="dxa"/>
            <w:vAlign w:val="bottom"/>
            <w:tcBorders>
              <w:bottom w:val="single" w:sz="8" w:color="E1E2E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E1E1DF"/>
            </w:tcBorders>
          </w:tcPr>
          <w:p>
            <w:pPr>
              <w:spacing w:after="0"/>
              <w:rPr>
                <w:sz w:val="15"/>
                <w:szCs w:val="15"/>
                <w:color w:val="auto"/>
              </w:rPr>
            </w:pPr>
          </w:p>
        </w:tc>
        <w:tc>
          <w:tcPr>
            <w:tcW w:w="54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2018</w:t>
            </w:r>
          </w:p>
        </w:tc>
        <w:tc>
          <w:tcPr>
            <w:tcW w:w="100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1,230,000</w:t>
            </w:r>
          </w:p>
        </w:tc>
        <w:tc>
          <w:tcPr>
            <w:tcW w:w="1040" w:type="dxa"/>
            <w:vAlign w:val="bottom"/>
            <w:tcBorders>
              <w:bottom w:val="single" w:sz="8" w:color="E1E2E0"/>
            </w:tcBorders>
          </w:tcPr>
          <w:p>
            <w:pPr>
              <w:jc w:val="right"/>
              <w:ind w:right="17"/>
              <w:spacing w:after="0"/>
              <w:rPr>
                <w:sz w:val="20"/>
                <w:szCs w:val="20"/>
                <w:color w:val="auto"/>
              </w:rPr>
            </w:pPr>
            <w:r>
              <w:rPr>
                <w:rFonts w:ascii="Arial" w:cs="Arial" w:eastAsia="Arial" w:hAnsi="Arial"/>
                <w:sz w:val="13"/>
                <w:szCs w:val="13"/>
                <w:color w:val="3B3C43"/>
              </w:rPr>
              <w:t>-</w:t>
            </w:r>
          </w:p>
        </w:tc>
        <w:tc>
          <w:tcPr>
            <w:tcW w:w="1000" w:type="dxa"/>
            <w:vAlign w:val="bottom"/>
            <w:tcBorders>
              <w:bottom w:val="single" w:sz="8" w:color="E1E2E0"/>
            </w:tcBorders>
          </w:tcPr>
          <w:p>
            <w:pPr>
              <w:jc w:val="right"/>
              <w:ind w:right="17"/>
              <w:spacing w:after="0"/>
              <w:rPr>
                <w:sz w:val="20"/>
                <w:szCs w:val="20"/>
                <w:color w:val="auto"/>
              </w:rPr>
            </w:pPr>
            <w:r>
              <w:rPr>
                <w:rFonts w:ascii="Arial" w:cs="Arial" w:eastAsia="Arial" w:hAnsi="Arial"/>
                <w:sz w:val="13"/>
                <w:szCs w:val="13"/>
                <w:color w:val="3B3C43"/>
              </w:rPr>
              <w:t>7,965,213</w:t>
            </w:r>
          </w:p>
        </w:tc>
        <w:tc>
          <w:tcPr>
            <w:tcW w:w="1060" w:type="dxa"/>
            <w:vAlign w:val="bottom"/>
            <w:tcBorders>
              <w:bottom w:val="single" w:sz="8" w:color="E1E2E0"/>
            </w:tcBorders>
            <w:gridSpan w:val="2"/>
          </w:tcPr>
          <w:p>
            <w:pPr>
              <w:jc w:val="right"/>
              <w:ind w:right="77"/>
              <w:spacing w:after="0"/>
              <w:rPr>
                <w:sz w:val="20"/>
                <w:szCs w:val="20"/>
                <w:color w:val="auto"/>
              </w:rPr>
            </w:pPr>
            <w:r>
              <w:rPr>
                <w:rFonts w:ascii="Arial" w:cs="Arial" w:eastAsia="Arial" w:hAnsi="Arial"/>
                <w:sz w:val="13"/>
                <w:szCs w:val="13"/>
                <w:color w:val="3B3C43"/>
              </w:rPr>
              <w:t>1,739,994</w:t>
            </w:r>
          </w:p>
        </w:tc>
        <w:tc>
          <w:tcPr>
            <w:tcW w:w="106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2,154,499</w:t>
            </w:r>
          </w:p>
        </w:tc>
        <w:tc>
          <w:tcPr>
            <w:tcW w:w="102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w:t>
            </w:r>
          </w:p>
        </w:tc>
        <w:tc>
          <w:tcPr>
            <w:tcW w:w="1020" w:type="dxa"/>
            <w:vAlign w:val="bottom"/>
            <w:tcBorders>
              <w:bottom w:val="single" w:sz="8" w:color="E1E2E0"/>
            </w:tcBorders>
          </w:tcPr>
          <w:p>
            <w:pPr>
              <w:jc w:val="right"/>
              <w:ind w:right="17"/>
              <w:spacing w:after="0"/>
              <w:rPr>
                <w:sz w:val="20"/>
                <w:szCs w:val="20"/>
                <w:color w:val="auto"/>
              </w:rPr>
            </w:pPr>
            <w:r>
              <w:rPr>
                <w:rFonts w:ascii="Arial" w:cs="Arial" w:eastAsia="Arial" w:hAnsi="Arial"/>
                <w:sz w:val="13"/>
                <w:szCs w:val="13"/>
                <w:color w:val="3B3C43"/>
              </w:rPr>
              <w:t>313,794</w:t>
            </w:r>
          </w:p>
        </w:tc>
        <w:tc>
          <w:tcPr>
            <w:tcW w:w="94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13,403,500</w:t>
            </w:r>
          </w:p>
        </w:tc>
        <w:tc>
          <w:tcPr>
            <w:tcW w:w="0" w:type="dxa"/>
            <w:vAlign w:val="bottom"/>
          </w:tcPr>
          <w:p>
            <w:pPr>
              <w:spacing w:after="0"/>
              <w:rPr>
                <w:sz w:val="1"/>
                <w:szCs w:val="1"/>
                <w:color w:val="auto"/>
              </w:rPr>
            </w:pPr>
          </w:p>
        </w:tc>
      </w:tr>
      <w:tr>
        <w:trPr>
          <w:trHeight w:val="116"/>
        </w:trPr>
        <w:tc>
          <w:tcPr>
            <w:tcW w:w="2540" w:type="dxa"/>
            <w:vAlign w:val="bottom"/>
            <w:shd w:val="clear" w:color="auto" w:fill="E1E1DF"/>
          </w:tcPr>
          <w:p>
            <w:pPr>
              <w:ind w:left="40"/>
              <w:spacing w:after="0" w:line="116" w:lineRule="exact"/>
              <w:rPr>
                <w:sz w:val="20"/>
                <w:szCs w:val="20"/>
                <w:color w:val="auto"/>
              </w:rPr>
            </w:pPr>
            <w:r>
              <w:rPr>
                <w:rFonts w:ascii="Arial" w:cs="Arial" w:eastAsia="Arial" w:hAnsi="Arial"/>
                <w:sz w:val="13"/>
                <w:szCs w:val="13"/>
                <w:b w:val="1"/>
                <w:bCs w:val="1"/>
                <w:color w:val="3B3C43"/>
              </w:rPr>
              <w:t>Maryann T. Mannen</w:t>
            </w:r>
          </w:p>
        </w:tc>
        <w:tc>
          <w:tcPr>
            <w:tcW w:w="54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2020</w:t>
            </w:r>
          </w:p>
        </w:tc>
        <w:tc>
          <w:tcPr>
            <w:tcW w:w="100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695,933</w:t>
            </w:r>
          </w:p>
        </w:tc>
        <w:tc>
          <w:tcPr>
            <w:tcW w:w="1040" w:type="dxa"/>
            <w:vAlign w:val="bottom"/>
            <w:vMerge w:val="restart"/>
            <w:shd w:val="clear" w:color="auto" w:fill="E1E1DF"/>
          </w:tcPr>
          <w:p>
            <w:pPr>
              <w:jc w:val="right"/>
              <w:ind w:right="17"/>
              <w:spacing w:after="0"/>
              <w:rPr>
                <w:sz w:val="20"/>
                <w:szCs w:val="20"/>
                <w:color w:val="auto"/>
              </w:rPr>
            </w:pPr>
            <w:r>
              <w:rPr>
                <w:rFonts w:ascii="Arial" w:cs="Arial" w:eastAsia="Arial" w:hAnsi="Arial"/>
                <w:sz w:val="13"/>
                <w:szCs w:val="13"/>
                <w:color w:val="3B3C43"/>
              </w:rPr>
              <w:t>-</w:t>
            </w:r>
          </w:p>
        </w:tc>
        <w:tc>
          <w:tcPr>
            <w:tcW w:w="1000" w:type="dxa"/>
            <w:vAlign w:val="bottom"/>
            <w:vMerge w:val="restart"/>
            <w:shd w:val="clear" w:color="auto" w:fill="E1E1DF"/>
          </w:tcPr>
          <w:p>
            <w:pPr>
              <w:jc w:val="right"/>
              <w:ind w:right="17"/>
              <w:spacing w:after="0"/>
              <w:rPr>
                <w:sz w:val="20"/>
                <w:szCs w:val="20"/>
                <w:color w:val="auto"/>
              </w:rPr>
            </w:pPr>
            <w:r>
              <w:rPr>
                <w:rFonts w:ascii="Arial" w:cs="Arial" w:eastAsia="Arial" w:hAnsi="Arial"/>
                <w:sz w:val="13"/>
                <w:szCs w:val="13"/>
                <w:color w:val="3B3C43"/>
              </w:rPr>
              <w:t>3,185,248</w:t>
            </w:r>
          </w:p>
        </w:tc>
        <w:tc>
          <w:tcPr>
            <w:tcW w:w="900" w:type="dxa"/>
            <w:vAlign w:val="bottom"/>
            <w:shd w:val="clear" w:color="auto" w:fill="E1E1DF"/>
          </w:tcPr>
          <w:p>
            <w:pPr>
              <w:spacing w:after="0"/>
              <w:rPr>
                <w:sz w:val="10"/>
                <w:szCs w:val="10"/>
                <w:color w:val="auto"/>
              </w:rPr>
            </w:pPr>
          </w:p>
        </w:tc>
        <w:tc>
          <w:tcPr>
            <w:tcW w:w="160" w:type="dxa"/>
            <w:vAlign w:val="bottom"/>
            <w:shd w:val="clear" w:color="auto" w:fill="E1E1DF"/>
          </w:tcPr>
          <w:p>
            <w:pPr>
              <w:spacing w:after="0"/>
              <w:rPr>
                <w:sz w:val="10"/>
                <w:szCs w:val="10"/>
                <w:color w:val="auto"/>
              </w:rPr>
            </w:pPr>
          </w:p>
        </w:tc>
        <w:tc>
          <w:tcPr>
            <w:tcW w:w="106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652,438</w:t>
            </w:r>
          </w:p>
        </w:tc>
        <w:tc>
          <w:tcPr>
            <w:tcW w:w="102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892,547</w:t>
            </w:r>
          </w:p>
        </w:tc>
        <w:tc>
          <w:tcPr>
            <w:tcW w:w="1020" w:type="dxa"/>
            <w:vAlign w:val="bottom"/>
            <w:vMerge w:val="restart"/>
            <w:shd w:val="clear" w:color="auto" w:fill="E1E1DF"/>
          </w:tcPr>
          <w:p>
            <w:pPr>
              <w:jc w:val="right"/>
              <w:ind w:right="17"/>
              <w:spacing w:after="0"/>
              <w:rPr>
                <w:sz w:val="20"/>
                <w:szCs w:val="20"/>
                <w:color w:val="auto"/>
              </w:rPr>
            </w:pPr>
            <w:r>
              <w:rPr>
                <w:rFonts w:ascii="Arial" w:cs="Arial" w:eastAsia="Arial" w:hAnsi="Arial"/>
                <w:sz w:val="13"/>
                <w:szCs w:val="13"/>
                <w:color w:val="3B3C43"/>
              </w:rPr>
              <w:t>171,107</w:t>
            </w:r>
          </w:p>
        </w:tc>
        <w:tc>
          <w:tcPr>
            <w:tcW w:w="94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5,597,273</w:t>
            </w:r>
          </w:p>
        </w:tc>
        <w:tc>
          <w:tcPr>
            <w:tcW w:w="0" w:type="dxa"/>
            <w:vAlign w:val="bottom"/>
          </w:tcPr>
          <w:p>
            <w:pPr>
              <w:spacing w:after="0"/>
              <w:rPr>
                <w:sz w:val="1"/>
                <w:szCs w:val="1"/>
                <w:color w:val="auto"/>
              </w:rPr>
            </w:pPr>
          </w:p>
        </w:tc>
      </w:tr>
      <w:tr>
        <w:trPr>
          <w:trHeight w:val="73"/>
        </w:trPr>
        <w:tc>
          <w:tcPr>
            <w:tcW w:w="2540" w:type="dxa"/>
            <w:vAlign w:val="bottom"/>
            <w:tcBorders>
              <w:bottom w:val="single" w:sz="8" w:color="E1E1DF"/>
            </w:tcBorders>
            <w:vMerge w:val="restart"/>
            <w:shd w:val="clear" w:color="auto" w:fill="E1E1DF"/>
          </w:tcPr>
          <w:p>
            <w:pPr>
              <w:ind w:left="40"/>
              <w:spacing w:after="0" w:line="135" w:lineRule="exact"/>
              <w:rPr>
                <w:sz w:val="20"/>
                <w:szCs w:val="20"/>
                <w:color w:val="auto"/>
              </w:rPr>
            </w:pPr>
            <w:r>
              <w:rPr>
                <w:rFonts w:ascii="Arial" w:cs="Arial" w:eastAsia="Arial" w:hAnsi="Arial"/>
                <w:sz w:val="13"/>
                <w:szCs w:val="13"/>
                <w:color w:val="3B3C43"/>
              </w:rPr>
              <w:t>Executive Vice President and</w:t>
            </w:r>
          </w:p>
        </w:tc>
        <w:tc>
          <w:tcPr>
            <w:tcW w:w="540" w:type="dxa"/>
            <w:vAlign w:val="bottom"/>
            <w:tcBorders>
              <w:bottom w:val="single" w:sz="8" w:color="E1E2E0"/>
            </w:tcBorders>
            <w:vMerge w:val="continue"/>
            <w:shd w:val="clear" w:color="auto" w:fill="E1E1DF"/>
          </w:tcPr>
          <w:p>
            <w:pPr>
              <w:spacing w:after="0"/>
              <w:rPr>
                <w:sz w:val="6"/>
                <w:szCs w:val="6"/>
                <w:color w:val="auto"/>
              </w:rPr>
            </w:pPr>
          </w:p>
        </w:tc>
        <w:tc>
          <w:tcPr>
            <w:tcW w:w="1000" w:type="dxa"/>
            <w:vAlign w:val="bottom"/>
            <w:tcBorders>
              <w:bottom w:val="single" w:sz="8" w:color="E1E2E0"/>
            </w:tcBorders>
            <w:vMerge w:val="continue"/>
            <w:shd w:val="clear" w:color="auto" w:fill="E1E1DF"/>
          </w:tcPr>
          <w:p>
            <w:pPr>
              <w:spacing w:after="0"/>
              <w:rPr>
                <w:sz w:val="6"/>
                <w:szCs w:val="6"/>
                <w:color w:val="auto"/>
              </w:rPr>
            </w:pPr>
          </w:p>
        </w:tc>
        <w:tc>
          <w:tcPr>
            <w:tcW w:w="1040" w:type="dxa"/>
            <w:vAlign w:val="bottom"/>
            <w:tcBorders>
              <w:bottom w:val="single" w:sz="8" w:color="E1E2E0"/>
            </w:tcBorders>
            <w:vMerge w:val="continue"/>
            <w:shd w:val="clear" w:color="auto" w:fill="E1E1DF"/>
          </w:tcPr>
          <w:p>
            <w:pPr>
              <w:spacing w:after="0"/>
              <w:rPr>
                <w:sz w:val="6"/>
                <w:szCs w:val="6"/>
                <w:color w:val="auto"/>
              </w:rPr>
            </w:pPr>
          </w:p>
        </w:tc>
        <w:tc>
          <w:tcPr>
            <w:tcW w:w="1000" w:type="dxa"/>
            <w:vAlign w:val="bottom"/>
            <w:tcBorders>
              <w:bottom w:val="single" w:sz="8" w:color="E1E2E0"/>
            </w:tcBorders>
            <w:vMerge w:val="continue"/>
            <w:shd w:val="clear" w:color="auto" w:fill="E1E1DF"/>
          </w:tcPr>
          <w:p>
            <w:pPr>
              <w:spacing w:after="0"/>
              <w:rPr>
                <w:sz w:val="6"/>
                <w:szCs w:val="6"/>
                <w:color w:val="auto"/>
              </w:rPr>
            </w:pPr>
          </w:p>
        </w:tc>
        <w:tc>
          <w:tcPr>
            <w:tcW w:w="900" w:type="dxa"/>
            <w:vAlign w:val="bottom"/>
            <w:tcBorders>
              <w:bottom w:val="single" w:sz="8" w:color="E1E2E0"/>
            </w:tcBorders>
            <w:shd w:val="clear" w:color="auto" w:fill="E1E1DF"/>
          </w:tcPr>
          <w:p>
            <w:pPr>
              <w:spacing w:after="0"/>
              <w:rPr>
                <w:sz w:val="6"/>
                <w:szCs w:val="6"/>
                <w:color w:val="auto"/>
              </w:rPr>
            </w:pPr>
          </w:p>
        </w:tc>
        <w:tc>
          <w:tcPr>
            <w:tcW w:w="160" w:type="dxa"/>
            <w:vAlign w:val="bottom"/>
            <w:tcBorders>
              <w:bottom w:val="single" w:sz="8" w:color="E1E2E0"/>
            </w:tcBorders>
            <w:shd w:val="clear" w:color="auto" w:fill="E1E1DF"/>
          </w:tcPr>
          <w:p>
            <w:pPr>
              <w:spacing w:after="0"/>
              <w:rPr>
                <w:sz w:val="6"/>
                <w:szCs w:val="6"/>
                <w:color w:val="auto"/>
              </w:rPr>
            </w:pPr>
          </w:p>
        </w:tc>
        <w:tc>
          <w:tcPr>
            <w:tcW w:w="1060" w:type="dxa"/>
            <w:vAlign w:val="bottom"/>
            <w:tcBorders>
              <w:bottom w:val="single" w:sz="8" w:color="E1E2E0"/>
            </w:tcBorders>
            <w:vMerge w:val="continue"/>
            <w:shd w:val="clear" w:color="auto" w:fill="E1E1DF"/>
          </w:tcPr>
          <w:p>
            <w:pPr>
              <w:spacing w:after="0"/>
              <w:rPr>
                <w:sz w:val="6"/>
                <w:szCs w:val="6"/>
                <w:color w:val="auto"/>
              </w:rPr>
            </w:pPr>
          </w:p>
        </w:tc>
        <w:tc>
          <w:tcPr>
            <w:tcW w:w="1020" w:type="dxa"/>
            <w:vAlign w:val="bottom"/>
            <w:tcBorders>
              <w:bottom w:val="single" w:sz="8" w:color="E1E2E0"/>
            </w:tcBorders>
            <w:vMerge w:val="continue"/>
            <w:shd w:val="clear" w:color="auto" w:fill="E1E1DF"/>
          </w:tcPr>
          <w:p>
            <w:pPr>
              <w:spacing w:after="0"/>
              <w:rPr>
                <w:sz w:val="6"/>
                <w:szCs w:val="6"/>
                <w:color w:val="auto"/>
              </w:rPr>
            </w:pPr>
          </w:p>
        </w:tc>
        <w:tc>
          <w:tcPr>
            <w:tcW w:w="1020" w:type="dxa"/>
            <w:vAlign w:val="bottom"/>
            <w:tcBorders>
              <w:bottom w:val="single" w:sz="8" w:color="E1E2E0"/>
            </w:tcBorders>
            <w:vMerge w:val="continue"/>
            <w:shd w:val="clear" w:color="auto" w:fill="E1E1DF"/>
          </w:tcPr>
          <w:p>
            <w:pPr>
              <w:spacing w:after="0"/>
              <w:rPr>
                <w:sz w:val="6"/>
                <w:szCs w:val="6"/>
                <w:color w:val="auto"/>
              </w:rPr>
            </w:pPr>
          </w:p>
        </w:tc>
        <w:tc>
          <w:tcPr>
            <w:tcW w:w="940" w:type="dxa"/>
            <w:vAlign w:val="bottom"/>
            <w:tcBorders>
              <w:bottom w:val="single" w:sz="8" w:color="E1E2E0"/>
            </w:tcBorders>
            <w:vMerge w:val="continue"/>
            <w:shd w:val="clear" w:color="auto" w:fill="E1E1DF"/>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540" w:type="dxa"/>
            <w:vAlign w:val="bottom"/>
            <w:vMerge w:val="continue"/>
            <w:shd w:val="clear" w:color="auto" w:fill="E1E1DF"/>
          </w:tcPr>
          <w:p>
            <w:pPr>
              <w:spacing w:after="0"/>
              <w:rPr>
                <w:sz w:val="3"/>
                <w:szCs w:val="3"/>
                <w:color w:val="auto"/>
              </w:rPr>
            </w:pPr>
          </w:p>
        </w:tc>
        <w:tc>
          <w:tcPr>
            <w:tcW w:w="54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2019</w:t>
            </w:r>
          </w:p>
        </w:tc>
        <w:tc>
          <w:tcPr>
            <w:tcW w:w="100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797,917</w:t>
            </w:r>
          </w:p>
        </w:tc>
        <w:tc>
          <w:tcPr>
            <w:tcW w:w="1040" w:type="dxa"/>
            <w:vAlign w:val="bottom"/>
            <w:vMerge w:val="restart"/>
            <w:shd w:val="clear" w:color="auto" w:fill="E1E1DF"/>
          </w:tcPr>
          <w:p>
            <w:pPr>
              <w:jc w:val="right"/>
              <w:ind w:right="17"/>
              <w:spacing w:after="0"/>
              <w:rPr>
                <w:sz w:val="20"/>
                <w:szCs w:val="20"/>
                <w:color w:val="auto"/>
              </w:rPr>
            </w:pPr>
            <w:r>
              <w:rPr>
                <w:rFonts w:ascii="Arial" w:cs="Arial" w:eastAsia="Arial" w:hAnsi="Arial"/>
                <w:sz w:val="13"/>
                <w:szCs w:val="13"/>
                <w:color w:val="3B3C43"/>
              </w:rPr>
              <w:t>-</w:t>
            </w:r>
          </w:p>
        </w:tc>
        <w:tc>
          <w:tcPr>
            <w:tcW w:w="1000" w:type="dxa"/>
            <w:vAlign w:val="bottom"/>
            <w:vMerge w:val="restart"/>
            <w:shd w:val="clear" w:color="auto" w:fill="E1E1DF"/>
          </w:tcPr>
          <w:p>
            <w:pPr>
              <w:jc w:val="right"/>
              <w:ind w:right="17"/>
              <w:spacing w:after="0"/>
              <w:rPr>
                <w:sz w:val="20"/>
                <w:szCs w:val="20"/>
                <w:color w:val="auto"/>
              </w:rPr>
            </w:pPr>
            <w:r>
              <w:rPr>
                <w:rFonts w:ascii="Arial" w:cs="Arial" w:eastAsia="Arial" w:hAnsi="Arial"/>
                <w:sz w:val="13"/>
                <w:szCs w:val="13"/>
                <w:color w:val="3B3C43"/>
              </w:rPr>
              <w:t>2,837,216</w:t>
            </w:r>
          </w:p>
        </w:tc>
        <w:tc>
          <w:tcPr>
            <w:tcW w:w="1060" w:type="dxa"/>
            <w:vAlign w:val="bottom"/>
            <w:gridSpan w:val="2"/>
            <w:vMerge w:val="restart"/>
            <w:shd w:val="clear" w:color="auto" w:fill="E1E1DF"/>
          </w:tcPr>
          <w:p>
            <w:pPr>
              <w:jc w:val="right"/>
              <w:ind w:right="77"/>
              <w:spacing w:after="0"/>
              <w:rPr>
                <w:sz w:val="20"/>
                <w:szCs w:val="20"/>
                <w:color w:val="auto"/>
              </w:rPr>
            </w:pPr>
            <w:r>
              <w:rPr>
                <w:rFonts w:ascii="Arial" w:cs="Arial" w:eastAsia="Arial" w:hAnsi="Arial"/>
                <w:sz w:val="13"/>
                <w:szCs w:val="13"/>
                <w:color w:val="3B3C43"/>
              </w:rPr>
              <w:t>619,999</w:t>
            </w:r>
          </w:p>
        </w:tc>
        <w:tc>
          <w:tcPr>
            <w:tcW w:w="106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1,308,583</w:t>
            </w:r>
          </w:p>
        </w:tc>
        <w:tc>
          <w:tcPr>
            <w:tcW w:w="102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1,058,285</w:t>
            </w:r>
          </w:p>
        </w:tc>
        <w:tc>
          <w:tcPr>
            <w:tcW w:w="1020" w:type="dxa"/>
            <w:vAlign w:val="bottom"/>
            <w:vMerge w:val="restart"/>
            <w:shd w:val="clear" w:color="auto" w:fill="E1E1DF"/>
          </w:tcPr>
          <w:p>
            <w:pPr>
              <w:jc w:val="right"/>
              <w:ind w:right="17"/>
              <w:spacing w:after="0"/>
              <w:rPr>
                <w:sz w:val="20"/>
                <w:szCs w:val="20"/>
                <w:color w:val="auto"/>
              </w:rPr>
            </w:pPr>
            <w:r>
              <w:rPr>
                <w:rFonts w:ascii="Arial" w:cs="Arial" w:eastAsia="Arial" w:hAnsi="Arial"/>
                <w:sz w:val="13"/>
                <w:szCs w:val="13"/>
                <w:color w:val="3B3C43"/>
              </w:rPr>
              <w:t>218,713</w:t>
            </w:r>
          </w:p>
        </w:tc>
        <w:tc>
          <w:tcPr>
            <w:tcW w:w="94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6,840,713</w:t>
            </w:r>
          </w:p>
        </w:tc>
        <w:tc>
          <w:tcPr>
            <w:tcW w:w="0" w:type="dxa"/>
            <w:vAlign w:val="bottom"/>
          </w:tcPr>
          <w:p>
            <w:pPr>
              <w:spacing w:after="0"/>
              <w:rPr>
                <w:sz w:val="1"/>
                <w:szCs w:val="1"/>
                <w:color w:val="auto"/>
              </w:rPr>
            </w:pPr>
          </w:p>
        </w:tc>
      </w:tr>
      <w:tr>
        <w:trPr>
          <w:trHeight w:val="148"/>
        </w:trPr>
        <w:tc>
          <w:tcPr>
            <w:tcW w:w="2540" w:type="dxa"/>
            <w:vAlign w:val="bottom"/>
            <w:shd w:val="clear" w:color="auto" w:fill="E1E1DF"/>
          </w:tcPr>
          <w:p>
            <w:pPr>
              <w:ind w:left="40"/>
              <w:spacing w:after="0" w:line="141" w:lineRule="exact"/>
              <w:rPr>
                <w:sz w:val="20"/>
                <w:szCs w:val="20"/>
                <w:color w:val="auto"/>
              </w:rPr>
            </w:pPr>
            <w:r>
              <w:rPr>
                <w:rFonts w:ascii="Arial" w:cs="Arial" w:eastAsia="Arial" w:hAnsi="Arial"/>
                <w:sz w:val="13"/>
                <w:szCs w:val="13"/>
                <w:color w:val="3B3C43"/>
              </w:rPr>
              <w:t>Chief Financial Officer</w:t>
            </w:r>
          </w:p>
        </w:tc>
        <w:tc>
          <w:tcPr>
            <w:tcW w:w="540" w:type="dxa"/>
            <w:vAlign w:val="bottom"/>
            <w:vMerge w:val="continue"/>
            <w:shd w:val="clear" w:color="auto" w:fill="E1E1DF"/>
          </w:tcPr>
          <w:p>
            <w:pPr>
              <w:spacing w:after="0"/>
              <w:rPr>
                <w:sz w:val="12"/>
                <w:szCs w:val="12"/>
                <w:color w:val="auto"/>
              </w:rPr>
            </w:pPr>
          </w:p>
        </w:tc>
        <w:tc>
          <w:tcPr>
            <w:tcW w:w="1000" w:type="dxa"/>
            <w:vAlign w:val="bottom"/>
            <w:vMerge w:val="continue"/>
            <w:shd w:val="clear" w:color="auto" w:fill="E1E1DF"/>
          </w:tcPr>
          <w:p>
            <w:pPr>
              <w:spacing w:after="0"/>
              <w:rPr>
                <w:sz w:val="12"/>
                <w:szCs w:val="12"/>
                <w:color w:val="auto"/>
              </w:rPr>
            </w:pPr>
          </w:p>
        </w:tc>
        <w:tc>
          <w:tcPr>
            <w:tcW w:w="1040" w:type="dxa"/>
            <w:vAlign w:val="bottom"/>
            <w:vMerge w:val="continue"/>
            <w:shd w:val="clear" w:color="auto" w:fill="E1E1DF"/>
          </w:tcPr>
          <w:p>
            <w:pPr>
              <w:spacing w:after="0"/>
              <w:rPr>
                <w:sz w:val="12"/>
                <w:szCs w:val="12"/>
                <w:color w:val="auto"/>
              </w:rPr>
            </w:pPr>
          </w:p>
        </w:tc>
        <w:tc>
          <w:tcPr>
            <w:tcW w:w="1000" w:type="dxa"/>
            <w:vAlign w:val="bottom"/>
            <w:vMerge w:val="continue"/>
            <w:shd w:val="clear" w:color="auto" w:fill="E1E1DF"/>
          </w:tcPr>
          <w:p>
            <w:pPr>
              <w:spacing w:after="0"/>
              <w:rPr>
                <w:sz w:val="12"/>
                <w:szCs w:val="12"/>
                <w:color w:val="auto"/>
              </w:rPr>
            </w:pPr>
          </w:p>
        </w:tc>
        <w:tc>
          <w:tcPr>
            <w:tcW w:w="1060" w:type="dxa"/>
            <w:vAlign w:val="bottom"/>
            <w:gridSpan w:val="2"/>
            <w:vMerge w:val="continue"/>
            <w:shd w:val="clear" w:color="auto" w:fill="E1E1DF"/>
          </w:tcPr>
          <w:p>
            <w:pPr>
              <w:spacing w:after="0"/>
              <w:rPr>
                <w:sz w:val="12"/>
                <w:szCs w:val="12"/>
                <w:color w:val="auto"/>
              </w:rPr>
            </w:pPr>
          </w:p>
        </w:tc>
        <w:tc>
          <w:tcPr>
            <w:tcW w:w="1060" w:type="dxa"/>
            <w:vAlign w:val="bottom"/>
            <w:vMerge w:val="continue"/>
            <w:shd w:val="clear" w:color="auto" w:fill="E1E1DF"/>
          </w:tcPr>
          <w:p>
            <w:pPr>
              <w:spacing w:after="0"/>
              <w:rPr>
                <w:sz w:val="12"/>
                <w:szCs w:val="12"/>
                <w:color w:val="auto"/>
              </w:rPr>
            </w:pPr>
          </w:p>
        </w:tc>
        <w:tc>
          <w:tcPr>
            <w:tcW w:w="1020" w:type="dxa"/>
            <w:vAlign w:val="bottom"/>
            <w:vMerge w:val="continue"/>
            <w:shd w:val="clear" w:color="auto" w:fill="E1E1DF"/>
          </w:tcPr>
          <w:p>
            <w:pPr>
              <w:spacing w:after="0"/>
              <w:rPr>
                <w:sz w:val="12"/>
                <w:szCs w:val="12"/>
                <w:color w:val="auto"/>
              </w:rPr>
            </w:pPr>
          </w:p>
        </w:tc>
        <w:tc>
          <w:tcPr>
            <w:tcW w:w="1020" w:type="dxa"/>
            <w:vAlign w:val="bottom"/>
            <w:vMerge w:val="continue"/>
            <w:shd w:val="clear" w:color="auto" w:fill="E1E1DF"/>
          </w:tcPr>
          <w:p>
            <w:pPr>
              <w:spacing w:after="0"/>
              <w:rPr>
                <w:sz w:val="12"/>
                <w:szCs w:val="12"/>
                <w:color w:val="auto"/>
              </w:rPr>
            </w:pPr>
          </w:p>
        </w:tc>
        <w:tc>
          <w:tcPr>
            <w:tcW w:w="940" w:type="dxa"/>
            <w:vAlign w:val="bottom"/>
            <w:vMerge w:val="continue"/>
            <w:shd w:val="clear" w:color="auto" w:fill="E1E1D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40" w:type="dxa"/>
            <w:vAlign w:val="bottom"/>
            <w:tcBorders>
              <w:bottom w:val="single" w:sz="8" w:color="E1E2E0"/>
            </w:tcBorders>
            <w:shd w:val="clear" w:color="auto" w:fill="E1E1DF"/>
          </w:tcPr>
          <w:p>
            <w:pPr>
              <w:spacing w:after="0"/>
              <w:rPr>
                <w:sz w:val="16"/>
                <w:szCs w:val="16"/>
                <w:color w:val="auto"/>
              </w:rPr>
            </w:pPr>
          </w:p>
        </w:tc>
        <w:tc>
          <w:tcPr>
            <w:tcW w:w="540" w:type="dxa"/>
            <w:vAlign w:val="bottom"/>
            <w:tcBorders>
              <w:bottom w:val="single" w:sz="8" w:color="E1E2E0"/>
            </w:tcBorders>
            <w:shd w:val="clear" w:color="auto" w:fill="E1E1DF"/>
          </w:tcPr>
          <w:p>
            <w:pPr>
              <w:jc w:val="right"/>
              <w:spacing w:after="0"/>
              <w:rPr>
                <w:sz w:val="20"/>
                <w:szCs w:val="20"/>
                <w:color w:val="auto"/>
              </w:rPr>
            </w:pPr>
            <w:r>
              <w:rPr>
                <w:rFonts w:ascii="Arial" w:cs="Arial" w:eastAsia="Arial" w:hAnsi="Arial"/>
                <w:sz w:val="13"/>
                <w:szCs w:val="13"/>
                <w:color w:val="3B3C43"/>
              </w:rPr>
              <w:t>2018</w:t>
            </w:r>
          </w:p>
        </w:tc>
        <w:tc>
          <w:tcPr>
            <w:tcW w:w="1000" w:type="dxa"/>
            <w:vAlign w:val="bottom"/>
            <w:tcBorders>
              <w:bottom w:val="single" w:sz="8" w:color="E1E2E0"/>
            </w:tcBorders>
            <w:shd w:val="clear" w:color="auto" w:fill="E1E1DF"/>
          </w:tcPr>
          <w:p>
            <w:pPr>
              <w:jc w:val="right"/>
              <w:spacing w:after="0"/>
              <w:rPr>
                <w:sz w:val="20"/>
                <w:szCs w:val="20"/>
                <w:color w:val="auto"/>
              </w:rPr>
            </w:pPr>
            <w:r>
              <w:rPr>
                <w:rFonts w:ascii="Arial" w:cs="Arial" w:eastAsia="Arial" w:hAnsi="Arial"/>
                <w:sz w:val="13"/>
                <w:szCs w:val="13"/>
                <w:color w:val="3B3C43"/>
              </w:rPr>
              <w:t>768,750</w:t>
            </w:r>
          </w:p>
        </w:tc>
        <w:tc>
          <w:tcPr>
            <w:tcW w:w="1040" w:type="dxa"/>
            <w:vAlign w:val="bottom"/>
            <w:tcBorders>
              <w:bottom w:val="single" w:sz="8" w:color="E1E2E0"/>
            </w:tcBorders>
            <w:shd w:val="clear" w:color="auto" w:fill="E1E1DF"/>
          </w:tcPr>
          <w:p>
            <w:pPr>
              <w:jc w:val="right"/>
              <w:ind w:right="17"/>
              <w:spacing w:after="0"/>
              <w:rPr>
                <w:sz w:val="20"/>
                <w:szCs w:val="20"/>
                <w:color w:val="auto"/>
              </w:rPr>
            </w:pPr>
            <w:r>
              <w:rPr>
                <w:rFonts w:ascii="Arial" w:cs="Arial" w:eastAsia="Arial" w:hAnsi="Arial"/>
                <w:sz w:val="13"/>
                <w:szCs w:val="13"/>
                <w:color w:val="3B3C43"/>
              </w:rPr>
              <w:t>-</w:t>
            </w:r>
          </w:p>
        </w:tc>
        <w:tc>
          <w:tcPr>
            <w:tcW w:w="1000" w:type="dxa"/>
            <w:vAlign w:val="bottom"/>
            <w:tcBorders>
              <w:bottom w:val="single" w:sz="8" w:color="E1E2E0"/>
            </w:tcBorders>
            <w:shd w:val="clear" w:color="auto" w:fill="E1E1DF"/>
          </w:tcPr>
          <w:p>
            <w:pPr>
              <w:jc w:val="right"/>
              <w:ind w:right="17"/>
              <w:spacing w:after="0"/>
              <w:rPr>
                <w:sz w:val="20"/>
                <w:szCs w:val="20"/>
                <w:color w:val="auto"/>
              </w:rPr>
            </w:pPr>
            <w:r>
              <w:rPr>
                <w:rFonts w:ascii="Arial" w:cs="Arial" w:eastAsia="Arial" w:hAnsi="Arial"/>
                <w:sz w:val="13"/>
                <w:szCs w:val="13"/>
                <w:color w:val="3B3C43"/>
              </w:rPr>
              <w:t>2,838,182</w:t>
            </w:r>
          </w:p>
        </w:tc>
        <w:tc>
          <w:tcPr>
            <w:tcW w:w="1060" w:type="dxa"/>
            <w:vAlign w:val="bottom"/>
            <w:tcBorders>
              <w:bottom w:val="single" w:sz="8" w:color="E1E2E0"/>
            </w:tcBorders>
            <w:gridSpan w:val="2"/>
            <w:shd w:val="clear" w:color="auto" w:fill="E1E1DF"/>
          </w:tcPr>
          <w:p>
            <w:pPr>
              <w:jc w:val="right"/>
              <w:ind w:right="77"/>
              <w:spacing w:after="0"/>
              <w:rPr>
                <w:sz w:val="20"/>
                <w:szCs w:val="20"/>
                <w:color w:val="auto"/>
              </w:rPr>
            </w:pPr>
            <w:r>
              <w:rPr>
                <w:rFonts w:ascii="Arial" w:cs="Arial" w:eastAsia="Arial" w:hAnsi="Arial"/>
                <w:sz w:val="13"/>
                <w:szCs w:val="13"/>
                <w:color w:val="3B3C43"/>
              </w:rPr>
              <w:t>619,998</w:t>
            </w:r>
          </w:p>
        </w:tc>
        <w:tc>
          <w:tcPr>
            <w:tcW w:w="1060" w:type="dxa"/>
            <w:vAlign w:val="bottom"/>
            <w:tcBorders>
              <w:bottom w:val="single" w:sz="8" w:color="E1E2E0"/>
            </w:tcBorders>
            <w:shd w:val="clear" w:color="auto" w:fill="E1E1DF"/>
          </w:tcPr>
          <w:p>
            <w:pPr>
              <w:jc w:val="right"/>
              <w:spacing w:after="0"/>
              <w:rPr>
                <w:sz w:val="20"/>
                <w:szCs w:val="20"/>
                <w:color w:val="auto"/>
              </w:rPr>
            </w:pPr>
            <w:r>
              <w:rPr>
                <w:rFonts w:ascii="Arial" w:cs="Arial" w:eastAsia="Arial" w:hAnsi="Arial"/>
                <w:sz w:val="13"/>
                <w:szCs w:val="13"/>
                <w:color w:val="3B3C43"/>
              </w:rPr>
              <w:t>968,625</w:t>
            </w:r>
          </w:p>
        </w:tc>
        <w:tc>
          <w:tcPr>
            <w:tcW w:w="1020" w:type="dxa"/>
            <w:vAlign w:val="bottom"/>
            <w:tcBorders>
              <w:bottom w:val="single" w:sz="8" w:color="E1E2E0"/>
            </w:tcBorders>
            <w:shd w:val="clear" w:color="auto" w:fill="E1E1DF"/>
          </w:tcPr>
          <w:p>
            <w:pPr>
              <w:jc w:val="right"/>
              <w:spacing w:after="0"/>
              <w:rPr>
                <w:sz w:val="20"/>
                <w:szCs w:val="20"/>
                <w:color w:val="auto"/>
              </w:rPr>
            </w:pPr>
            <w:r>
              <w:rPr>
                <w:rFonts w:ascii="Arial" w:cs="Arial" w:eastAsia="Arial" w:hAnsi="Arial"/>
                <w:sz w:val="13"/>
                <w:szCs w:val="13"/>
                <w:color w:val="3B3C43"/>
              </w:rPr>
              <w:t>-</w:t>
            </w:r>
          </w:p>
        </w:tc>
        <w:tc>
          <w:tcPr>
            <w:tcW w:w="1020" w:type="dxa"/>
            <w:vAlign w:val="bottom"/>
            <w:tcBorders>
              <w:bottom w:val="single" w:sz="8" w:color="E1E2E0"/>
            </w:tcBorders>
            <w:shd w:val="clear" w:color="auto" w:fill="E1E1DF"/>
          </w:tcPr>
          <w:p>
            <w:pPr>
              <w:jc w:val="right"/>
              <w:ind w:right="17"/>
              <w:spacing w:after="0"/>
              <w:rPr>
                <w:sz w:val="20"/>
                <w:szCs w:val="20"/>
                <w:color w:val="auto"/>
              </w:rPr>
            </w:pPr>
            <w:r>
              <w:rPr>
                <w:rFonts w:ascii="Arial" w:cs="Arial" w:eastAsia="Arial" w:hAnsi="Arial"/>
                <w:sz w:val="13"/>
                <w:szCs w:val="13"/>
                <w:color w:val="3B3C43"/>
              </w:rPr>
              <w:t>148,977</w:t>
            </w:r>
          </w:p>
        </w:tc>
        <w:tc>
          <w:tcPr>
            <w:tcW w:w="940" w:type="dxa"/>
            <w:vAlign w:val="bottom"/>
            <w:tcBorders>
              <w:bottom w:val="single" w:sz="8" w:color="E1E2E0"/>
            </w:tcBorders>
            <w:shd w:val="clear" w:color="auto" w:fill="E1E1DF"/>
          </w:tcPr>
          <w:p>
            <w:pPr>
              <w:jc w:val="right"/>
              <w:spacing w:after="0"/>
              <w:rPr>
                <w:sz w:val="20"/>
                <w:szCs w:val="20"/>
                <w:color w:val="auto"/>
              </w:rPr>
            </w:pPr>
            <w:r>
              <w:rPr>
                <w:rFonts w:ascii="Arial" w:cs="Arial" w:eastAsia="Arial" w:hAnsi="Arial"/>
                <w:sz w:val="13"/>
                <w:szCs w:val="13"/>
                <w:color w:val="3B3C43"/>
              </w:rPr>
              <w:t>5,344,532</w:t>
            </w:r>
          </w:p>
        </w:tc>
        <w:tc>
          <w:tcPr>
            <w:tcW w:w="0" w:type="dxa"/>
            <w:vAlign w:val="bottom"/>
          </w:tcPr>
          <w:p>
            <w:pPr>
              <w:spacing w:after="0"/>
              <w:rPr>
                <w:sz w:val="1"/>
                <w:szCs w:val="1"/>
                <w:color w:val="auto"/>
              </w:rPr>
            </w:pPr>
          </w:p>
        </w:tc>
      </w:tr>
      <w:tr>
        <w:trPr>
          <w:trHeight w:val="156"/>
        </w:trPr>
        <w:tc>
          <w:tcPr>
            <w:tcW w:w="2540" w:type="dxa"/>
            <w:vAlign w:val="bottom"/>
          </w:tcPr>
          <w:p>
            <w:pPr>
              <w:ind w:left="40"/>
              <w:spacing w:after="0"/>
              <w:rPr>
                <w:sz w:val="20"/>
                <w:szCs w:val="20"/>
                <w:color w:val="auto"/>
              </w:rPr>
            </w:pPr>
            <w:r>
              <w:rPr>
                <w:rFonts w:ascii="Arial" w:cs="Arial" w:eastAsia="Arial" w:hAnsi="Arial"/>
                <w:sz w:val="13"/>
                <w:szCs w:val="13"/>
                <w:b w:val="1"/>
                <w:bCs w:val="1"/>
                <w:color w:val="3B3C43"/>
              </w:rPr>
              <w:t>Justin Rounce</w:t>
            </w:r>
          </w:p>
        </w:tc>
        <w:tc>
          <w:tcPr>
            <w:tcW w:w="540" w:type="dxa"/>
            <w:vAlign w:val="bottom"/>
          </w:tcPr>
          <w:p>
            <w:pPr>
              <w:jc w:val="right"/>
              <w:spacing w:after="0"/>
              <w:rPr>
                <w:sz w:val="20"/>
                <w:szCs w:val="20"/>
                <w:color w:val="auto"/>
              </w:rPr>
            </w:pPr>
            <w:r>
              <w:rPr>
                <w:rFonts w:ascii="Arial" w:cs="Arial" w:eastAsia="Arial" w:hAnsi="Arial"/>
                <w:sz w:val="13"/>
                <w:szCs w:val="13"/>
                <w:color w:val="3B3C43"/>
              </w:rPr>
              <w:t>2020</w:t>
            </w:r>
          </w:p>
        </w:tc>
        <w:tc>
          <w:tcPr>
            <w:tcW w:w="1000" w:type="dxa"/>
            <w:vAlign w:val="bottom"/>
          </w:tcPr>
          <w:p>
            <w:pPr>
              <w:jc w:val="right"/>
              <w:spacing w:after="0"/>
              <w:rPr>
                <w:sz w:val="20"/>
                <w:szCs w:val="20"/>
                <w:color w:val="auto"/>
              </w:rPr>
            </w:pPr>
            <w:r>
              <w:rPr>
                <w:rFonts w:ascii="Arial" w:cs="Arial" w:eastAsia="Arial" w:hAnsi="Arial"/>
                <w:sz w:val="13"/>
                <w:szCs w:val="13"/>
                <w:color w:val="3B3C43"/>
              </w:rPr>
              <w:t>520,000</w:t>
            </w:r>
          </w:p>
        </w:tc>
        <w:tc>
          <w:tcPr>
            <w:tcW w:w="1040" w:type="dxa"/>
            <w:vAlign w:val="bottom"/>
          </w:tcPr>
          <w:p>
            <w:pPr>
              <w:jc w:val="right"/>
              <w:ind w:right="17"/>
              <w:spacing w:after="0"/>
              <w:rPr>
                <w:sz w:val="20"/>
                <w:szCs w:val="20"/>
                <w:color w:val="auto"/>
              </w:rPr>
            </w:pPr>
            <w:r>
              <w:rPr>
                <w:rFonts w:ascii="Arial" w:cs="Arial" w:eastAsia="Arial" w:hAnsi="Arial"/>
                <w:sz w:val="13"/>
                <w:szCs w:val="13"/>
                <w:color w:val="3B3C43"/>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3B3C43"/>
              </w:rPr>
              <w:t>1,849,497</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3B3C43"/>
              </w:rPr>
              <w:t>600,000</w:t>
            </w:r>
          </w:p>
        </w:tc>
        <w:tc>
          <w:tcPr>
            <w:tcW w:w="1020" w:type="dxa"/>
            <w:vAlign w:val="bottom"/>
          </w:tcPr>
          <w:p>
            <w:pPr>
              <w:jc w:val="right"/>
              <w:spacing w:after="0"/>
              <w:rPr>
                <w:sz w:val="20"/>
                <w:szCs w:val="20"/>
                <w:color w:val="auto"/>
              </w:rPr>
            </w:pPr>
            <w:r>
              <w:rPr>
                <w:rFonts w:ascii="Arial" w:cs="Arial" w:eastAsia="Arial" w:hAnsi="Arial"/>
                <w:sz w:val="13"/>
                <w:szCs w:val="13"/>
                <w:color w:val="3B3C43"/>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3B3C43"/>
              </w:rPr>
              <w:t>115,910</w:t>
            </w:r>
          </w:p>
        </w:tc>
        <w:tc>
          <w:tcPr>
            <w:tcW w:w="940" w:type="dxa"/>
            <w:vAlign w:val="bottom"/>
          </w:tcPr>
          <w:p>
            <w:pPr>
              <w:jc w:val="right"/>
              <w:spacing w:after="0"/>
              <w:rPr>
                <w:sz w:val="20"/>
                <w:szCs w:val="20"/>
                <w:color w:val="auto"/>
              </w:rPr>
            </w:pPr>
            <w:r>
              <w:rPr>
                <w:rFonts w:ascii="Arial" w:cs="Arial" w:eastAsia="Arial" w:hAnsi="Arial"/>
                <w:sz w:val="13"/>
                <w:szCs w:val="13"/>
                <w:color w:val="3B3C43"/>
              </w:rPr>
              <w:t>3,085,407</w:t>
            </w:r>
          </w:p>
        </w:tc>
        <w:tc>
          <w:tcPr>
            <w:tcW w:w="0" w:type="dxa"/>
            <w:vAlign w:val="bottom"/>
          </w:tcPr>
          <w:p>
            <w:pPr>
              <w:spacing w:after="0"/>
              <w:rPr>
                <w:sz w:val="1"/>
                <w:szCs w:val="1"/>
                <w:color w:val="auto"/>
              </w:rPr>
            </w:pPr>
          </w:p>
        </w:tc>
      </w:tr>
      <w:tr>
        <w:trPr>
          <w:trHeight w:val="33"/>
        </w:trPr>
        <w:tc>
          <w:tcPr>
            <w:tcW w:w="2540" w:type="dxa"/>
            <w:vAlign w:val="bottom"/>
            <w:vMerge w:val="restart"/>
          </w:tcPr>
          <w:p>
            <w:pPr>
              <w:ind w:left="40"/>
              <w:spacing w:after="0" w:line="135" w:lineRule="exact"/>
              <w:rPr>
                <w:sz w:val="20"/>
                <w:szCs w:val="20"/>
                <w:color w:val="auto"/>
              </w:rPr>
            </w:pPr>
            <w:r>
              <w:rPr>
                <w:rFonts w:ascii="Arial" w:cs="Arial" w:eastAsia="Arial" w:hAnsi="Arial"/>
                <w:sz w:val="13"/>
                <w:szCs w:val="13"/>
                <w:color w:val="3B3C43"/>
              </w:rPr>
              <w:t>Executive Vice President and</w:t>
            </w:r>
          </w:p>
        </w:tc>
        <w:tc>
          <w:tcPr>
            <w:tcW w:w="540" w:type="dxa"/>
            <w:vAlign w:val="bottom"/>
            <w:tcBorders>
              <w:bottom w:val="single" w:sz="8" w:color="E1E2E0"/>
            </w:tcBorders>
          </w:tcPr>
          <w:p>
            <w:pPr>
              <w:spacing w:after="0"/>
              <w:rPr>
                <w:sz w:val="2"/>
                <w:szCs w:val="2"/>
                <w:color w:val="auto"/>
              </w:rPr>
            </w:pPr>
          </w:p>
        </w:tc>
        <w:tc>
          <w:tcPr>
            <w:tcW w:w="1000" w:type="dxa"/>
            <w:vAlign w:val="bottom"/>
            <w:tcBorders>
              <w:bottom w:val="single" w:sz="8" w:color="E1E2E0"/>
            </w:tcBorders>
          </w:tcPr>
          <w:p>
            <w:pPr>
              <w:spacing w:after="0"/>
              <w:rPr>
                <w:sz w:val="2"/>
                <w:szCs w:val="2"/>
                <w:color w:val="auto"/>
              </w:rPr>
            </w:pPr>
          </w:p>
        </w:tc>
        <w:tc>
          <w:tcPr>
            <w:tcW w:w="1040" w:type="dxa"/>
            <w:vAlign w:val="bottom"/>
            <w:tcBorders>
              <w:bottom w:val="single" w:sz="8" w:color="E1E2E0"/>
            </w:tcBorders>
          </w:tcPr>
          <w:p>
            <w:pPr>
              <w:spacing w:after="0"/>
              <w:rPr>
                <w:sz w:val="2"/>
                <w:szCs w:val="2"/>
                <w:color w:val="auto"/>
              </w:rPr>
            </w:pPr>
          </w:p>
        </w:tc>
        <w:tc>
          <w:tcPr>
            <w:tcW w:w="1000" w:type="dxa"/>
            <w:vAlign w:val="bottom"/>
            <w:tcBorders>
              <w:bottom w:val="single" w:sz="8" w:color="E1E2E0"/>
            </w:tcBorders>
          </w:tcPr>
          <w:p>
            <w:pPr>
              <w:spacing w:after="0"/>
              <w:rPr>
                <w:sz w:val="2"/>
                <w:szCs w:val="2"/>
                <w:color w:val="auto"/>
              </w:rPr>
            </w:pPr>
          </w:p>
        </w:tc>
        <w:tc>
          <w:tcPr>
            <w:tcW w:w="900" w:type="dxa"/>
            <w:vAlign w:val="bottom"/>
            <w:tcBorders>
              <w:bottom w:val="single" w:sz="8" w:color="E1E2E0"/>
            </w:tcBorders>
          </w:tcPr>
          <w:p>
            <w:pPr>
              <w:spacing w:after="0"/>
              <w:rPr>
                <w:sz w:val="2"/>
                <w:szCs w:val="2"/>
                <w:color w:val="auto"/>
              </w:rPr>
            </w:pPr>
          </w:p>
        </w:tc>
        <w:tc>
          <w:tcPr>
            <w:tcW w:w="160" w:type="dxa"/>
            <w:vAlign w:val="bottom"/>
            <w:tcBorders>
              <w:bottom w:val="single" w:sz="8" w:color="E1E2E0"/>
            </w:tcBorders>
          </w:tcPr>
          <w:p>
            <w:pPr>
              <w:spacing w:after="0"/>
              <w:rPr>
                <w:sz w:val="2"/>
                <w:szCs w:val="2"/>
                <w:color w:val="auto"/>
              </w:rPr>
            </w:pPr>
          </w:p>
        </w:tc>
        <w:tc>
          <w:tcPr>
            <w:tcW w:w="1060" w:type="dxa"/>
            <w:vAlign w:val="bottom"/>
            <w:tcBorders>
              <w:bottom w:val="single" w:sz="8" w:color="E1E2E0"/>
            </w:tcBorders>
          </w:tcPr>
          <w:p>
            <w:pPr>
              <w:spacing w:after="0"/>
              <w:rPr>
                <w:sz w:val="2"/>
                <w:szCs w:val="2"/>
                <w:color w:val="auto"/>
              </w:rPr>
            </w:pPr>
          </w:p>
        </w:tc>
        <w:tc>
          <w:tcPr>
            <w:tcW w:w="1020" w:type="dxa"/>
            <w:vAlign w:val="bottom"/>
            <w:tcBorders>
              <w:bottom w:val="single" w:sz="8" w:color="E1E2E0"/>
            </w:tcBorders>
          </w:tcPr>
          <w:p>
            <w:pPr>
              <w:spacing w:after="0"/>
              <w:rPr>
                <w:sz w:val="2"/>
                <w:szCs w:val="2"/>
                <w:color w:val="auto"/>
              </w:rPr>
            </w:pPr>
          </w:p>
        </w:tc>
        <w:tc>
          <w:tcPr>
            <w:tcW w:w="1020" w:type="dxa"/>
            <w:vAlign w:val="bottom"/>
            <w:tcBorders>
              <w:bottom w:val="single" w:sz="8" w:color="E1E2E0"/>
            </w:tcBorders>
          </w:tcPr>
          <w:p>
            <w:pPr>
              <w:spacing w:after="0"/>
              <w:rPr>
                <w:sz w:val="2"/>
                <w:szCs w:val="2"/>
                <w:color w:val="auto"/>
              </w:rPr>
            </w:pPr>
          </w:p>
        </w:tc>
        <w:tc>
          <w:tcPr>
            <w:tcW w:w="940" w:type="dxa"/>
            <w:vAlign w:val="bottom"/>
            <w:tcBorders>
              <w:bottom w:val="single" w:sz="8" w:color="E1E2E0"/>
            </w:tcBorders>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2540" w:type="dxa"/>
            <w:vAlign w:val="bottom"/>
            <w:vMerge w:val="continue"/>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3B3C43"/>
              </w:rPr>
              <w:t>2019</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3B3C43"/>
              </w:rPr>
              <w:t>600,000</w:t>
            </w:r>
          </w:p>
        </w:tc>
        <w:tc>
          <w:tcPr>
            <w:tcW w:w="1040" w:type="dxa"/>
            <w:vAlign w:val="bottom"/>
            <w:vMerge w:val="restart"/>
          </w:tcPr>
          <w:p>
            <w:pPr>
              <w:jc w:val="right"/>
              <w:ind w:right="17"/>
              <w:spacing w:after="0"/>
              <w:rPr>
                <w:sz w:val="20"/>
                <w:szCs w:val="20"/>
                <w:color w:val="auto"/>
              </w:rPr>
            </w:pPr>
            <w:r>
              <w:rPr>
                <w:rFonts w:ascii="Arial" w:cs="Arial" w:eastAsia="Arial" w:hAnsi="Arial"/>
                <w:sz w:val="13"/>
                <w:szCs w:val="13"/>
                <w:color w:val="3B3C43"/>
              </w:rPr>
              <w:t>-</w:t>
            </w:r>
          </w:p>
        </w:tc>
        <w:tc>
          <w:tcPr>
            <w:tcW w:w="1000" w:type="dxa"/>
            <w:vAlign w:val="bottom"/>
            <w:vMerge w:val="restart"/>
          </w:tcPr>
          <w:p>
            <w:pPr>
              <w:jc w:val="right"/>
              <w:ind w:right="17"/>
              <w:spacing w:after="0"/>
              <w:rPr>
                <w:sz w:val="20"/>
                <w:szCs w:val="20"/>
                <w:color w:val="auto"/>
              </w:rPr>
            </w:pPr>
            <w:r>
              <w:rPr>
                <w:rFonts w:ascii="Arial" w:cs="Arial" w:eastAsia="Arial" w:hAnsi="Arial"/>
                <w:sz w:val="13"/>
                <w:szCs w:val="13"/>
                <w:color w:val="3B3C43"/>
              </w:rPr>
              <w:t>1,647,411</w:t>
            </w:r>
          </w:p>
        </w:tc>
        <w:tc>
          <w:tcPr>
            <w:tcW w:w="1060" w:type="dxa"/>
            <w:vAlign w:val="bottom"/>
            <w:gridSpan w:val="2"/>
            <w:vMerge w:val="restart"/>
          </w:tcPr>
          <w:p>
            <w:pPr>
              <w:jc w:val="right"/>
              <w:ind w:right="77"/>
              <w:spacing w:after="0"/>
              <w:rPr>
                <w:sz w:val="20"/>
                <w:szCs w:val="20"/>
                <w:color w:val="auto"/>
              </w:rPr>
            </w:pPr>
            <w:r>
              <w:rPr>
                <w:rFonts w:ascii="Arial" w:cs="Arial" w:eastAsia="Arial" w:hAnsi="Arial"/>
                <w:sz w:val="13"/>
                <w:szCs w:val="13"/>
                <w:color w:val="3B3C43"/>
              </w:rPr>
              <w:t>359,997</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3B3C43"/>
              </w:rPr>
              <w:t>999,000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3B3C43"/>
              </w:rPr>
              <w:t>-</w:t>
            </w:r>
          </w:p>
        </w:tc>
        <w:tc>
          <w:tcPr>
            <w:tcW w:w="1020" w:type="dxa"/>
            <w:vAlign w:val="bottom"/>
            <w:vMerge w:val="restart"/>
          </w:tcPr>
          <w:p>
            <w:pPr>
              <w:jc w:val="right"/>
              <w:ind w:right="17"/>
              <w:spacing w:after="0"/>
              <w:rPr>
                <w:sz w:val="20"/>
                <w:szCs w:val="20"/>
                <w:color w:val="auto"/>
              </w:rPr>
            </w:pPr>
            <w:r>
              <w:rPr>
                <w:rFonts w:ascii="Arial" w:cs="Arial" w:eastAsia="Arial" w:hAnsi="Arial"/>
                <w:sz w:val="13"/>
                <w:szCs w:val="13"/>
                <w:color w:val="3B3C43"/>
              </w:rPr>
              <w:t>37,436</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3B3C43"/>
              </w:rPr>
              <w:t>3,643,844</w:t>
            </w:r>
          </w:p>
        </w:tc>
        <w:tc>
          <w:tcPr>
            <w:tcW w:w="0" w:type="dxa"/>
            <w:vAlign w:val="bottom"/>
          </w:tcPr>
          <w:p>
            <w:pPr>
              <w:spacing w:after="0"/>
              <w:rPr>
                <w:sz w:val="1"/>
                <w:szCs w:val="1"/>
                <w:color w:val="auto"/>
              </w:rPr>
            </w:pPr>
          </w:p>
        </w:tc>
      </w:tr>
      <w:tr>
        <w:trPr>
          <w:trHeight w:val="99"/>
        </w:trPr>
        <w:tc>
          <w:tcPr>
            <w:tcW w:w="2540" w:type="dxa"/>
            <w:vAlign w:val="bottom"/>
          </w:tcPr>
          <w:p>
            <w:pPr>
              <w:ind w:left="40"/>
              <w:spacing w:after="0" w:line="94" w:lineRule="exact"/>
              <w:rPr>
                <w:sz w:val="20"/>
                <w:szCs w:val="20"/>
                <w:color w:val="auto"/>
              </w:rPr>
            </w:pPr>
            <w:r>
              <w:rPr>
                <w:rFonts w:ascii="Arial" w:cs="Arial" w:eastAsia="Arial" w:hAnsi="Arial"/>
                <w:sz w:val="10"/>
                <w:szCs w:val="10"/>
                <w:color w:val="3B3C43"/>
              </w:rPr>
              <w:t>Chief Technology Officer</w:t>
            </w:r>
          </w:p>
        </w:tc>
        <w:tc>
          <w:tcPr>
            <w:tcW w:w="540" w:type="dxa"/>
            <w:vAlign w:val="bottom"/>
            <w:tcBorders>
              <w:bottom w:val="single" w:sz="8" w:color="E1E2E0"/>
            </w:tcBorders>
            <w:vMerge w:val="continue"/>
          </w:tcPr>
          <w:p>
            <w:pPr>
              <w:spacing w:after="0"/>
              <w:rPr>
                <w:sz w:val="8"/>
                <w:szCs w:val="8"/>
                <w:color w:val="auto"/>
              </w:rPr>
            </w:pPr>
          </w:p>
        </w:tc>
        <w:tc>
          <w:tcPr>
            <w:tcW w:w="1000" w:type="dxa"/>
            <w:vAlign w:val="bottom"/>
            <w:tcBorders>
              <w:bottom w:val="single" w:sz="8" w:color="E1E2E0"/>
            </w:tcBorders>
            <w:vMerge w:val="continue"/>
          </w:tcPr>
          <w:p>
            <w:pPr>
              <w:spacing w:after="0"/>
              <w:rPr>
                <w:sz w:val="8"/>
                <w:szCs w:val="8"/>
                <w:color w:val="auto"/>
              </w:rPr>
            </w:pPr>
          </w:p>
        </w:tc>
        <w:tc>
          <w:tcPr>
            <w:tcW w:w="1040" w:type="dxa"/>
            <w:vAlign w:val="bottom"/>
            <w:tcBorders>
              <w:bottom w:val="single" w:sz="8" w:color="E1E2E0"/>
            </w:tcBorders>
            <w:vMerge w:val="continue"/>
          </w:tcPr>
          <w:p>
            <w:pPr>
              <w:spacing w:after="0"/>
              <w:rPr>
                <w:sz w:val="8"/>
                <w:szCs w:val="8"/>
                <w:color w:val="auto"/>
              </w:rPr>
            </w:pPr>
          </w:p>
        </w:tc>
        <w:tc>
          <w:tcPr>
            <w:tcW w:w="1000" w:type="dxa"/>
            <w:vAlign w:val="bottom"/>
            <w:tcBorders>
              <w:bottom w:val="single" w:sz="8" w:color="E1E2E0"/>
            </w:tcBorders>
            <w:vMerge w:val="continue"/>
          </w:tcPr>
          <w:p>
            <w:pPr>
              <w:spacing w:after="0"/>
              <w:rPr>
                <w:sz w:val="8"/>
                <w:szCs w:val="8"/>
                <w:color w:val="auto"/>
              </w:rPr>
            </w:pPr>
          </w:p>
        </w:tc>
        <w:tc>
          <w:tcPr>
            <w:tcW w:w="1060" w:type="dxa"/>
            <w:vAlign w:val="bottom"/>
            <w:tcBorders>
              <w:bottom w:val="single" w:sz="8" w:color="E1E2E0"/>
            </w:tcBorders>
            <w:gridSpan w:val="2"/>
            <w:vMerge w:val="continue"/>
          </w:tcPr>
          <w:p>
            <w:pPr>
              <w:spacing w:after="0"/>
              <w:rPr>
                <w:sz w:val="8"/>
                <w:szCs w:val="8"/>
                <w:color w:val="auto"/>
              </w:rPr>
            </w:pPr>
          </w:p>
        </w:tc>
        <w:tc>
          <w:tcPr>
            <w:tcW w:w="1060" w:type="dxa"/>
            <w:vAlign w:val="bottom"/>
            <w:tcBorders>
              <w:bottom w:val="single" w:sz="8" w:color="E1E2E0"/>
            </w:tcBorders>
            <w:vMerge w:val="continue"/>
          </w:tcPr>
          <w:p>
            <w:pPr>
              <w:spacing w:after="0"/>
              <w:rPr>
                <w:sz w:val="8"/>
                <w:szCs w:val="8"/>
                <w:color w:val="auto"/>
              </w:rPr>
            </w:pPr>
          </w:p>
        </w:tc>
        <w:tc>
          <w:tcPr>
            <w:tcW w:w="1020" w:type="dxa"/>
            <w:vAlign w:val="bottom"/>
            <w:tcBorders>
              <w:bottom w:val="single" w:sz="8" w:color="E1E2E0"/>
            </w:tcBorders>
            <w:vMerge w:val="continue"/>
          </w:tcPr>
          <w:p>
            <w:pPr>
              <w:spacing w:after="0"/>
              <w:rPr>
                <w:sz w:val="8"/>
                <w:szCs w:val="8"/>
                <w:color w:val="auto"/>
              </w:rPr>
            </w:pPr>
          </w:p>
        </w:tc>
        <w:tc>
          <w:tcPr>
            <w:tcW w:w="1020" w:type="dxa"/>
            <w:vAlign w:val="bottom"/>
            <w:tcBorders>
              <w:bottom w:val="single" w:sz="8" w:color="E1E2E0"/>
            </w:tcBorders>
            <w:vMerge w:val="continue"/>
          </w:tcPr>
          <w:p>
            <w:pPr>
              <w:spacing w:after="0"/>
              <w:rPr>
                <w:sz w:val="8"/>
                <w:szCs w:val="8"/>
                <w:color w:val="auto"/>
              </w:rPr>
            </w:pPr>
          </w:p>
        </w:tc>
        <w:tc>
          <w:tcPr>
            <w:tcW w:w="940" w:type="dxa"/>
            <w:vAlign w:val="bottom"/>
            <w:tcBorders>
              <w:bottom w:val="single" w:sz="8" w:color="E1E2E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3B3C43"/>
              </w:rPr>
              <w:t>2018</w:t>
            </w:r>
          </w:p>
        </w:tc>
        <w:tc>
          <w:tcPr>
            <w:tcW w:w="1000" w:type="dxa"/>
            <w:vAlign w:val="bottom"/>
          </w:tcPr>
          <w:p>
            <w:pPr>
              <w:jc w:val="right"/>
              <w:spacing w:after="0"/>
              <w:rPr>
                <w:sz w:val="20"/>
                <w:szCs w:val="20"/>
                <w:color w:val="auto"/>
              </w:rPr>
            </w:pPr>
            <w:r>
              <w:rPr>
                <w:rFonts w:ascii="Arial" w:cs="Arial" w:eastAsia="Arial" w:hAnsi="Arial"/>
                <w:sz w:val="13"/>
                <w:szCs w:val="13"/>
                <w:color w:val="3B3C43"/>
              </w:rPr>
              <w:t>200,000</w:t>
            </w:r>
          </w:p>
        </w:tc>
        <w:tc>
          <w:tcPr>
            <w:tcW w:w="1040" w:type="dxa"/>
            <w:vAlign w:val="bottom"/>
          </w:tcPr>
          <w:p>
            <w:pPr>
              <w:jc w:val="right"/>
              <w:ind w:right="17"/>
              <w:spacing w:after="0" w:line="189" w:lineRule="exact"/>
              <w:rPr>
                <w:sz w:val="20"/>
                <w:szCs w:val="20"/>
                <w:color w:val="auto"/>
              </w:rPr>
            </w:pPr>
            <w:r>
              <w:rPr>
                <w:rFonts w:ascii="Arial" w:cs="Arial" w:eastAsia="Arial" w:hAnsi="Arial"/>
                <w:sz w:val="13"/>
                <w:szCs w:val="13"/>
                <w:color w:val="3B3C43"/>
              </w:rPr>
              <w:t>1,225,500</w:t>
            </w:r>
            <w:r>
              <w:rPr>
                <w:rFonts w:ascii="Arial" w:cs="Arial" w:eastAsia="Arial" w:hAnsi="Arial"/>
                <w:sz w:val="20"/>
                <w:szCs w:val="20"/>
                <w:color w:val="3B3C43"/>
                <w:vertAlign w:val="superscript"/>
              </w:rPr>
              <w:t>5</w:t>
            </w:r>
          </w:p>
        </w:tc>
        <w:tc>
          <w:tcPr>
            <w:tcW w:w="1000" w:type="dxa"/>
            <w:vAlign w:val="bottom"/>
          </w:tcPr>
          <w:p>
            <w:pPr>
              <w:jc w:val="right"/>
              <w:ind w:right="17"/>
              <w:spacing w:after="0"/>
              <w:rPr>
                <w:sz w:val="20"/>
                <w:szCs w:val="20"/>
                <w:color w:val="auto"/>
              </w:rPr>
            </w:pPr>
            <w:r>
              <w:rPr>
                <w:rFonts w:ascii="Arial" w:cs="Arial" w:eastAsia="Arial" w:hAnsi="Arial"/>
                <w:sz w:val="13"/>
                <w:szCs w:val="13"/>
                <w:color w:val="3B3C43"/>
              </w:rPr>
              <w:t>2,099,986</w:t>
            </w:r>
          </w:p>
        </w:tc>
        <w:tc>
          <w:tcPr>
            <w:tcW w:w="1060" w:type="dxa"/>
            <w:vAlign w:val="bottom"/>
            <w:gridSpan w:val="2"/>
          </w:tcPr>
          <w:p>
            <w:pPr>
              <w:jc w:val="right"/>
              <w:ind w:right="77"/>
              <w:spacing w:after="0"/>
              <w:rPr>
                <w:sz w:val="20"/>
                <w:szCs w:val="20"/>
                <w:color w:val="auto"/>
              </w:rPr>
            </w:pPr>
            <w:r>
              <w:rPr>
                <w:rFonts w:ascii="Arial" w:cs="Arial" w:eastAsia="Arial" w:hAnsi="Arial"/>
                <w:sz w:val="13"/>
                <w:szCs w:val="13"/>
                <w:color w:val="3B3C43"/>
              </w:rPr>
              <w:t>-</w:t>
            </w:r>
          </w:p>
        </w:tc>
        <w:tc>
          <w:tcPr>
            <w:tcW w:w="1060" w:type="dxa"/>
            <w:vAlign w:val="bottom"/>
          </w:tcPr>
          <w:p>
            <w:pPr>
              <w:jc w:val="right"/>
              <w:spacing w:after="0"/>
              <w:rPr>
                <w:sz w:val="20"/>
                <w:szCs w:val="20"/>
                <w:color w:val="auto"/>
              </w:rPr>
            </w:pPr>
            <w:r>
              <w:rPr>
                <w:rFonts w:ascii="Arial" w:cs="Arial" w:eastAsia="Arial" w:hAnsi="Arial"/>
                <w:sz w:val="13"/>
                <w:szCs w:val="13"/>
                <w:color w:val="3B3C43"/>
              </w:rPr>
              <w:t>244,500</w:t>
            </w:r>
          </w:p>
        </w:tc>
        <w:tc>
          <w:tcPr>
            <w:tcW w:w="1020" w:type="dxa"/>
            <w:vAlign w:val="bottom"/>
          </w:tcPr>
          <w:p>
            <w:pPr>
              <w:jc w:val="right"/>
              <w:spacing w:after="0"/>
              <w:rPr>
                <w:sz w:val="20"/>
                <w:szCs w:val="20"/>
                <w:color w:val="auto"/>
              </w:rPr>
            </w:pPr>
            <w:r>
              <w:rPr>
                <w:rFonts w:ascii="Arial" w:cs="Arial" w:eastAsia="Arial" w:hAnsi="Arial"/>
                <w:sz w:val="13"/>
                <w:szCs w:val="13"/>
                <w:color w:val="3B3C43"/>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3B3C43"/>
              </w:rPr>
              <w:t>10,325</w:t>
            </w:r>
          </w:p>
        </w:tc>
        <w:tc>
          <w:tcPr>
            <w:tcW w:w="940" w:type="dxa"/>
            <w:vAlign w:val="bottom"/>
          </w:tcPr>
          <w:p>
            <w:pPr>
              <w:jc w:val="right"/>
              <w:spacing w:after="0"/>
              <w:rPr>
                <w:sz w:val="20"/>
                <w:szCs w:val="20"/>
                <w:color w:val="auto"/>
              </w:rPr>
            </w:pPr>
            <w:r>
              <w:rPr>
                <w:rFonts w:ascii="Arial" w:cs="Arial" w:eastAsia="Arial" w:hAnsi="Arial"/>
                <w:sz w:val="13"/>
                <w:szCs w:val="13"/>
                <w:color w:val="3B3C43"/>
              </w:rPr>
              <w:t>3,780,311</w:t>
            </w:r>
          </w:p>
        </w:tc>
        <w:tc>
          <w:tcPr>
            <w:tcW w:w="0" w:type="dxa"/>
            <w:vAlign w:val="bottom"/>
          </w:tcPr>
          <w:p>
            <w:pPr>
              <w:spacing w:after="0"/>
              <w:rPr>
                <w:sz w:val="1"/>
                <w:szCs w:val="1"/>
                <w:color w:val="auto"/>
              </w:rPr>
            </w:pPr>
          </w:p>
        </w:tc>
      </w:tr>
      <w:tr>
        <w:trPr>
          <w:trHeight w:val="156"/>
        </w:trPr>
        <w:tc>
          <w:tcPr>
            <w:tcW w:w="2540" w:type="dxa"/>
            <w:vAlign w:val="bottom"/>
            <w:shd w:val="clear" w:color="auto" w:fill="E1E1DF"/>
          </w:tcPr>
          <w:p>
            <w:pPr>
              <w:ind w:left="40"/>
              <w:spacing w:after="0"/>
              <w:rPr>
                <w:sz w:val="20"/>
                <w:szCs w:val="20"/>
                <w:color w:val="auto"/>
              </w:rPr>
            </w:pPr>
            <w:r>
              <w:rPr>
                <w:rFonts w:ascii="Arial" w:cs="Arial" w:eastAsia="Arial" w:hAnsi="Arial"/>
                <w:sz w:val="13"/>
                <w:szCs w:val="13"/>
                <w:b w:val="1"/>
                <w:bCs w:val="1"/>
                <w:color w:val="3B3C43"/>
              </w:rPr>
              <w:t>Arnaud Pieton</w:t>
            </w:r>
          </w:p>
        </w:tc>
        <w:tc>
          <w:tcPr>
            <w:tcW w:w="540" w:type="dxa"/>
            <w:vAlign w:val="bottom"/>
            <w:shd w:val="clear" w:color="auto" w:fill="E1E1DF"/>
          </w:tcPr>
          <w:p>
            <w:pPr>
              <w:spacing w:after="0"/>
              <w:rPr>
                <w:sz w:val="13"/>
                <w:szCs w:val="13"/>
                <w:color w:val="auto"/>
              </w:rPr>
            </w:pPr>
          </w:p>
        </w:tc>
        <w:tc>
          <w:tcPr>
            <w:tcW w:w="1000" w:type="dxa"/>
            <w:vAlign w:val="bottom"/>
            <w:shd w:val="clear" w:color="auto" w:fill="E1E1DF"/>
          </w:tcPr>
          <w:p>
            <w:pPr>
              <w:spacing w:after="0"/>
              <w:rPr>
                <w:sz w:val="13"/>
                <w:szCs w:val="13"/>
                <w:color w:val="auto"/>
              </w:rPr>
            </w:pPr>
          </w:p>
        </w:tc>
        <w:tc>
          <w:tcPr>
            <w:tcW w:w="1040" w:type="dxa"/>
            <w:vAlign w:val="bottom"/>
            <w:shd w:val="clear" w:color="auto" w:fill="E1E1DF"/>
          </w:tcPr>
          <w:p>
            <w:pPr>
              <w:spacing w:after="0"/>
              <w:rPr>
                <w:sz w:val="13"/>
                <w:szCs w:val="13"/>
                <w:color w:val="auto"/>
              </w:rPr>
            </w:pPr>
          </w:p>
        </w:tc>
        <w:tc>
          <w:tcPr>
            <w:tcW w:w="1000" w:type="dxa"/>
            <w:vAlign w:val="bottom"/>
            <w:shd w:val="clear" w:color="auto" w:fill="E1E1DF"/>
          </w:tcPr>
          <w:p>
            <w:pPr>
              <w:spacing w:after="0"/>
              <w:rPr>
                <w:sz w:val="13"/>
                <w:szCs w:val="13"/>
                <w:color w:val="auto"/>
              </w:rPr>
            </w:pPr>
          </w:p>
        </w:tc>
        <w:tc>
          <w:tcPr>
            <w:tcW w:w="900" w:type="dxa"/>
            <w:vAlign w:val="bottom"/>
            <w:shd w:val="clear" w:color="auto" w:fill="E1E1DF"/>
          </w:tcPr>
          <w:p>
            <w:pPr>
              <w:spacing w:after="0"/>
              <w:rPr>
                <w:sz w:val="13"/>
                <w:szCs w:val="13"/>
                <w:color w:val="auto"/>
              </w:rPr>
            </w:pPr>
          </w:p>
        </w:tc>
        <w:tc>
          <w:tcPr>
            <w:tcW w:w="160" w:type="dxa"/>
            <w:vAlign w:val="bottom"/>
            <w:shd w:val="clear" w:color="auto" w:fill="E1E1DF"/>
          </w:tcPr>
          <w:p>
            <w:pPr>
              <w:spacing w:after="0"/>
              <w:rPr>
                <w:sz w:val="13"/>
                <w:szCs w:val="13"/>
                <w:color w:val="auto"/>
              </w:rPr>
            </w:pPr>
          </w:p>
        </w:tc>
        <w:tc>
          <w:tcPr>
            <w:tcW w:w="1060" w:type="dxa"/>
            <w:vAlign w:val="bottom"/>
            <w:shd w:val="clear" w:color="auto" w:fill="E1E1DF"/>
          </w:tcPr>
          <w:p>
            <w:pPr>
              <w:spacing w:after="0"/>
              <w:rPr>
                <w:sz w:val="13"/>
                <w:szCs w:val="13"/>
                <w:color w:val="auto"/>
              </w:rPr>
            </w:pPr>
          </w:p>
        </w:tc>
        <w:tc>
          <w:tcPr>
            <w:tcW w:w="1020" w:type="dxa"/>
            <w:vAlign w:val="bottom"/>
            <w:shd w:val="clear" w:color="auto" w:fill="E1E1DF"/>
          </w:tcPr>
          <w:p>
            <w:pPr>
              <w:spacing w:after="0"/>
              <w:rPr>
                <w:sz w:val="13"/>
                <w:szCs w:val="13"/>
                <w:color w:val="auto"/>
              </w:rPr>
            </w:pPr>
          </w:p>
        </w:tc>
        <w:tc>
          <w:tcPr>
            <w:tcW w:w="1020" w:type="dxa"/>
            <w:vAlign w:val="bottom"/>
            <w:shd w:val="clear" w:color="auto" w:fill="E1E1DF"/>
          </w:tcPr>
          <w:p>
            <w:pPr>
              <w:spacing w:after="0"/>
              <w:rPr>
                <w:sz w:val="13"/>
                <w:szCs w:val="13"/>
                <w:color w:val="auto"/>
              </w:rPr>
            </w:pPr>
          </w:p>
        </w:tc>
        <w:tc>
          <w:tcPr>
            <w:tcW w:w="940" w:type="dxa"/>
            <w:vAlign w:val="bottom"/>
            <w:shd w:val="clear" w:color="auto" w:fill="E1E1D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E1E1DF"/>
          </w:tcPr>
          <w:p>
            <w:pPr>
              <w:ind w:left="40"/>
              <w:spacing w:after="0" w:line="135" w:lineRule="exact"/>
              <w:rPr>
                <w:sz w:val="20"/>
                <w:szCs w:val="20"/>
                <w:color w:val="auto"/>
              </w:rPr>
            </w:pPr>
            <w:r>
              <w:rPr>
                <w:rFonts w:ascii="Arial" w:cs="Arial" w:eastAsia="Arial" w:hAnsi="Arial"/>
                <w:sz w:val="13"/>
                <w:szCs w:val="13"/>
                <w:color w:val="3B3C43"/>
              </w:rPr>
              <w:t>President and CEO-elect of Technip</w:t>
            </w:r>
          </w:p>
        </w:tc>
        <w:tc>
          <w:tcPr>
            <w:tcW w:w="540" w:type="dxa"/>
            <w:vAlign w:val="bottom"/>
            <w:shd w:val="clear" w:color="auto" w:fill="E1E1DF"/>
          </w:tcPr>
          <w:p>
            <w:pPr>
              <w:jc w:val="right"/>
              <w:spacing w:after="0" w:line="135" w:lineRule="exact"/>
              <w:rPr>
                <w:sz w:val="20"/>
                <w:szCs w:val="20"/>
                <w:color w:val="auto"/>
              </w:rPr>
            </w:pPr>
            <w:r>
              <w:rPr>
                <w:rFonts w:ascii="Arial" w:cs="Arial" w:eastAsia="Arial" w:hAnsi="Arial"/>
                <w:sz w:val="13"/>
                <w:szCs w:val="13"/>
                <w:color w:val="3B3C43"/>
              </w:rPr>
              <w:t>2020</w:t>
            </w:r>
          </w:p>
        </w:tc>
        <w:tc>
          <w:tcPr>
            <w:tcW w:w="1000" w:type="dxa"/>
            <w:vAlign w:val="bottom"/>
            <w:shd w:val="clear" w:color="auto" w:fill="E1E1DF"/>
          </w:tcPr>
          <w:p>
            <w:pPr>
              <w:jc w:val="right"/>
              <w:spacing w:after="0" w:line="135" w:lineRule="exact"/>
              <w:rPr>
                <w:sz w:val="20"/>
                <w:szCs w:val="20"/>
                <w:color w:val="auto"/>
              </w:rPr>
            </w:pPr>
            <w:r>
              <w:rPr>
                <w:rFonts w:ascii="Arial" w:cs="Arial" w:eastAsia="Arial" w:hAnsi="Arial"/>
                <w:sz w:val="13"/>
                <w:szCs w:val="13"/>
                <w:color w:val="3B3C43"/>
              </w:rPr>
              <w:t>503,949</w:t>
            </w:r>
          </w:p>
        </w:tc>
        <w:tc>
          <w:tcPr>
            <w:tcW w:w="1040" w:type="dxa"/>
            <w:vAlign w:val="bottom"/>
            <w:shd w:val="clear" w:color="auto" w:fill="E1E1DF"/>
          </w:tcPr>
          <w:p>
            <w:pPr>
              <w:spacing w:after="0"/>
              <w:rPr>
                <w:sz w:val="11"/>
                <w:szCs w:val="11"/>
                <w:color w:val="auto"/>
              </w:rPr>
            </w:pPr>
          </w:p>
        </w:tc>
        <w:tc>
          <w:tcPr>
            <w:tcW w:w="1000" w:type="dxa"/>
            <w:vAlign w:val="bottom"/>
            <w:shd w:val="clear" w:color="auto" w:fill="E1E1DF"/>
          </w:tcPr>
          <w:p>
            <w:pPr>
              <w:jc w:val="right"/>
              <w:ind w:right="17"/>
              <w:spacing w:after="0" w:line="135" w:lineRule="exact"/>
              <w:rPr>
                <w:sz w:val="20"/>
                <w:szCs w:val="20"/>
                <w:color w:val="auto"/>
              </w:rPr>
            </w:pPr>
            <w:r>
              <w:rPr>
                <w:rFonts w:ascii="Arial" w:cs="Arial" w:eastAsia="Arial" w:hAnsi="Arial"/>
                <w:sz w:val="13"/>
                <w:szCs w:val="13"/>
                <w:color w:val="3B3C43"/>
              </w:rPr>
              <w:t>1,335,740</w:t>
            </w:r>
          </w:p>
        </w:tc>
        <w:tc>
          <w:tcPr>
            <w:tcW w:w="900" w:type="dxa"/>
            <w:vAlign w:val="bottom"/>
            <w:shd w:val="clear" w:color="auto" w:fill="E1E1DF"/>
          </w:tcPr>
          <w:p>
            <w:pPr>
              <w:spacing w:after="0"/>
              <w:rPr>
                <w:sz w:val="11"/>
                <w:szCs w:val="11"/>
                <w:color w:val="auto"/>
              </w:rPr>
            </w:pPr>
          </w:p>
        </w:tc>
        <w:tc>
          <w:tcPr>
            <w:tcW w:w="160" w:type="dxa"/>
            <w:vAlign w:val="bottom"/>
            <w:shd w:val="clear" w:color="auto" w:fill="E1E1DF"/>
          </w:tcPr>
          <w:p>
            <w:pPr>
              <w:spacing w:after="0"/>
              <w:rPr>
                <w:sz w:val="11"/>
                <w:szCs w:val="11"/>
                <w:color w:val="auto"/>
              </w:rPr>
            </w:pPr>
          </w:p>
        </w:tc>
        <w:tc>
          <w:tcPr>
            <w:tcW w:w="1060" w:type="dxa"/>
            <w:vAlign w:val="bottom"/>
            <w:shd w:val="clear" w:color="auto" w:fill="E1E1DF"/>
          </w:tcPr>
          <w:p>
            <w:pPr>
              <w:jc w:val="right"/>
              <w:spacing w:after="0" w:line="135" w:lineRule="exact"/>
              <w:rPr>
                <w:sz w:val="20"/>
                <w:szCs w:val="20"/>
                <w:color w:val="auto"/>
              </w:rPr>
            </w:pPr>
            <w:r>
              <w:rPr>
                <w:rFonts w:ascii="Arial" w:cs="Arial" w:eastAsia="Arial" w:hAnsi="Arial"/>
                <w:sz w:val="13"/>
                <w:szCs w:val="13"/>
                <w:color w:val="3B3C43"/>
              </w:rPr>
              <w:t>550,331</w:t>
            </w:r>
          </w:p>
        </w:tc>
        <w:tc>
          <w:tcPr>
            <w:tcW w:w="1020" w:type="dxa"/>
            <w:vAlign w:val="bottom"/>
            <w:shd w:val="clear" w:color="auto" w:fill="E1E1DF"/>
          </w:tcPr>
          <w:p>
            <w:pPr>
              <w:spacing w:after="0"/>
              <w:rPr>
                <w:sz w:val="11"/>
                <w:szCs w:val="11"/>
                <w:color w:val="auto"/>
              </w:rPr>
            </w:pPr>
          </w:p>
        </w:tc>
        <w:tc>
          <w:tcPr>
            <w:tcW w:w="1020" w:type="dxa"/>
            <w:vAlign w:val="bottom"/>
            <w:shd w:val="clear" w:color="auto" w:fill="E1E1DF"/>
          </w:tcPr>
          <w:p>
            <w:pPr>
              <w:jc w:val="right"/>
              <w:ind w:right="17"/>
              <w:spacing w:after="0" w:line="135" w:lineRule="exact"/>
              <w:rPr>
                <w:sz w:val="20"/>
                <w:szCs w:val="20"/>
                <w:color w:val="auto"/>
              </w:rPr>
            </w:pPr>
            <w:r>
              <w:rPr>
                <w:rFonts w:ascii="Arial" w:cs="Arial" w:eastAsia="Arial" w:hAnsi="Arial"/>
                <w:sz w:val="13"/>
                <w:szCs w:val="13"/>
                <w:color w:val="3B3C43"/>
              </w:rPr>
              <w:t>44,823</w:t>
            </w:r>
          </w:p>
        </w:tc>
        <w:tc>
          <w:tcPr>
            <w:tcW w:w="940" w:type="dxa"/>
            <w:vAlign w:val="bottom"/>
            <w:shd w:val="clear" w:color="auto" w:fill="E1E1DF"/>
          </w:tcPr>
          <w:p>
            <w:pPr>
              <w:jc w:val="right"/>
              <w:spacing w:after="0" w:line="135" w:lineRule="exact"/>
              <w:rPr>
                <w:sz w:val="20"/>
                <w:szCs w:val="20"/>
                <w:color w:val="auto"/>
              </w:rPr>
            </w:pPr>
            <w:r>
              <w:rPr>
                <w:rFonts w:ascii="Arial" w:cs="Arial" w:eastAsia="Arial" w:hAnsi="Arial"/>
                <w:sz w:val="13"/>
                <w:szCs w:val="13"/>
                <w:color w:val="3B3C43"/>
              </w:rPr>
              <w:t>2,434,843</w:t>
            </w:r>
          </w:p>
        </w:tc>
        <w:tc>
          <w:tcPr>
            <w:tcW w:w="0" w:type="dxa"/>
            <w:vAlign w:val="bottom"/>
          </w:tcPr>
          <w:p>
            <w:pPr>
              <w:spacing w:after="0"/>
              <w:rPr>
                <w:sz w:val="1"/>
                <w:szCs w:val="1"/>
                <w:color w:val="auto"/>
              </w:rPr>
            </w:pPr>
          </w:p>
        </w:tc>
      </w:tr>
      <w:tr>
        <w:trPr>
          <w:trHeight w:val="161"/>
        </w:trPr>
        <w:tc>
          <w:tcPr>
            <w:tcW w:w="2540" w:type="dxa"/>
            <w:vAlign w:val="bottom"/>
            <w:tcBorders>
              <w:bottom w:val="single" w:sz="8" w:color="E1E2E0"/>
            </w:tcBorders>
            <w:shd w:val="clear" w:color="auto" w:fill="E1E1DF"/>
          </w:tcPr>
          <w:p>
            <w:pPr>
              <w:ind w:left="40"/>
              <w:spacing w:after="0"/>
              <w:rPr>
                <w:sz w:val="20"/>
                <w:szCs w:val="20"/>
                <w:color w:val="auto"/>
              </w:rPr>
            </w:pPr>
            <w:r>
              <w:rPr>
                <w:rFonts w:ascii="Arial" w:cs="Arial" w:eastAsia="Arial" w:hAnsi="Arial"/>
                <w:sz w:val="13"/>
                <w:szCs w:val="13"/>
                <w:color w:val="3B3C43"/>
              </w:rPr>
              <w:t>Energies</w:t>
            </w:r>
          </w:p>
        </w:tc>
        <w:tc>
          <w:tcPr>
            <w:tcW w:w="540" w:type="dxa"/>
            <w:vAlign w:val="bottom"/>
            <w:tcBorders>
              <w:bottom w:val="single" w:sz="8" w:color="E1E2E0"/>
            </w:tcBorders>
            <w:shd w:val="clear" w:color="auto" w:fill="E1E1DF"/>
          </w:tcPr>
          <w:p>
            <w:pPr>
              <w:spacing w:after="0"/>
              <w:rPr>
                <w:sz w:val="14"/>
                <w:szCs w:val="14"/>
                <w:color w:val="auto"/>
              </w:rPr>
            </w:pPr>
          </w:p>
        </w:tc>
        <w:tc>
          <w:tcPr>
            <w:tcW w:w="1000" w:type="dxa"/>
            <w:vAlign w:val="bottom"/>
            <w:tcBorders>
              <w:bottom w:val="single" w:sz="8" w:color="E1E2E0"/>
            </w:tcBorders>
            <w:shd w:val="clear" w:color="auto" w:fill="E1E1DF"/>
          </w:tcPr>
          <w:p>
            <w:pPr>
              <w:spacing w:after="0"/>
              <w:rPr>
                <w:sz w:val="14"/>
                <w:szCs w:val="14"/>
                <w:color w:val="auto"/>
              </w:rPr>
            </w:pPr>
          </w:p>
        </w:tc>
        <w:tc>
          <w:tcPr>
            <w:tcW w:w="1040" w:type="dxa"/>
            <w:vAlign w:val="bottom"/>
            <w:tcBorders>
              <w:bottom w:val="single" w:sz="8" w:color="E1E2E0"/>
            </w:tcBorders>
            <w:shd w:val="clear" w:color="auto" w:fill="E1E1DF"/>
          </w:tcPr>
          <w:p>
            <w:pPr>
              <w:spacing w:after="0"/>
              <w:rPr>
                <w:sz w:val="14"/>
                <w:szCs w:val="14"/>
                <w:color w:val="auto"/>
              </w:rPr>
            </w:pPr>
          </w:p>
        </w:tc>
        <w:tc>
          <w:tcPr>
            <w:tcW w:w="1000" w:type="dxa"/>
            <w:vAlign w:val="bottom"/>
            <w:tcBorders>
              <w:bottom w:val="single" w:sz="8" w:color="E1E2E0"/>
            </w:tcBorders>
            <w:shd w:val="clear" w:color="auto" w:fill="E1E1DF"/>
          </w:tcPr>
          <w:p>
            <w:pPr>
              <w:spacing w:after="0"/>
              <w:rPr>
                <w:sz w:val="14"/>
                <w:szCs w:val="14"/>
                <w:color w:val="auto"/>
              </w:rPr>
            </w:pPr>
          </w:p>
        </w:tc>
        <w:tc>
          <w:tcPr>
            <w:tcW w:w="900" w:type="dxa"/>
            <w:vAlign w:val="bottom"/>
            <w:tcBorders>
              <w:bottom w:val="single" w:sz="8" w:color="E1E2E0"/>
            </w:tcBorders>
            <w:shd w:val="clear" w:color="auto" w:fill="E1E1DF"/>
          </w:tcPr>
          <w:p>
            <w:pPr>
              <w:spacing w:after="0"/>
              <w:rPr>
                <w:sz w:val="14"/>
                <w:szCs w:val="14"/>
                <w:color w:val="auto"/>
              </w:rPr>
            </w:pPr>
          </w:p>
        </w:tc>
        <w:tc>
          <w:tcPr>
            <w:tcW w:w="160" w:type="dxa"/>
            <w:vAlign w:val="bottom"/>
            <w:tcBorders>
              <w:bottom w:val="single" w:sz="8" w:color="E1E2E0"/>
            </w:tcBorders>
            <w:shd w:val="clear" w:color="auto" w:fill="E1E1DF"/>
          </w:tcPr>
          <w:p>
            <w:pPr>
              <w:spacing w:after="0"/>
              <w:rPr>
                <w:sz w:val="14"/>
                <w:szCs w:val="14"/>
                <w:color w:val="auto"/>
              </w:rPr>
            </w:pPr>
          </w:p>
        </w:tc>
        <w:tc>
          <w:tcPr>
            <w:tcW w:w="1060" w:type="dxa"/>
            <w:vAlign w:val="bottom"/>
            <w:tcBorders>
              <w:bottom w:val="single" w:sz="8" w:color="E1E2E0"/>
            </w:tcBorders>
            <w:shd w:val="clear" w:color="auto" w:fill="E1E1DF"/>
          </w:tcPr>
          <w:p>
            <w:pPr>
              <w:spacing w:after="0"/>
              <w:rPr>
                <w:sz w:val="14"/>
                <w:szCs w:val="14"/>
                <w:color w:val="auto"/>
              </w:rPr>
            </w:pPr>
          </w:p>
        </w:tc>
        <w:tc>
          <w:tcPr>
            <w:tcW w:w="1020" w:type="dxa"/>
            <w:vAlign w:val="bottom"/>
            <w:tcBorders>
              <w:bottom w:val="single" w:sz="8" w:color="E1E2E0"/>
            </w:tcBorders>
            <w:shd w:val="clear" w:color="auto" w:fill="E1E1DF"/>
          </w:tcPr>
          <w:p>
            <w:pPr>
              <w:spacing w:after="0"/>
              <w:rPr>
                <w:sz w:val="14"/>
                <w:szCs w:val="14"/>
                <w:color w:val="auto"/>
              </w:rPr>
            </w:pPr>
          </w:p>
        </w:tc>
        <w:tc>
          <w:tcPr>
            <w:tcW w:w="1020" w:type="dxa"/>
            <w:vAlign w:val="bottom"/>
            <w:tcBorders>
              <w:bottom w:val="single" w:sz="8" w:color="E1E2E0"/>
            </w:tcBorders>
            <w:shd w:val="clear" w:color="auto" w:fill="E1E1DF"/>
          </w:tcPr>
          <w:p>
            <w:pPr>
              <w:spacing w:after="0"/>
              <w:rPr>
                <w:sz w:val="14"/>
                <w:szCs w:val="14"/>
                <w:color w:val="auto"/>
              </w:rPr>
            </w:pPr>
          </w:p>
        </w:tc>
        <w:tc>
          <w:tcPr>
            <w:tcW w:w="940" w:type="dxa"/>
            <w:vAlign w:val="bottom"/>
            <w:tcBorders>
              <w:bottom w:val="single" w:sz="8" w:color="E1E2E0"/>
            </w:tcBorders>
            <w:shd w:val="clear" w:color="auto" w:fill="E1E1D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40"/>
              <w:spacing w:after="0"/>
              <w:rPr>
                <w:sz w:val="20"/>
                <w:szCs w:val="20"/>
                <w:color w:val="auto"/>
              </w:rPr>
            </w:pPr>
            <w:r>
              <w:rPr>
                <w:rFonts w:ascii="Arial" w:cs="Arial" w:eastAsia="Arial" w:hAnsi="Arial"/>
                <w:sz w:val="13"/>
                <w:szCs w:val="13"/>
                <w:b w:val="1"/>
                <w:bCs w:val="1"/>
                <w:color w:val="3B3C43"/>
              </w:rPr>
              <w:t>Barry Glickman</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3B3C43"/>
              </w:rPr>
              <w:t>2020</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3B3C43"/>
              </w:rPr>
              <w:t>464,533</w:t>
            </w:r>
          </w:p>
        </w:tc>
        <w:tc>
          <w:tcPr>
            <w:tcW w:w="1040" w:type="dxa"/>
            <w:vAlign w:val="bottom"/>
            <w:vMerge w:val="restart"/>
          </w:tcPr>
          <w:p>
            <w:pPr>
              <w:jc w:val="right"/>
              <w:ind w:right="17"/>
              <w:spacing w:after="0"/>
              <w:rPr>
                <w:sz w:val="20"/>
                <w:szCs w:val="20"/>
                <w:color w:val="auto"/>
              </w:rPr>
            </w:pPr>
            <w:r>
              <w:rPr>
                <w:rFonts w:ascii="Arial" w:cs="Arial" w:eastAsia="Arial" w:hAnsi="Arial"/>
                <w:sz w:val="13"/>
                <w:szCs w:val="13"/>
                <w:color w:val="3B3C43"/>
              </w:rPr>
              <w:t>-</w:t>
            </w:r>
          </w:p>
        </w:tc>
        <w:tc>
          <w:tcPr>
            <w:tcW w:w="1000" w:type="dxa"/>
            <w:vAlign w:val="bottom"/>
            <w:vMerge w:val="restart"/>
          </w:tcPr>
          <w:p>
            <w:pPr>
              <w:jc w:val="right"/>
              <w:ind w:right="17"/>
              <w:spacing w:after="0"/>
              <w:rPr>
                <w:sz w:val="20"/>
                <w:szCs w:val="20"/>
                <w:color w:val="auto"/>
              </w:rPr>
            </w:pPr>
            <w:r>
              <w:rPr>
                <w:rFonts w:ascii="Arial" w:cs="Arial" w:eastAsia="Arial" w:hAnsi="Arial"/>
                <w:sz w:val="13"/>
                <w:szCs w:val="13"/>
                <w:color w:val="3B3C43"/>
              </w:rPr>
              <w:t>1,335,740</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3B3C43"/>
              </w:rPr>
              <w:t>482,400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3B3C43"/>
              </w:rPr>
              <w:t>-</w:t>
            </w:r>
          </w:p>
        </w:tc>
        <w:tc>
          <w:tcPr>
            <w:tcW w:w="1020" w:type="dxa"/>
            <w:vAlign w:val="bottom"/>
            <w:vMerge w:val="restart"/>
          </w:tcPr>
          <w:p>
            <w:pPr>
              <w:jc w:val="right"/>
              <w:ind w:right="17"/>
              <w:spacing w:after="0"/>
              <w:rPr>
                <w:sz w:val="20"/>
                <w:szCs w:val="20"/>
                <w:color w:val="auto"/>
              </w:rPr>
            </w:pPr>
            <w:r>
              <w:rPr>
                <w:rFonts w:ascii="Arial" w:cs="Arial" w:eastAsia="Arial" w:hAnsi="Arial"/>
                <w:sz w:val="13"/>
                <w:szCs w:val="13"/>
                <w:color w:val="3B3C43"/>
              </w:rPr>
              <w:t>147,611</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3B3C43"/>
              </w:rPr>
              <w:t>2,430,284</w:t>
            </w:r>
          </w:p>
        </w:tc>
        <w:tc>
          <w:tcPr>
            <w:tcW w:w="0" w:type="dxa"/>
            <w:vAlign w:val="bottom"/>
          </w:tcPr>
          <w:p>
            <w:pPr>
              <w:spacing w:after="0"/>
              <w:rPr>
                <w:sz w:val="1"/>
                <w:szCs w:val="1"/>
                <w:color w:val="auto"/>
              </w:rPr>
            </w:pPr>
          </w:p>
        </w:tc>
      </w:tr>
      <w:tr>
        <w:trPr>
          <w:trHeight w:val="84"/>
        </w:trPr>
        <w:tc>
          <w:tcPr>
            <w:tcW w:w="2540" w:type="dxa"/>
            <w:vAlign w:val="bottom"/>
            <w:vMerge w:val="restart"/>
          </w:tcPr>
          <w:p>
            <w:pPr>
              <w:ind w:left="40"/>
              <w:spacing w:after="0"/>
              <w:rPr>
                <w:sz w:val="20"/>
                <w:szCs w:val="20"/>
                <w:color w:val="auto"/>
              </w:rPr>
            </w:pPr>
            <w:r>
              <w:rPr>
                <w:rFonts w:ascii="Arial" w:cs="Arial" w:eastAsia="Arial" w:hAnsi="Arial"/>
                <w:sz w:val="13"/>
                <w:szCs w:val="13"/>
                <w:color w:val="3B3C43"/>
              </w:rPr>
              <w:t>President of Surface</w:t>
            </w:r>
          </w:p>
        </w:tc>
        <w:tc>
          <w:tcPr>
            <w:tcW w:w="5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540" w:type="dxa"/>
            <w:vAlign w:val="bottom"/>
            <w:tcBorders>
              <w:bottom w:val="single" w:sz="8" w:color="E1E2E0"/>
            </w:tcBorders>
            <w:vMerge w:val="continue"/>
          </w:tcPr>
          <w:p>
            <w:pPr>
              <w:spacing w:after="0"/>
              <w:rPr>
                <w:sz w:val="6"/>
                <w:szCs w:val="6"/>
                <w:color w:val="auto"/>
              </w:rPr>
            </w:pPr>
          </w:p>
        </w:tc>
        <w:tc>
          <w:tcPr>
            <w:tcW w:w="540" w:type="dxa"/>
            <w:vAlign w:val="bottom"/>
            <w:tcBorders>
              <w:bottom w:val="single" w:sz="8" w:color="E1E2E0"/>
            </w:tcBorders>
          </w:tcPr>
          <w:p>
            <w:pPr>
              <w:spacing w:after="0"/>
              <w:rPr>
                <w:sz w:val="6"/>
                <w:szCs w:val="6"/>
                <w:color w:val="auto"/>
              </w:rPr>
            </w:pPr>
          </w:p>
        </w:tc>
        <w:tc>
          <w:tcPr>
            <w:tcW w:w="1000" w:type="dxa"/>
            <w:vAlign w:val="bottom"/>
            <w:tcBorders>
              <w:bottom w:val="single" w:sz="8" w:color="E1E2E0"/>
            </w:tcBorders>
          </w:tcPr>
          <w:p>
            <w:pPr>
              <w:spacing w:after="0"/>
              <w:rPr>
                <w:sz w:val="6"/>
                <w:szCs w:val="6"/>
                <w:color w:val="auto"/>
              </w:rPr>
            </w:pPr>
          </w:p>
        </w:tc>
        <w:tc>
          <w:tcPr>
            <w:tcW w:w="1040" w:type="dxa"/>
            <w:vAlign w:val="bottom"/>
            <w:tcBorders>
              <w:bottom w:val="single" w:sz="8" w:color="E1E2E0"/>
            </w:tcBorders>
          </w:tcPr>
          <w:p>
            <w:pPr>
              <w:spacing w:after="0"/>
              <w:rPr>
                <w:sz w:val="6"/>
                <w:szCs w:val="6"/>
                <w:color w:val="auto"/>
              </w:rPr>
            </w:pPr>
          </w:p>
        </w:tc>
        <w:tc>
          <w:tcPr>
            <w:tcW w:w="1000" w:type="dxa"/>
            <w:vAlign w:val="bottom"/>
            <w:tcBorders>
              <w:bottom w:val="single" w:sz="8" w:color="E1E2E0"/>
            </w:tcBorders>
          </w:tcPr>
          <w:p>
            <w:pPr>
              <w:spacing w:after="0"/>
              <w:rPr>
                <w:sz w:val="6"/>
                <w:szCs w:val="6"/>
                <w:color w:val="auto"/>
              </w:rPr>
            </w:pPr>
          </w:p>
        </w:tc>
        <w:tc>
          <w:tcPr>
            <w:tcW w:w="900" w:type="dxa"/>
            <w:vAlign w:val="bottom"/>
            <w:tcBorders>
              <w:bottom w:val="single" w:sz="8" w:color="E1E2E0"/>
            </w:tcBorders>
          </w:tcPr>
          <w:p>
            <w:pPr>
              <w:spacing w:after="0"/>
              <w:rPr>
                <w:sz w:val="6"/>
                <w:szCs w:val="6"/>
                <w:color w:val="auto"/>
              </w:rPr>
            </w:pPr>
          </w:p>
        </w:tc>
        <w:tc>
          <w:tcPr>
            <w:tcW w:w="160" w:type="dxa"/>
            <w:vAlign w:val="bottom"/>
            <w:tcBorders>
              <w:bottom w:val="single" w:sz="8" w:color="E1E2E0"/>
            </w:tcBorders>
          </w:tcPr>
          <w:p>
            <w:pPr>
              <w:spacing w:after="0"/>
              <w:rPr>
                <w:sz w:val="6"/>
                <w:szCs w:val="6"/>
                <w:color w:val="auto"/>
              </w:rPr>
            </w:pPr>
          </w:p>
        </w:tc>
        <w:tc>
          <w:tcPr>
            <w:tcW w:w="1060" w:type="dxa"/>
            <w:vAlign w:val="bottom"/>
            <w:tcBorders>
              <w:bottom w:val="single" w:sz="8" w:color="E1E2E0"/>
            </w:tcBorders>
          </w:tcPr>
          <w:p>
            <w:pPr>
              <w:spacing w:after="0"/>
              <w:rPr>
                <w:sz w:val="6"/>
                <w:szCs w:val="6"/>
                <w:color w:val="auto"/>
              </w:rPr>
            </w:pPr>
          </w:p>
        </w:tc>
        <w:tc>
          <w:tcPr>
            <w:tcW w:w="1020" w:type="dxa"/>
            <w:vAlign w:val="bottom"/>
            <w:tcBorders>
              <w:bottom w:val="single" w:sz="8" w:color="E1E2E0"/>
            </w:tcBorders>
          </w:tcPr>
          <w:p>
            <w:pPr>
              <w:spacing w:after="0"/>
              <w:rPr>
                <w:sz w:val="6"/>
                <w:szCs w:val="6"/>
                <w:color w:val="auto"/>
              </w:rPr>
            </w:pPr>
          </w:p>
        </w:tc>
        <w:tc>
          <w:tcPr>
            <w:tcW w:w="1020" w:type="dxa"/>
            <w:vAlign w:val="bottom"/>
            <w:tcBorders>
              <w:bottom w:val="single" w:sz="8" w:color="E1E2E0"/>
            </w:tcBorders>
          </w:tcPr>
          <w:p>
            <w:pPr>
              <w:spacing w:after="0"/>
              <w:rPr>
                <w:sz w:val="6"/>
                <w:szCs w:val="6"/>
                <w:color w:val="auto"/>
              </w:rPr>
            </w:pPr>
          </w:p>
        </w:tc>
        <w:tc>
          <w:tcPr>
            <w:tcW w:w="940" w:type="dxa"/>
            <w:vAlign w:val="bottom"/>
            <w:tcBorders>
              <w:bottom w:val="single" w:sz="8" w:color="E1E2E0"/>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540" w:type="dxa"/>
            <w:vAlign w:val="bottom"/>
            <w:shd w:val="clear" w:color="auto" w:fill="E1E1DF"/>
          </w:tcPr>
          <w:p>
            <w:pPr>
              <w:ind w:left="40"/>
              <w:spacing w:after="0"/>
              <w:rPr>
                <w:sz w:val="20"/>
                <w:szCs w:val="20"/>
                <w:color w:val="auto"/>
              </w:rPr>
            </w:pPr>
            <w:r>
              <w:rPr>
                <w:rFonts w:ascii="Arial" w:cs="Arial" w:eastAsia="Arial" w:hAnsi="Arial"/>
                <w:sz w:val="13"/>
                <w:szCs w:val="13"/>
                <w:b w:val="1"/>
                <w:bCs w:val="1"/>
                <w:color w:val="3B3C43"/>
              </w:rPr>
              <w:t>Catherine MacGregor</w:t>
            </w:r>
          </w:p>
        </w:tc>
        <w:tc>
          <w:tcPr>
            <w:tcW w:w="54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2020</w:t>
            </w:r>
          </w:p>
        </w:tc>
        <w:tc>
          <w:tcPr>
            <w:tcW w:w="100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576,082</w:t>
            </w:r>
          </w:p>
        </w:tc>
        <w:tc>
          <w:tcPr>
            <w:tcW w:w="1040" w:type="dxa"/>
            <w:vAlign w:val="bottom"/>
            <w:shd w:val="clear" w:color="auto" w:fill="E1E1DF"/>
          </w:tcPr>
          <w:p>
            <w:pPr>
              <w:spacing w:after="0"/>
              <w:rPr>
                <w:sz w:val="13"/>
                <w:szCs w:val="13"/>
                <w:color w:val="auto"/>
              </w:rPr>
            </w:pPr>
          </w:p>
        </w:tc>
        <w:tc>
          <w:tcPr>
            <w:tcW w:w="1000" w:type="dxa"/>
            <w:vAlign w:val="bottom"/>
            <w:vMerge w:val="restart"/>
            <w:shd w:val="clear" w:color="auto" w:fill="E1E1DF"/>
          </w:tcPr>
          <w:p>
            <w:pPr>
              <w:jc w:val="right"/>
              <w:ind w:right="17"/>
              <w:spacing w:after="0"/>
              <w:rPr>
                <w:sz w:val="20"/>
                <w:szCs w:val="20"/>
                <w:color w:val="auto"/>
              </w:rPr>
            </w:pPr>
            <w:r>
              <w:rPr>
                <w:rFonts w:ascii="Arial" w:cs="Arial" w:eastAsia="Arial" w:hAnsi="Arial"/>
                <w:sz w:val="13"/>
                <w:szCs w:val="13"/>
                <w:color w:val="3B3C43"/>
              </w:rPr>
              <w:t>1,952,246</w:t>
            </w:r>
          </w:p>
        </w:tc>
        <w:tc>
          <w:tcPr>
            <w:tcW w:w="900" w:type="dxa"/>
            <w:vAlign w:val="bottom"/>
            <w:shd w:val="clear" w:color="auto" w:fill="E1E1DF"/>
          </w:tcPr>
          <w:p>
            <w:pPr>
              <w:spacing w:after="0"/>
              <w:rPr>
                <w:sz w:val="13"/>
                <w:szCs w:val="13"/>
                <w:color w:val="auto"/>
              </w:rPr>
            </w:pPr>
          </w:p>
        </w:tc>
        <w:tc>
          <w:tcPr>
            <w:tcW w:w="160" w:type="dxa"/>
            <w:vAlign w:val="bottom"/>
            <w:shd w:val="clear" w:color="auto" w:fill="E1E1DF"/>
          </w:tcPr>
          <w:p>
            <w:pPr>
              <w:spacing w:after="0"/>
              <w:rPr>
                <w:sz w:val="13"/>
                <w:szCs w:val="13"/>
                <w:color w:val="auto"/>
              </w:rPr>
            </w:pPr>
          </w:p>
        </w:tc>
        <w:tc>
          <w:tcPr>
            <w:tcW w:w="1060" w:type="dxa"/>
            <w:vAlign w:val="bottom"/>
            <w:shd w:val="clear" w:color="auto" w:fill="E1E1DF"/>
          </w:tcPr>
          <w:p>
            <w:pPr>
              <w:spacing w:after="0"/>
              <w:rPr>
                <w:sz w:val="13"/>
                <w:szCs w:val="13"/>
                <w:color w:val="auto"/>
              </w:rPr>
            </w:pPr>
          </w:p>
        </w:tc>
        <w:tc>
          <w:tcPr>
            <w:tcW w:w="1020" w:type="dxa"/>
            <w:vAlign w:val="bottom"/>
            <w:shd w:val="clear" w:color="auto" w:fill="E1E1DF"/>
          </w:tcPr>
          <w:p>
            <w:pPr>
              <w:spacing w:after="0"/>
              <w:rPr>
                <w:sz w:val="13"/>
                <w:szCs w:val="13"/>
                <w:color w:val="auto"/>
              </w:rPr>
            </w:pPr>
          </w:p>
        </w:tc>
        <w:tc>
          <w:tcPr>
            <w:tcW w:w="1020" w:type="dxa"/>
            <w:vAlign w:val="bottom"/>
            <w:vMerge w:val="restart"/>
            <w:shd w:val="clear" w:color="auto" w:fill="E1E1DF"/>
          </w:tcPr>
          <w:p>
            <w:pPr>
              <w:jc w:val="right"/>
              <w:ind w:right="17"/>
              <w:spacing w:after="0"/>
              <w:rPr>
                <w:sz w:val="20"/>
                <w:szCs w:val="20"/>
                <w:color w:val="auto"/>
              </w:rPr>
            </w:pPr>
            <w:r>
              <w:rPr>
                <w:rFonts w:ascii="Arial" w:cs="Arial" w:eastAsia="Arial" w:hAnsi="Arial"/>
                <w:sz w:val="13"/>
                <w:szCs w:val="13"/>
                <w:color w:val="3B3C43"/>
              </w:rPr>
              <w:t>292,752</w:t>
            </w:r>
          </w:p>
        </w:tc>
        <w:tc>
          <w:tcPr>
            <w:tcW w:w="940" w:type="dxa"/>
            <w:vAlign w:val="bottom"/>
            <w:vMerge w:val="restart"/>
            <w:shd w:val="clear" w:color="auto" w:fill="E1E1DF"/>
          </w:tcPr>
          <w:p>
            <w:pPr>
              <w:jc w:val="right"/>
              <w:spacing w:after="0"/>
              <w:rPr>
                <w:sz w:val="20"/>
                <w:szCs w:val="20"/>
                <w:color w:val="auto"/>
              </w:rPr>
            </w:pPr>
            <w:r>
              <w:rPr>
                <w:rFonts w:ascii="Arial" w:cs="Arial" w:eastAsia="Arial" w:hAnsi="Arial"/>
                <w:sz w:val="13"/>
                <w:szCs w:val="13"/>
                <w:color w:val="3B3C43"/>
              </w:rPr>
              <w:t>2,821,080</w:t>
            </w:r>
          </w:p>
        </w:tc>
        <w:tc>
          <w:tcPr>
            <w:tcW w:w="0" w:type="dxa"/>
            <w:vAlign w:val="bottom"/>
          </w:tcPr>
          <w:p>
            <w:pPr>
              <w:spacing w:after="0"/>
              <w:rPr>
                <w:sz w:val="1"/>
                <w:szCs w:val="1"/>
                <w:color w:val="auto"/>
              </w:rPr>
            </w:pPr>
          </w:p>
        </w:tc>
      </w:tr>
      <w:tr>
        <w:trPr>
          <w:trHeight w:val="84"/>
        </w:trPr>
        <w:tc>
          <w:tcPr>
            <w:tcW w:w="2540" w:type="dxa"/>
            <w:vAlign w:val="bottom"/>
            <w:vMerge w:val="restart"/>
            <w:shd w:val="clear" w:color="auto" w:fill="E1E1DF"/>
          </w:tcPr>
          <w:p>
            <w:pPr>
              <w:ind w:left="40"/>
              <w:spacing w:after="0"/>
              <w:rPr>
                <w:sz w:val="20"/>
                <w:szCs w:val="20"/>
                <w:color w:val="auto"/>
              </w:rPr>
            </w:pPr>
            <w:r>
              <w:rPr>
                <w:rFonts w:ascii="Arial" w:cs="Arial" w:eastAsia="Arial" w:hAnsi="Arial"/>
                <w:sz w:val="13"/>
                <w:szCs w:val="13"/>
                <w:color w:val="3B3C43"/>
              </w:rPr>
              <w:t>Former President of Technip Energies</w:t>
            </w:r>
          </w:p>
        </w:tc>
        <w:tc>
          <w:tcPr>
            <w:tcW w:w="540" w:type="dxa"/>
            <w:vAlign w:val="bottom"/>
            <w:vMerge w:val="continue"/>
            <w:shd w:val="clear" w:color="auto" w:fill="E1E1DF"/>
          </w:tcPr>
          <w:p>
            <w:pPr>
              <w:spacing w:after="0"/>
              <w:rPr>
                <w:sz w:val="7"/>
                <w:szCs w:val="7"/>
                <w:color w:val="auto"/>
              </w:rPr>
            </w:pPr>
          </w:p>
        </w:tc>
        <w:tc>
          <w:tcPr>
            <w:tcW w:w="1000" w:type="dxa"/>
            <w:vAlign w:val="bottom"/>
            <w:vMerge w:val="continue"/>
            <w:shd w:val="clear" w:color="auto" w:fill="E1E1DF"/>
          </w:tcPr>
          <w:p>
            <w:pPr>
              <w:spacing w:after="0"/>
              <w:rPr>
                <w:sz w:val="7"/>
                <w:szCs w:val="7"/>
                <w:color w:val="auto"/>
              </w:rPr>
            </w:pPr>
          </w:p>
        </w:tc>
        <w:tc>
          <w:tcPr>
            <w:tcW w:w="1040" w:type="dxa"/>
            <w:vAlign w:val="bottom"/>
            <w:shd w:val="clear" w:color="auto" w:fill="E1E1DF"/>
          </w:tcPr>
          <w:p>
            <w:pPr>
              <w:spacing w:after="0"/>
              <w:rPr>
                <w:sz w:val="7"/>
                <w:szCs w:val="7"/>
                <w:color w:val="auto"/>
              </w:rPr>
            </w:pPr>
          </w:p>
        </w:tc>
        <w:tc>
          <w:tcPr>
            <w:tcW w:w="1000" w:type="dxa"/>
            <w:vAlign w:val="bottom"/>
            <w:vMerge w:val="continue"/>
            <w:shd w:val="clear" w:color="auto" w:fill="E1E1DF"/>
          </w:tcPr>
          <w:p>
            <w:pPr>
              <w:spacing w:after="0"/>
              <w:rPr>
                <w:sz w:val="7"/>
                <w:szCs w:val="7"/>
                <w:color w:val="auto"/>
              </w:rPr>
            </w:pPr>
          </w:p>
        </w:tc>
        <w:tc>
          <w:tcPr>
            <w:tcW w:w="900" w:type="dxa"/>
            <w:vAlign w:val="bottom"/>
            <w:shd w:val="clear" w:color="auto" w:fill="E1E1DF"/>
          </w:tcPr>
          <w:p>
            <w:pPr>
              <w:spacing w:after="0"/>
              <w:rPr>
                <w:sz w:val="7"/>
                <w:szCs w:val="7"/>
                <w:color w:val="auto"/>
              </w:rPr>
            </w:pPr>
          </w:p>
        </w:tc>
        <w:tc>
          <w:tcPr>
            <w:tcW w:w="160" w:type="dxa"/>
            <w:vAlign w:val="bottom"/>
            <w:shd w:val="clear" w:color="auto" w:fill="E1E1DF"/>
          </w:tcPr>
          <w:p>
            <w:pPr>
              <w:spacing w:after="0"/>
              <w:rPr>
                <w:sz w:val="7"/>
                <w:szCs w:val="7"/>
                <w:color w:val="auto"/>
              </w:rPr>
            </w:pPr>
          </w:p>
        </w:tc>
        <w:tc>
          <w:tcPr>
            <w:tcW w:w="1060" w:type="dxa"/>
            <w:vAlign w:val="bottom"/>
            <w:shd w:val="clear" w:color="auto" w:fill="E1E1DF"/>
          </w:tcPr>
          <w:p>
            <w:pPr>
              <w:spacing w:after="0"/>
              <w:rPr>
                <w:sz w:val="7"/>
                <w:szCs w:val="7"/>
                <w:color w:val="auto"/>
              </w:rPr>
            </w:pPr>
          </w:p>
        </w:tc>
        <w:tc>
          <w:tcPr>
            <w:tcW w:w="1020" w:type="dxa"/>
            <w:vAlign w:val="bottom"/>
            <w:shd w:val="clear" w:color="auto" w:fill="E1E1DF"/>
          </w:tcPr>
          <w:p>
            <w:pPr>
              <w:spacing w:after="0"/>
              <w:rPr>
                <w:sz w:val="7"/>
                <w:szCs w:val="7"/>
                <w:color w:val="auto"/>
              </w:rPr>
            </w:pPr>
          </w:p>
        </w:tc>
        <w:tc>
          <w:tcPr>
            <w:tcW w:w="1020" w:type="dxa"/>
            <w:vAlign w:val="bottom"/>
            <w:vMerge w:val="continue"/>
            <w:shd w:val="clear" w:color="auto" w:fill="E1E1DF"/>
          </w:tcPr>
          <w:p>
            <w:pPr>
              <w:spacing w:after="0"/>
              <w:rPr>
                <w:sz w:val="7"/>
                <w:szCs w:val="7"/>
                <w:color w:val="auto"/>
              </w:rPr>
            </w:pPr>
          </w:p>
        </w:tc>
        <w:tc>
          <w:tcPr>
            <w:tcW w:w="940" w:type="dxa"/>
            <w:vAlign w:val="bottom"/>
            <w:vMerge w:val="continue"/>
            <w:shd w:val="clear" w:color="auto" w:fill="E1E1DF"/>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540" w:type="dxa"/>
            <w:vAlign w:val="bottom"/>
            <w:tcBorders>
              <w:bottom w:val="single" w:sz="8" w:color="E1E2E0"/>
            </w:tcBorders>
            <w:vMerge w:val="continue"/>
            <w:shd w:val="clear" w:color="auto" w:fill="E1E1DF"/>
          </w:tcPr>
          <w:p>
            <w:pPr>
              <w:spacing w:after="0"/>
              <w:rPr>
                <w:sz w:val="6"/>
                <w:szCs w:val="6"/>
                <w:color w:val="auto"/>
              </w:rPr>
            </w:pPr>
          </w:p>
        </w:tc>
        <w:tc>
          <w:tcPr>
            <w:tcW w:w="540" w:type="dxa"/>
            <w:vAlign w:val="bottom"/>
            <w:tcBorders>
              <w:bottom w:val="single" w:sz="8" w:color="E1E2E0"/>
            </w:tcBorders>
            <w:shd w:val="clear" w:color="auto" w:fill="E1E1DF"/>
          </w:tcPr>
          <w:p>
            <w:pPr>
              <w:spacing w:after="0"/>
              <w:rPr>
                <w:sz w:val="6"/>
                <w:szCs w:val="6"/>
                <w:color w:val="auto"/>
              </w:rPr>
            </w:pPr>
          </w:p>
        </w:tc>
        <w:tc>
          <w:tcPr>
            <w:tcW w:w="1000" w:type="dxa"/>
            <w:vAlign w:val="bottom"/>
            <w:tcBorders>
              <w:bottom w:val="single" w:sz="8" w:color="E1E2E0"/>
            </w:tcBorders>
            <w:shd w:val="clear" w:color="auto" w:fill="E1E1DF"/>
          </w:tcPr>
          <w:p>
            <w:pPr>
              <w:spacing w:after="0"/>
              <w:rPr>
                <w:sz w:val="6"/>
                <w:szCs w:val="6"/>
                <w:color w:val="auto"/>
              </w:rPr>
            </w:pPr>
          </w:p>
        </w:tc>
        <w:tc>
          <w:tcPr>
            <w:tcW w:w="1040" w:type="dxa"/>
            <w:vAlign w:val="bottom"/>
            <w:tcBorders>
              <w:bottom w:val="single" w:sz="8" w:color="E1E2E0"/>
            </w:tcBorders>
            <w:shd w:val="clear" w:color="auto" w:fill="E1E1DF"/>
          </w:tcPr>
          <w:p>
            <w:pPr>
              <w:spacing w:after="0"/>
              <w:rPr>
                <w:sz w:val="6"/>
                <w:szCs w:val="6"/>
                <w:color w:val="auto"/>
              </w:rPr>
            </w:pPr>
          </w:p>
        </w:tc>
        <w:tc>
          <w:tcPr>
            <w:tcW w:w="1000" w:type="dxa"/>
            <w:vAlign w:val="bottom"/>
            <w:tcBorders>
              <w:bottom w:val="single" w:sz="8" w:color="E1E2E0"/>
            </w:tcBorders>
            <w:shd w:val="clear" w:color="auto" w:fill="E1E1DF"/>
          </w:tcPr>
          <w:p>
            <w:pPr>
              <w:spacing w:after="0"/>
              <w:rPr>
                <w:sz w:val="6"/>
                <w:szCs w:val="6"/>
                <w:color w:val="auto"/>
              </w:rPr>
            </w:pPr>
          </w:p>
        </w:tc>
        <w:tc>
          <w:tcPr>
            <w:tcW w:w="900" w:type="dxa"/>
            <w:vAlign w:val="bottom"/>
            <w:tcBorders>
              <w:bottom w:val="single" w:sz="8" w:color="E1E2E0"/>
            </w:tcBorders>
            <w:shd w:val="clear" w:color="auto" w:fill="E1E1DF"/>
          </w:tcPr>
          <w:p>
            <w:pPr>
              <w:spacing w:after="0"/>
              <w:rPr>
                <w:sz w:val="6"/>
                <w:szCs w:val="6"/>
                <w:color w:val="auto"/>
              </w:rPr>
            </w:pPr>
          </w:p>
        </w:tc>
        <w:tc>
          <w:tcPr>
            <w:tcW w:w="160" w:type="dxa"/>
            <w:vAlign w:val="bottom"/>
            <w:tcBorders>
              <w:bottom w:val="single" w:sz="8" w:color="E1E2E0"/>
            </w:tcBorders>
            <w:shd w:val="clear" w:color="auto" w:fill="E1E1DF"/>
          </w:tcPr>
          <w:p>
            <w:pPr>
              <w:spacing w:after="0"/>
              <w:rPr>
                <w:sz w:val="6"/>
                <w:szCs w:val="6"/>
                <w:color w:val="auto"/>
              </w:rPr>
            </w:pPr>
          </w:p>
        </w:tc>
        <w:tc>
          <w:tcPr>
            <w:tcW w:w="1060" w:type="dxa"/>
            <w:vAlign w:val="bottom"/>
            <w:tcBorders>
              <w:bottom w:val="single" w:sz="8" w:color="E1E2E0"/>
            </w:tcBorders>
            <w:shd w:val="clear" w:color="auto" w:fill="E1E1DF"/>
          </w:tcPr>
          <w:p>
            <w:pPr>
              <w:spacing w:after="0"/>
              <w:rPr>
                <w:sz w:val="6"/>
                <w:szCs w:val="6"/>
                <w:color w:val="auto"/>
              </w:rPr>
            </w:pPr>
          </w:p>
        </w:tc>
        <w:tc>
          <w:tcPr>
            <w:tcW w:w="1020" w:type="dxa"/>
            <w:vAlign w:val="bottom"/>
            <w:tcBorders>
              <w:bottom w:val="single" w:sz="8" w:color="E1E2E0"/>
            </w:tcBorders>
            <w:shd w:val="clear" w:color="auto" w:fill="E1E1DF"/>
          </w:tcPr>
          <w:p>
            <w:pPr>
              <w:spacing w:after="0"/>
              <w:rPr>
                <w:sz w:val="6"/>
                <w:szCs w:val="6"/>
                <w:color w:val="auto"/>
              </w:rPr>
            </w:pPr>
          </w:p>
        </w:tc>
        <w:tc>
          <w:tcPr>
            <w:tcW w:w="1020" w:type="dxa"/>
            <w:vAlign w:val="bottom"/>
            <w:tcBorders>
              <w:bottom w:val="single" w:sz="8" w:color="E1E2E0"/>
            </w:tcBorders>
            <w:shd w:val="clear" w:color="auto" w:fill="E1E1DF"/>
          </w:tcPr>
          <w:p>
            <w:pPr>
              <w:spacing w:after="0"/>
              <w:rPr>
                <w:sz w:val="6"/>
                <w:szCs w:val="6"/>
                <w:color w:val="auto"/>
              </w:rPr>
            </w:pPr>
          </w:p>
        </w:tc>
        <w:tc>
          <w:tcPr>
            <w:tcW w:w="940" w:type="dxa"/>
            <w:vAlign w:val="bottom"/>
            <w:tcBorders>
              <w:bottom w:val="single" w:sz="8" w:color="E1E2E0"/>
            </w:tcBorders>
            <w:shd w:val="clear" w:color="auto" w:fill="E1E1DF"/>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40"/>
              <w:spacing w:after="0" w:line="156" w:lineRule="exact"/>
              <w:rPr>
                <w:sz w:val="20"/>
                <w:szCs w:val="20"/>
                <w:color w:val="auto"/>
              </w:rPr>
            </w:pPr>
            <w:r>
              <w:rPr>
                <w:rFonts w:ascii="Arial" w:cs="Arial" w:eastAsia="Arial" w:hAnsi="Arial"/>
                <w:sz w:val="12"/>
                <w:szCs w:val="12"/>
                <w:b w:val="1"/>
                <w:bCs w:val="1"/>
                <w:color w:val="3B3C43"/>
              </w:rPr>
              <w:t>Nello Uccelletti</w:t>
            </w:r>
            <w:r>
              <w:rPr>
                <w:rFonts w:ascii="Arial" w:cs="Arial" w:eastAsia="Arial" w:hAnsi="Arial"/>
                <w:sz w:val="18"/>
                <w:szCs w:val="18"/>
                <w:color w:val="3B3C43"/>
                <w:vertAlign w:val="superscript"/>
              </w:rPr>
              <w:t>6</w:t>
            </w:r>
          </w:p>
        </w:tc>
        <w:tc>
          <w:tcPr>
            <w:tcW w:w="540" w:type="dxa"/>
            <w:vAlign w:val="bottom"/>
          </w:tcPr>
          <w:p>
            <w:pPr>
              <w:jc w:val="right"/>
              <w:spacing w:after="0"/>
              <w:rPr>
                <w:sz w:val="20"/>
                <w:szCs w:val="20"/>
                <w:color w:val="auto"/>
              </w:rPr>
            </w:pPr>
            <w:r>
              <w:rPr>
                <w:rFonts w:ascii="Arial" w:cs="Arial" w:eastAsia="Arial" w:hAnsi="Arial"/>
                <w:sz w:val="13"/>
                <w:szCs w:val="13"/>
                <w:color w:val="3B3C43"/>
              </w:rPr>
              <w:t>2020</w:t>
            </w:r>
          </w:p>
        </w:tc>
        <w:tc>
          <w:tcPr>
            <w:tcW w:w="1000" w:type="dxa"/>
            <w:vAlign w:val="bottom"/>
          </w:tcPr>
          <w:p>
            <w:pPr>
              <w:jc w:val="right"/>
              <w:spacing w:after="0"/>
              <w:rPr>
                <w:sz w:val="20"/>
                <w:szCs w:val="20"/>
                <w:color w:val="auto"/>
              </w:rPr>
            </w:pPr>
            <w:r>
              <w:rPr>
                <w:rFonts w:ascii="Arial" w:cs="Arial" w:eastAsia="Arial" w:hAnsi="Arial"/>
                <w:sz w:val="13"/>
                <w:szCs w:val="13"/>
                <w:color w:val="3B3C43"/>
              </w:rPr>
              <w:t>117,439</w:t>
            </w:r>
          </w:p>
        </w:tc>
        <w:tc>
          <w:tcPr>
            <w:tcW w:w="1040" w:type="dxa"/>
            <w:vAlign w:val="bottom"/>
          </w:tcPr>
          <w:p>
            <w:pPr>
              <w:jc w:val="right"/>
              <w:ind w:right="17"/>
              <w:spacing w:after="0"/>
              <w:rPr>
                <w:sz w:val="20"/>
                <w:szCs w:val="20"/>
                <w:color w:val="auto"/>
              </w:rPr>
            </w:pPr>
            <w:r>
              <w:rPr>
                <w:rFonts w:ascii="Arial" w:cs="Arial" w:eastAsia="Arial" w:hAnsi="Arial"/>
                <w:sz w:val="13"/>
                <w:szCs w:val="13"/>
                <w:color w:val="3B3C43"/>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3B3C43"/>
              </w:rPr>
              <w:t>-</w:t>
            </w:r>
          </w:p>
        </w:tc>
        <w:tc>
          <w:tcPr>
            <w:tcW w:w="1060" w:type="dxa"/>
            <w:vAlign w:val="bottom"/>
            <w:gridSpan w:val="2"/>
          </w:tcPr>
          <w:p>
            <w:pPr>
              <w:jc w:val="right"/>
              <w:ind w:right="77"/>
              <w:spacing w:after="0"/>
              <w:rPr>
                <w:sz w:val="20"/>
                <w:szCs w:val="20"/>
                <w:color w:val="auto"/>
              </w:rPr>
            </w:pPr>
            <w:r>
              <w:rPr>
                <w:rFonts w:ascii="Arial" w:cs="Arial" w:eastAsia="Arial" w:hAnsi="Arial"/>
                <w:sz w:val="13"/>
                <w:szCs w:val="13"/>
                <w:color w:val="3B3C43"/>
              </w:rPr>
              <w:t>-</w:t>
            </w:r>
          </w:p>
        </w:tc>
        <w:tc>
          <w:tcPr>
            <w:tcW w:w="1060" w:type="dxa"/>
            <w:vAlign w:val="bottom"/>
          </w:tcPr>
          <w:p>
            <w:pPr>
              <w:jc w:val="right"/>
              <w:spacing w:after="0"/>
              <w:rPr>
                <w:sz w:val="20"/>
                <w:szCs w:val="20"/>
                <w:color w:val="auto"/>
              </w:rPr>
            </w:pPr>
            <w:r>
              <w:rPr>
                <w:rFonts w:ascii="Arial" w:cs="Arial" w:eastAsia="Arial" w:hAnsi="Arial"/>
                <w:sz w:val="13"/>
                <w:szCs w:val="13"/>
                <w:color w:val="3B3C43"/>
              </w:rPr>
              <w:t>-</w:t>
            </w:r>
          </w:p>
        </w:tc>
        <w:tc>
          <w:tcPr>
            <w:tcW w:w="1020" w:type="dxa"/>
            <w:vAlign w:val="bottom"/>
          </w:tcPr>
          <w:p>
            <w:pPr>
              <w:jc w:val="right"/>
              <w:spacing w:after="0"/>
              <w:rPr>
                <w:sz w:val="20"/>
                <w:szCs w:val="20"/>
                <w:color w:val="auto"/>
              </w:rPr>
            </w:pPr>
            <w:r>
              <w:rPr>
                <w:rFonts w:ascii="Arial" w:cs="Arial" w:eastAsia="Arial" w:hAnsi="Arial"/>
                <w:sz w:val="13"/>
                <w:szCs w:val="13"/>
                <w:color w:val="3B3C43"/>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3B3C43"/>
              </w:rPr>
              <w:t>2,665,570</w:t>
            </w:r>
          </w:p>
        </w:tc>
        <w:tc>
          <w:tcPr>
            <w:tcW w:w="940" w:type="dxa"/>
            <w:vAlign w:val="bottom"/>
          </w:tcPr>
          <w:p>
            <w:pPr>
              <w:jc w:val="right"/>
              <w:spacing w:after="0"/>
              <w:rPr>
                <w:sz w:val="20"/>
                <w:szCs w:val="20"/>
                <w:color w:val="auto"/>
              </w:rPr>
            </w:pPr>
            <w:r>
              <w:rPr>
                <w:rFonts w:ascii="Arial" w:cs="Arial" w:eastAsia="Arial" w:hAnsi="Arial"/>
                <w:sz w:val="13"/>
                <w:szCs w:val="13"/>
                <w:color w:val="3B3C43"/>
              </w:rPr>
              <w:t>2,783,009</w:t>
            </w:r>
          </w:p>
        </w:tc>
        <w:tc>
          <w:tcPr>
            <w:tcW w:w="0" w:type="dxa"/>
            <w:vAlign w:val="bottom"/>
          </w:tcPr>
          <w:p>
            <w:pPr>
              <w:spacing w:after="0"/>
              <w:rPr>
                <w:sz w:val="1"/>
                <w:szCs w:val="1"/>
                <w:color w:val="auto"/>
              </w:rPr>
            </w:pPr>
          </w:p>
        </w:tc>
      </w:tr>
      <w:tr>
        <w:trPr>
          <w:trHeight w:val="33"/>
        </w:trPr>
        <w:tc>
          <w:tcPr>
            <w:tcW w:w="2540" w:type="dxa"/>
            <w:vAlign w:val="bottom"/>
            <w:vMerge w:val="restart"/>
          </w:tcPr>
          <w:p>
            <w:pPr>
              <w:ind w:left="40"/>
              <w:spacing w:after="0"/>
              <w:rPr>
                <w:sz w:val="20"/>
                <w:szCs w:val="20"/>
                <w:color w:val="auto"/>
              </w:rPr>
            </w:pPr>
            <w:r>
              <w:rPr>
                <w:rFonts w:ascii="Arial" w:cs="Arial" w:eastAsia="Arial" w:hAnsi="Arial"/>
                <w:sz w:val="13"/>
                <w:szCs w:val="13"/>
                <w:color w:val="3B3C43"/>
              </w:rPr>
              <w:t>Former Advisor to the CEO</w:t>
            </w:r>
          </w:p>
        </w:tc>
        <w:tc>
          <w:tcPr>
            <w:tcW w:w="540" w:type="dxa"/>
            <w:vAlign w:val="bottom"/>
            <w:tcBorders>
              <w:bottom w:val="single" w:sz="8" w:color="E1E2E0"/>
            </w:tcBorders>
          </w:tcPr>
          <w:p>
            <w:pPr>
              <w:spacing w:after="0"/>
              <w:rPr>
                <w:sz w:val="2"/>
                <w:szCs w:val="2"/>
                <w:color w:val="auto"/>
              </w:rPr>
            </w:pPr>
          </w:p>
        </w:tc>
        <w:tc>
          <w:tcPr>
            <w:tcW w:w="1000" w:type="dxa"/>
            <w:vAlign w:val="bottom"/>
            <w:tcBorders>
              <w:bottom w:val="single" w:sz="8" w:color="E1E2E0"/>
            </w:tcBorders>
          </w:tcPr>
          <w:p>
            <w:pPr>
              <w:spacing w:after="0"/>
              <w:rPr>
                <w:sz w:val="2"/>
                <w:szCs w:val="2"/>
                <w:color w:val="auto"/>
              </w:rPr>
            </w:pPr>
          </w:p>
        </w:tc>
        <w:tc>
          <w:tcPr>
            <w:tcW w:w="1040" w:type="dxa"/>
            <w:vAlign w:val="bottom"/>
            <w:tcBorders>
              <w:bottom w:val="single" w:sz="8" w:color="E1E2E0"/>
            </w:tcBorders>
          </w:tcPr>
          <w:p>
            <w:pPr>
              <w:spacing w:after="0"/>
              <w:rPr>
                <w:sz w:val="2"/>
                <w:szCs w:val="2"/>
                <w:color w:val="auto"/>
              </w:rPr>
            </w:pPr>
          </w:p>
        </w:tc>
        <w:tc>
          <w:tcPr>
            <w:tcW w:w="1000" w:type="dxa"/>
            <w:vAlign w:val="bottom"/>
            <w:tcBorders>
              <w:bottom w:val="single" w:sz="8" w:color="E1E2E0"/>
            </w:tcBorders>
          </w:tcPr>
          <w:p>
            <w:pPr>
              <w:spacing w:after="0"/>
              <w:rPr>
                <w:sz w:val="2"/>
                <w:szCs w:val="2"/>
                <w:color w:val="auto"/>
              </w:rPr>
            </w:pPr>
          </w:p>
        </w:tc>
        <w:tc>
          <w:tcPr>
            <w:tcW w:w="900" w:type="dxa"/>
            <w:vAlign w:val="bottom"/>
            <w:tcBorders>
              <w:bottom w:val="single" w:sz="8" w:color="E1E2E0"/>
            </w:tcBorders>
          </w:tcPr>
          <w:p>
            <w:pPr>
              <w:spacing w:after="0"/>
              <w:rPr>
                <w:sz w:val="2"/>
                <w:szCs w:val="2"/>
                <w:color w:val="auto"/>
              </w:rPr>
            </w:pPr>
          </w:p>
        </w:tc>
        <w:tc>
          <w:tcPr>
            <w:tcW w:w="160" w:type="dxa"/>
            <w:vAlign w:val="bottom"/>
            <w:tcBorders>
              <w:bottom w:val="single" w:sz="8" w:color="E1E2E0"/>
            </w:tcBorders>
          </w:tcPr>
          <w:p>
            <w:pPr>
              <w:spacing w:after="0"/>
              <w:rPr>
                <w:sz w:val="2"/>
                <w:szCs w:val="2"/>
                <w:color w:val="auto"/>
              </w:rPr>
            </w:pPr>
          </w:p>
        </w:tc>
        <w:tc>
          <w:tcPr>
            <w:tcW w:w="1060" w:type="dxa"/>
            <w:vAlign w:val="bottom"/>
            <w:tcBorders>
              <w:bottom w:val="single" w:sz="8" w:color="E1E2E0"/>
            </w:tcBorders>
          </w:tcPr>
          <w:p>
            <w:pPr>
              <w:spacing w:after="0"/>
              <w:rPr>
                <w:sz w:val="2"/>
                <w:szCs w:val="2"/>
                <w:color w:val="auto"/>
              </w:rPr>
            </w:pPr>
          </w:p>
        </w:tc>
        <w:tc>
          <w:tcPr>
            <w:tcW w:w="1020" w:type="dxa"/>
            <w:vAlign w:val="bottom"/>
            <w:tcBorders>
              <w:bottom w:val="single" w:sz="8" w:color="E1E2E0"/>
            </w:tcBorders>
          </w:tcPr>
          <w:p>
            <w:pPr>
              <w:spacing w:after="0"/>
              <w:rPr>
                <w:sz w:val="2"/>
                <w:szCs w:val="2"/>
                <w:color w:val="auto"/>
              </w:rPr>
            </w:pPr>
          </w:p>
        </w:tc>
        <w:tc>
          <w:tcPr>
            <w:tcW w:w="1020" w:type="dxa"/>
            <w:vAlign w:val="bottom"/>
            <w:tcBorders>
              <w:bottom w:val="single" w:sz="8" w:color="E1E2E0"/>
            </w:tcBorders>
          </w:tcPr>
          <w:p>
            <w:pPr>
              <w:spacing w:after="0"/>
              <w:rPr>
                <w:sz w:val="2"/>
                <w:szCs w:val="2"/>
                <w:color w:val="auto"/>
              </w:rPr>
            </w:pPr>
          </w:p>
        </w:tc>
        <w:tc>
          <w:tcPr>
            <w:tcW w:w="940" w:type="dxa"/>
            <w:vAlign w:val="bottom"/>
            <w:tcBorders>
              <w:bottom w:val="single" w:sz="8" w:color="E1E2E0"/>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2540" w:type="dxa"/>
            <w:vAlign w:val="bottom"/>
            <w:vMerge w:val="continue"/>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3B3C43"/>
              </w:rPr>
              <w:t>2019</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3B3C43"/>
              </w:rPr>
              <w:t>561,997</w:t>
            </w:r>
          </w:p>
        </w:tc>
        <w:tc>
          <w:tcPr>
            <w:tcW w:w="1040" w:type="dxa"/>
            <w:vAlign w:val="bottom"/>
            <w:vMerge w:val="restart"/>
          </w:tcPr>
          <w:p>
            <w:pPr>
              <w:jc w:val="right"/>
              <w:ind w:right="17"/>
              <w:spacing w:after="0"/>
              <w:rPr>
                <w:sz w:val="20"/>
                <w:szCs w:val="20"/>
                <w:color w:val="auto"/>
              </w:rPr>
            </w:pPr>
            <w:r>
              <w:rPr>
                <w:rFonts w:ascii="Arial" w:cs="Arial" w:eastAsia="Arial" w:hAnsi="Arial"/>
                <w:sz w:val="13"/>
                <w:szCs w:val="13"/>
                <w:color w:val="3B3C43"/>
              </w:rPr>
              <w:t>-</w:t>
            </w:r>
          </w:p>
        </w:tc>
        <w:tc>
          <w:tcPr>
            <w:tcW w:w="1000" w:type="dxa"/>
            <w:vAlign w:val="bottom"/>
            <w:vMerge w:val="restart"/>
          </w:tcPr>
          <w:p>
            <w:pPr>
              <w:jc w:val="right"/>
              <w:ind w:right="17"/>
              <w:spacing w:after="0"/>
              <w:rPr>
                <w:sz w:val="20"/>
                <w:szCs w:val="20"/>
                <w:color w:val="auto"/>
              </w:rPr>
            </w:pPr>
            <w:r>
              <w:rPr>
                <w:rFonts w:ascii="Arial" w:cs="Arial" w:eastAsia="Arial" w:hAnsi="Arial"/>
                <w:sz w:val="13"/>
                <w:szCs w:val="13"/>
                <w:color w:val="3B3C43"/>
              </w:rPr>
              <w:t>1,189,806</w:t>
            </w:r>
          </w:p>
        </w:tc>
        <w:tc>
          <w:tcPr>
            <w:tcW w:w="1060" w:type="dxa"/>
            <w:vAlign w:val="bottom"/>
            <w:gridSpan w:val="2"/>
            <w:vMerge w:val="restart"/>
          </w:tcPr>
          <w:p>
            <w:pPr>
              <w:jc w:val="right"/>
              <w:ind w:right="77"/>
              <w:spacing w:after="0"/>
              <w:rPr>
                <w:sz w:val="20"/>
                <w:szCs w:val="20"/>
                <w:color w:val="auto"/>
              </w:rPr>
            </w:pPr>
            <w:r>
              <w:rPr>
                <w:rFonts w:ascii="Arial" w:cs="Arial" w:eastAsia="Arial" w:hAnsi="Arial"/>
                <w:sz w:val="13"/>
                <w:szCs w:val="13"/>
                <w:color w:val="3B3C43"/>
              </w:rPr>
              <w:t>259,997</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3B3C43"/>
              </w:rPr>
              <w:t>921,674</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3B3C43"/>
              </w:rPr>
              <w:t>-</w:t>
            </w:r>
          </w:p>
        </w:tc>
        <w:tc>
          <w:tcPr>
            <w:tcW w:w="1020" w:type="dxa"/>
            <w:vAlign w:val="bottom"/>
            <w:vMerge w:val="restart"/>
          </w:tcPr>
          <w:p>
            <w:pPr>
              <w:jc w:val="right"/>
              <w:ind w:right="17"/>
              <w:spacing w:after="0"/>
              <w:rPr>
                <w:sz w:val="20"/>
                <w:szCs w:val="20"/>
                <w:color w:val="auto"/>
              </w:rPr>
            </w:pPr>
            <w:r>
              <w:rPr>
                <w:rFonts w:ascii="Arial" w:cs="Arial" w:eastAsia="Arial" w:hAnsi="Arial"/>
                <w:sz w:val="13"/>
                <w:szCs w:val="13"/>
                <w:color w:val="3B3C43"/>
              </w:rPr>
              <w:t>459,497</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3B3C43"/>
              </w:rPr>
              <w:t>3,392,971</w:t>
            </w:r>
          </w:p>
        </w:tc>
        <w:tc>
          <w:tcPr>
            <w:tcW w:w="0" w:type="dxa"/>
            <w:vAlign w:val="bottom"/>
          </w:tcPr>
          <w:p>
            <w:pPr>
              <w:spacing w:after="0"/>
              <w:rPr>
                <w:sz w:val="1"/>
                <w:szCs w:val="1"/>
                <w:color w:val="auto"/>
              </w:rPr>
            </w:pPr>
          </w:p>
        </w:tc>
      </w:tr>
      <w:tr>
        <w:trPr>
          <w:trHeight w:val="82"/>
        </w:trPr>
        <w:tc>
          <w:tcPr>
            <w:tcW w:w="2540" w:type="dxa"/>
            <w:vAlign w:val="bottom"/>
          </w:tcPr>
          <w:p>
            <w:pPr>
              <w:spacing w:after="0"/>
              <w:rPr>
                <w:sz w:val="6"/>
                <w:szCs w:val="6"/>
                <w:color w:val="auto"/>
              </w:rPr>
            </w:pPr>
          </w:p>
        </w:tc>
        <w:tc>
          <w:tcPr>
            <w:tcW w:w="540" w:type="dxa"/>
            <w:vAlign w:val="bottom"/>
            <w:tcBorders>
              <w:bottom w:val="single" w:sz="8" w:color="E1E2E0"/>
            </w:tcBorders>
            <w:vMerge w:val="continue"/>
          </w:tcPr>
          <w:p>
            <w:pPr>
              <w:spacing w:after="0"/>
              <w:rPr>
                <w:sz w:val="6"/>
                <w:szCs w:val="6"/>
                <w:color w:val="auto"/>
              </w:rPr>
            </w:pPr>
          </w:p>
        </w:tc>
        <w:tc>
          <w:tcPr>
            <w:tcW w:w="1000" w:type="dxa"/>
            <w:vAlign w:val="bottom"/>
            <w:tcBorders>
              <w:bottom w:val="single" w:sz="8" w:color="E1E2E0"/>
            </w:tcBorders>
            <w:vMerge w:val="continue"/>
          </w:tcPr>
          <w:p>
            <w:pPr>
              <w:spacing w:after="0"/>
              <w:rPr>
                <w:sz w:val="6"/>
                <w:szCs w:val="6"/>
                <w:color w:val="auto"/>
              </w:rPr>
            </w:pPr>
          </w:p>
        </w:tc>
        <w:tc>
          <w:tcPr>
            <w:tcW w:w="1040" w:type="dxa"/>
            <w:vAlign w:val="bottom"/>
            <w:tcBorders>
              <w:bottom w:val="single" w:sz="8" w:color="E1E2E0"/>
            </w:tcBorders>
            <w:vMerge w:val="continue"/>
          </w:tcPr>
          <w:p>
            <w:pPr>
              <w:spacing w:after="0"/>
              <w:rPr>
                <w:sz w:val="6"/>
                <w:szCs w:val="6"/>
                <w:color w:val="auto"/>
              </w:rPr>
            </w:pPr>
          </w:p>
        </w:tc>
        <w:tc>
          <w:tcPr>
            <w:tcW w:w="1000" w:type="dxa"/>
            <w:vAlign w:val="bottom"/>
            <w:tcBorders>
              <w:bottom w:val="single" w:sz="8" w:color="E1E2E0"/>
            </w:tcBorders>
            <w:vMerge w:val="continue"/>
          </w:tcPr>
          <w:p>
            <w:pPr>
              <w:spacing w:after="0"/>
              <w:rPr>
                <w:sz w:val="6"/>
                <w:szCs w:val="6"/>
                <w:color w:val="auto"/>
              </w:rPr>
            </w:pPr>
          </w:p>
        </w:tc>
        <w:tc>
          <w:tcPr>
            <w:tcW w:w="1060" w:type="dxa"/>
            <w:vAlign w:val="bottom"/>
            <w:tcBorders>
              <w:bottom w:val="single" w:sz="8" w:color="E1E2E0"/>
            </w:tcBorders>
            <w:gridSpan w:val="2"/>
            <w:vMerge w:val="continue"/>
          </w:tcPr>
          <w:p>
            <w:pPr>
              <w:spacing w:after="0"/>
              <w:rPr>
                <w:sz w:val="6"/>
                <w:szCs w:val="6"/>
                <w:color w:val="auto"/>
              </w:rPr>
            </w:pPr>
          </w:p>
        </w:tc>
        <w:tc>
          <w:tcPr>
            <w:tcW w:w="1060" w:type="dxa"/>
            <w:vAlign w:val="bottom"/>
            <w:tcBorders>
              <w:bottom w:val="single" w:sz="8" w:color="E1E2E0"/>
            </w:tcBorders>
            <w:vMerge w:val="continue"/>
          </w:tcPr>
          <w:p>
            <w:pPr>
              <w:spacing w:after="0"/>
              <w:rPr>
                <w:sz w:val="6"/>
                <w:szCs w:val="6"/>
                <w:color w:val="auto"/>
              </w:rPr>
            </w:pPr>
          </w:p>
        </w:tc>
        <w:tc>
          <w:tcPr>
            <w:tcW w:w="1020" w:type="dxa"/>
            <w:vAlign w:val="bottom"/>
            <w:tcBorders>
              <w:bottom w:val="single" w:sz="8" w:color="E1E2E0"/>
            </w:tcBorders>
            <w:vMerge w:val="continue"/>
          </w:tcPr>
          <w:p>
            <w:pPr>
              <w:spacing w:after="0"/>
              <w:rPr>
                <w:sz w:val="6"/>
                <w:szCs w:val="6"/>
                <w:color w:val="auto"/>
              </w:rPr>
            </w:pPr>
          </w:p>
        </w:tc>
        <w:tc>
          <w:tcPr>
            <w:tcW w:w="1020" w:type="dxa"/>
            <w:vAlign w:val="bottom"/>
            <w:tcBorders>
              <w:bottom w:val="single" w:sz="8" w:color="E1E2E0"/>
            </w:tcBorders>
            <w:vMerge w:val="continue"/>
          </w:tcPr>
          <w:p>
            <w:pPr>
              <w:spacing w:after="0"/>
              <w:rPr>
                <w:sz w:val="6"/>
                <w:szCs w:val="6"/>
                <w:color w:val="auto"/>
              </w:rPr>
            </w:pPr>
          </w:p>
        </w:tc>
        <w:tc>
          <w:tcPr>
            <w:tcW w:w="940" w:type="dxa"/>
            <w:vAlign w:val="bottom"/>
            <w:tcBorders>
              <w:bottom w:val="single" w:sz="8" w:color="E1E2E0"/>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80" w:right="200" w:hanging="272"/>
        <w:spacing w:after="0" w:line="245" w:lineRule="auto"/>
        <w:tabs>
          <w:tab w:leader="none" w:pos="280" w:val="left"/>
        </w:tabs>
        <w:numPr>
          <w:ilvl w:val="0"/>
          <w:numId w:val="106"/>
        </w:numPr>
        <w:rPr>
          <w:rFonts w:ascii="Arial" w:cs="Arial" w:eastAsia="Arial" w:hAnsi="Arial"/>
          <w:sz w:val="14"/>
          <w:szCs w:val="14"/>
          <w:color w:val="3B3C43"/>
        </w:rPr>
      </w:pPr>
      <w:r>
        <w:rPr>
          <w:rFonts w:ascii="Arial" w:cs="Arial" w:eastAsia="Arial" w:hAnsi="Arial"/>
          <w:sz w:val="14"/>
          <w:szCs w:val="14"/>
          <w:color w:val="3B3C43"/>
        </w:rPr>
        <w:t>Amounts disclosed in the Stock Awards column represent the sum of the aggregate grant date fair value of time-based RSUs and PSUs subject to either performance (ROIC) or market-based (TSR) vesting conditions. Determination of fair value was made in accordance with FASB ASC Topic 718. With respect to PSUs subject to performance-based (ROIC) vesting conditions and time-based RSUs, the aggregate grant date fair value of such awards was based on the Company’s share price on the grant date of the awards at target performance. With respect to PSUs subject to TSR market-based vesting conditions, the grant date fair value of such award was determined utilizing a Monte Carlo simulation as disclosed in our Form 10-K.</w:t>
      </w:r>
    </w:p>
    <w:p>
      <w:pPr>
        <w:spacing w:after="0" w:line="82" w:lineRule="exact"/>
        <w:rPr>
          <w:rFonts w:ascii="Arial" w:cs="Arial" w:eastAsia="Arial" w:hAnsi="Arial"/>
          <w:sz w:val="14"/>
          <w:szCs w:val="14"/>
          <w:color w:val="3B3C43"/>
        </w:rPr>
      </w:pPr>
    </w:p>
    <w:p>
      <w:pPr>
        <w:ind w:left="280" w:right="120"/>
        <w:spacing w:after="0" w:line="258" w:lineRule="auto"/>
        <w:rPr>
          <w:rFonts w:ascii="Arial" w:cs="Arial" w:eastAsia="Arial" w:hAnsi="Arial"/>
          <w:sz w:val="14"/>
          <w:szCs w:val="14"/>
          <w:color w:val="3B3C43"/>
        </w:rPr>
      </w:pPr>
      <w:r>
        <w:rPr>
          <w:rFonts w:ascii="Arial" w:cs="Arial" w:eastAsia="Arial" w:hAnsi="Arial"/>
          <w:sz w:val="14"/>
          <w:szCs w:val="14"/>
          <w:color w:val="3B3C43"/>
        </w:rPr>
        <w:t>The maximum award value of PSUs subject to both performance conditions and market-based conditions are shown in the table below. The methodology used in this table is the same as in the Summary Compensation Table for the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85725</wp:posOffset>
            </wp:positionV>
            <wp:extent cx="6986270" cy="2400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86270" cy="240030"/>
                    </a:xfrm>
                    <a:prstGeom prst="rect">
                      <a:avLst/>
                    </a:prstGeom>
                    <a:noFill/>
                  </pic:spPr>
                </pic:pic>
              </a:graphicData>
            </a:graphic>
          </wp:anchor>
        </w:drawing>
      </w:r>
    </w:p>
    <w:p>
      <w:pPr>
        <w:spacing w:after="0" w:line="115" w:lineRule="exact"/>
        <w:rPr>
          <w:sz w:val="20"/>
          <w:szCs w:val="20"/>
          <w:color w:val="auto"/>
        </w:rPr>
      </w:pPr>
    </w:p>
    <w:tbl>
      <w:tblPr>
        <w:tblLayout w:type="fixed"/>
        <w:tblInd w:w="280" w:type="dxa"/>
        <w:tblCellMar>
          <w:top w:w="0" w:type="dxa"/>
          <w:left w:w="0" w:type="dxa"/>
          <w:bottom w:w="0" w:type="dxa"/>
          <w:right w:w="0" w:type="dxa"/>
        </w:tblCellMar>
      </w:tblPr>
      <w:tr>
        <w:trPr>
          <w:trHeight w:val="268"/>
        </w:trPr>
        <w:tc>
          <w:tcPr>
            <w:tcW w:w="1500" w:type="dxa"/>
            <w:vAlign w:val="bottom"/>
            <w:shd w:val="clear" w:color="auto" w:fill="4A1F67"/>
          </w:tcPr>
          <w:p>
            <w:pPr>
              <w:spacing w:after="0"/>
              <w:rPr>
                <w:sz w:val="23"/>
                <w:szCs w:val="23"/>
                <w:color w:val="auto"/>
              </w:rPr>
            </w:pPr>
          </w:p>
        </w:tc>
        <w:tc>
          <w:tcPr>
            <w:tcW w:w="2200" w:type="dxa"/>
            <w:vAlign w:val="bottom"/>
            <w:shd w:val="clear" w:color="auto" w:fill="4A1F67"/>
          </w:tcPr>
          <w:p>
            <w:pPr>
              <w:jc w:val="right"/>
              <w:ind w:right="277"/>
              <w:spacing w:after="0"/>
              <w:rPr>
                <w:sz w:val="20"/>
                <w:szCs w:val="20"/>
                <w:color w:val="auto"/>
              </w:rPr>
            </w:pPr>
            <w:r>
              <w:rPr>
                <w:rFonts w:ascii="Arial" w:cs="Arial" w:eastAsia="Arial" w:hAnsi="Arial"/>
                <w:sz w:val="13"/>
                <w:szCs w:val="13"/>
                <w:b w:val="1"/>
                <w:bCs w:val="1"/>
                <w:color w:val="FFFFFF"/>
              </w:rPr>
              <w:t>Pferdehirt</w:t>
            </w:r>
          </w:p>
        </w:tc>
        <w:tc>
          <w:tcPr>
            <w:tcW w:w="1320" w:type="dxa"/>
            <w:vAlign w:val="bottom"/>
            <w:shd w:val="clear" w:color="auto" w:fill="4A1F67"/>
          </w:tcPr>
          <w:p>
            <w:pPr>
              <w:jc w:val="right"/>
              <w:ind w:right="277"/>
              <w:spacing w:after="0"/>
              <w:rPr>
                <w:sz w:val="20"/>
                <w:szCs w:val="20"/>
                <w:color w:val="auto"/>
              </w:rPr>
            </w:pPr>
            <w:r>
              <w:rPr>
                <w:rFonts w:ascii="Arial" w:cs="Arial" w:eastAsia="Arial" w:hAnsi="Arial"/>
                <w:sz w:val="13"/>
                <w:szCs w:val="13"/>
                <w:b w:val="1"/>
                <w:bCs w:val="1"/>
                <w:color w:val="FFFFFF"/>
              </w:rPr>
              <w:t>Mannen</w:t>
            </w:r>
          </w:p>
        </w:tc>
        <w:tc>
          <w:tcPr>
            <w:tcW w:w="1340" w:type="dxa"/>
            <w:vAlign w:val="bottom"/>
            <w:shd w:val="clear" w:color="auto" w:fill="4A1F67"/>
          </w:tcPr>
          <w:p>
            <w:pPr>
              <w:jc w:val="right"/>
              <w:ind w:right="297"/>
              <w:spacing w:after="0"/>
              <w:rPr>
                <w:sz w:val="20"/>
                <w:szCs w:val="20"/>
                <w:color w:val="auto"/>
              </w:rPr>
            </w:pPr>
            <w:r>
              <w:rPr>
                <w:rFonts w:ascii="Arial" w:cs="Arial" w:eastAsia="Arial" w:hAnsi="Arial"/>
                <w:sz w:val="13"/>
                <w:szCs w:val="13"/>
                <w:b w:val="1"/>
                <w:bCs w:val="1"/>
                <w:color w:val="FFFFFF"/>
              </w:rPr>
              <w:t>Rounce</w:t>
            </w:r>
          </w:p>
        </w:tc>
        <w:tc>
          <w:tcPr>
            <w:tcW w:w="1300" w:type="dxa"/>
            <w:vAlign w:val="bottom"/>
            <w:shd w:val="clear" w:color="auto" w:fill="4A1F67"/>
          </w:tcPr>
          <w:p>
            <w:pPr>
              <w:jc w:val="right"/>
              <w:ind w:right="277"/>
              <w:spacing w:after="0"/>
              <w:rPr>
                <w:sz w:val="20"/>
                <w:szCs w:val="20"/>
                <w:color w:val="auto"/>
              </w:rPr>
            </w:pPr>
            <w:r>
              <w:rPr>
                <w:rFonts w:ascii="Arial" w:cs="Arial" w:eastAsia="Arial" w:hAnsi="Arial"/>
                <w:sz w:val="13"/>
                <w:szCs w:val="13"/>
                <w:b w:val="1"/>
                <w:bCs w:val="1"/>
                <w:color w:val="FFFFFF"/>
              </w:rPr>
              <w:t>Pieton</w:t>
            </w:r>
          </w:p>
        </w:tc>
        <w:tc>
          <w:tcPr>
            <w:tcW w:w="1300" w:type="dxa"/>
            <w:vAlign w:val="bottom"/>
            <w:shd w:val="clear" w:color="auto" w:fill="4A1F67"/>
          </w:tcPr>
          <w:p>
            <w:pPr>
              <w:jc w:val="right"/>
              <w:ind w:right="257"/>
              <w:spacing w:after="0"/>
              <w:rPr>
                <w:sz w:val="20"/>
                <w:szCs w:val="20"/>
                <w:color w:val="auto"/>
              </w:rPr>
            </w:pPr>
            <w:r>
              <w:rPr>
                <w:rFonts w:ascii="Arial" w:cs="Arial" w:eastAsia="Arial" w:hAnsi="Arial"/>
                <w:sz w:val="13"/>
                <w:szCs w:val="13"/>
                <w:b w:val="1"/>
                <w:bCs w:val="1"/>
                <w:color w:val="FFFFFF"/>
              </w:rPr>
              <w:t>Glickman</w:t>
            </w:r>
          </w:p>
        </w:tc>
        <w:tc>
          <w:tcPr>
            <w:tcW w:w="1160" w:type="dxa"/>
            <w:vAlign w:val="bottom"/>
            <w:shd w:val="clear" w:color="auto" w:fill="4A1F67"/>
          </w:tcPr>
          <w:p>
            <w:pPr>
              <w:jc w:val="right"/>
              <w:ind w:right="117"/>
              <w:spacing w:after="0"/>
              <w:rPr>
                <w:sz w:val="20"/>
                <w:szCs w:val="20"/>
                <w:color w:val="auto"/>
              </w:rPr>
            </w:pPr>
            <w:r>
              <w:rPr>
                <w:rFonts w:ascii="Arial" w:cs="Arial" w:eastAsia="Arial" w:hAnsi="Arial"/>
                <w:sz w:val="13"/>
                <w:szCs w:val="13"/>
                <w:b w:val="1"/>
                <w:bCs w:val="1"/>
                <w:color w:val="FFFFFF"/>
              </w:rPr>
              <w:t>MacGregor</w:t>
            </w:r>
          </w:p>
        </w:tc>
        <w:tc>
          <w:tcPr>
            <w:tcW w:w="86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Uccelletti</w:t>
            </w:r>
          </w:p>
        </w:tc>
      </w:tr>
      <w:tr>
        <w:trPr>
          <w:trHeight w:val="97"/>
        </w:trPr>
        <w:tc>
          <w:tcPr>
            <w:tcW w:w="1500" w:type="dxa"/>
            <w:vAlign w:val="bottom"/>
            <w:shd w:val="clear" w:color="auto" w:fill="4A1F67"/>
          </w:tcPr>
          <w:p>
            <w:pPr>
              <w:spacing w:after="0"/>
              <w:rPr>
                <w:sz w:val="8"/>
                <w:szCs w:val="8"/>
                <w:color w:val="auto"/>
              </w:rPr>
            </w:pPr>
          </w:p>
        </w:tc>
        <w:tc>
          <w:tcPr>
            <w:tcW w:w="2200" w:type="dxa"/>
            <w:vAlign w:val="bottom"/>
            <w:shd w:val="clear" w:color="auto" w:fill="4A1F67"/>
          </w:tcPr>
          <w:p>
            <w:pPr>
              <w:spacing w:after="0"/>
              <w:rPr>
                <w:sz w:val="8"/>
                <w:szCs w:val="8"/>
                <w:color w:val="auto"/>
              </w:rPr>
            </w:pPr>
          </w:p>
        </w:tc>
        <w:tc>
          <w:tcPr>
            <w:tcW w:w="1320" w:type="dxa"/>
            <w:vAlign w:val="bottom"/>
            <w:shd w:val="clear" w:color="auto" w:fill="4A1F67"/>
          </w:tcPr>
          <w:p>
            <w:pPr>
              <w:spacing w:after="0"/>
              <w:rPr>
                <w:sz w:val="8"/>
                <w:szCs w:val="8"/>
                <w:color w:val="auto"/>
              </w:rPr>
            </w:pPr>
          </w:p>
        </w:tc>
        <w:tc>
          <w:tcPr>
            <w:tcW w:w="1340" w:type="dxa"/>
            <w:vAlign w:val="bottom"/>
            <w:shd w:val="clear" w:color="auto" w:fill="4A1F67"/>
          </w:tcPr>
          <w:p>
            <w:pPr>
              <w:spacing w:after="0"/>
              <w:rPr>
                <w:sz w:val="8"/>
                <w:szCs w:val="8"/>
                <w:color w:val="auto"/>
              </w:rPr>
            </w:pPr>
          </w:p>
        </w:tc>
        <w:tc>
          <w:tcPr>
            <w:tcW w:w="1300" w:type="dxa"/>
            <w:vAlign w:val="bottom"/>
            <w:shd w:val="clear" w:color="auto" w:fill="4A1F67"/>
          </w:tcPr>
          <w:p>
            <w:pPr>
              <w:spacing w:after="0"/>
              <w:rPr>
                <w:sz w:val="8"/>
                <w:szCs w:val="8"/>
                <w:color w:val="auto"/>
              </w:rPr>
            </w:pPr>
          </w:p>
        </w:tc>
        <w:tc>
          <w:tcPr>
            <w:tcW w:w="1300" w:type="dxa"/>
            <w:vAlign w:val="bottom"/>
            <w:shd w:val="clear" w:color="auto" w:fill="4A1F67"/>
          </w:tcPr>
          <w:p>
            <w:pPr>
              <w:spacing w:after="0"/>
              <w:rPr>
                <w:sz w:val="8"/>
                <w:szCs w:val="8"/>
                <w:color w:val="auto"/>
              </w:rPr>
            </w:pPr>
          </w:p>
        </w:tc>
        <w:tc>
          <w:tcPr>
            <w:tcW w:w="1160" w:type="dxa"/>
            <w:vAlign w:val="bottom"/>
            <w:shd w:val="clear" w:color="auto" w:fill="4A1F67"/>
          </w:tcPr>
          <w:p>
            <w:pPr>
              <w:spacing w:after="0"/>
              <w:rPr>
                <w:sz w:val="8"/>
                <w:szCs w:val="8"/>
                <w:color w:val="auto"/>
              </w:rPr>
            </w:pPr>
          </w:p>
        </w:tc>
        <w:tc>
          <w:tcPr>
            <w:tcW w:w="860" w:type="dxa"/>
            <w:vAlign w:val="bottom"/>
            <w:shd w:val="clear" w:color="auto" w:fill="4A1F67"/>
          </w:tcPr>
          <w:p>
            <w:pPr>
              <w:spacing w:after="0"/>
              <w:rPr>
                <w:sz w:val="8"/>
                <w:szCs w:val="8"/>
                <w:color w:val="auto"/>
              </w:rPr>
            </w:pPr>
          </w:p>
        </w:tc>
      </w:tr>
      <w:tr>
        <w:trPr>
          <w:trHeight w:val="213"/>
        </w:trPr>
        <w:tc>
          <w:tcPr>
            <w:tcW w:w="1500" w:type="dxa"/>
            <w:vAlign w:val="bottom"/>
          </w:tcPr>
          <w:p>
            <w:pPr>
              <w:jc w:val="right"/>
              <w:ind w:right="1097"/>
              <w:spacing w:after="0"/>
              <w:rPr>
                <w:sz w:val="20"/>
                <w:szCs w:val="20"/>
                <w:color w:val="auto"/>
              </w:rPr>
            </w:pPr>
            <w:r>
              <w:rPr>
                <w:rFonts w:ascii="Arial" w:cs="Arial" w:eastAsia="Arial" w:hAnsi="Arial"/>
                <w:sz w:val="13"/>
                <w:szCs w:val="13"/>
                <w:b w:val="1"/>
                <w:bCs w:val="1"/>
                <w:color w:val="3B3C43"/>
              </w:rPr>
              <w:t>2020</w:t>
            </w:r>
          </w:p>
        </w:tc>
        <w:tc>
          <w:tcPr>
            <w:tcW w:w="2200" w:type="dxa"/>
            <w:vAlign w:val="bottom"/>
          </w:tcPr>
          <w:p>
            <w:pPr>
              <w:jc w:val="right"/>
              <w:ind w:right="277"/>
              <w:spacing w:after="0"/>
              <w:rPr>
                <w:sz w:val="20"/>
                <w:szCs w:val="20"/>
                <w:color w:val="auto"/>
              </w:rPr>
            </w:pPr>
            <w:r>
              <w:rPr>
                <w:rFonts w:ascii="Arial" w:cs="Arial" w:eastAsia="Arial" w:hAnsi="Arial"/>
                <w:sz w:val="13"/>
                <w:szCs w:val="13"/>
                <w:color w:val="3B3C43"/>
              </w:rPr>
              <w:t>$14,113,544</w:t>
            </w:r>
          </w:p>
        </w:tc>
        <w:tc>
          <w:tcPr>
            <w:tcW w:w="1320" w:type="dxa"/>
            <w:vAlign w:val="bottom"/>
          </w:tcPr>
          <w:p>
            <w:pPr>
              <w:jc w:val="right"/>
              <w:ind w:right="277"/>
              <w:spacing w:after="0"/>
              <w:rPr>
                <w:sz w:val="20"/>
                <w:szCs w:val="20"/>
                <w:color w:val="auto"/>
              </w:rPr>
            </w:pPr>
            <w:r>
              <w:rPr>
                <w:rFonts w:ascii="Arial" w:cs="Arial" w:eastAsia="Arial" w:hAnsi="Arial"/>
                <w:sz w:val="13"/>
                <w:szCs w:val="13"/>
                <w:color w:val="3B3C43"/>
              </w:rPr>
              <w:t>$4,510,508</w:t>
            </w:r>
          </w:p>
        </w:tc>
        <w:tc>
          <w:tcPr>
            <w:tcW w:w="1340" w:type="dxa"/>
            <w:vAlign w:val="bottom"/>
          </w:tcPr>
          <w:p>
            <w:pPr>
              <w:jc w:val="right"/>
              <w:ind w:right="297"/>
              <w:spacing w:after="0"/>
              <w:rPr>
                <w:sz w:val="20"/>
                <w:szCs w:val="20"/>
                <w:color w:val="auto"/>
              </w:rPr>
            </w:pPr>
            <w:r>
              <w:rPr>
                <w:rFonts w:ascii="Arial" w:cs="Arial" w:eastAsia="Arial" w:hAnsi="Arial"/>
                <w:sz w:val="13"/>
                <w:szCs w:val="13"/>
                <w:color w:val="3B3C43"/>
              </w:rPr>
              <w:t>$2,618,994</w:t>
            </w:r>
          </w:p>
        </w:tc>
        <w:tc>
          <w:tcPr>
            <w:tcW w:w="1300" w:type="dxa"/>
            <w:vAlign w:val="bottom"/>
          </w:tcPr>
          <w:p>
            <w:pPr>
              <w:jc w:val="right"/>
              <w:ind w:right="277"/>
              <w:spacing w:after="0"/>
              <w:rPr>
                <w:sz w:val="20"/>
                <w:szCs w:val="20"/>
                <w:color w:val="auto"/>
              </w:rPr>
            </w:pPr>
            <w:r>
              <w:rPr>
                <w:rFonts w:ascii="Arial" w:cs="Arial" w:eastAsia="Arial" w:hAnsi="Arial"/>
                <w:sz w:val="13"/>
                <w:szCs w:val="13"/>
                <w:color w:val="3B3C43"/>
              </w:rPr>
              <w:t>$1,891,492</w:t>
            </w:r>
          </w:p>
        </w:tc>
        <w:tc>
          <w:tcPr>
            <w:tcW w:w="1300" w:type="dxa"/>
            <w:vAlign w:val="bottom"/>
          </w:tcPr>
          <w:p>
            <w:pPr>
              <w:jc w:val="right"/>
              <w:ind w:right="257"/>
              <w:spacing w:after="0"/>
              <w:rPr>
                <w:sz w:val="20"/>
                <w:szCs w:val="20"/>
                <w:color w:val="auto"/>
              </w:rPr>
            </w:pPr>
            <w:r>
              <w:rPr>
                <w:rFonts w:ascii="Arial" w:cs="Arial" w:eastAsia="Arial" w:hAnsi="Arial"/>
                <w:sz w:val="13"/>
                <w:szCs w:val="13"/>
                <w:color w:val="3B3C43"/>
              </w:rPr>
              <w:t>$1,891,492</w:t>
            </w:r>
          </w:p>
        </w:tc>
        <w:tc>
          <w:tcPr>
            <w:tcW w:w="1160" w:type="dxa"/>
            <w:vAlign w:val="bottom"/>
          </w:tcPr>
          <w:p>
            <w:pPr>
              <w:jc w:val="right"/>
              <w:ind w:right="117"/>
              <w:spacing w:after="0"/>
              <w:rPr>
                <w:sz w:val="20"/>
                <w:szCs w:val="20"/>
                <w:color w:val="auto"/>
              </w:rPr>
            </w:pPr>
            <w:r>
              <w:rPr>
                <w:rFonts w:ascii="Arial" w:cs="Arial" w:eastAsia="Arial" w:hAnsi="Arial"/>
                <w:sz w:val="13"/>
                <w:szCs w:val="13"/>
                <w:color w:val="3B3C43"/>
              </w:rPr>
              <w:t>$2,764,498</w:t>
            </w:r>
          </w:p>
        </w:tc>
        <w:tc>
          <w:tcPr>
            <w:tcW w:w="860" w:type="dxa"/>
            <w:vAlign w:val="bottom"/>
          </w:tcPr>
          <w:p>
            <w:pPr>
              <w:jc w:val="right"/>
              <w:spacing w:after="0"/>
              <w:rPr>
                <w:sz w:val="20"/>
                <w:szCs w:val="20"/>
                <w:color w:val="auto"/>
              </w:rPr>
            </w:pPr>
            <w:r>
              <w:rPr>
                <w:rFonts w:ascii="Arial" w:cs="Arial" w:eastAsia="Arial" w:hAnsi="Arial"/>
                <w:sz w:val="13"/>
                <w:szCs w:val="13"/>
                <w:color w:val="3B3C43"/>
              </w:rPr>
              <w:t>N/A</w:t>
            </w:r>
          </w:p>
        </w:tc>
      </w:tr>
      <w:tr>
        <w:trPr>
          <w:trHeight w:val="43"/>
        </w:trPr>
        <w:tc>
          <w:tcPr>
            <w:tcW w:w="1500" w:type="dxa"/>
            <w:vAlign w:val="bottom"/>
            <w:tcBorders>
              <w:bottom w:val="single" w:sz="8" w:color="E1E2E0"/>
            </w:tcBorders>
          </w:tcPr>
          <w:p>
            <w:pPr>
              <w:spacing w:after="0"/>
              <w:rPr>
                <w:sz w:val="3"/>
                <w:szCs w:val="3"/>
                <w:color w:val="auto"/>
              </w:rPr>
            </w:pPr>
          </w:p>
        </w:tc>
        <w:tc>
          <w:tcPr>
            <w:tcW w:w="2200" w:type="dxa"/>
            <w:vAlign w:val="bottom"/>
            <w:tcBorders>
              <w:bottom w:val="single" w:sz="8" w:color="E1E2E0"/>
            </w:tcBorders>
          </w:tcPr>
          <w:p>
            <w:pPr>
              <w:spacing w:after="0"/>
              <w:rPr>
                <w:sz w:val="3"/>
                <w:szCs w:val="3"/>
                <w:color w:val="auto"/>
              </w:rPr>
            </w:pPr>
          </w:p>
        </w:tc>
        <w:tc>
          <w:tcPr>
            <w:tcW w:w="1320" w:type="dxa"/>
            <w:vAlign w:val="bottom"/>
            <w:tcBorders>
              <w:bottom w:val="single" w:sz="8" w:color="E1E2E0"/>
            </w:tcBorders>
          </w:tcPr>
          <w:p>
            <w:pPr>
              <w:spacing w:after="0"/>
              <w:rPr>
                <w:sz w:val="3"/>
                <w:szCs w:val="3"/>
                <w:color w:val="auto"/>
              </w:rPr>
            </w:pPr>
          </w:p>
        </w:tc>
        <w:tc>
          <w:tcPr>
            <w:tcW w:w="1340" w:type="dxa"/>
            <w:vAlign w:val="bottom"/>
            <w:tcBorders>
              <w:bottom w:val="single" w:sz="8" w:color="E1E2E0"/>
            </w:tcBorders>
          </w:tcPr>
          <w:p>
            <w:pPr>
              <w:spacing w:after="0"/>
              <w:rPr>
                <w:sz w:val="3"/>
                <w:szCs w:val="3"/>
                <w:color w:val="auto"/>
              </w:rPr>
            </w:pPr>
          </w:p>
        </w:tc>
        <w:tc>
          <w:tcPr>
            <w:tcW w:w="1300" w:type="dxa"/>
            <w:vAlign w:val="bottom"/>
            <w:tcBorders>
              <w:bottom w:val="single" w:sz="8" w:color="E1E2E0"/>
            </w:tcBorders>
          </w:tcPr>
          <w:p>
            <w:pPr>
              <w:spacing w:after="0"/>
              <w:rPr>
                <w:sz w:val="3"/>
                <w:szCs w:val="3"/>
                <w:color w:val="auto"/>
              </w:rPr>
            </w:pPr>
          </w:p>
        </w:tc>
        <w:tc>
          <w:tcPr>
            <w:tcW w:w="1300" w:type="dxa"/>
            <w:vAlign w:val="bottom"/>
            <w:tcBorders>
              <w:bottom w:val="single" w:sz="8" w:color="E1E2E0"/>
            </w:tcBorders>
          </w:tcPr>
          <w:p>
            <w:pPr>
              <w:spacing w:after="0"/>
              <w:rPr>
                <w:sz w:val="3"/>
                <w:szCs w:val="3"/>
                <w:color w:val="auto"/>
              </w:rPr>
            </w:pPr>
          </w:p>
        </w:tc>
        <w:tc>
          <w:tcPr>
            <w:tcW w:w="1160" w:type="dxa"/>
            <w:vAlign w:val="bottom"/>
            <w:tcBorders>
              <w:bottom w:val="single" w:sz="8" w:color="E1E2E0"/>
            </w:tcBorders>
          </w:tcPr>
          <w:p>
            <w:pPr>
              <w:spacing w:after="0"/>
              <w:rPr>
                <w:sz w:val="3"/>
                <w:szCs w:val="3"/>
                <w:color w:val="auto"/>
              </w:rPr>
            </w:pPr>
          </w:p>
        </w:tc>
        <w:tc>
          <w:tcPr>
            <w:tcW w:w="860" w:type="dxa"/>
            <w:vAlign w:val="bottom"/>
            <w:tcBorders>
              <w:bottom w:val="single" w:sz="8" w:color="E1E2E0"/>
            </w:tcBorders>
          </w:tcPr>
          <w:p>
            <w:pPr>
              <w:spacing w:after="0"/>
              <w:rPr>
                <w:sz w:val="3"/>
                <w:szCs w:val="3"/>
                <w:color w:val="auto"/>
              </w:rPr>
            </w:pPr>
          </w:p>
        </w:tc>
      </w:tr>
      <w:tr>
        <w:trPr>
          <w:trHeight w:val="220"/>
        </w:trPr>
        <w:tc>
          <w:tcPr>
            <w:tcW w:w="1500" w:type="dxa"/>
            <w:vAlign w:val="bottom"/>
          </w:tcPr>
          <w:p>
            <w:pPr>
              <w:jc w:val="right"/>
              <w:ind w:right="1097"/>
              <w:spacing w:after="0"/>
              <w:rPr>
                <w:sz w:val="20"/>
                <w:szCs w:val="20"/>
                <w:color w:val="auto"/>
              </w:rPr>
            </w:pPr>
            <w:r>
              <w:rPr>
                <w:rFonts w:ascii="Arial" w:cs="Arial" w:eastAsia="Arial" w:hAnsi="Arial"/>
                <w:sz w:val="13"/>
                <w:szCs w:val="13"/>
                <w:b w:val="1"/>
                <w:bCs w:val="1"/>
                <w:color w:val="3B3C43"/>
              </w:rPr>
              <w:t>2019</w:t>
            </w:r>
          </w:p>
        </w:tc>
        <w:tc>
          <w:tcPr>
            <w:tcW w:w="2200" w:type="dxa"/>
            <w:vAlign w:val="bottom"/>
          </w:tcPr>
          <w:p>
            <w:pPr>
              <w:jc w:val="right"/>
              <w:ind w:right="277"/>
              <w:spacing w:after="0"/>
              <w:rPr>
                <w:sz w:val="20"/>
                <w:szCs w:val="20"/>
                <w:color w:val="auto"/>
              </w:rPr>
            </w:pPr>
            <w:r>
              <w:rPr>
                <w:rFonts w:ascii="Arial" w:cs="Arial" w:eastAsia="Arial" w:hAnsi="Arial"/>
                <w:sz w:val="13"/>
                <w:szCs w:val="13"/>
                <w:color w:val="3B3C43"/>
              </w:rPr>
              <w:t>$13,875,848</w:t>
            </w:r>
          </w:p>
        </w:tc>
        <w:tc>
          <w:tcPr>
            <w:tcW w:w="1320" w:type="dxa"/>
            <w:vAlign w:val="bottom"/>
          </w:tcPr>
          <w:p>
            <w:pPr>
              <w:jc w:val="right"/>
              <w:ind w:right="277"/>
              <w:spacing w:after="0"/>
              <w:rPr>
                <w:sz w:val="20"/>
                <w:szCs w:val="20"/>
                <w:color w:val="auto"/>
              </w:rPr>
            </w:pPr>
            <w:r>
              <w:rPr>
                <w:rFonts w:ascii="Arial" w:cs="Arial" w:eastAsia="Arial" w:hAnsi="Arial"/>
                <w:sz w:val="13"/>
                <w:szCs w:val="13"/>
                <w:color w:val="3B3C43"/>
              </w:rPr>
              <w:t>$4,434,472</w:t>
            </w:r>
          </w:p>
        </w:tc>
        <w:tc>
          <w:tcPr>
            <w:tcW w:w="1340" w:type="dxa"/>
            <w:vAlign w:val="bottom"/>
          </w:tcPr>
          <w:p>
            <w:pPr>
              <w:jc w:val="right"/>
              <w:ind w:right="297"/>
              <w:spacing w:after="0"/>
              <w:rPr>
                <w:sz w:val="20"/>
                <w:szCs w:val="20"/>
                <w:color w:val="auto"/>
              </w:rPr>
            </w:pPr>
            <w:r>
              <w:rPr>
                <w:rFonts w:ascii="Arial" w:cs="Arial" w:eastAsia="Arial" w:hAnsi="Arial"/>
                <w:sz w:val="13"/>
                <w:szCs w:val="13"/>
                <w:color w:val="3B3C43"/>
              </w:rPr>
              <w:t>$2,574,830</w:t>
            </w: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3B3C43"/>
              </w:rPr>
              <w:t>$1,859,644</w:t>
            </w:r>
          </w:p>
        </w:tc>
      </w:tr>
      <w:tr>
        <w:trPr>
          <w:trHeight w:val="70"/>
        </w:trPr>
        <w:tc>
          <w:tcPr>
            <w:tcW w:w="1500" w:type="dxa"/>
            <w:vAlign w:val="bottom"/>
            <w:tcBorders>
              <w:bottom w:val="single" w:sz="8" w:color="E1E2E0"/>
            </w:tcBorders>
          </w:tcPr>
          <w:p>
            <w:pPr>
              <w:spacing w:after="0"/>
              <w:rPr>
                <w:sz w:val="6"/>
                <w:szCs w:val="6"/>
                <w:color w:val="auto"/>
              </w:rPr>
            </w:pPr>
          </w:p>
        </w:tc>
        <w:tc>
          <w:tcPr>
            <w:tcW w:w="2200" w:type="dxa"/>
            <w:vAlign w:val="bottom"/>
            <w:tcBorders>
              <w:bottom w:val="single" w:sz="8" w:color="E1E2E0"/>
            </w:tcBorders>
          </w:tcPr>
          <w:p>
            <w:pPr>
              <w:spacing w:after="0"/>
              <w:rPr>
                <w:sz w:val="6"/>
                <w:szCs w:val="6"/>
                <w:color w:val="auto"/>
              </w:rPr>
            </w:pPr>
          </w:p>
        </w:tc>
        <w:tc>
          <w:tcPr>
            <w:tcW w:w="1320" w:type="dxa"/>
            <w:vAlign w:val="bottom"/>
            <w:tcBorders>
              <w:bottom w:val="single" w:sz="8" w:color="E1E2E0"/>
            </w:tcBorders>
          </w:tcPr>
          <w:p>
            <w:pPr>
              <w:spacing w:after="0"/>
              <w:rPr>
                <w:sz w:val="6"/>
                <w:szCs w:val="6"/>
                <w:color w:val="auto"/>
              </w:rPr>
            </w:pPr>
          </w:p>
        </w:tc>
        <w:tc>
          <w:tcPr>
            <w:tcW w:w="1340" w:type="dxa"/>
            <w:vAlign w:val="bottom"/>
            <w:tcBorders>
              <w:bottom w:val="single" w:sz="8" w:color="E1E2E0"/>
            </w:tcBorders>
          </w:tcPr>
          <w:p>
            <w:pPr>
              <w:spacing w:after="0"/>
              <w:rPr>
                <w:sz w:val="6"/>
                <w:szCs w:val="6"/>
                <w:color w:val="auto"/>
              </w:rPr>
            </w:pPr>
          </w:p>
        </w:tc>
        <w:tc>
          <w:tcPr>
            <w:tcW w:w="1300" w:type="dxa"/>
            <w:vAlign w:val="bottom"/>
            <w:tcBorders>
              <w:bottom w:val="single" w:sz="8" w:color="E1E2E0"/>
            </w:tcBorders>
          </w:tcPr>
          <w:p>
            <w:pPr>
              <w:spacing w:after="0"/>
              <w:rPr>
                <w:sz w:val="6"/>
                <w:szCs w:val="6"/>
                <w:color w:val="auto"/>
              </w:rPr>
            </w:pPr>
          </w:p>
        </w:tc>
        <w:tc>
          <w:tcPr>
            <w:tcW w:w="1300" w:type="dxa"/>
            <w:vAlign w:val="bottom"/>
            <w:tcBorders>
              <w:bottom w:val="single" w:sz="8" w:color="E1E2E0"/>
            </w:tcBorders>
          </w:tcPr>
          <w:p>
            <w:pPr>
              <w:spacing w:after="0"/>
              <w:rPr>
                <w:sz w:val="6"/>
                <w:szCs w:val="6"/>
                <w:color w:val="auto"/>
              </w:rPr>
            </w:pPr>
          </w:p>
        </w:tc>
        <w:tc>
          <w:tcPr>
            <w:tcW w:w="1160" w:type="dxa"/>
            <w:vAlign w:val="bottom"/>
            <w:tcBorders>
              <w:bottom w:val="single" w:sz="8" w:color="E1E2E0"/>
            </w:tcBorders>
          </w:tcPr>
          <w:p>
            <w:pPr>
              <w:spacing w:after="0"/>
              <w:rPr>
                <w:sz w:val="6"/>
                <w:szCs w:val="6"/>
                <w:color w:val="auto"/>
              </w:rPr>
            </w:pPr>
          </w:p>
        </w:tc>
        <w:tc>
          <w:tcPr>
            <w:tcW w:w="860" w:type="dxa"/>
            <w:vAlign w:val="bottom"/>
            <w:tcBorders>
              <w:bottom w:val="single" w:sz="8" w:color="E1E2E0"/>
            </w:tcBorders>
          </w:tcPr>
          <w:p>
            <w:pPr>
              <w:spacing w:after="0"/>
              <w:rPr>
                <w:sz w:val="6"/>
                <w:szCs w:val="6"/>
                <w:color w:val="auto"/>
              </w:rPr>
            </w:pPr>
          </w:p>
        </w:tc>
      </w:tr>
      <w:tr>
        <w:trPr>
          <w:trHeight w:val="248"/>
        </w:trPr>
        <w:tc>
          <w:tcPr>
            <w:tcW w:w="1500" w:type="dxa"/>
            <w:vAlign w:val="bottom"/>
          </w:tcPr>
          <w:p>
            <w:pPr>
              <w:jc w:val="right"/>
              <w:ind w:right="1097"/>
              <w:spacing w:after="0"/>
              <w:rPr>
                <w:sz w:val="20"/>
                <w:szCs w:val="20"/>
                <w:color w:val="auto"/>
              </w:rPr>
            </w:pPr>
            <w:r>
              <w:rPr>
                <w:rFonts w:ascii="Arial" w:cs="Arial" w:eastAsia="Arial" w:hAnsi="Arial"/>
                <w:sz w:val="13"/>
                <w:szCs w:val="13"/>
                <w:b w:val="1"/>
                <w:bCs w:val="1"/>
                <w:color w:val="3B3C43"/>
              </w:rPr>
              <w:t>2018</w:t>
            </w:r>
          </w:p>
        </w:tc>
        <w:tc>
          <w:tcPr>
            <w:tcW w:w="2200" w:type="dxa"/>
            <w:vAlign w:val="bottom"/>
          </w:tcPr>
          <w:p>
            <w:pPr>
              <w:jc w:val="right"/>
              <w:ind w:right="277"/>
              <w:spacing w:after="0"/>
              <w:rPr>
                <w:sz w:val="20"/>
                <w:szCs w:val="20"/>
                <w:color w:val="auto"/>
              </w:rPr>
            </w:pPr>
            <w:r>
              <w:rPr>
                <w:rFonts w:ascii="Arial" w:cs="Arial" w:eastAsia="Arial" w:hAnsi="Arial"/>
                <w:sz w:val="13"/>
                <w:szCs w:val="13"/>
                <w:color w:val="3B3C43"/>
              </w:rPr>
              <w:t>$12,450,470</w:t>
            </w:r>
          </w:p>
        </w:tc>
        <w:tc>
          <w:tcPr>
            <w:tcW w:w="1320" w:type="dxa"/>
            <w:vAlign w:val="bottom"/>
          </w:tcPr>
          <w:p>
            <w:pPr>
              <w:jc w:val="right"/>
              <w:ind w:right="277"/>
              <w:spacing w:after="0"/>
              <w:rPr>
                <w:sz w:val="20"/>
                <w:szCs w:val="20"/>
                <w:color w:val="auto"/>
              </w:rPr>
            </w:pPr>
            <w:r>
              <w:rPr>
                <w:rFonts w:ascii="Arial" w:cs="Arial" w:eastAsia="Arial" w:hAnsi="Arial"/>
                <w:sz w:val="13"/>
                <w:szCs w:val="13"/>
                <w:color w:val="3B3C43"/>
              </w:rPr>
              <w:t>$4,436,366</w:t>
            </w:r>
          </w:p>
        </w:tc>
        <w:tc>
          <w:tcPr>
            <w:tcW w:w="1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3"/>
        </w:trPr>
        <w:tc>
          <w:tcPr>
            <w:tcW w:w="1500" w:type="dxa"/>
            <w:vAlign w:val="bottom"/>
            <w:tcBorders>
              <w:bottom w:val="single" w:sz="8" w:color="E1E2E0"/>
            </w:tcBorders>
          </w:tcPr>
          <w:p>
            <w:pPr>
              <w:spacing w:after="0"/>
              <w:rPr>
                <w:sz w:val="3"/>
                <w:szCs w:val="3"/>
                <w:color w:val="auto"/>
              </w:rPr>
            </w:pPr>
          </w:p>
        </w:tc>
        <w:tc>
          <w:tcPr>
            <w:tcW w:w="2200" w:type="dxa"/>
            <w:vAlign w:val="bottom"/>
            <w:tcBorders>
              <w:bottom w:val="single" w:sz="8" w:color="E1E2E0"/>
            </w:tcBorders>
          </w:tcPr>
          <w:p>
            <w:pPr>
              <w:spacing w:after="0"/>
              <w:rPr>
                <w:sz w:val="3"/>
                <w:szCs w:val="3"/>
                <w:color w:val="auto"/>
              </w:rPr>
            </w:pPr>
          </w:p>
        </w:tc>
        <w:tc>
          <w:tcPr>
            <w:tcW w:w="1320" w:type="dxa"/>
            <w:vAlign w:val="bottom"/>
            <w:tcBorders>
              <w:bottom w:val="single" w:sz="8" w:color="E1E2E0"/>
            </w:tcBorders>
          </w:tcPr>
          <w:p>
            <w:pPr>
              <w:spacing w:after="0"/>
              <w:rPr>
                <w:sz w:val="3"/>
                <w:szCs w:val="3"/>
                <w:color w:val="auto"/>
              </w:rPr>
            </w:pPr>
          </w:p>
        </w:tc>
        <w:tc>
          <w:tcPr>
            <w:tcW w:w="1340" w:type="dxa"/>
            <w:vAlign w:val="bottom"/>
            <w:tcBorders>
              <w:bottom w:val="single" w:sz="8" w:color="E1E2E0"/>
            </w:tcBorders>
          </w:tcPr>
          <w:p>
            <w:pPr>
              <w:spacing w:after="0"/>
              <w:rPr>
                <w:sz w:val="3"/>
                <w:szCs w:val="3"/>
                <w:color w:val="auto"/>
              </w:rPr>
            </w:pPr>
          </w:p>
        </w:tc>
        <w:tc>
          <w:tcPr>
            <w:tcW w:w="1300" w:type="dxa"/>
            <w:vAlign w:val="bottom"/>
            <w:tcBorders>
              <w:bottom w:val="single" w:sz="8" w:color="E1E2E0"/>
            </w:tcBorders>
          </w:tcPr>
          <w:p>
            <w:pPr>
              <w:spacing w:after="0"/>
              <w:rPr>
                <w:sz w:val="3"/>
                <w:szCs w:val="3"/>
                <w:color w:val="auto"/>
              </w:rPr>
            </w:pPr>
          </w:p>
        </w:tc>
        <w:tc>
          <w:tcPr>
            <w:tcW w:w="1300" w:type="dxa"/>
            <w:vAlign w:val="bottom"/>
            <w:tcBorders>
              <w:bottom w:val="single" w:sz="8" w:color="E1E2E0"/>
            </w:tcBorders>
          </w:tcPr>
          <w:p>
            <w:pPr>
              <w:spacing w:after="0"/>
              <w:rPr>
                <w:sz w:val="3"/>
                <w:szCs w:val="3"/>
                <w:color w:val="auto"/>
              </w:rPr>
            </w:pPr>
          </w:p>
        </w:tc>
        <w:tc>
          <w:tcPr>
            <w:tcW w:w="1160" w:type="dxa"/>
            <w:vAlign w:val="bottom"/>
            <w:tcBorders>
              <w:bottom w:val="single" w:sz="8" w:color="E1E2E0"/>
            </w:tcBorders>
          </w:tcPr>
          <w:p>
            <w:pPr>
              <w:spacing w:after="0"/>
              <w:rPr>
                <w:sz w:val="3"/>
                <w:szCs w:val="3"/>
                <w:color w:val="auto"/>
              </w:rPr>
            </w:pPr>
          </w:p>
        </w:tc>
        <w:tc>
          <w:tcPr>
            <w:tcW w:w="860" w:type="dxa"/>
            <w:vAlign w:val="bottom"/>
            <w:tcBorders>
              <w:bottom w:val="single" w:sz="8" w:color="E1E2E0"/>
            </w:tcBorders>
          </w:tcPr>
          <w:p>
            <w:pPr>
              <w:spacing w:after="0"/>
              <w:rPr>
                <w:sz w:val="3"/>
                <w:szCs w:val="3"/>
                <w:color w:val="auto"/>
              </w:rPr>
            </w:pPr>
          </w:p>
        </w:tc>
      </w:tr>
    </w:tbl>
    <w:p>
      <w:pPr>
        <w:spacing w:after="0" w:line="167"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4"/>
          <w:szCs w:val="14"/>
          <w:color w:val="3B3C43"/>
        </w:rPr>
      </w:pPr>
      <w:r>
        <w:rPr>
          <w:rFonts w:ascii="Arial" w:cs="Arial" w:eastAsia="Arial" w:hAnsi="Arial"/>
          <w:sz w:val="14"/>
          <w:szCs w:val="14"/>
          <w:color w:val="3B3C43"/>
        </w:rPr>
        <w:t>Represents the grant date fair value of stock options determined in accordance with FASB ASC Topic 718 using the Black- Scholes method as disclosed in our Form 10-K.</w:t>
      </w:r>
    </w:p>
    <w:p>
      <w:pPr>
        <w:spacing w:after="0" w:line="95" w:lineRule="exact"/>
        <w:rPr>
          <w:rFonts w:ascii="Arial" w:cs="Arial" w:eastAsia="Arial" w:hAnsi="Arial"/>
          <w:sz w:val="14"/>
          <w:szCs w:val="14"/>
          <w:color w:val="3B3C43"/>
        </w:rPr>
      </w:pPr>
    </w:p>
    <w:p>
      <w:pPr>
        <w:ind w:left="280" w:right="200" w:hanging="272"/>
        <w:spacing w:after="0" w:line="247" w:lineRule="auto"/>
        <w:tabs>
          <w:tab w:leader="none" w:pos="280" w:val="left"/>
        </w:tabs>
        <w:numPr>
          <w:ilvl w:val="0"/>
          <w:numId w:val="107"/>
        </w:numPr>
        <w:rPr>
          <w:rFonts w:ascii="Arial" w:cs="Arial" w:eastAsia="Arial" w:hAnsi="Arial"/>
          <w:sz w:val="14"/>
          <w:szCs w:val="14"/>
          <w:color w:val="3B3C43"/>
        </w:rPr>
      </w:pPr>
      <w:r>
        <w:rPr>
          <w:rFonts w:ascii="Arial" w:cs="Arial" w:eastAsia="Arial" w:hAnsi="Arial"/>
          <w:sz w:val="14"/>
          <w:szCs w:val="14"/>
          <w:color w:val="3B3C43"/>
        </w:rPr>
        <w:t>The amounts shown in the Change in Pension Value column reflect the actuarial increase in the present value of the NEO’s benefits at the first retirement date with unreduced benefits (age 62 for U.S. pension programs) under all of our pension plans. These amounts are determined using interest rates and mortality rate assumptions consistent with those disclosed in our Form 10-K. In 2018, the discount rate used to value the actuarial liability increased 70 basis points from 3.7% to 4.4%, resulting in a decrease in the pension value for Ms. Mannen by $299,788 and therefore, no increase is shown.</w:t>
      </w:r>
    </w:p>
    <w:p>
      <w:pPr>
        <w:spacing w:after="0" w:line="79" w:lineRule="exact"/>
        <w:rPr>
          <w:rFonts w:ascii="Arial" w:cs="Arial" w:eastAsia="Arial" w:hAnsi="Arial"/>
          <w:sz w:val="14"/>
          <w:szCs w:val="14"/>
          <w:color w:val="3B3C43"/>
        </w:rPr>
      </w:pPr>
    </w:p>
    <w:p>
      <w:pPr>
        <w:ind w:left="280" w:hanging="272"/>
        <w:spacing w:after="0"/>
        <w:tabs>
          <w:tab w:leader="none" w:pos="280" w:val="left"/>
        </w:tabs>
        <w:numPr>
          <w:ilvl w:val="0"/>
          <w:numId w:val="107"/>
        </w:numPr>
        <w:rPr>
          <w:rFonts w:ascii="Arial" w:cs="Arial" w:eastAsia="Arial" w:hAnsi="Arial"/>
          <w:sz w:val="14"/>
          <w:szCs w:val="14"/>
          <w:color w:val="3B3C43"/>
        </w:rPr>
      </w:pPr>
      <w:r>
        <w:rPr>
          <w:rFonts w:ascii="Arial" w:cs="Arial" w:eastAsia="Arial" w:hAnsi="Arial"/>
          <w:sz w:val="14"/>
          <w:szCs w:val="14"/>
          <w:color w:val="3B3C43"/>
        </w:rPr>
        <w:t>The amounts reflected in the All Other Compensation column for the fiscal year ended December 31, 2020 represent:</w:t>
      </w:r>
    </w:p>
    <w:p>
      <w:pPr>
        <w:spacing w:after="0" w:line="95" w:lineRule="exact"/>
        <w:rPr>
          <w:rFonts w:ascii="Arial" w:cs="Arial" w:eastAsia="Arial" w:hAnsi="Arial"/>
          <w:sz w:val="14"/>
          <w:szCs w:val="14"/>
          <w:color w:val="3B3C43"/>
        </w:rPr>
      </w:pPr>
    </w:p>
    <w:p>
      <w:pPr>
        <w:ind w:left="280" w:right="600"/>
        <w:spacing w:after="0" w:line="258" w:lineRule="auto"/>
        <w:rPr>
          <w:rFonts w:ascii="Arial" w:cs="Arial" w:eastAsia="Arial" w:hAnsi="Arial"/>
          <w:sz w:val="14"/>
          <w:szCs w:val="14"/>
          <w:color w:val="3B3C43"/>
        </w:rPr>
      </w:pPr>
      <w:r>
        <w:rPr>
          <w:rFonts w:ascii="Arial" w:cs="Arial" w:eastAsia="Arial" w:hAnsi="Arial"/>
          <w:sz w:val="14"/>
          <w:szCs w:val="14"/>
          <w:color w:val="3B3C43"/>
        </w:rPr>
        <w:t>Mr. Pferdehirt - contributions to the U.S. Qualified Savings Plan and U.S. Non-Qualified Savings Plan of $247,770, financial planning and personal tax assistance of $23,203, security services of $9,287, personal use of Company automobile of $6,727, club dues of $8,863, and Company-paid life insurance premium of $578.</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106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8" w:lineRule="exact"/>
        <w:rPr>
          <w:sz w:val="20"/>
          <w:szCs w:val="20"/>
          <w:color w:val="auto"/>
        </w:rPr>
      </w:pPr>
    </w:p>
    <w:p>
      <w:pPr>
        <w:jc w:val="both"/>
        <w:ind w:left="280" w:right="180"/>
        <w:spacing w:after="0" w:line="258" w:lineRule="auto"/>
        <w:rPr>
          <w:sz w:val="20"/>
          <w:szCs w:val="20"/>
          <w:color w:val="auto"/>
        </w:rPr>
      </w:pPr>
      <w:r>
        <w:rPr>
          <w:rFonts w:ascii="Arial" w:cs="Arial" w:eastAsia="Arial" w:hAnsi="Arial"/>
          <w:sz w:val="14"/>
          <w:szCs w:val="14"/>
          <w:color w:val="3B3C43"/>
        </w:rPr>
        <w:t>Ms. Mannen - contributions to the U.S. Qualified Savings Plan and U.S. Non-Qualified Savings Plan of $118,194, spouse travel for Company business functions of $459, club membership of $21,500, financial planning and personal tax assistance of $22,783, security services of $7,796, and Company-paid life insurance premium of $376.</w:t>
      </w:r>
    </w:p>
    <w:p>
      <w:pPr>
        <w:spacing w:after="0" w:line="72" w:lineRule="exact"/>
        <w:rPr>
          <w:sz w:val="20"/>
          <w:szCs w:val="20"/>
          <w:color w:val="auto"/>
        </w:rPr>
      </w:pPr>
    </w:p>
    <w:p>
      <w:pPr>
        <w:ind w:left="280" w:right="100"/>
        <w:spacing w:after="0" w:line="258" w:lineRule="auto"/>
        <w:rPr>
          <w:sz w:val="20"/>
          <w:szCs w:val="20"/>
          <w:color w:val="auto"/>
        </w:rPr>
      </w:pPr>
      <w:r>
        <w:rPr>
          <w:rFonts w:ascii="Arial" w:cs="Arial" w:eastAsia="Arial" w:hAnsi="Arial"/>
          <w:sz w:val="14"/>
          <w:szCs w:val="14"/>
          <w:color w:val="3B3C43"/>
        </w:rPr>
        <w:t>Mr. Rounce - contributions to the U.S. Qualified Savings Plan and U.S. Non-Qualified Savings Plan of $101,710, club membership of $10,000, security services of $3,918, and Company-paid life insurance premium of $281.</w:t>
      </w:r>
    </w:p>
    <w:p>
      <w:pPr>
        <w:spacing w:after="0" w:line="72" w:lineRule="exact"/>
        <w:rPr>
          <w:sz w:val="20"/>
          <w:szCs w:val="20"/>
          <w:color w:val="auto"/>
        </w:rPr>
      </w:pPr>
    </w:p>
    <w:p>
      <w:pPr>
        <w:ind w:left="280" w:right="320"/>
        <w:spacing w:after="0" w:line="258" w:lineRule="auto"/>
        <w:rPr>
          <w:sz w:val="20"/>
          <w:szCs w:val="20"/>
          <w:color w:val="auto"/>
        </w:rPr>
      </w:pPr>
      <w:r>
        <w:rPr>
          <w:rFonts w:ascii="Arial" w:cs="Arial" w:eastAsia="Arial" w:hAnsi="Arial"/>
          <w:sz w:val="14"/>
          <w:szCs w:val="14"/>
          <w:color w:val="3B3C43"/>
        </w:rPr>
        <w:t>Mr. Pieton - contributions to the U.S. Qualified Savings Plan and U.S. Non-Qualified Savings Plan of $25,883, car allowance of $18,000, security services of $665, and Company-paid life insurance premium of $275.</w:t>
      </w:r>
    </w:p>
    <w:p>
      <w:pPr>
        <w:spacing w:after="0" w:line="72" w:lineRule="exact"/>
        <w:rPr>
          <w:sz w:val="20"/>
          <w:szCs w:val="20"/>
          <w:color w:val="auto"/>
        </w:rPr>
      </w:pPr>
    </w:p>
    <w:p>
      <w:pPr>
        <w:ind w:left="280" w:right="100"/>
        <w:spacing w:after="0" w:line="258" w:lineRule="auto"/>
        <w:rPr>
          <w:sz w:val="20"/>
          <w:szCs w:val="20"/>
          <w:color w:val="auto"/>
        </w:rPr>
      </w:pPr>
      <w:r>
        <w:rPr>
          <w:rFonts w:ascii="Arial" w:cs="Arial" w:eastAsia="Arial" w:hAnsi="Arial"/>
          <w:sz w:val="14"/>
          <w:szCs w:val="14"/>
          <w:color w:val="3B3C43"/>
        </w:rPr>
        <w:t>Mr. Glickman - contributions to the U.S. Qualified Savings Plan and U.S. Non-Qualified Savings Plan of $90,068, financial planning and personal tax assistance of $1,878, spouse travel for Company business functions of $2,781, mobility premium of $40,632, relocation of $12,000, and Company-paid life insurance premium of $251.</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4"/>
          <w:szCs w:val="14"/>
          <w:color w:val="3B3C43"/>
        </w:rPr>
        <w:t>Ms. MacGregor - settlement payment of $129,590, notice period payment of $104,742, and unused paid holidays of $58,421</w:t>
      </w:r>
    </w:p>
    <w:p>
      <w:pPr>
        <w:spacing w:after="0" w:line="96" w:lineRule="exact"/>
        <w:rPr>
          <w:sz w:val="20"/>
          <w:szCs w:val="20"/>
          <w:color w:val="auto"/>
        </w:rPr>
      </w:pPr>
    </w:p>
    <w:p>
      <w:pPr>
        <w:ind w:left="280" w:right="200"/>
        <w:spacing w:after="0" w:line="258" w:lineRule="auto"/>
        <w:rPr>
          <w:sz w:val="20"/>
          <w:szCs w:val="20"/>
          <w:color w:val="auto"/>
        </w:rPr>
      </w:pPr>
      <w:r>
        <w:rPr>
          <w:rFonts w:ascii="Arial" w:cs="Arial" w:eastAsia="Arial" w:hAnsi="Arial"/>
          <w:sz w:val="14"/>
          <w:szCs w:val="14"/>
          <w:color w:val="3B3C43"/>
        </w:rPr>
        <w:t>Mr. Uccelletti - settlement payments of $1,730,482, non-compete payments of $508,579, unused paid holidays of $244,868, refund of overpaid taxes for previous year of $152,729, per diem and allowances of $22,031, and pension payment of $6,881.</w:t>
      </w:r>
    </w:p>
    <w:p>
      <w:pPr>
        <w:spacing w:after="0" w:line="72" w:lineRule="exact"/>
        <w:rPr>
          <w:sz w:val="20"/>
          <w:szCs w:val="20"/>
          <w:color w:val="auto"/>
        </w:rPr>
      </w:pPr>
    </w:p>
    <w:p>
      <w:pPr>
        <w:ind w:left="280" w:hanging="272"/>
        <w:spacing w:after="0" w:line="245" w:lineRule="auto"/>
        <w:tabs>
          <w:tab w:leader="none" w:pos="280" w:val="left"/>
        </w:tabs>
        <w:numPr>
          <w:ilvl w:val="0"/>
          <w:numId w:val="108"/>
        </w:numPr>
        <w:rPr>
          <w:rFonts w:ascii="Arial" w:cs="Arial" w:eastAsia="Arial" w:hAnsi="Arial"/>
          <w:sz w:val="14"/>
          <w:szCs w:val="14"/>
          <w:color w:val="3B3C43"/>
        </w:rPr>
      </w:pPr>
      <w:r>
        <w:rPr>
          <w:rFonts w:ascii="Arial" w:cs="Arial" w:eastAsia="Arial" w:hAnsi="Arial"/>
          <w:sz w:val="14"/>
          <w:szCs w:val="14"/>
          <w:color w:val="3B3C43"/>
        </w:rPr>
        <w:t>Mr. Rounce commenced employment on September 14, 2018. In order to attract Mr. Rounce to join the Company and to make him whole for forfeited compensation at his prior company, he received a cash bonus totaling $750,000 in one-third increments over three years, subject to him not being terminated for cause. This amount is reflected in the Bonus column. In addition, Mr. Rounce was guaranteed a bonus of $720,000 that included a pro-rated annual cash incentive for 2018. The difference between the guaranteed amount of $720,000 and his actual annual cash incentive earned in 2018 is reflected in the Bonus column, and the actual annual cash incentive earned in 2018 is reflected in the Non-Equity Incentive Plan Compensation column.</w:t>
      </w:r>
    </w:p>
    <w:p>
      <w:pPr>
        <w:spacing w:after="0" w:line="82" w:lineRule="exact"/>
        <w:rPr>
          <w:rFonts w:ascii="Arial" w:cs="Arial" w:eastAsia="Arial" w:hAnsi="Arial"/>
          <w:sz w:val="14"/>
          <w:szCs w:val="14"/>
          <w:color w:val="3B3C43"/>
        </w:rPr>
      </w:pPr>
    </w:p>
    <w:p>
      <w:pPr>
        <w:ind w:left="280" w:right="220" w:hanging="272"/>
        <w:spacing w:after="0" w:line="258" w:lineRule="auto"/>
        <w:tabs>
          <w:tab w:leader="none" w:pos="280" w:val="left"/>
        </w:tabs>
        <w:numPr>
          <w:ilvl w:val="0"/>
          <w:numId w:val="108"/>
        </w:numPr>
        <w:rPr>
          <w:rFonts w:ascii="Arial" w:cs="Arial" w:eastAsia="Arial" w:hAnsi="Arial"/>
          <w:sz w:val="14"/>
          <w:szCs w:val="14"/>
          <w:color w:val="3B3C43"/>
        </w:rPr>
      </w:pPr>
      <w:r>
        <w:rPr>
          <w:rFonts w:ascii="Arial" w:cs="Arial" w:eastAsia="Arial" w:hAnsi="Arial"/>
          <w:sz w:val="14"/>
          <w:szCs w:val="14"/>
          <w:color w:val="3B3C43"/>
        </w:rPr>
        <w:t>The amounts reported as salary, non-equity incentive compensation, bonus, and all other compensation for Ms. MacGregor and Mr. Uccelletti were paid in Euros. These amounts were converted to U.S. dollars utilizing an average of the Euro to U.S. dollar exchange rates on the last day of each month during 2020.</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107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15" w:right="39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Grants of Plan-Based Awards Table</w:t>
      </w:r>
    </w:p>
    <w:p>
      <w:pPr>
        <w:spacing w:after="0" w:line="19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3B3C43"/>
        </w:rPr>
        <w:t>Shown below is information with respect to plan-based awards made in 2020 to each NEO. Mr. Uccelletti is excluded because he retired from the Company on February 29, 2020 and did not receive an equity grant in 2020.</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1340" w:type="dxa"/>
            <w:vAlign w:val="bottom"/>
            <w:tcBorders>
              <w:left w:val="single" w:sz="8" w:color="B1B2B4"/>
            </w:tcBorders>
            <w:shd w:val="clear" w:color="auto" w:fill="4A1F67"/>
          </w:tcPr>
          <w:p>
            <w:pPr>
              <w:spacing w:after="0"/>
              <w:rPr>
                <w:sz w:val="13"/>
                <w:szCs w:val="13"/>
                <w:color w:val="auto"/>
              </w:rPr>
            </w:pPr>
          </w:p>
        </w:tc>
        <w:tc>
          <w:tcPr>
            <w:tcW w:w="860" w:type="dxa"/>
            <w:vAlign w:val="bottom"/>
            <w:tcBorders>
              <w:right w:val="single" w:sz="8" w:color="B1B2B4"/>
            </w:tcBorders>
            <w:shd w:val="clear" w:color="auto" w:fill="4A1F67"/>
          </w:tcPr>
          <w:p>
            <w:pPr>
              <w:spacing w:after="0"/>
              <w:rPr>
                <w:sz w:val="13"/>
                <w:szCs w:val="13"/>
                <w:color w:val="auto"/>
              </w:rPr>
            </w:pPr>
          </w:p>
        </w:tc>
        <w:tc>
          <w:tcPr>
            <w:tcW w:w="780" w:type="dxa"/>
            <w:vAlign w:val="bottom"/>
            <w:tcBorders>
              <w:right w:val="single" w:sz="8" w:color="B1B2B4"/>
            </w:tcBorders>
            <w:shd w:val="clear" w:color="auto" w:fill="4A1F67"/>
          </w:tcPr>
          <w:p>
            <w:pPr>
              <w:spacing w:after="0"/>
              <w:rPr>
                <w:sz w:val="13"/>
                <w:szCs w:val="13"/>
                <w:color w:val="auto"/>
              </w:rPr>
            </w:pPr>
          </w:p>
        </w:tc>
        <w:tc>
          <w:tcPr>
            <w:tcW w:w="780" w:type="dxa"/>
            <w:vAlign w:val="bottom"/>
            <w:tcBorders>
              <w:right w:val="single" w:sz="8" w:color="4A1F67"/>
            </w:tcBorders>
            <w:shd w:val="clear" w:color="auto" w:fill="4A1F67"/>
          </w:tcPr>
          <w:p>
            <w:pPr>
              <w:spacing w:after="0"/>
              <w:rPr>
                <w:sz w:val="13"/>
                <w:szCs w:val="13"/>
                <w:color w:val="auto"/>
              </w:rPr>
            </w:pPr>
          </w:p>
        </w:tc>
        <w:tc>
          <w:tcPr>
            <w:tcW w:w="780" w:type="dxa"/>
            <w:vAlign w:val="bottom"/>
            <w:shd w:val="clear" w:color="auto" w:fill="4A1F67"/>
          </w:tcPr>
          <w:p>
            <w:pPr>
              <w:spacing w:after="0"/>
              <w:rPr>
                <w:sz w:val="13"/>
                <w:szCs w:val="13"/>
                <w:color w:val="auto"/>
              </w:rPr>
            </w:pPr>
          </w:p>
        </w:tc>
        <w:tc>
          <w:tcPr>
            <w:tcW w:w="780" w:type="dxa"/>
            <w:vAlign w:val="bottom"/>
            <w:shd w:val="clear" w:color="auto" w:fill="4A1F67"/>
          </w:tcPr>
          <w:p>
            <w:pPr>
              <w:spacing w:after="0"/>
              <w:rPr>
                <w:sz w:val="13"/>
                <w:szCs w:val="13"/>
                <w:color w:val="auto"/>
              </w:rPr>
            </w:pPr>
          </w:p>
        </w:tc>
        <w:tc>
          <w:tcPr>
            <w:tcW w:w="780" w:type="dxa"/>
            <w:vAlign w:val="bottom"/>
            <w:shd w:val="clear" w:color="auto" w:fill="4A1F67"/>
          </w:tcPr>
          <w:p>
            <w:pPr>
              <w:spacing w:after="0"/>
              <w:rPr>
                <w:sz w:val="13"/>
                <w:szCs w:val="13"/>
                <w:color w:val="auto"/>
              </w:rPr>
            </w:pPr>
          </w:p>
        </w:tc>
        <w:tc>
          <w:tcPr>
            <w:tcW w:w="800" w:type="dxa"/>
            <w:vAlign w:val="bottom"/>
            <w:tcBorders>
              <w:right w:val="single" w:sz="8" w:color="4A1F67"/>
            </w:tcBorders>
            <w:shd w:val="clear" w:color="auto" w:fill="4A1F67"/>
          </w:tcPr>
          <w:p>
            <w:pPr>
              <w:spacing w:after="0"/>
              <w:rPr>
                <w:sz w:val="13"/>
                <w:szCs w:val="13"/>
                <w:color w:val="auto"/>
              </w:rPr>
            </w:pPr>
          </w:p>
        </w:tc>
        <w:tc>
          <w:tcPr>
            <w:tcW w:w="780" w:type="dxa"/>
            <w:vAlign w:val="bottom"/>
            <w:tcBorders>
              <w:right w:val="single" w:sz="8" w:color="B1B2B4"/>
            </w:tcBorders>
            <w:shd w:val="clear" w:color="auto" w:fill="4A1F67"/>
          </w:tcPr>
          <w:p>
            <w:pPr>
              <w:spacing w:after="0"/>
              <w:rPr>
                <w:sz w:val="13"/>
                <w:szCs w:val="13"/>
                <w:color w:val="auto"/>
              </w:rPr>
            </w:pPr>
          </w:p>
        </w:tc>
        <w:tc>
          <w:tcPr>
            <w:tcW w:w="88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All Other</w:t>
            </w:r>
          </w:p>
        </w:tc>
        <w:tc>
          <w:tcPr>
            <w:tcW w:w="900" w:type="dxa"/>
            <w:vAlign w:val="bottom"/>
            <w:tcBorders>
              <w:right w:val="single" w:sz="8" w:color="B1B2B4"/>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All Other</w:t>
            </w:r>
          </w:p>
        </w:tc>
        <w:tc>
          <w:tcPr>
            <w:tcW w:w="880" w:type="dxa"/>
            <w:vAlign w:val="bottom"/>
            <w:shd w:val="clear" w:color="auto" w:fill="4A1F67"/>
          </w:tcPr>
          <w:p>
            <w:pPr>
              <w:spacing w:after="0"/>
              <w:rPr>
                <w:sz w:val="13"/>
                <w:szCs w:val="13"/>
                <w:color w:val="auto"/>
              </w:rPr>
            </w:pPr>
          </w:p>
        </w:tc>
        <w:tc>
          <w:tcPr>
            <w:tcW w:w="880" w:type="dxa"/>
            <w:vAlign w:val="bottom"/>
            <w:shd w:val="clear" w:color="auto" w:fill="4A1F67"/>
          </w:tcPr>
          <w:p>
            <w:pPr>
              <w:spacing w:after="0"/>
              <w:rPr>
                <w:sz w:val="13"/>
                <w:szCs w:val="13"/>
                <w:color w:val="auto"/>
              </w:rPr>
            </w:pPr>
          </w:p>
        </w:tc>
        <w:tc>
          <w:tcPr>
            <w:tcW w:w="20" w:type="dxa"/>
            <w:vAlign w:val="bottom"/>
            <w:shd w:val="clear" w:color="auto" w:fill="B1B2B4"/>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B1B2B4"/>
            </w:tcBorders>
            <w:shd w:val="clear" w:color="auto" w:fill="4A1F67"/>
          </w:tcPr>
          <w:p>
            <w:pPr>
              <w:spacing w:after="0"/>
              <w:rPr>
                <w:sz w:val="11"/>
                <w:szCs w:val="11"/>
                <w:color w:val="auto"/>
              </w:rPr>
            </w:pPr>
          </w:p>
        </w:tc>
        <w:tc>
          <w:tcPr>
            <w:tcW w:w="860" w:type="dxa"/>
            <w:vAlign w:val="bottom"/>
            <w:tcBorders>
              <w:right w:val="single" w:sz="8" w:color="B1B2B4"/>
            </w:tcBorders>
            <w:shd w:val="clear" w:color="auto" w:fill="4A1F67"/>
          </w:tcPr>
          <w:p>
            <w:pPr>
              <w:spacing w:after="0"/>
              <w:rPr>
                <w:sz w:val="11"/>
                <w:szCs w:val="11"/>
                <w:color w:val="auto"/>
              </w:rPr>
            </w:pPr>
          </w:p>
        </w:tc>
        <w:tc>
          <w:tcPr>
            <w:tcW w:w="780" w:type="dxa"/>
            <w:vAlign w:val="bottom"/>
            <w:tcBorders>
              <w:right w:val="single" w:sz="8" w:color="B1B2B4"/>
            </w:tcBorders>
            <w:shd w:val="clear" w:color="auto" w:fill="4A1F67"/>
          </w:tcPr>
          <w:p>
            <w:pPr>
              <w:spacing w:after="0"/>
              <w:rPr>
                <w:sz w:val="11"/>
                <w:szCs w:val="11"/>
                <w:color w:val="auto"/>
              </w:rPr>
            </w:pPr>
          </w:p>
        </w:tc>
        <w:tc>
          <w:tcPr>
            <w:tcW w:w="2340" w:type="dxa"/>
            <w:vAlign w:val="bottom"/>
            <w:gridSpan w:val="3"/>
            <w:vMerge w:val="restart"/>
            <w:shd w:val="clear" w:color="auto" w:fill="4A1F67"/>
          </w:tcPr>
          <w:p>
            <w:pPr>
              <w:jc w:val="center"/>
              <w:spacing w:after="0"/>
              <w:rPr>
                <w:sz w:val="20"/>
                <w:szCs w:val="20"/>
                <w:color w:val="auto"/>
              </w:rPr>
            </w:pPr>
            <w:r>
              <w:rPr>
                <w:rFonts w:ascii="Arial" w:cs="Arial" w:eastAsia="Arial" w:hAnsi="Arial"/>
                <w:sz w:val="13"/>
                <w:szCs w:val="13"/>
                <w:b w:val="1"/>
                <w:bCs w:val="1"/>
                <w:color w:val="FFFFFF"/>
                <w:w w:val="95"/>
              </w:rPr>
              <w:t>Estimated Possible</w:t>
            </w:r>
          </w:p>
        </w:tc>
        <w:tc>
          <w:tcPr>
            <w:tcW w:w="2360" w:type="dxa"/>
            <w:vAlign w:val="bottom"/>
            <w:tcBorders>
              <w:right w:val="single" w:sz="8" w:color="B1B2B4"/>
            </w:tcBorders>
            <w:gridSpan w:val="3"/>
            <w:vMerge w:val="restart"/>
            <w:shd w:val="clear" w:color="auto" w:fill="4A1F67"/>
          </w:tcPr>
          <w:p>
            <w:pPr>
              <w:jc w:val="center"/>
              <w:spacing w:after="0"/>
              <w:rPr>
                <w:sz w:val="20"/>
                <w:szCs w:val="20"/>
                <w:color w:val="auto"/>
              </w:rPr>
            </w:pPr>
            <w:r>
              <w:rPr>
                <w:rFonts w:ascii="Arial" w:cs="Arial" w:eastAsia="Arial" w:hAnsi="Arial"/>
                <w:sz w:val="13"/>
                <w:szCs w:val="13"/>
                <w:b w:val="1"/>
                <w:bCs w:val="1"/>
                <w:color w:val="FFFFFF"/>
                <w:w w:val="97"/>
              </w:rPr>
              <w:t>Estimated Possible</w:t>
            </w:r>
          </w:p>
        </w:tc>
        <w:tc>
          <w:tcPr>
            <w:tcW w:w="88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Stock</w:t>
            </w:r>
          </w:p>
        </w:tc>
        <w:tc>
          <w:tcPr>
            <w:tcW w:w="900" w:type="dxa"/>
            <w:vAlign w:val="bottom"/>
            <w:tcBorders>
              <w:right w:val="single" w:sz="8" w:color="B1B2B4"/>
            </w:tcBorders>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Option</w:t>
            </w:r>
          </w:p>
        </w:tc>
        <w:tc>
          <w:tcPr>
            <w:tcW w:w="8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20" w:type="dxa"/>
            <w:vAlign w:val="bottom"/>
            <w:shd w:val="clear" w:color="auto" w:fill="B1B2B4"/>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40" w:type="dxa"/>
            <w:vAlign w:val="bottom"/>
            <w:tcBorders>
              <w:left w:val="single" w:sz="8" w:color="B1B2B4"/>
            </w:tcBorders>
            <w:shd w:val="clear" w:color="auto" w:fill="4A1F67"/>
          </w:tcPr>
          <w:p>
            <w:pPr>
              <w:spacing w:after="0"/>
              <w:rPr>
                <w:sz w:val="5"/>
                <w:szCs w:val="5"/>
                <w:color w:val="auto"/>
              </w:rPr>
            </w:pPr>
          </w:p>
        </w:tc>
        <w:tc>
          <w:tcPr>
            <w:tcW w:w="860" w:type="dxa"/>
            <w:vAlign w:val="bottom"/>
            <w:tcBorders>
              <w:right w:val="single" w:sz="8" w:color="B1B2B4"/>
            </w:tcBorders>
            <w:shd w:val="clear" w:color="auto" w:fill="4A1F67"/>
          </w:tcPr>
          <w:p>
            <w:pPr>
              <w:spacing w:after="0"/>
              <w:rPr>
                <w:sz w:val="5"/>
                <w:szCs w:val="5"/>
                <w:color w:val="auto"/>
              </w:rPr>
            </w:pPr>
          </w:p>
        </w:tc>
        <w:tc>
          <w:tcPr>
            <w:tcW w:w="780" w:type="dxa"/>
            <w:vAlign w:val="bottom"/>
            <w:tcBorders>
              <w:right w:val="single" w:sz="8" w:color="B1B2B4"/>
            </w:tcBorders>
            <w:shd w:val="clear" w:color="auto" w:fill="4A1F67"/>
          </w:tcPr>
          <w:p>
            <w:pPr>
              <w:spacing w:after="0"/>
              <w:rPr>
                <w:sz w:val="5"/>
                <w:szCs w:val="5"/>
                <w:color w:val="auto"/>
              </w:rPr>
            </w:pPr>
          </w:p>
        </w:tc>
        <w:tc>
          <w:tcPr>
            <w:tcW w:w="2340" w:type="dxa"/>
            <w:vAlign w:val="bottom"/>
            <w:gridSpan w:val="3"/>
            <w:vMerge w:val="continue"/>
            <w:shd w:val="clear" w:color="auto" w:fill="4A1F67"/>
          </w:tcPr>
          <w:p>
            <w:pPr>
              <w:spacing w:after="0"/>
              <w:rPr>
                <w:sz w:val="5"/>
                <w:szCs w:val="5"/>
                <w:color w:val="auto"/>
              </w:rPr>
            </w:pPr>
          </w:p>
        </w:tc>
        <w:tc>
          <w:tcPr>
            <w:tcW w:w="2360" w:type="dxa"/>
            <w:vAlign w:val="bottom"/>
            <w:tcBorders>
              <w:right w:val="single" w:sz="8" w:color="B1B2B4"/>
            </w:tcBorders>
            <w:gridSpan w:val="3"/>
            <w:vMerge w:val="continue"/>
            <w:shd w:val="clear" w:color="auto" w:fill="4A1F67"/>
          </w:tcPr>
          <w:p>
            <w:pPr>
              <w:spacing w:after="0"/>
              <w:rPr>
                <w:sz w:val="5"/>
                <w:szCs w:val="5"/>
                <w:color w:val="auto"/>
              </w:rPr>
            </w:pPr>
          </w:p>
        </w:tc>
        <w:tc>
          <w:tcPr>
            <w:tcW w:w="880" w:type="dxa"/>
            <w:vAlign w:val="bottom"/>
            <w:vMerge w:val="restart"/>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Awards:</w:t>
            </w:r>
          </w:p>
        </w:tc>
        <w:tc>
          <w:tcPr>
            <w:tcW w:w="900" w:type="dxa"/>
            <w:vAlign w:val="bottom"/>
            <w:tcBorders>
              <w:right w:val="single" w:sz="8" w:color="B1B2B4"/>
            </w:tcBorders>
            <w:vMerge w:val="restart"/>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Awards:</w:t>
            </w:r>
          </w:p>
        </w:tc>
        <w:tc>
          <w:tcPr>
            <w:tcW w:w="880" w:type="dxa"/>
            <w:vAlign w:val="bottom"/>
            <w:vMerge w:val="restart"/>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Exercise</w:t>
            </w:r>
          </w:p>
        </w:tc>
        <w:tc>
          <w:tcPr>
            <w:tcW w:w="880" w:type="dxa"/>
            <w:vAlign w:val="bottom"/>
            <w:shd w:val="clear" w:color="auto" w:fill="4A1F67"/>
          </w:tcPr>
          <w:p>
            <w:pPr>
              <w:spacing w:after="0"/>
              <w:rPr>
                <w:sz w:val="5"/>
                <w:szCs w:val="5"/>
                <w:color w:val="auto"/>
              </w:rPr>
            </w:pPr>
          </w:p>
        </w:tc>
        <w:tc>
          <w:tcPr>
            <w:tcW w:w="20" w:type="dxa"/>
            <w:vAlign w:val="bottom"/>
            <w:shd w:val="clear" w:color="auto" w:fill="B1B2B4"/>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340" w:type="dxa"/>
            <w:vAlign w:val="bottom"/>
            <w:tcBorders>
              <w:left w:val="single" w:sz="8" w:color="B1B2B4"/>
            </w:tcBorders>
            <w:shd w:val="clear" w:color="auto" w:fill="4A1F67"/>
          </w:tcPr>
          <w:p>
            <w:pPr>
              <w:spacing w:after="0"/>
              <w:rPr>
                <w:sz w:val="5"/>
                <w:szCs w:val="5"/>
                <w:color w:val="auto"/>
              </w:rPr>
            </w:pPr>
          </w:p>
        </w:tc>
        <w:tc>
          <w:tcPr>
            <w:tcW w:w="860" w:type="dxa"/>
            <w:vAlign w:val="bottom"/>
            <w:tcBorders>
              <w:right w:val="single" w:sz="8" w:color="B1B2B4"/>
            </w:tcBorders>
            <w:shd w:val="clear" w:color="auto" w:fill="4A1F67"/>
          </w:tcPr>
          <w:p>
            <w:pPr>
              <w:spacing w:after="0"/>
              <w:rPr>
                <w:sz w:val="5"/>
                <w:szCs w:val="5"/>
                <w:color w:val="auto"/>
              </w:rPr>
            </w:pPr>
          </w:p>
        </w:tc>
        <w:tc>
          <w:tcPr>
            <w:tcW w:w="780" w:type="dxa"/>
            <w:vAlign w:val="bottom"/>
            <w:tcBorders>
              <w:right w:val="single" w:sz="8" w:color="B1B2B4"/>
            </w:tcBorders>
            <w:shd w:val="clear" w:color="auto" w:fill="4A1F67"/>
          </w:tcPr>
          <w:p>
            <w:pPr>
              <w:spacing w:after="0"/>
              <w:rPr>
                <w:sz w:val="5"/>
                <w:szCs w:val="5"/>
                <w:color w:val="auto"/>
              </w:rPr>
            </w:pPr>
          </w:p>
        </w:tc>
        <w:tc>
          <w:tcPr>
            <w:tcW w:w="2340" w:type="dxa"/>
            <w:vAlign w:val="bottom"/>
            <w:gridSpan w:val="3"/>
            <w:vMerge w:val="restart"/>
            <w:shd w:val="clear" w:color="auto" w:fill="4A1F67"/>
          </w:tcPr>
          <w:p>
            <w:pPr>
              <w:jc w:val="center"/>
              <w:spacing w:after="0" w:line="135" w:lineRule="exact"/>
              <w:rPr>
                <w:sz w:val="20"/>
                <w:szCs w:val="20"/>
                <w:color w:val="auto"/>
              </w:rPr>
            </w:pPr>
            <w:r>
              <w:rPr>
                <w:rFonts w:ascii="Arial" w:cs="Arial" w:eastAsia="Arial" w:hAnsi="Arial"/>
                <w:sz w:val="13"/>
                <w:szCs w:val="13"/>
                <w:b w:val="1"/>
                <w:bCs w:val="1"/>
                <w:color w:val="FFFFFF"/>
                <w:w w:val="96"/>
              </w:rPr>
              <w:t>Payouts under Non-Equity</w:t>
            </w:r>
          </w:p>
        </w:tc>
        <w:tc>
          <w:tcPr>
            <w:tcW w:w="2360" w:type="dxa"/>
            <w:vAlign w:val="bottom"/>
            <w:tcBorders>
              <w:right w:val="single" w:sz="8" w:color="B1B2B4"/>
            </w:tcBorders>
            <w:gridSpan w:val="3"/>
            <w:vMerge w:val="restart"/>
            <w:shd w:val="clear" w:color="auto" w:fill="4A1F67"/>
          </w:tcPr>
          <w:p>
            <w:pPr>
              <w:jc w:val="center"/>
              <w:spacing w:after="0" w:line="135" w:lineRule="exact"/>
              <w:rPr>
                <w:sz w:val="20"/>
                <w:szCs w:val="20"/>
                <w:color w:val="auto"/>
              </w:rPr>
            </w:pPr>
            <w:r>
              <w:rPr>
                <w:rFonts w:ascii="Arial" w:cs="Arial" w:eastAsia="Arial" w:hAnsi="Arial"/>
                <w:sz w:val="13"/>
                <w:szCs w:val="13"/>
                <w:b w:val="1"/>
                <w:bCs w:val="1"/>
                <w:color w:val="FFFFFF"/>
                <w:w w:val="97"/>
              </w:rPr>
              <w:t>Payouts under Equity</w:t>
            </w:r>
          </w:p>
        </w:tc>
        <w:tc>
          <w:tcPr>
            <w:tcW w:w="880" w:type="dxa"/>
            <w:vAlign w:val="bottom"/>
            <w:vMerge w:val="continue"/>
            <w:shd w:val="clear" w:color="auto" w:fill="4A1F67"/>
          </w:tcPr>
          <w:p>
            <w:pPr>
              <w:spacing w:after="0"/>
              <w:rPr>
                <w:sz w:val="5"/>
                <w:szCs w:val="5"/>
                <w:color w:val="auto"/>
              </w:rPr>
            </w:pPr>
          </w:p>
        </w:tc>
        <w:tc>
          <w:tcPr>
            <w:tcW w:w="900" w:type="dxa"/>
            <w:vAlign w:val="bottom"/>
            <w:tcBorders>
              <w:right w:val="single" w:sz="8" w:color="B1B2B4"/>
            </w:tcBorders>
            <w:vMerge w:val="continue"/>
            <w:shd w:val="clear" w:color="auto" w:fill="4A1F67"/>
          </w:tcPr>
          <w:p>
            <w:pPr>
              <w:spacing w:after="0"/>
              <w:rPr>
                <w:sz w:val="5"/>
                <w:szCs w:val="5"/>
                <w:color w:val="auto"/>
              </w:rPr>
            </w:pPr>
          </w:p>
        </w:tc>
        <w:tc>
          <w:tcPr>
            <w:tcW w:w="880" w:type="dxa"/>
            <w:vAlign w:val="bottom"/>
            <w:vMerge w:val="continue"/>
            <w:shd w:val="clear" w:color="auto" w:fill="4A1F67"/>
          </w:tcPr>
          <w:p>
            <w:pPr>
              <w:spacing w:after="0"/>
              <w:rPr>
                <w:sz w:val="5"/>
                <w:szCs w:val="5"/>
                <w:color w:val="auto"/>
              </w:rPr>
            </w:pPr>
          </w:p>
        </w:tc>
        <w:tc>
          <w:tcPr>
            <w:tcW w:w="880" w:type="dxa"/>
            <w:vAlign w:val="bottom"/>
            <w:shd w:val="clear" w:color="auto" w:fill="4A1F67"/>
          </w:tcPr>
          <w:p>
            <w:pPr>
              <w:spacing w:after="0"/>
              <w:rPr>
                <w:sz w:val="5"/>
                <w:szCs w:val="5"/>
                <w:color w:val="auto"/>
              </w:rPr>
            </w:pPr>
          </w:p>
        </w:tc>
        <w:tc>
          <w:tcPr>
            <w:tcW w:w="20" w:type="dxa"/>
            <w:vAlign w:val="bottom"/>
            <w:shd w:val="clear" w:color="auto" w:fill="B1B2B4"/>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340" w:type="dxa"/>
            <w:vAlign w:val="bottom"/>
            <w:tcBorders>
              <w:left w:val="single" w:sz="8" w:color="B1B2B4"/>
            </w:tcBorders>
            <w:shd w:val="clear" w:color="auto" w:fill="4A1F67"/>
          </w:tcPr>
          <w:p>
            <w:pPr>
              <w:spacing w:after="0"/>
              <w:rPr>
                <w:sz w:val="5"/>
                <w:szCs w:val="5"/>
                <w:color w:val="auto"/>
              </w:rPr>
            </w:pPr>
          </w:p>
        </w:tc>
        <w:tc>
          <w:tcPr>
            <w:tcW w:w="860" w:type="dxa"/>
            <w:vAlign w:val="bottom"/>
            <w:tcBorders>
              <w:right w:val="single" w:sz="8" w:color="B1B2B4"/>
            </w:tcBorders>
            <w:shd w:val="clear" w:color="auto" w:fill="4A1F67"/>
          </w:tcPr>
          <w:p>
            <w:pPr>
              <w:spacing w:after="0"/>
              <w:rPr>
                <w:sz w:val="5"/>
                <w:szCs w:val="5"/>
                <w:color w:val="auto"/>
              </w:rPr>
            </w:pPr>
          </w:p>
        </w:tc>
        <w:tc>
          <w:tcPr>
            <w:tcW w:w="780" w:type="dxa"/>
            <w:vAlign w:val="bottom"/>
            <w:tcBorders>
              <w:right w:val="single" w:sz="8" w:color="B1B2B4"/>
            </w:tcBorders>
            <w:shd w:val="clear" w:color="auto" w:fill="4A1F67"/>
          </w:tcPr>
          <w:p>
            <w:pPr>
              <w:spacing w:after="0"/>
              <w:rPr>
                <w:sz w:val="5"/>
                <w:szCs w:val="5"/>
                <w:color w:val="auto"/>
              </w:rPr>
            </w:pPr>
          </w:p>
        </w:tc>
        <w:tc>
          <w:tcPr>
            <w:tcW w:w="2340" w:type="dxa"/>
            <w:vAlign w:val="bottom"/>
            <w:gridSpan w:val="3"/>
            <w:vMerge w:val="continue"/>
            <w:shd w:val="clear" w:color="auto" w:fill="4A1F67"/>
          </w:tcPr>
          <w:p>
            <w:pPr>
              <w:spacing w:after="0"/>
              <w:rPr>
                <w:sz w:val="5"/>
                <w:szCs w:val="5"/>
                <w:color w:val="auto"/>
              </w:rPr>
            </w:pPr>
          </w:p>
        </w:tc>
        <w:tc>
          <w:tcPr>
            <w:tcW w:w="2360" w:type="dxa"/>
            <w:vAlign w:val="bottom"/>
            <w:tcBorders>
              <w:right w:val="single" w:sz="8" w:color="B1B2B4"/>
            </w:tcBorders>
            <w:gridSpan w:val="3"/>
            <w:vMerge w:val="continue"/>
            <w:shd w:val="clear" w:color="auto" w:fill="4A1F67"/>
          </w:tcPr>
          <w:p>
            <w:pPr>
              <w:spacing w:after="0"/>
              <w:rPr>
                <w:sz w:val="5"/>
                <w:szCs w:val="5"/>
                <w:color w:val="auto"/>
              </w:rPr>
            </w:pPr>
          </w:p>
        </w:tc>
        <w:tc>
          <w:tcPr>
            <w:tcW w:w="880" w:type="dxa"/>
            <w:vAlign w:val="bottom"/>
            <w:vMerge w:val="restart"/>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Number of</w:t>
            </w:r>
          </w:p>
        </w:tc>
        <w:tc>
          <w:tcPr>
            <w:tcW w:w="900" w:type="dxa"/>
            <w:vAlign w:val="bottom"/>
            <w:tcBorders>
              <w:right w:val="single" w:sz="8" w:color="B1B2B4"/>
            </w:tcBorders>
            <w:vMerge w:val="restart"/>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Number of</w:t>
            </w:r>
          </w:p>
        </w:tc>
        <w:tc>
          <w:tcPr>
            <w:tcW w:w="880" w:type="dxa"/>
            <w:vAlign w:val="bottom"/>
            <w:vMerge w:val="restart"/>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or Base</w:t>
            </w:r>
          </w:p>
        </w:tc>
        <w:tc>
          <w:tcPr>
            <w:tcW w:w="880" w:type="dxa"/>
            <w:vAlign w:val="bottom"/>
            <w:vMerge w:val="restart"/>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Grant Date</w:t>
            </w:r>
          </w:p>
        </w:tc>
        <w:tc>
          <w:tcPr>
            <w:tcW w:w="20" w:type="dxa"/>
            <w:vAlign w:val="bottom"/>
            <w:shd w:val="clear" w:color="auto" w:fill="B1B2B4"/>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340" w:type="dxa"/>
            <w:vAlign w:val="bottom"/>
            <w:tcBorders>
              <w:left w:val="single" w:sz="8" w:color="B1B2B4"/>
            </w:tcBorders>
            <w:shd w:val="clear" w:color="auto" w:fill="4A1F67"/>
          </w:tcPr>
          <w:p>
            <w:pPr>
              <w:spacing w:after="0"/>
              <w:rPr>
                <w:sz w:val="5"/>
                <w:szCs w:val="5"/>
                <w:color w:val="auto"/>
              </w:rPr>
            </w:pPr>
          </w:p>
        </w:tc>
        <w:tc>
          <w:tcPr>
            <w:tcW w:w="860" w:type="dxa"/>
            <w:vAlign w:val="bottom"/>
            <w:tcBorders>
              <w:right w:val="single" w:sz="8" w:color="B1B2B4"/>
            </w:tcBorders>
            <w:shd w:val="clear" w:color="auto" w:fill="4A1F67"/>
          </w:tcPr>
          <w:p>
            <w:pPr>
              <w:spacing w:after="0"/>
              <w:rPr>
                <w:sz w:val="5"/>
                <w:szCs w:val="5"/>
                <w:color w:val="auto"/>
              </w:rPr>
            </w:pPr>
          </w:p>
        </w:tc>
        <w:tc>
          <w:tcPr>
            <w:tcW w:w="780" w:type="dxa"/>
            <w:vAlign w:val="bottom"/>
            <w:tcBorders>
              <w:right w:val="single" w:sz="8" w:color="B1B2B4"/>
            </w:tcBorders>
            <w:shd w:val="clear" w:color="auto" w:fill="4A1F67"/>
          </w:tcPr>
          <w:p>
            <w:pPr>
              <w:spacing w:after="0"/>
              <w:rPr>
                <w:sz w:val="5"/>
                <w:szCs w:val="5"/>
                <w:color w:val="auto"/>
              </w:rPr>
            </w:pPr>
          </w:p>
        </w:tc>
        <w:tc>
          <w:tcPr>
            <w:tcW w:w="2340" w:type="dxa"/>
            <w:vAlign w:val="bottom"/>
            <w:gridSpan w:val="3"/>
            <w:vMerge w:val="restart"/>
            <w:shd w:val="clear" w:color="auto" w:fill="4A1F67"/>
          </w:tcPr>
          <w:p>
            <w:pPr>
              <w:jc w:val="center"/>
              <w:spacing w:after="0"/>
              <w:rPr>
                <w:sz w:val="20"/>
                <w:szCs w:val="20"/>
                <w:color w:val="auto"/>
              </w:rPr>
            </w:pPr>
            <w:r>
              <w:rPr>
                <w:rFonts w:ascii="Arial" w:cs="Arial" w:eastAsia="Arial" w:hAnsi="Arial"/>
                <w:sz w:val="13"/>
                <w:szCs w:val="13"/>
                <w:b w:val="1"/>
                <w:bCs w:val="1"/>
                <w:color w:val="FFFFFF"/>
                <w:w w:val="97"/>
              </w:rPr>
              <w:t>Incentive Plan Awards</w:t>
            </w:r>
          </w:p>
        </w:tc>
        <w:tc>
          <w:tcPr>
            <w:tcW w:w="2360" w:type="dxa"/>
            <w:vAlign w:val="bottom"/>
            <w:tcBorders>
              <w:right w:val="single" w:sz="8" w:color="B1B2B4"/>
            </w:tcBorders>
            <w:gridSpan w:val="3"/>
            <w:vMerge w:val="restart"/>
            <w:shd w:val="clear" w:color="auto" w:fill="4A1F67"/>
          </w:tcPr>
          <w:p>
            <w:pPr>
              <w:jc w:val="center"/>
              <w:spacing w:after="0"/>
              <w:rPr>
                <w:sz w:val="20"/>
                <w:szCs w:val="20"/>
                <w:color w:val="auto"/>
              </w:rPr>
            </w:pPr>
            <w:r>
              <w:rPr>
                <w:rFonts w:ascii="Arial" w:cs="Arial" w:eastAsia="Arial" w:hAnsi="Arial"/>
                <w:sz w:val="13"/>
                <w:szCs w:val="13"/>
                <w:b w:val="1"/>
                <w:bCs w:val="1"/>
                <w:color w:val="FFFFFF"/>
                <w:w w:val="97"/>
              </w:rPr>
              <w:t>Incentive Plan Awards</w:t>
            </w:r>
          </w:p>
        </w:tc>
        <w:tc>
          <w:tcPr>
            <w:tcW w:w="880" w:type="dxa"/>
            <w:vAlign w:val="bottom"/>
            <w:vMerge w:val="continue"/>
            <w:shd w:val="clear" w:color="auto" w:fill="4A1F67"/>
          </w:tcPr>
          <w:p>
            <w:pPr>
              <w:spacing w:after="0"/>
              <w:rPr>
                <w:sz w:val="5"/>
                <w:szCs w:val="5"/>
                <w:color w:val="auto"/>
              </w:rPr>
            </w:pPr>
          </w:p>
        </w:tc>
        <w:tc>
          <w:tcPr>
            <w:tcW w:w="900" w:type="dxa"/>
            <w:vAlign w:val="bottom"/>
            <w:tcBorders>
              <w:right w:val="single" w:sz="8" w:color="B1B2B4"/>
            </w:tcBorders>
            <w:vMerge w:val="continue"/>
            <w:shd w:val="clear" w:color="auto" w:fill="4A1F67"/>
          </w:tcPr>
          <w:p>
            <w:pPr>
              <w:spacing w:after="0"/>
              <w:rPr>
                <w:sz w:val="5"/>
                <w:szCs w:val="5"/>
                <w:color w:val="auto"/>
              </w:rPr>
            </w:pPr>
          </w:p>
        </w:tc>
        <w:tc>
          <w:tcPr>
            <w:tcW w:w="880" w:type="dxa"/>
            <w:vAlign w:val="bottom"/>
            <w:vMerge w:val="continue"/>
            <w:shd w:val="clear" w:color="auto" w:fill="4A1F67"/>
          </w:tcPr>
          <w:p>
            <w:pPr>
              <w:spacing w:after="0"/>
              <w:rPr>
                <w:sz w:val="5"/>
                <w:szCs w:val="5"/>
                <w:color w:val="auto"/>
              </w:rPr>
            </w:pPr>
          </w:p>
        </w:tc>
        <w:tc>
          <w:tcPr>
            <w:tcW w:w="880" w:type="dxa"/>
            <w:vAlign w:val="bottom"/>
            <w:vMerge w:val="continue"/>
            <w:shd w:val="clear" w:color="auto" w:fill="4A1F67"/>
          </w:tcPr>
          <w:p>
            <w:pPr>
              <w:spacing w:after="0"/>
              <w:rPr>
                <w:sz w:val="5"/>
                <w:szCs w:val="5"/>
                <w:color w:val="auto"/>
              </w:rPr>
            </w:pPr>
          </w:p>
        </w:tc>
        <w:tc>
          <w:tcPr>
            <w:tcW w:w="20" w:type="dxa"/>
            <w:vAlign w:val="bottom"/>
            <w:shd w:val="clear" w:color="auto" w:fill="B1B2B4"/>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340" w:type="dxa"/>
            <w:vAlign w:val="bottom"/>
            <w:tcBorders>
              <w:left w:val="single" w:sz="8" w:color="B1B2B4"/>
              <w:bottom w:val="single" w:sz="8" w:color="4A1F67"/>
            </w:tcBorders>
            <w:shd w:val="clear" w:color="auto" w:fill="4A1F67"/>
          </w:tcPr>
          <w:p>
            <w:pPr>
              <w:spacing w:after="0"/>
              <w:rPr>
                <w:sz w:val="10"/>
                <w:szCs w:val="10"/>
                <w:color w:val="auto"/>
              </w:rPr>
            </w:pPr>
          </w:p>
        </w:tc>
        <w:tc>
          <w:tcPr>
            <w:tcW w:w="860" w:type="dxa"/>
            <w:vAlign w:val="bottom"/>
            <w:tcBorders>
              <w:bottom w:val="single" w:sz="8" w:color="4A1F67"/>
              <w:right w:val="single" w:sz="8" w:color="B1B2B4"/>
            </w:tcBorders>
            <w:shd w:val="clear" w:color="auto" w:fill="4A1F67"/>
          </w:tcPr>
          <w:p>
            <w:pPr>
              <w:spacing w:after="0"/>
              <w:rPr>
                <w:sz w:val="10"/>
                <w:szCs w:val="10"/>
                <w:color w:val="auto"/>
              </w:rPr>
            </w:pPr>
          </w:p>
        </w:tc>
        <w:tc>
          <w:tcPr>
            <w:tcW w:w="780" w:type="dxa"/>
            <w:vAlign w:val="bottom"/>
            <w:tcBorders>
              <w:bottom w:val="single" w:sz="8" w:color="4A1F67"/>
              <w:right w:val="single" w:sz="8" w:color="B1B2B4"/>
            </w:tcBorders>
            <w:shd w:val="clear" w:color="auto" w:fill="4A1F67"/>
          </w:tcPr>
          <w:p>
            <w:pPr>
              <w:spacing w:after="0"/>
              <w:rPr>
                <w:sz w:val="10"/>
                <w:szCs w:val="10"/>
                <w:color w:val="auto"/>
              </w:rPr>
            </w:pPr>
          </w:p>
        </w:tc>
        <w:tc>
          <w:tcPr>
            <w:tcW w:w="2340" w:type="dxa"/>
            <w:vAlign w:val="bottom"/>
            <w:tcBorders>
              <w:bottom w:val="single" w:sz="8" w:color="4A1F67"/>
            </w:tcBorders>
            <w:gridSpan w:val="3"/>
            <w:vMerge w:val="continue"/>
            <w:shd w:val="clear" w:color="auto" w:fill="4A1F67"/>
          </w:tcPr>
          <w:p>
            <w:pPr>
              <w:spacing w:after="0"/>
              <w:rPr>
                <w:sz w:val="10"/>
                <w:szCs w:val="10"/>
                <w:color w:val="auto"/>
              </w:rPr>
            </w:pPr>
          </w:p>
        </w:tc>
        <w:tc>
          <w:tcPr>
            <w:tcW w:w="2360" w:type="dxa"/>
            <w:vAlign w:val="bottom"/>
            <w:tcBorders>
              <w:bottom w:val="single" w:sz="8" w:color="4A1F67"/>
              <w:right w:val="single" w:sz="8" w:color="B1B2B4"/>
            </w:tcBorders>
            <w:gridSpan w:val="3"/>
            <w:vMerge w:val="continue"/>
            <w:shd w:val="clear" w:color="auto" w:fill="4A1F67"/>
          </w:tcPr>
          <w:p>
            <w:pPr>
              <w:spacing w:after="0"/>
              <w:rPr>
                <w:sz w:val="10"/>
                <w:szCs w:val="10"/>
                <w:color w:val="auto"/>
              </w:rPr>
            </w:pPr>
          </w:p>
        </w:tc>
        <w:tc>
          <w:tcPr>
            <w:tcW w:w="880" w:type="dxa"/>
            <w:vAlign w:val="bottom"/>
            <w:tcBorders>
              <w:bottom w:val="single" w:sz="8" w:color="4A1F67"/>
            </w:tcBorders>
            <w:shd w:val="clear" w:color="auto" w:fill="4A1F67"/>
          </w:tcPr>
          <w:p>
            <w:pPr>
              <w:jc w:val="right"/>
              <w:spacing w:after="0" w:line="115" w:lineRule="exact"/>
              <w:rPr>
                <w:sz w:val="20"/>
                <w:szCs w:val="20"/>
                <w:color w:val="auto"/>
              </w:rPr>
            </w:pPr>
            <w:r>
              <w:rPr>
                <w:rFonts w:ascii="Arial" w:cs="Arial" w:eastAsia="Arial" w:hAnsi="Arial"/>
                <w:sz w:val="13"/>
                <w:szCs w:val="13"/>
                <w:b w:val="1"/>
                <w:bCs w:val="1"/>
                <w:color w:val="FFFFFF"/>
              </w:rPr>
              <w:t>Shares of</w:t>
            </w:r>
          </w:p>
        </w:tc>
        <w:tc>
          <w:tcPr>
            <w:tcW w:w="900" w:type="dxa"/>
            <w:vAlign w:val="bottom"/>
            <w:tcBorders>
              <w:bottom w:val="single" w:sz="8" w:color="4A1F67"/>
              <w:right w:val="single" w:sz="8" w:color="B1B2B4"/>
            </w:tcBorders>
            <w:shd w:val="clear" w:color="auto" w:fill="4A1F67"/>
          </w:tcPr>
          <w:p>
            <w:pPr>
              <w:jc w:val="right"/>
              <w:spacing w:after="0" w:line="115" w:lineRule="exact"/>
              <w:rPr>
                <w:sz w:val="20"/>
                <w:szCs w:val="20"/>
                <w:color w:val="auto"/>
              </w:rPr>
            </w:pPr>
            <w:r>
              <w:rPr>
                <w:rFonts w:ascii="Arial" w:cs="Arial" w:eastAsia="Arial" w:hAnsi="Arial"/>
                <w:sz w:val="13"/>
                <w:szCs w:val="13"/>
                <w:b w:val="1"/>
                <w:bCs w:val="1"/>
                <w:color w:val="FFFFFF"/>
              </w:rPr>
              <w:t>Securities</w:t>
            </w:r>
          </w:p>
        </w:tc>
        <w:tc>
          <w:tcPr>
            <w:tcW w:w="880" w:type="dxa"/>
            <w:vAlign w:val="bottom"/>
            <w:tcBorders>
              <w:bottom w:val="single" w:sz="8" w:color="4A1F67"/>
            </w:tcBorders>
            <w:shd w:val="clear" w:color="auto" w:fill="4A1F67"/>
          </w:tcPr>
          <w:p>
            <w:pPr>
              <w:jc w:val="right"/>
              <w:spacing w:after="0" w:line="115" w:lineRule="exact"/>
              <w:rPr>
                <w:sz w:val="20"/>
                <w:szCs w:val="20"/>
                <w:color w:val="auto"/>
              </w:rPr>
            </w:pPr>
            <w:r>
              <w:rPr>
                <w:rFonts w:ascii="Arial" w:cs="Arial" w:eastAsia="Arial" w:hAnsi="Arial"/>
                <w:sz w:val="13"/>
                <w:szCs w:val="13"/>
                <w:b w:val="1"/>
                <w:bCs w:val="1"/>
                <w:color w:val="FFFFFF"/>
              </w:rPr>
              <w:t>Price of</w:t>
            </w:r>
          </w:p>
        </w:tc>
        <w:tc>
          <w:tcPr>
            <w:tcW w:w="880" w:type="dxa"/>
            <w:vAlign w:val="bottom"/>
            <w:tcBorders>
              <w:bottom w:val="single" w:sz="8" w:color="4A1F67"/>
            </w:tcBorders>
            <w:shd w:val="clear" w:color="auto" w:fill="4A1F67"/>
          </w:tcPr>
          <w:p>
            <w:pPr>
              <w:jc w:val="right"/>
              <w:spacing w:after="0" w:line="115" w:lineRule="exact"/>
              <w:rPr>
                <w:sz w:val="20"/>
                <w:szCs w:val="20"/>
                <w:color w:val="auto"/>
              </w:rPr>
            </w:pPr>
            <w:r>
              <w:rPr>
                <w:rFonts w:ascii="Arial" w:cs="Arial" w:eastAsia="Arial" w:hAnsi="Arial"/>
                <w:sz w:val="13"/>
                <w:szCs w:val="13"/>
                <w:b w:val="1"/>
                <w:bCs w:val="1"/>
                <w:color w:val="FFFFFF"/>
              </w:rPr>
              <w:t>Fair Value</w:t>
            </w:r>
          </w:p>
        </w:tc>
        <w:tc>
          <w:tcPr>
            <w:tcW w:w="20" w:type="dxa"/>
            <w:vAlign w:val="bottom"/>
            <w:tcBorders>
              <w:bottom w:val="single" w:sz="8" w:color="B1B2B4"/>
            </w:tcBorders>
            <w:shd w:val="clear" w:color="auto" w:fill="B1B2B4"/>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B1B2B4"/>
            </w:tcBorders>
            <w:shd w:val="clear" w:color="auto" w:fill="4A1F67"/>
          </w:tcPr>
          <w:p>
            <w:pPr>
              <w:spacing w:after="0"/>
              <w:rPr>
                <w:sz w:val="11"/>
                <w:szCs w:val="11"/>
                <w:color w:val="auto"/>
              </w:rPr>
            </w:pPr>
          </w:p>
        </w:tc>
        <w:tc>
          <w:tcPr>
            <w:tcW w:w="860" w:type="dxa"/>
            <w:vAlign w:val="bottom"/>
            <w:tcBorders>
              <w:right w:val="single" w:sz="8" w:color="B1B2B4"/>
            </w:tcBorders>
            <w:shd w:val="clear" w:color="auto" w:fill="4A1F67"/>
          </w:tcPr>
          <w:p>
            <w:pPr>
              <w:spacing w:after="0"/>
              <w:rPr>
                <w:sz w:val="11"/>
                <w:szCs w:val="11"/>
                <w:color w:val="auto"/>
              </w:rPr>
            </w:pPr>
          </w:p>
        </w:tc>
        <w:tc>
          <w:tcPr>
            <w:tcW w:w="780" w:type="dxa"/>
            <w:vAlign w:val="bottom"/>
            <w:tcBorders>
              <w:right w:val="single" w:sz="8" w:color="B1B2B4"/>
            </w:tcBorders>
            <w:shd w:val="clear" w:color="auto" w:fill="4A1F67"/>
          </w:tcPr>
          <w:p>
            <w:pPr>
              <w:spacing w:after="0"/>
              <w:rPr>
                <w:sz w:val="11"/>
                <w:szCs w:val="11"/>
                <w:color w:val="auto"/>
              </w:rPr>
            </w:pPr>
          </w:p>
        </w:tc>
        <w:tc>
          <w:tcPr>
            <w:tcW w:w="780" w:type="dxa"/>
            <w:vAlign w:val="bottom"/>
            <w:tcBorders>
              <w:right w:val="single" w:sz="8" w:color="B1B2B4"/>
            </w:tcBorders>
            <w:shd w:val="clear" w:color="auto" w:fill="4A1F67"/>
          </w:tcPr>
          <w:p>
            <w:pPr>
              <w:spacing w:after="0"/>
              <w:rPr>
                <w:sz w:val="11"/>
                <w:szCs w:val="11"/>
                <w:color w:val="auto"/>
              </w:rPr>
            </w:pPr>
          </w:p>
        </w:tc>
        <w:tc>
          <w:tcPr>
            <w:tcW w:w="780" w:type="dxa"/>
            <w:vAlign w:val="bottom"/>
            <w:shd w:val="clear" w:color="auto" w:fill="4A1F67"/>
          </w:tcPr>
          <w:p>
            <w:pPr>
              <w:spacing w:after="0"/>
              <w:rPr>
                <w:sz w:val="11"/>
                <w:szCs w:val="11"/>
                <w:color w:val="auto"/>
              </w:rPr>
            </w:pPr>
          </w:p>
        </w:tc>
        <w:tc>
          <w:tcPr>
            <w:tcW w:w="780" w:type="dxa"/>
            <w:vAlign w:val="bottom"/>
            <w:shd w:val="clear" w:color="auto" w:fill="4A1F67"/>
          </w:tcPr>
          <w:p>
            <w:pPr>
              <w:spacing w:after="0"/>
              <w:rPr>
                <w:sz w:val="11"/>
                <w:szCs w:val="11"/>
                <w:color w:val="auto"/>
              </w:rPr>
            </w:pPr>
          </w:p>
        </w:tc>
        <w:tc>
          <w:tcPr>
            <w:tcW w:w="780" w:type="dxa"/>
            <w:vAlign w:val="bottom"/>
            <w:shd w:val="clear" w:color="auto" w:fill="4A1F67"/>
          </w:tcPr>
          <w:p>
            <w:pPr>
              <w:spacing w:after="0"/>
              <w:rPr>
                <w:sz w:val="11"/>
                <w:szCs w:val="11"/>
                <w:color w:val="auto"/>
              </w:rPr>
            </w:pPr>
          </w:p>
        </w:tc>
        <w:tc>
          <w:tcPr>
            <w:tcW w:w="800" w:type="dxa"/>
            <w:vAlign w:val="bottom"/>
            <w:tcBorders>
              <w:right w:val="single" w:sz="8" w:color="B1B2B4"/>
            </w:tcBorders>
            <w:shd w:val="clear" w:color="auto" w:fill="4A1F67"/>
          </w:tcPr>
          <w:p>
            <w:pPr>
              <w:spacing w:after="0"/>
              <w:rPr>
                <w:sz w:val="11"/>
                <w:szCs w:val="11"/>
                <w:color w:val="auto"/>
              </w:rPr>
            </w:pPr>
          </w:p>
        </w:tc>
        <w:tc>
          <w:tcPr>
            <w:tcW w:w="780" w:type="dxa"/>
            <w:vAlign w:val="bottom"/>
            <w:tcBorders>
              <w:right w:val="single" w:sz="8" w:color="B1B2B4"/>
            </w:tcBorders>
            <w:shd w:val="clear" w:color="auto" w:fill="4A1F67"/>
          </w:tcPr>
          <w:p>
            <w:pPr>
              <w:spacing w:after="0"/>
              <w:rPr>
                <w:sz w:val="11"/>
                <w:szCs w:val="11"/>
                <w:color w:val="auto"/>
              </w:rPr>
            </w:pPr>
          </w:p>
        </w:tc>
        <w:tc>
          <w:tcPr>
            <w:tcW w:w="88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Stock or</w:t>
            </w:r>
          </w:p>
        </w:tc>
        <w:tc>
          <w:tcPr>
            <w:tcW w:w="900" w:type="dxa"/>
            <w:vAlign w:val="bottom"/>
            <w:tcBorders>
              <w:right w:val="single" w:sz="8" w:color="B1B2B4"/>
            </w:tcBorders>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88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Option</w:t>
            </w:r>
          </w:p>
        </w:tc>
        <w:tc>
          <w:tcPr>
            <w:tcW w:w="88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of Stock</w:t>
            </w:r>
          </w:p>
        </w:tc>
        <w:tc>
          <w:tcPr>
            <w:tcW w:w="20" w:type="dxa"/>
            <w:vAlign w:val="bottom"/>
            <w:shd w:val="clear" w:color="auto" w:fill="B1B2B4"/>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40" w:type="dxa"/>
            <w:vAlign w:val="bottom"/>
            <w:tcBorders>
              <w:left w:val="single" w:sz="8" w:color="B1B2B4"/>
            </w:tcBorders>
            <w:shd w:val="clear" w:color="auto" w:fill="4A1F67"/>
          </w:tcPr>
          <w:p>
            <w:pPr>
              <w:spacing w:after="0"/>
              <w:rPr>
                <w:sz w:val="11"/>
                <w:szCs w:val="11"/>
                <w:color w:val="auto"/>
              </w:rPr>
            </w:pPr>
          </w:p>
        </w:tc>
        <w:tc>
          <w:tcPr>
            <w:tcW w:w="860" w:type="dxa"/>
            <w:vAlign w:val="bottom"/>
            <w:tcBorders>
              <w:right w:val="single" w:sz="8" w:color="B1B2B4"/>
            </w:tcBorders>
            <w:vMerge w:val="restart"/>
            <w:shd w:val="clear" w:color="auto" w:fill="4A1F67"/>
          </w:tcPr>
          <w:p>
            <w:pPr>
              <w:ind w:left="40"/>
              <w:spacing w:after="0"/>
              <w:rPr>
                <w:sz w:val="20"/>
                <w:szCs w:val="20"/>
                <w:color w:val="auto"/>
              </w:rPr>
            </w:pPr>
            <w:r>
              <w:rPr>
                <w:rFonts w:ascii="Arial" w:cs="Arial" w:eastAsia="Arial" w:hAnsi="Arial"/>
                <w:sz w:val="13"/>
                <w:szCs w:val="13"/>
                <w:b w:val="1"/>
                <w:bCs w:val="1"/>
                <w:color w:val="FFFFFF"/>
                <w:w w:val="96"/>
              </w:rPr>
              <w:t>Award Type</w:t>
            </w:r>
            <w:r>
              <w:rPr>
                <w:rFonts w:ascii="Arial" w:cs="Arial" w:eastAsia="Arial" w:hAnsi="Arial"/>
                <w:sz w:val="20"/>
                <w:szCs w:val="20"/>
                <w:b w:val="1"/>
                <w:bCs w:val="1"/>
                <w:color w:val="FFFFFF"/>
                <w:w w:val="96"/>
                <w:vertAlign w:val="superscript"/>
              </w:rPr>
              <w:t>1</w:t>
            </w:r>
          </w:p>
        </w:tc>
        <w:tc>
          <w:tcPr>
            <w:tcW w:w="780" w:type="dxa"/>
            <w:vAlign w:val="bottom"/>
            <w:tcBorders>
              <w:right w:val="single" w:sz="8" w:color="B1B2B4"/>
            </w:tcBorders>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Grant</w:t>
            </w:r>
          </w:p>
        </w:tc>
        <w:tc>
          <w:tcPr>
            <w:tcW w:w="780" w:type="dxa"/>
            <w:vAlign w:val="bottom"/>
            <w:tcBorders>
              <w:right w:val="single" w:sz="8" w:color="B1B2B4"/>
            </w:tcBorders>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Threshold</w:t>
            </w:r>
          </w:p>
        </w:tc>
        <w:tc>
          <w:tcPr>
            <w:tcW w:w="78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Target</w:t>
            </w:r>
          </w:p>
        </w:tc>
        <w:tc>
          <w:tcPr>
            <w:tcW w:w="78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Maximum</w:t>
            </w:r>
          </w:p>
        </w:tc>
        <w:tc>
          <w:tcPr>
            <w:tcW w:w="78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Threshold</w:t>
            </w:r>
          </w:p>
        </w:tc>
        <w:tc>
          <w:tcPr>
            <w:tcW w:w="800" w:type="dxa"/>
            <w:vAlign w:val="bottom"/>
            <w:tcBorders>
              <w:right w:val="single" w:sz="8" w:color="B1B2B4"/>
            </w:tcBorders>
            <w:shd w:val="clear" w:color="auto" w:fill="4A1F67"/>
          </w:tcPr>
          <w:p>
            <w:pPr>
              <w:jc w:val="right"/>
              <w:ind w:right="37"/>
              <w:spacing w:after="0" w:line="131" w:lineRule="exact"/>
              <w:rPr>
                <w:sz w:val="20"/>
                <w:szCs w:val="20"/>
                <w:color w:val="auto"/>
              </w:rPr>
            </w:pPr>
            <w:r>
              <w:rPr>
                <w:rFonts w:ascii="Arial" w:cs="Arial" w:eastAsia="Arial" w:hAnsi="Arial"/>
                <w:sz w:val="13"/>
                <w:szCs w:val="13"/>
                <w:b w:val="1"/>
                <w:bCs w:val="1"/>
                <w:color w:val="FFFFFF"/>
              </w:rPr>
              <w:t>Target</w:t>
            </w:r>
          </w:p>
        </w:tc>
        <w:tc>
          <w:tcPr>
            <w:tcW w:w="780" w:type="dxa"/>
            <w:vAlign w:val="bottom"/>
            <w:tcBorders>
              <w:right w:val="single" w:sz="8" w:color="B1B2B4"/>
            </w:tcBorders>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Maximum</w:t>
            </w:r>
          </w:p>
        </w:tc>
        <w:tc>
          <w:tcPr>
            <w:tcW w:w="88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Units</w:t>
            </w:r>
          </w:p>
        </w:tc>
        <w:tc>
          <w:tcPr>
            <w:tcW w:w="900" w:type="dxa"/>
            <w:vAlign w:val="bottom"/>
            <w:tcBorders>
              <w:right w:val="single" w:sz="8" w:color="B1B2B4"/>
            </w:tcBorders>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Options</w:t>
            </w:r>
          </w:p>
        </w:tc>
        <w:tc>
          <w:tcPr>
            <w:tcW w:w="88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Awards</w:t>
            </w:r>
          </w:p>
        </w:tc>
        <w:tc>
          <w:tcPr>
            <w:tcW w:w="88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and Option</w:t>
            </w:r>
          </w:p>
        </w:tc>
        <w:tc>
          <w:tcPr>
            <w:tcW w:w="20" w:type="dxa"/>
            <w:vAlign w:val="bottom"/>
            <w:shd w:val="clear" w:color="auto" w:fill="B1B2B4"/>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340" w:type="dxa"/>
            <w:vAlign w:val="bottom"/>
            <w:tcBorders>
              <w:left w:val="single" w:sz="8" w:color="B1B2B4"/>
            </w:tcBorders>
            <w:shd w:val="clear" w:color="auto" w:fill="4A1F67"/>
          </w:tcPr>
          <w:p>
            <w:pPr>
              <w:ind w:left="60"/>
              <w:spacing w:after="0"/>
              <w:rPr>
                <w:sz w:val="20"/>
                <w:szCs w:val="20"/>
                <w:color w:val="auto"/>
              </w:rPr>
            </w:pPr>
            <w:r>
              <w:rPr>
                <w:rFonts w:ascii="Arial" w:cs="Arial" w:eastAsia="Arial" w:hAnsi="Arial"/>
                <w:sz w:val="13"/>
                <w:szCs w:val="13"/>
                <w:b w:val="1"/>
                <w:bCs w:val="1"/>
                <w:color w:val="FFFFFF"/>
              </w:rPr>
              <w:t>Name</w:t>
            </w:r>
          </w:p>
        </w:tc>
        <w:tc>
          <w:tcPr>
            <w:tcW w:w="860" w:type="dxa"/>
            <w:vAlign w:val="bottom"/>
            <w:tcBorders>
              <w:right w:val="single" w:sz="8" w:color="B1B2B4"/>
            </w:tcBorders>
            <w:vMerge w:val="continue"/>
            <w:shd w:val="clear" w:color="auto" w:fill="4A1F67"/>
          </w:tcPr>
          <w:p>
            <w:pPr>
              <w:spacing w:after="0"/>
              <w:rPr>
                <w:sz w:val="17"/>
                <w:szCs w:val="17"/>
                <w:color w:val="auto"/>
              </w:rPr>
            </w:pPr>
          </w:p>
        </w:tc>
        <w:tc>
          <w:tcPr>
            <w:tcW w:w="780" w:type="dxa"/>
            <w:vAlign w:val="bottom"/>
            <w:tcBorders>
              <w:right w:val="single" w:sz="8" w:color="B1B2B4"/>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Date</w:t>
            </w:r>
          </w:p>
        </w:tc>
        <w:tc>
          <w:tcPr>
            <w:tcW w:w="780" w:type="dxa"/>
            <w:vAlign w:val="bottom"/>
            <w:tcBorders>
              <w:right w:val="single" w:sz="8" w:color="B1B2B4"/>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4A1F67"/>
          </w:tcPr>
          <w:p>
            <w:pPr>
              <w:jc w:val="right"/>
              <w:spacing w:after="0" w:line="188"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2</w:t>
            </w:r>
          </w:p>
        </w:tc>
        <w:tc>
          <w:tcPr>
            <w:tcW w:w="78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right w:val="single" w:sz="8" w:color="B1B2B4"/>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right w:val="single" w:sz="8" w:color="B1B2B4"/>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w:t>
            </w:r>
          </w:p>
        </w:tc>
        <w:tc>
          <w:tcPr>
            <w:tcW w:w="900" w:type="dxa"/>
            <w:vAlign w:val="bottom"/>
            <w:tcBorders>
              <w:right w:val="single" w:sz="8" w:color="B1B2B4"/>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($/Sh)</w:t>
            </w:r>
          </w:p>
        </w:tc>
        <w:tc>
          <w:tcPr>
            <w:tcW w:w="880" w:type="dxa"/>
            <w:vAlign w:val="bottom"/>
            <w:shd w:val="clear" w:color="auto" w:fill="4A1F67"/>
          </w:tcPr>
          <w:p>
            <w:pPr>
              <w:jc w:val="right"/>
              <w:spacing w:after="0" w:line="188"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20"/>
                <w:szCs w:val="20"/>
                <w:b w:val="1"/>
                <w:bCs w:val="1"/>
                <w:color w:val="FFFFFF"/>
                <w:vertAlign w:val="superscript"/>
              </w:rPr>
              <w:t>3</w:t>
            </w:r>
          </w:p>
        </w:tc>
        <w:tc>
          <w:tcPr>
            <w:tcW w:w="20" w:type="dxa"/>
            <w:vAlign w:val="bottom"/>
            <w:shd w:val="clear" w:color="auto" w:fill="B1B2B4"/>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40" w:type="dxa"/>
            <w:vAlign w:val="bottom"/>
          </w:tcPr>
          <w:p>
            <w:pPr>
              <w:ind w:left="40"/>
              <w:spacing w:after="0"/>
              <w:rPr>
                <w:sz w:val="20"/>
                <w:szCs w:val="20"/>
                <w:color w:val="auto"/>
              </w:rPr>
            </w:pPr>
            <w:r>
              <w:rPr>
                <w:rFonts w:ascii="Arial" w:cs="Arial" w:eastAsia="Arial" w:hAnsi="Arial"/>
                <w:sz w:val="13"/>
                <w:szCs w:val="13"/>
                <w:b w:val="1"/>
                <w:bCs w:val="1"/>
                <w:color w:val="3B3C43"/>
              </w:rPr>
              <w:t>Douglas J.</w:t>
            </w:r>
          </w:p>
        </w:tc>
        <w:tc>
          <w:tcPr>
            <w:tcW w:w="860" w:type="dxa"/>
            <w:vAlign w:val="bottom"/>
          </w:tcPr>
          <w:p>
            <w:pPr>
              <w:ind w:left="20"/>
              <w:spacing w:after="0"/>
              <w:rPr>
                <w:sz w:val="20"/>
                <w:szCs w:val="20"/>
                <w:color w:val="auto"/>
              </w:rPr>
            </w:pPr>
            <w:r>
              <w:rPr>
                <w:rFonts w:ascii="Arial" w:cs="Arial" w:eastAsia="Arial" w:hAnsi="Arial"/>
                <w:sz w:val="13"/>
                <w:szCs w:val="13"/>
                <w:color w:val="3B3C43"/>
              </w:rPr>
              <w:t>Annual</w:t>
            </w: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40"/>
              <w:spacing w:after="0"/>
              <w:rPr>
                <w:sz w:val="20"/>
                <w:szCs w:val="20"/>
                <w:color w:val="auto"/>
              </w:rPr>
            </w:pPr>
            <w:r>
              <w:rPr>
                <w:rFonts w:ascii="Arial" w:cs="Arial" w:eastAsia="Arial" w:hAnsi="Arial"/>
                <w:sz w:val="13"/>
                <w:szCs w:val="13"/>
                <w:b w:val="1"/>
                <w:bCs w:val="1"/>
                <w:color w:val="3B3C43"/>
              </w:rPr>
              <w:t>Pferdehirt</w:t>
            </w:r>
          </w:p>
        </w:tc>
        <w:tc>
          <w:tcPr>
            <w:tcW w:w="860" w:type="dxa"/>
            <w:vAlign w:val="bottom"/>
            <w:tcBorders>
              <w:bottom w:val="single" w:sz="8" w:color="B1B2B4"/>
            </w:tcBorders>
          </w:tcPr>
          <w:p>
            <w:pPr>
              <w:ind w:left="20"/>
              <w:spacing w:after="0"/>
              <w:rPr>
                <w:sz w:val="20"/>
                <w:szCs w:val="20"/>
                <w:color w:val="auto"/>
              </w:rPr>
            </w:pPr>
            <w:r>
              <w:rPr>
                <w:rFonts w:ascii="Arial" w:cs="Arial" w:eastAsia="Arial" w:hAnsi="Arial"/>
                <w:sz w:val="13"/>
                <w:szCs w:val="13"/>
                <w:color w:val="3B3C43"/>
              </w:rPr>
              <w:t>Incentive</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2020</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0</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1,668,600</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1,668,600</w:t>
            </w:r>
          </w:p>
        </w:tc>
        <w:tc>
          <w:tcPr>
            <w:tcW w:w="780" w:type="dxa"/>
            <w:vAlign w:val="bottom"/>
            <w:tcBorders>
              <w:bottom w:val="single" w:sz="8" w:color="B1B2B4"/>
            </w:tcBorders>
          </w:tcPr>
          <w:p>
            <w:pPr>
              <w:spacing w:after="0"/>
              <w:rPr>
                <w:sz w:val="14"/>
                <w:szCs w:val="14"/>
                <w:color w:val="auto"/>
              </w:rPr>
            </w:pPr>
          </w:p>
        </w:tc>
        <w:tc>
          <w:tcPr>
            <w:tcW w:w="800" w:type="dxa"/>
            <w:vAlign w:val="bottom"/>
            <w:tcBorders>
              <w:bottom w:val="single" w:sz="8" w:color="B1B2B4"/>
            </w:tcBorders>
          </w:tcPr>
          <w:p>
            <w:pPr>
              <w:spacing w:after="0"/>
              <w:rPr>
                <w:sz w:val="14"/>
                <w:szCs w:val="14"/>
                <w:color w:val="auto"/>
              </w:rPr>
            </w:pPr>
          </w:p>
        </w:tc>
        <w:tc>
          <w:tcPr>
            <w:tcW w:w="780" w:type="dxa"/>
            <w:vAlign w:val="bottom"/>
            <w:tcBorders>
              <w:bottom w:val="single" w:sz="8" w:color="B1B2B4"/>
            </w:tcBorders>
          </w:tcPr>
          <w:p>
            <w:pPr>
              <w:spacing w:after="0"/>
              <w:rPr>
                <w:sz w:val="14"/>
                <w:szCs w:val="14"/>
                <w:color w:val="auto"/>
              </w:rPr>
            </w:pPr>
          </w:p>
        </w:tc>
        <w:tc>
          <w:tcPr>
            <w:tcW w:w="880" w:type="dxa"/>
            <w:vAlign w:val="bottom"/>
            <w:tcBorders>
              <w:bottom w:val="single" w:sz="8" w:color="B1B2B4"/>
            </w:tcBorders>
          </w:tcPr>
          <w:p>
            <w:pPr>
              <w:spacing w:after="0"/>
              <w:rPr>
                <w:sz w:val="14"/>
                <w:szCs w:val="14"/>
                <w:color w:val="auto"/>
              </w:rPr>
            </w:pPr>
          </w:p>
        </w:tc>
        <w:tc>
          <w:tcPr>
            <w:tcW w:w="900" w:type="dxa"/>
            <w:vAlign w:val="bottom"/>
            <w:tcBorders>
              <w:bottom w:val="single" w:sz="8" w:color="B1B2B4"/>
            </w:tcBorders>
          </w:tcPr>
          <w:p>
            <w:pPr>
              <w:spacing w:after="0"/>
              <w:rPr>
                <w:sz w:val="14"/>
                <w:szCs w:val="14"/>
                <w:color w:val="auto"/>
              </w:rPr>
            </w:pPr>
          </w:p>
        </w:tc>
        <w:tc>
          <w:tcPr>
            <w:tcW w:w="880" w:type="dxa"/>
            <w:vAlign w:val="bottom"/>
            <w:tcBorders>
              <w:bottom w:val="single" w:sz="8" w:color="B1B2B4"/>
            </w:tcBorders>
          </w:tcPr>
          <w:p>
            <w:pPr>
              <w:spacing w:after="0"/>
              <w:rPr>
                <w:sz w:val="14"/>
                <w:szCs w:val="14"/>
                <w:color w:val="auto"/>
              </w:rPr>
            </w:pPr>
          </w:p>
        </w:tc>
        <w:tc>
          <w:tcPr>
            <w:tcW w:w="880" w:type="dxa"/>
            <w:vAlign w:val="bottom"/>
            <w:tcBorders>
              <w:bottom w:val="single" w:sz="8" w:color="B1B2B4"/>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860" w:type="dxa"/>
            <w:vAlign w:val="bottom"/>
            <w:tcBorders>
              <w:bottom w:val="single" w:sz="8" w:color="B1B2B4"/>
            </w:tcBorders>
          </w:tcPr>
          <w:p>
            <w:pPr>
              <w:ind w:left="20"/>
              <w:spacing w:after="0"/>
              <w:rPr>
                <w:sz w:val="20"/>
                <w:szCs w:val="20"/>
                <w:color w:val="auto"/>
              </w:rPr>
            </w:pPr>
            <w:r>
              <w:rPr>
                <w:rFonts w:ascii="Arial" w:cs="Arial" w:eastAsia="Arial" w:hAnsi="Arial"/>
                <w:sz w:val="13"/>
                <w:szCs w:val="13"/>
                <w:color w:val="3B3C43"/>
              </w:rPr>
              <w:t>RSU</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80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313,240</w:t>
            </w:r>
          </w:p>
        </w:tc>
        <w:tc>
          <w:tcPr>
            <w:tcW w:w="90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2,910,000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860" w:type="dxa"/>
            <w:vAlign w:val="bottom"/>
            <w:tcBorders>
              <w:bottom w:val="single" w:sz="8" w:color="B1B2B4"/>
            </w:tcBorders>
          </w:tcPr>
          <w:p>
            <w:pPr>
              <w:ind w:left="20"/>
              <w:spacing w:after="0"/>
              <w:rPr>
                <w:sz w:val="20"/>
                <w:szCs w:val="20"/>
                <w:color w:val="auto"/>
              </w:rPr>
            </w:pPr>
            <w:r>
              <w:rPr>
                <w:rFonts w:ascii="Arial" w:cs="Arial" w:eastAsia="Arial" w:hAnsi="Arial"/>
                <w:sz w:val="13"/>
                <w:szCs w:val="13"/>
                <w:color w:val="3B3C43"/>
              </w:rPr>
              <w:t>PSU-ROIC</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365,447</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730,894</w:t>
            </w:r>
          </w:p>
        </w:tc>
        <w:tc>
          <w:tcPr>
            <w:tcW w:w="880" w:type="dxa"/>
            <w:vAlign w:val="bottom"/>
            <w:tcBorders>
              <w:bottom w:val="single" w:sz="8" w:color="B1B2B4"/>
            </w:tcBorders>
          </w:tcPr>
          <w:p>
            <w:pPr>
              <w:spacing w:after="0"/>
              <w:rPr>
                <w:sz w:val="13"/>
                <w:szCs w:val="13"/>
                <w:color w:val="auto"/>
              </w:rPr>
            </w:pPr>
          </w:p>
        </w:tc>
        <w:tc>
          <w:tcPr>
            <w:tcW w:w="90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3,395,003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bottom w:val="single" w:sz="8" w:color="E1E1DF"/>
            </w:tcBorders>
          </w:tcPr>
          <w:p>
            <w:pPr>
              <w:spacing w:after="0"/>
              <w:rPr>
                <w:sz w:val="13"/>
                <w:szCs w:val="13"/>
                <w:color w:val="auto"/>
              </w:rPr>
            </w:pPr>
          </w:p>
        </w:tc>
        <w:tc>
          <w:tcPr>
            <w:tcW w:w="860" w:type="dxa"/>
            <w:vAlign w:val="bottom"/>
            <w:tcBorders>
              <w:bottom w:val="single" w:sz="8" w:color="B1B2B4"/>
            </w:tcBorders>
          </w:tcPr>
          <w:p>
            <w:pPr>
              <w:ind w:left="20"/>
              <w:spacing w:after="0"/>
              <w:rPr>
                <w:sz w:val="20"/>
                <w:szCs w:val="20"/>
                <w:color w:val="auto"/>
              </w:rPr>
            </w:pPr>
            <w:r>
              <w:rPr>
                <w:rFonts w:ascii="Arial" w:cs="Arial" w:eastAsia="Arial" w:hAnsi="Arial"/>
                <w:sz w:val="13"/>
                <w:szCs w:val="13"/>
                <w:color w:val="3B3C43"/>
              </w:rPr>
              <w:t>PSU-TSR</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365,446</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730,892</w:t>
            </w:r>
          </w:p>
        </w:tc>
        <w:tc>
          <w:tcPr>
            <w:tcW w:w="880" w:type="dxa"/>
            <w:vAlign w:val="bottom"/>
            <w:tcBorders>
              <w:bottom w:val="single" w:sz="8" w:color="B1B2B4"/>
            </w:tcBorders>
          </w:tcPr>
          <w:p>
            <w:pPr>
              <w:spacing w:after="0"/>
              <w:rPr>
                <w:sz w:val="13"/>
                <w:szCs w:val="13"/>
                <w:color w:val="auto"/>
              </w:rPr>
            </w:pPr>
          </w:p>
        </w:tc>
        <w:tc>
          <w:tcPr>
            <w:tcW w:w="90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3,661,769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40" w:type="dxa"/>
            <w:vAlign w:val="bottom"/>
            <w:tcBorders>
              <w:left w:val="single" w:sz="8" w:color="E1E1DF"/>
            </w:tcBorders>
            <w:vMerge w:val="restart"/>
            <w:shd w:val="clear" w:color="auto" w:fill="E1E1DF"/>
          </w:tcPr>
          <w:p>
            <w:pPr>
              <w:ind w:left="40"/>
              <w:spacing w:after="0"/>
              <w:rPr>
                <w:sz w:val="20"/>
                <w:szCs w:val="20"/>
                <w:color w:val="auto"/>
              </w:rPr>
            </w:pPr>
            <w:r>
              <w:rPr>
                <w:rFonts w:ascii="Arial" w:cs="Arial" w:eastAsia="Arial" w:hAnsi="Arial"/>
                <w:sz w:val="13"/>
                <w:szCs w:val="13"/>
                <w:b w:val="1"/>
                <w:bCs w:val="1"/>
                <w:color w:val="3B3C43"/>
              </w:rPr>
              <w:t>Maryann T. Mannen</w:t>
            </w:r>
          </w:p>
        </w:tc>
        <w:tc>
          <w:tcPr>
            <w:tcW w:w="860" w:type="dxa"/>
            <w:vAlign w:val="bottom"/>
            <w:tcBorders>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Annual</w:t>
            </w:r>
          </w:p>
        </w:tc>
        <w:tc>
          <w:tcPr>
            <w:tcW w:w="780" w:type="dxa"/>
            <w:vAlign w:val="bottom"/>
            <w:tcBorders>
              <w:right w:val="single" w:sz="8" w:color="E1E1DF"/>
            </w:tcBorders>
            <w:shd w:val="clear" w:color="auto" w:fill="E1E1DF"/>
          </w:tcPr>
          <w:p>
            <w:pPr>
              <w:spacing w:after="0"/>
              <w:rPr>
                <w:sz w:val="13"/>
                <w:szCs w:val="13"/>
                <w:color w:val="auto"/>
              </w:rPr>
            </w:pPr>
          </w:p>
        </w:tc>
        <w:tc>
          <w:tcPr>
            <w:tcW w:w="780" w:type="dxa"/>
            <w:vAlign w:val="bottom"/>
            <w:tcBorders>
              <w:right w:val="single" w:sz="8" w:color="E1E1DF"/>
            </w:tcBorders>
            <w:shd w:val="clear" w:color="auto" w:fill="E1E1DF"/>
          </w:tcPr>
          <w:p>
            <w:pPr>
              <w:spacing w:after="0"/>
              <w:rPr>
                <w:sz w:val="13"/>
                <w:szCs w:val="13"/>
                <w:color w:val="auto"/>
              </w:rPr>
            </w:pPr>
          </w:p>
        </w:tc>
        <w:tc>
          <w:tcPr>
            <w:tcW w:w="780" w:type="dxa"/>
            <w:vAlign w:val="bottom"/>
            <w:shd w:val="clear" w:color="auto" w:fill="E1E1DF"/>
          </w:tcPr>
          <w:p>
            <w:pPr>
              <w:spacing w:after="0"/>
              <w:rPr>
                <w:sz w:val="13"/>
                <w:szCs w:val="13"/>
                <w:color w:val="auto"/>
              </w:rPr>
            </w:pPr>
          </w:p>
        </w:tc>
        <w:tc>
          <w:tcPr>
            <w:tcW w:w="780" w:type="dxa"/>
            <w:vAlign w:val="bottom"/>
            <w:shd w:val="clear" w:color="auto" w:fill="E1E1DF"/>
          </w:tcPr>
          <w:p>
            <w:pPr>
              <w:spacing w:after="0"/>
              <w:rPr>
                <w:sz w:val="13"/>
                <w:szCs w:val="13"/>
                <w:color w:val="auto"/>
              </w:rPr>
            </w:pPr>
          </w:p>
        </w:tc>
        <w:tc>
          <w:tcPr>
            <w:tcW w:w="780" w:type="dxa"/>
            <w:vAlign w:val="bottom"/>
            <w:shd w:val="clear" w:color="auto" w:fill="E1E1DF"/>
          </w:tcPr>
          <w:p>
            <w:pPr>
              <w:spacing w:after="0"/>
              <w:rPr>
                <w:sz w:val="13"/>
                <w:szCs w:val="13"/>
                <w:color w:val="auto"/>
              </w:rPr>
            </w:pPr>
          </w:p>
        </w:tc>
        <w:tc>
          <w:tcPr>
            <w:tcW w:w="800" w:type="dxa"/>
            <w:vAlign w:val="bottom"/>
            <w:tcBorders>
              <w:right w:val="single" w:sz="8" w:color="E1E1DF"/>
            </w:tcBorders>
            <w:shd w:val="clear" w:color="auto" w:fill="E1E1DF"/>
          </w:tcPr>
          <w:p>
            <w:pPr>
              <w:spacing w:after="0"/>
              <w:rPr>
                <w:sz w:val="13"/>
                <w:szCs w:val="13"/>
                <w:color w:val="auto"/>
              </w:rPr>
            </w:pPr>
          </w:p>
        </w:tc>
        <w:tc>
          <w:tcPr>
            <w:tcW w:w="780" w:type="dxa"/>
            <w:vAlign w:val="bottom"/>
            <w:tcBorders>
              <w:right w:val="single" w:sz="8" w:color="E1E1DF"/>
            </w:tcBorders>
            <w:shd w:val="clear" w:color="auto" w:fill="E1E1DF"/>
          </w:tcPr>
          <w:p>
            <w:pPr>
              <w:spacing w:after="0"/>
              <w:rPr>
                <w:sz w:val="13"/>
                <w:szCs w:val="13"/>
                <w:color w:val="auto"/>
              </w:rPr>
            </w:pPr>
          </w:p>
        </w:tc>
        <w:tc>
          <w:tcPr>
            <w:tcW w:w="880" w:type="dxa"/>
            <w:vAlign w:val="bottom"/>
            <w:shd w:val="clear" w:color="auto" w:fill="E1E1DF"/>
          </w:tcPr>
          <w:p>
            <w:pPr>
              <w:spacing w:after="0"/>
              <w:rPr>
                <w:sz w:val="13"/>
                <w:szCs w:val="13"/>
                <w:color w:val="auto"/>
              </w:rPr>
            </w:pPr>
          </w:p>
        </w:tc>
        <w:tc>
          <w:tcPr>
            <w:tcW w:w="900" w:type="dxa"/>
            <w:vAlign w:val="bottom"/>
            <w:tcBorders>
              <w:right w:val="single" w:sz="8" w:color="E1E1DF"/>
            </w:tcBorders>
            <w:shd w:val="clear" w:color="auto" w:fill="E1E1DF"/>
          </w:tcPr>
          <w:p>
            <w:pPr>
              <w:spacing w:after="0"/>
              <w:rPr>
                <w:sz w:val="13"/>
                <w:szCs w:val="13"/>
                <w:color w:val="auto"/>
              </w:rPr>
            </w:pPr>
          </w:p>
        </w:tc>
        <w:tc>
          <w:tcPr>
            <w:tcW w:w="880" w:type="dxa"/>
            <w:vAlign w:val="bottom"/>
            <w:shd w:val="clear" w:color="auto" w:fill="E1E1DF"/>
          </w:tcPr>
          <w:p>
            <w:pPr>
              <w:spacing w:after="0"/>
              <w:rPr>
                <w:sz w:val="13"/>
                <w:szCs w:val="13"/>
                <w:color w:val="auto"/>
              </w:rPr>
            </w:pPr>
          </w:p>
        </w:tc>
        <w:tc>
          <w:tcPr>
            <w:tcW w:w="880" w:type="dxa"/>
            <w:vAlign w:val="bottom"/>
            <w:shd w:val="clear" w:color="auto" w:fill="E1E1D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340" w:type="dxa"/>
            <w:vAlign w:val="bottom"/>
            <w:tcBorders>
              <w:left w:val="single" w:sz="8" w:color="E1E1DF"/>
              <w:bottom w:val="single" w:sz="8" w:color="E1E1DF"/>
            </w:tcBorders>
            <w:vMerge w:val="continue"/>
            <w:shd w:val="clear" w:color="auto" w:fill="E1E1DF"/>
          </w:tcPr>
          <w:p>
            <w:pPr>
              <w:spacing w:after="0"/>
              <w:rPr>
                <w:sz w:val="12"/>
                <w:szCs w:val="12"/>
                <w:color w:val="auto"/>
              </w:rPr>
            </w:pPr>
          </w:p>
        </w:tc>
        <w:tc>
          <w:tcPr>
            <w:tcW w:w="860" w:type="dxa"/>
            <w:vAlign w:val="bottom"/>
            <w:tcBorders>
              <w:bottom w:val="single" w:sz="8" w:color="B1B2B4"/>
              <w:right w:val="single" w:sz="8" w:color="E1E1DF"/>
            </w:tcBorders>
            <w:shd w:val="clear" w:color="auto" w:fill="E1E1DF"/>
          </w:tcPr>
          <w:p>
            <w:pPr>
              <w:ind w:left="20"/>
              <w:spacing w:after="0" w:line="141" w:lineRule="exact"/>
              <w:rPr>
                <w:sz w:val="20"/>
                <w:szCs w:val="20"/>
                <w:color w:val="auto"/>
              </w:rPr>
            </w:pPr>
            <w:r>
              <w:rPr>
                <w:rFonts w:ascii="Arial" w:cs="Arial" w:eastAsia="Arial" w:hAnsi="Arial"/>
                <w:sz w:val="13"/>
                <w:szCs w:val="13"/>
                <w:color w:val="3B3C43"/>
              </w:rPr>
              <w:t>Incentive</w:t>
            </w:r>
          </w:p>
        </w:tc>
        <w:tc>
          <w:tcPr>
            <w:tcW w:w="780" w:type="dxa"/>
            <w:vAlign w:val="bottom"/>
            <w:tcBorders>
              <w:bottom w:val="single" w:sz="8" w:color="B1B2B4"/>
              <w:right w:val="single" w:sz="8" w:color="E1E1DF"/>
            </w:tcBorders>
            <w:shd w:val="clear" w:color="auto" w:fill="E1E1DF"/>
          </w:tcPr>
          <w:p>
            <w:pPr>
              <w:jc w:val="right"/>
              <w:spacing w:after="0" w:line="141" w:lineRule="exact"/>
              <w:rPr>
                <w:sz w:val="20"/>
                <w:szCs w:val="20"/>
                <w:color w:val="auto"/>
              </w:rPr>
            </w:pPr>
            <w:r>
              <w:rPr>
                <w:rFonts w:ascii="Arial" w:cs="Arial" w:eastAsia="Arial" w:hAnsi="Arial"/>
                <w:sz w:val="13"/>
                <w:szCs w:val="13"/>
                <w:color w:val="3B3C43"/>
              </w:rPr>
              <w:t>2020</w:t>
            </w:r>
          </w:p>
        </w:tc>
        <w:tc>
          <w:tcPr>
            <w:tcW w:w="780" w:type="dxa"/>
            <w:vAlign w:val="bottom"/>
            <w:tcBorders>
              <w:bottom w:val="single" w:sz="8" w:color="B1B2B4"/>
              <w:right w:val="single" w:sz="8" w:color="E1E1DF"/>
            </w:tcBorders>
            <w:shd w:val="clear" w:color="auto" w:fill="E1E1DF"/>
          </w:tcPr>
          <w:p>
            <w:pPr>
              <w:jc w:val="right"/>
              <w:spacing w:after="0" w:line="141" w:lineRule="exact"/>
              <w:rPr>
                <w:sz w:val="20"/>
                <w:szCs w:val="20"/>
                <w:color w:val="auto"/>
              </w:rPr>
            </w:pPr>
            <w:r>
              <w:rPr>
                <w:rFonts w:ascii="Arial" w:cs="Arial" w:eastAsia="Arial" w:hAnsi="Arial"/>
                <w:sz w:val="13"/>
                <w:szCs w:val="13"/>
                <w:color w:val="3B3C43"/>
              </w:rPr>
              <w:t>0</w:t>
            </w:r>
          </w:p>
        </w:tc>
        <w:tc>
          <w:tcPr>
            <w:tcW w:w="780" w:type="dxa"/>
            <w:vAlign w:val="bottom"/>
            <w:tcBorders>
              <w:bottom w:val="single" w:sz="8" w:color="B1B2B4"/>
            </w:tcBorders>
            <w:shd w:val="clear" w:color="auto" w:fill="E1E1DF"/>
          </w:tcPr>
          <w:p>
            <w:pPr>
              <w:jc w:val="right"/>
              <w:spacing w:after="0" w:line="141" w:lineRule="exact"/>
              <w:rPr>
                <w:sz w:val="20"/>
                <w:szCs w:val="20"/>
                <w:color w:val="auto"/>
              </w:rPr>
            </w:pPr>
            <w:r>
              <w:rPr>
                <w:rFonts w:ascii="Arial" w:cs="Arial" w:eastAsia="Arial" w:hAnsi="Arial"/>
                <w:sz w:val="13"/>
                <w:szCs w:val="13"/>
                <w:color w:val="3B3C43"/>
              </w:rPr>
              <w:t>803,000</w:t>
            </w:r>
          </w:p>
        </w:tc>
        <w:tc>
          <w:tcPr>
            <w:tcW w:w="780" w:type="dxa"/>
            <w:vAlign w:val="bottom"/>
            <w:tcBorders>
              <w:bottom w:val="single" w:sz="8" w:color="B1B2B4"/>
            </w:tcBorders>
            <w:shd w:val="clear" w:color="auto" w:fill="E1E1DF"/>
          </w:tcPr>
          <w:p>
            <w:pPr>
              <w:jc w:val="right"/>
              <w:spacing w:after="0" w:line="141" w:lineRule="exact"/>
              <w:rPr>
                <w:sz w:val="20"/>
                <w:szCs w:val="20"/>
                <w:color w:val="auto"/>
              </w:rPr>
            </w:pPr>
            <w:r>
              <w:rPr>
                <w:rFonts w:ascii="Arial" w:cs="Arial" w:eastAsia="Arial" w:hAnsi="Arial"/>
                <w:sz w:val="13"/>
                <w:szCs w:val="13"/>
                <w:color w:val="3B3C43"/>
              </w:rPr>
              <w:t>803,000</w:t>
            </w:r>
          </w:p>
        </w:tc>
        <w:tc>
          <w:tcPr>
            <w:tcW w:w="780" w:type="dxa"/>
            <w:vAlign w:val="bottom"/>
            <w:tcBorders>
              <w:bottom w:val="single" w:sz="8" w:color="B1B2B4"/>
            </w:tcBorders>
            <w:shd w:val="clear" w:color="auto" w:fill="E1E1DF"/>
          </w:tcPr>
          <w:p>
            <w:pPr>
              <w:spacing w:after="0"/>
              <w:rPr>
                <w:sz w:val="12"/>
                <w:szCs w:val="12"/>
                <w:color w:val="auto"/>
              </w:rPr>
            </w:pPr>
          </w:p>
        </w:tc>
        <w:tc>
          <w:tcPr>
            <w:tcW w:w="800" w:type="dxa"/>
            <w:vAlign w:val="bottom"/>
            <w:tcBorders>
              <w:bottom w:val="single" w:sz="8" w:color="B1B2B4"/>
              <w:right w:val="single" w:sz="8" w:color="E1E1DF"/>
            </w:tcBorders>
            <w:shd w:val="clear" w:color="auto" w:fill="E1E1DF"/>
          </w:tcPr>
          <w:p>
            <w:pPr>
              <w:spacing w:after="0"/>
              <w:rPr>
                <w:sz w:val="12"/>
                <w:szCs w:val="12"/>
                <w:color w:val="auto"/>
              </w:rPr>
            </w:pPr>
          </w:p>
        </w:tc>
        <w:tc>
          <w:tcPr>
            <w:tcW w:w="780" w:type="dxa"/>
            <w:vAlign w:val="bottom"/>
            <w:tcBorders>
              <w:bottom w:val="single" w:sz="8" w:color="B1B2B4"/>
              <w:right w:val="single" w:sz="8" w:color="E1E1DF"/>
            </w:tcBorders>
            <w:shd w:val="clear" w:color="auto" w:fill="E1E1DF"/>
          </w:tcPr>
          <w:p>
            <w:pPr>
              <w:spacing w:after="0"/>
              <w:rPr>
                <w:sz w:val="12"/>
                <w:szCs w:val="12"/>
                <w:color w:val="auto"/>
              </w:rPr>
            </w:pPr>
          </w:p>
        </w:tc>
        <w:tc>
          <w:tcPr>
            <w:tcW w:w="880" w:type="dxa"/>
            <w:vAlign w:val="bottom"/>
            <w:tcBorders>
              <w:bottom w:val="single" w:sz="8" w:color="B1B2B4"/>
            </w:tcBorders>
            <w:shd w:val="clear" w:color="auto" w:fill="E1E1DF"/>
          </w:tcPr>
          <w:p>
            <w:pPr>
              <w:spacing w:after="0"/>
              <w:rPr>
                <w:sz w:val="12"/>
                <w:szCs w:val="12"/>
                <w:color w:val="auto"/>
              </w:rPr>
            </w:pPr>
          </w:p>
        </w:tc>
        <w:tc>
          <w:tcPr>
            <w:tcW w:w="900" w:type="dxa"/>
            <w:vAlign w:val="bottom"/>
            <w:tcBorders>
              <w:bottom w:val="single" w:sz="8" w:color="B1B2B4"/>
              <w:right w:val="single" w:sz="8" w:color="E1E1DF"/>
            </w:tcBorders>
            <w:shd w:val="clear" w:color="auto" w:fill="E1E1DF"/>
          </w:tcPr>
          <w:p>
            <w:pPr>
              <w:spacing w:after="0"/>
              <w:rPr>
                <w:sz w:val="12"/>
                <w:szCs w:val="12"/>
                <w:color w:val="auto"/>
              </w:rPr>
            </w:pPr>
          </w:p>
        </w:tc>
        <w:tc>
          <w:tcPr>
            <w:tcW w:w="880" w:type="dxa"/>
            <w:vAlign w:val="bottom"/>
            <w:tcBorders>
              <w:bottom w:val="single" w:sz="8" w:color="B1B2B4"/>
            </w:tcBorders>
            <w:shd w:val="clear" w:color="auto" w:fill="E1E1DF"/>
          </w:tcPr>
          <w:p>
            <w:pPr>
              <w:spacing w:after="0"/>
              <w:rPr>
                <w:sz w:val="12"/>
                <w:szCs w:val="12"/>
                <w:color w:val="auto"/>
              </w:rPr>
            </w:pPr>
          </w:p>
        </w:tc>
        <w:tc>
          <w:tcPr>
            <w:tcW w:w="880" w:type="dxa"/>
            <w:vAlign w:val="bottom"/>
            <w:tcBorders>
              <w:bottom w:val="single" w:sz="8" w:color="B1B2B4"/>
            </w:tcBorders>
            <w:shd w:val="clear" w:color="auto" w:fill="E1E1D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E1E1DF"/>
              <w:bottom w:val="single" w:sz="8" w:color="E1E1DF"/>
            </w:tcBorders>
            <w:shd w:val="clear" w:color="auto" w:fill="E1E1DF"/>
          </w:tcPr>
          <w:p>
            <w:pPr>
              <w:spacing w:after="0"/>
              <w:rPr>
                <w:sz w:val="13"/>
                <w:szCs w:val="13"/>
                <w:color w:val="auto"/>
              </w:rPr>
            </w:pPr>
          </w:p>
        </w:tc>
        <w:tc>
          <w:tcPr>
            <w:tcW w:w="860" w:type="dxa"/>
            <w:vAlign w:val="bottom"/>
            <w:tcBorders>
              <w:bottom w:val="single" w:sz="8" w:color="B1B2B4"/>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RSU</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80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100,107</w:t>
            </w:r>
          </w:p>
        </w:tc>
        <w:tc>
          <w:tcPr>
            <w:tcW w:w="90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929,994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E1E1DF"/>
              <w:bottom w:val="single" w:sz="8" w:color="E1E1DF"/>
            </w:tcBorders>
            <w:shd w:val="clear" w:color="auto" w:fill="E1E1DF"/>
          </w:tcPr>
          <w:p>
            <w:pPr>
              <w:spacing w:after="0"/>
              <w:rPr>
                <w:sz w:val="13"/>
                <w:szCs w:val="13"/>
                <w:color w:val="auto"/>
              </w:rPr>
            </w:pPr>
          </w:p>
        </w:tc>
        <w:tc>
          <w:tcPr>
            <w:tcW w:w="860" w:type="dxa"/>
            <w:vAlign w:val="bottom"/>
            <w:tcBorders>
              <w:bottom w:val="single" w:sz="8" w:color="B1B2B4"/>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PSU-ROIC</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116,792</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233,584</w:t>
            </w:r>
          </w:p>
        </w:tc>
        <w:tc>
          <w:tcPr>
            <w:tcW w:w="880" w:type="dxa"/>
            <w:vAlign w:val="bottom"/>
            <w:tcBorders>
              <w:bottom w:val="single" w:sz="8" w:color="B1B2B4"/>
            </w:tcBorders>
            <w:shd w:val="clear" w:color="auto" w:fill="E1E1DF"/>
          </w:tcPr>
          <w:p>
            <w:pPr>
              <w:spacing w:after="0"/>
              <w:rPr>
                <w:sz w:val="13"/>
                <w:szCs w:val="13"/>
                <w:color w:val="auto"/>
              </w:rPr>
            </w:pPr>
          </w:p>
        </w:tc>
        <w:tc>
          <w:tcPr>
            <w:tcW w:w="90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1,084,998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E1E1DF"/>
            </w:tcBorders>
            <w:shd w:val="clear" w:color="auto" w:fill="E1E1DF"/>
          </w:tcPr>
          <w:p>
            <w:pPr>
              <w:spacing w:after="0"/>
              <w:rPr>
                <w:sz w:val="13"/>
                <w:szCs w:val="13"/>
                <w:color w:val="auto"/>
              </w:rPr>
            </w:pPr>
          </w:p>
        </w:tc>
        <w:tc>
          <w:tcPr>
            <w:tcW w:w="860" w:type="dxa"/>
            <w:vAlign w:val="bottom"/>
            <w:tcBorders>
              <w:bottom w:val="single" w:sz="8" w:color="B1B2B4"/>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PSU-TSR</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116,792</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233,584</w:t>
            </w:r>
          </w:p>
        </w:tc>
        <w:tc>
          <w:tcPr>
            <w:tcW w:w="880" w:type="dxa"/>
            <w:vAlign w:val="bottom"/>
            <w:tcBorders>
              <w:bottom w:val="single" w:sz="8" w:color="B1B2B4"/>
            </w:tcBorders>
            <w:shd w:val="clear" w:color="auto" w:fill="E1E1DF"/>
          </w:tcPr>
          <w:p>
            <w:pPr>
              <w:spacing w:after="0"/>
              <w:rPr>
                <w:sz w:val="13"/>
                <w:szCs w:val="13"/>
                <w:color w:val="auto"/>
              </w:rPr>
            </w:pPr>
          </w:p>
        </w:tc>
        <w:tc>
          <w:tcPr>
            <w:tcW w:w="90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1,170,256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40" w:type="dxa"/>
            <w:vAlign w:val="bottom"/>
          </w:tcPr>
          <w:p>
            <w:pPr>
              <w:ind w:left="40"/>
              <w:spacing w:after="0"/>
              <w:rPr>
                <w:sz w:val="20"/>
                <w:szCs w:val="20"/>
                <w:color w:val="auto"/>
              </w:rPr>
            </w:pPr>
            <w:r>
              <w:rPr>
                <w:rFonts w:ascii="Arial" w:cs="Arial" w:eastAsia="Arial" w:hAnsi="Arial"/>
                <w:sz w:val="13"/>
                <w:szCs w:val="13"/>
                <w:b w:val="1"/>
                <w:bCs w:val="1"/>
                <w:color w:val="3B3C43"/>
              </w:rPr>
              <w:t>Justin Rounce</w:t>
            </w:r>
          </w:p>
        </w:tc>
        <w:tc>
          <w:tcPr>
            <w:tcW w:w="860" w:type="dxa"/>
            <w:vAlign w:val="bottom"/>
          </w:tcPr>
          <w:p>
            <w:pPr>
              <w:ind w:left="20"/>
              <w:spacing w:after="0"/>
              <w:rPr>
                <w:sz w:val="20"/>
                <w:szCs w:val="20"/>
                <w:color w:val="auto"/>
              </w:rPr>
            </w:pPr>
            <w:r>
              <w:rPr>
                <w:rFonts w:ascii="Arial" w:cs="Arial" w:eastAsia="Arial" w:hAnsi="Arial"/>
                <w:sz w:val="13"/>
                <w:szCs w:val="13"/>
                <w:color w:val="3B3C43"/>
              </w:rPr>
              <w:t>Annual</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340" w:type="dxa"/>
            <w:vAlign w:val="bottom"/>
          </w:tcPr>
          <w:p>
            <w:pPr>
              <w:spacing w:after="0"/>
              <w:rPr>
                <w:sz w:val="12"/>
                <w:szCs w:val="12"/>
                <w:color w:val="auto"/>
              </w:rPr>
            </w:pPr>
          </w:p>
        </w:tc>
        <w:tc>
          <w:tcPr>
            <w:tcW w:w="860" w:type="dxa"/>
            <w:vAlign w:val="bottom"/>
            <w:tcBorders>
              <w:bottom w:val="single" w:sz="8" w:color="B1B2B4"/>
            </w:tcBorders>
          </w:tcPr>
          <w:p>
            <w:pPr>
              <w:ind w:left="20"/>
              <w:spacing w:after="0" w:line="141" w:lineRule="exact"/>
              <w:rPr>
                <w:sz w:val="20"/>
                <w:szCs w:val="20"/>
                <w:color w:val="auto"/>
              </w:rPr>
            </w:pPr>
            <w:r>
              <w:rPr>
                <w:rFonts w:ascii="Arial" w:cs="Arial" w:eastAsia="Arial" w:hAnsi="Arial"/>
                <w:sz w:val="13"/>
                <w:szCs w:val="13"/>
                <w:color w:val="3B3C43"/>
              </w:rPr>
              <w:t>Incentive</w:t>
            </w:r>
          </w:p>
        </w:tc>
        <w:tc>
          <w:tcPr>
            <w:tcW w:w="780" w:type="dxa"/>
            <w:vAlign w:val="bottom"/>
            <w:tcBorders>
              <w:bottom w:val="single" w:sz="8" w:color="B1B2B4"/>
            </w:tcBorders>
          </w:tcPr>
          <w:p>
            <w:pPr>
              <w:jc w:val="right"/>
              <w:spacing w:after="0" w:line="141" w:lineRule="exact"/>
              <w:rPr>
                <w:sz w:val="20"/>
                <w:szCs w:val="20"/>
                <w:color w:val="auto"/>
              </w:rPr>
            </w:pPr>
            <w:r>
              <w:rPr>
                <w:rFonts w:ascii="Arial" w:cs="Arial" w:eastAsia="Arial" w:hAnsi="Arial"/>
                <w:sz w:val="13"/>
                <w:szCs w:val="13"/>
                <w:color w:val="3B3C43"/>
              </w:rPr>
              <w:t>2020</w:t>
            </w:r>
          </w:p>
        </w:tc>
        <w:tc>
          <w:tcPr>
            <w:tcW w:w="780" w:type="dxa"/>
            <w:vAlign w:val="bottom"/>
            <w:tcBorders>
              <w:bottom w:val="single" w:sz="8" w:color="B1B2B4"/>
            </w:tcBorders>
          </w:tcPr>
          <w:p>
            <w:pPr>
              <w:jc w:val="right"/>
              <w:spacing w:after="0" w:line="141" w:lineRule="exact"/>
              <w:rPr>
                <w:sz w:val="20"/>
                <w:szCs w:val="20"/>
                <w:color w:val="auto"/>
              </w:rPr>
            </w:pPr>
            <w:r>
              <w:rPr>
                <w:rFonts w:ascii="Arial" w:cs="Arial" w:eastAsia="Arial" w:hAnsi="Arial"/>
                <w:sz w:val="13"/>
                <w:szCs w:val="13"/>
                <w:color w:val="3B3C43"/>
              </w:rPr>
              <w:t>0</w:t>
            </w:r>
          </w:p>
        </w:tc>
        <w:tc>
          <w:tcPr>
            <w:tcW w:w="780" w:type="dxa"/>
            <w:vAlign w:val="bottom"/>
            <w:tcBorders>
              <w:bottom w:val="single" w:sz="8" w:color="B1B2B4"/>
            </w:tcBorders>
          </w:tcPr>
          <w:p>
            <w:pPr>
              <w:jc w:val="right"/>
              <w:spacing w:after="0" w:line="141" w:lineRule="exact"/>
              <w:rPr>
                <w:sz w:val="20"/>
                <w:szCs w:val="20"/>
                <w:color w:val="auto"/>
              </w:rPr>
            </w:pPr>
            <w:r>
              <w:rPr>
                <w:rFonts w:ascii="Arial" w:cs="Arial" w:eastAsia="Arial" w:hAnsi="Arial"/>
                <w:sz w:val="13"/>
                <w:szCs w:val="13"/>
                <w:color w:val="3B3C43"/>
              </w:rPr>
              <w:t>600,000</w:t>
            </w:r>
          </w:p>
        </w:tc>
        <w:tc>
          <w:tcPr>
            <w:tcW w:w="780" w:type="dxa"/>
            <w:vAlign w:val="bottom"/>
            <w:tcBorders>
              <w:bottom w:val="single" w:sz="8" w:color="B1B2B4"/>
            </w:tcBorders>
          </w:tcPr>
          <w:p>
            <w:pPr>
              <w:jc w:val="right"/>
              <w:spacing w:after="0" w:line="141" w:lineRule="exact"/>
              <w:rPr>
                <w:sz w:val="20"/>
                <w:szCs w:val="20"/>
                <w:color w:val="auto"/>
              </w:rPr>
            </w:pPr>
            <w:r>
              <w:rPr>
                <w:rFonts w:ascii="Arial" w:cs="Arial" w:eastAsia="Arial" w:hAnsi="Arial"/>
                <w:sz w:val="13"/>
                <w:szCs w:val="13"/>
                <w:color w:val="3B3C43"/>
              </w:rPr>
              <w:t>600,000</w:t>
            </w:r>
          </w:p>
        </w:tc>
        <w:tc>
          <w:tcPr>
            <w:tcW w:w="780" w:type="dxa"/>
            <w:vAlign w:val="bottom"/>
            <w:tcBorders>
              <w:bottom w:val="single" w:sz="8" w:color="B1B2B4"/>
            </w:tcBorders>
          </w:tcPr>
          <w:p>
            <w:pPr>
              <w:spacing w:after="0"/>
              <w:rPr>
                <w:sz w:val="12"/>
                <w:szCs w:val="12"/>
                <w:color w:val="auto"/>
              </w:rPr>
            </w:pPr>
          </w:p>
        </w:tc>
        <w:tc>
          <w:tcPr>
            <w:tcW w:w="800" w:type="dxa"/>
            <w:vAlign w:val="bottom"/>
            <w:tcBorders>
              <w:bottom w:val="single" w:sz="8" w:color="B1B2B4"/>
            </w:tcBorders>
          </w:tcPr>
          <w:p>
            <w:pPr>
              <w:spacing w:after="0"/>
              <w:rPr>
                <w:sz w:val="12"/>
                <w:szCs w:val="12"/>
                <w:color w:val="auto"/>
              </w:rPr>
            </w:pPr>
          </w:p>
        </w:tc>
        <w:tc>
          <w:tcPr>
            <w:tcW w:w="780" w:type="dxa"/>
            <w:vAlign w:val="bottom"/>
            <w:tcBorders>
              <w:bottom w:val="single" w:sz="8" w:color="B1B2B4"/>
            </w:tcBorders>
          </w:tcPr>
          <w:p>
            <w:pPr>
              <w:spacing w:after="0"/>
              <w:rPr>
                <w:sz w:val="12"/>
                <w:szCs w:val="12"/>
                <w:color w:val="auto"/>
              </w:rPr>
            </w:pPr>
          </w:p>
        </w:tc>
        <w:tc>
          <w:tcPr>
            <w:tcW w:w="880" w:type="dxa"/>
            <w:vAlign w:val="bottom"/>
            <w:tcBorders>
              <w:bottom w:val="single" w:sz="8" w:color="B1B2B4"/>
            </w:tcBorders>
          </w:tcPr>
          <w:p>
            <w:pPr>
              <w:spacing w:after="0"/>
              <w:rPr>
                <w:sz w:val="12"/>
                <w:szCs w:val="12"/>
                <w:color w:val="auto"/>
              </w:rPr>
            </w:pPr>
          </w:p>
        </w:tc>
        <w:tc>
          <w:tcPr>
            <w:tcW w:w="900" w:type="dxa"/>
            <w:vAlign w:val="bottom"/>
            <w:tcBorders>
              <w:bottom w:val="single" w:sz="8" w:color="B1B2B4"/>
            </w:tcBorders>
          </w:tcPr>
          <w:p>
            <w:pPr>
              <w:spacing w:after="0"/>
              <w:rPr>
                <w:sz w:val="12"/>
                <w:szCs w:val="12"/>
                <w:color w:val="auto"/>
              </w:rPr>
            </w:pPr>
          </w:p>
        </w:tc>
        <w:tc>
          <w:tcPr>
            <w:tcW w:w="880" w:type="dxa"/>
            <w:vAlign w:val="bottom"/>
            <w:tcBorders>
              <w:bottom w:val="single" w:sz="8" w:color="B1B2B4"/>
            </w:tcBorders>
          </w:tcPr>
          <w:p>
            <w:pPr>
              <w:spacing w:after="0"/>
              <w:rPr>
                <w:sz w:val="12"/>
                <w:szCs w:val="12"/>
                <w:color w:val="auto"/>
              </w:rPr>
            </w:pPr>
          </w:p>
        </w:tc>
        <w:tc>
          <w:tcPr>
            <w:tcW w:w="880" w:type="dxa"/>
            <w:vAlign w:val="bottom"/>
            <w:tcBorders>
              <w:bottom w:val="single" w:sz="8" w:color="B1B2B4"/>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860" w:type="dxa"/>
            <w:vAlign w:val="bottom"/>
            <w:tcBorders>
              <w:bottom w:val="single" w:sz="8" w:color="B1B2B4"/>
            </w:tcBorders>
          </w:tcPr>
          <w:p>
            <w:pPr>
              <w:ind w:left="20"/>
              <w:spacing w:after="0"/>
              <w:rPr>
                <w:sz w:val="20"/>
                <w:szCs w:val="20"/>
                <w:color w:val="auto"/>
              </w:rPr>
            </w:pPr>
            <w:r>
              <w:rPr>
                <w:rFonts w:ascii="Arial" w:cs="Arial" w:eastAsia="Arial" w:hAnsi="Arial"/>
                <w:sz w:val="13"/>
                <w:szCs w:val="13"/>
                <w:color w:val="3B3C43"/>
              </w:rPr>
              <w:t>RSU</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80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58,127</w:t>
            </w:r>
          </w:p>
        </w:tc>
        <w:tc>
          <w:tcPr>
            <w:tcW w:w="90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540,000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860" w:type="dxa"/>
            <w:vAlign w:val="bottom"/>
            <w:tcBorders>
              <w:bottom w:val="single" w:sz="8" w:color="B1B2B4"/>
            </w:tcBorders>
          </w:tcPr>
          <w:p>
            <w:pPr>
              <w:ind w:left="20"/>
              <w:spacing w:after="0"/>
              <w:rPr>
                <w:sz w:val="20"/>
                <w:szCs w:val="20"/>
                <w:color w:val="auto"/>
              </w:rPr>
            </w:pPr>
            <w:r>
              <w:rPr>
                <w:rFonts w:ascii="Arial" w:cs="Arial" w:eastAsia="Arial" w:hAnsi="Arial"/>
                <w:sz w:val="13"/>
                <w:szCs w:val="13"/>
                <w:color w:val="3B3C43"/>
              </w:rPr>
              <w:t>PSU-ROIC</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67,815</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135,630</w:t>
            </w:r>
          </w:p>
        </w:tc>
        <w:tc>
          <w:tcPr>
            <w:tcW w:w="880" w:type="dxa"/>
            <w:vAlign w:val="bottom"/>
            <w:tcBorders>
              <w:bottom w:val="single" w:sz="8" w:color="B1B2B4"/>
            </w:tcBorders>
          </w:tcPr>
          <w:p>
            <w:pPr>
              <w:spacing w:after="0"/>
              <w:rPr>
                <w:sz w:val="13"/>
                <w:szCs w:val="13"/>
                <w:color w:val="auto"/>
              </w:rPr>
            </w:pPr>
          </w:p>
        </w:tc>
        <w:tc>
          <w:tcPr>
            <w:tcW w:w="90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630,001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bottom w:val="single" w:sz="8" w:color="E1E1DF"/>
            </w:tcBorders>
          </w:tcPr>
          <w:p>
            <w:pPr>
              <w:spacing w:after="0"/>
              <w:rPr>
                <w:sz w:val="13"/>
                <w:szCs w:val="13"/>
                <w:color w:val="auto"/>
              </w:rPr>
            </w:pPr>
          </w:p>
        </w:tc>
        <w:tc>
          <w:tcPr>
            <w:tcW w:w="860" w:type="dxa"/>
            <w:vAlign w:val="bottom"/>
            <w:tcBorders>
              <w:bottom w:val="single" w:sz="8" w:color="B1B2B4"/>
            </w:tcBorders>
          </w:tcPr>
          <w:p>
            <w:pPr>
              <w:ind w:left="20"/>
              <w:spacing w:after="0"/>
              <w:rPr>
                <w:sz w:val="20"/>
                <w:szCs w:val="20"/>
                <w:color w:val="auto"/>
              </w:rPr>
            </w:pPr>
            <w:r>
              <w:rPr>
                <w:rFonts w:ascii="Arial" w:cs="Arial" w:eastAsia="Arial" w:hAnsi="Arial"/>
                <w:sz w:val="13"/>
                <w:szCs w:val="13"/>
                <w:color w:val="3B3C43"/>
              </w:rPr>
              <w:t>PSU-TSR</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67,814</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135,628</w:t>
            </w:r>
          </w:p>
        </w:tc>
        <w:tc>
          <w:tcPr>
            <w:tcW w:w="880" w:type="dxa"/>
            <w:vAlign w:val="bottom"/>
            <w:tcBorders>
              <w:bottom w:val="single" w:sz="8" w:color="B1B2B4"/>
            </w:tcBorders>
          </w:tcPr>
          <w:p>
            <w:pPr>
              <w:spacing w:after="0"/>
              <w:rPr>
                <w:sz w:val="13"/>
                <w:szCs w:val="13"/>
                <w:color w:val="auto"/>
              </w:rPr>
            </w:pPr>
          </w:p>
        </w:tc>
        <w:tc>
          <w:tcPr>
            <w:tcW w:w="90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679,496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40" w:type="dxa"/>
            <w:vAlign w:val="bottom"/>
            <w:tcBorders>
              <w:left w:val="single" w:sz="8" w:color="E1E1DF"/>
            </w:tcBorders>
            <w:shd w:val="clear" w:color="auto" w:fill="E1E1DF"/>
          </w:tcPr>
          <w:p>
            <w:pPr>
              <w:ind w:left="40"/>
              <w:spacing w:after="0"/>
              <w:rPr>
                <w:sz w:val="20"/>
                <w:szCs w:val="20"/>
                <w:color w:val="auto"/>
              </w:rPr>
            </w:pPr>
            <w:r>
              <w:rPr>
                <w:rFonts w:ascii="Arial" w:cs="Arial" w:eastAsia="Arial" w:hAnsi="Arial"/>
                <w:sz w:val="13"/>
                <w:szCs w:val="13"/>
                <w:b w:val="1"/>
                <w:bCs w:val="1"/>
                <w:color w:val="3B3C43"/>
              </w:rPr>
              <w:t>Arnaud Pieton</w:t>
            </w:r>
          </w:p>
        </w:tc>
        <w:tc>
          <w:tcPr>
            <w:tcW w:w="860" w:type="dxa"/>
            <w:vAlign w:val="bottom"/>
            <w:tcBorders>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Annual</w:t>
            </w:r>
          </w:p>
        </w:tc>
        <w:tc>
          <w:tcPr>
            <w:tcW w:w="780" w:type="dxa"/>
            <w:vAlign w:val="bottom"/>
            <w:tcBorders>
              <w:right w:val="single" w:sz="8" w:color="E1E1DF"/>
            </w:tcBorders>
            <w:shd w:val="clear" w:color="auto" w:fill="E1E1DF"/>
          </w:tcPr>
          <w:p>
            <w:pPr>
              <w:spacing w:after="0"/>
              <w:rPr>
                <w:sz w:val="13"/>
                <w:szCs w:val="13"/>
                <w:color w:val="auto"/>
              </w:rPr>
            </w:pPr>
          </w:p>
        </w:tc>
        <w:tc>
          <w:tcPr>
            <w:tcW w:w="780" w:type="dxa"/>
            <w:vAlign w:val="bottom"/>
            <w:tcBorders>
              <w:right w:val="single" w:sz="8" w:color="E1E1DF"/>
            </w:tcBorders>
            <w:shd w:val="clear" w:color="auto" w:fill="E1E1DF"/>
          </w:tcPr>
          <w:p>
            <w:pPr>
              <w:spacing w:after="0"/>
              <w:rPr>
                <w:sz w:val="13"/>
                <w:szCs w:val="13"/>
                <w:color w:val="auto"/>
              </w:rPr>
            </w:pPr>
          </w:p>
        </w:tc>
        <w:tc>
          <w:tcPr>
            <w:tcW w:w="780" w:type="dxa"/>
            <w:vAlign w:val="bottom"/>
            <w:shd w:val="clear" w:color="auto" w:fill="E1E1DF"/>
          </w:tcPr>
          <w:p>
            <w:pPr>
              <w:spacing w:after="0"/>
              <w:rPr>
                <w:sz w:val="13"/>
                <w:szCs w:val="13"/>
                <w:color w:val="auto"/>
              </w:rPr>
            </w:pPr>
          </w:p>
        </w:tc>
        <w:tc>
          <w:tcPr>
            <w:tcW w:w="780" w:type="dxa"/>
            <w:vAlign w:val="bottom"/>
            <w:shd w:val="clear" w:color="auto" w:fill="E1E1DF"/>
          </w:tcPr>
          <w:p>
            <w:pPr>
              <w:spacing w:after="0"/>
              <w:rPr>
                <w:sz w:val="13"/>
                <w:szCs w:val="13"/>
                <w:color w:val="auto"/>
              </w:rPr>
            </w:pPr>
          </w:p>
        </w:tc>
        <w:tc>
          <w:tcPr>
            <w:tcW w:w="780" w:type="dxa"/>
            <w:vAlign w:val="bottom"/>
            <w:shd w:val="clear" w:color="auto" w:fill="E1E1DF"/>
          </w:tcPr>
          <w:p>
            <w:pPr>
              <w:spacing w:after="0"/>
              <w:rPr>
                <w:sz w:val="13"/>
                <w:szCs w:val="13"/>
                <w:color w:val="auto"/>
              </w:rPr>
            </w:pPr>
          </w:p>
        </w:tc>
        <w:tc>
          <w:tcPr>
            <w:tcW w:w="800" w:type="dxa"/>
            <w:vAlign w:val="bottom"/>
            <w:tcBorders>
              <w:right w:val="single" w:sz="8" w:color="E1E1DF"/>
            </w:tcBorders>
            <w:shd w:val="clear" w:color="auto" w:fill="E1E1DF"/>
          </w:tcPr>
          <w:p>
            <w:pPr>
              <w:spacing w:after="0"/>
              <w:rPr>
                <w:sz w:val="13"/>
                <w:szCs w:val="13"/>
                <w:color w:val="auto"/>
              </w:rPr>
            </w:pPr>
          </w:p>
        </w:tc>
        <w:tc>
          <w:tcPr>
            <w:tcW w:w="780" w:type="dxa"/>
            <w:vAlign w:val="bottom"/>
            <w:tcBorders>
              <w:right w:val="single" w:sz="8" w:color="E1E1DF"/>
            </w:tcBorders>
            <w:shd w:val="clear" w:color="auto" w:fill="E1E1DF"/>
          </w:tcPr>
          <w:p>
            <w:pPr>
              <w:spacing w:after="0"/>
              <w:rPr>
                <w:sz w:val="13"/>
                <w:szCs w:val="13"/>
                <w:color w:val="auto"/>
              </w:rPr>
            </w:pPr>
          </w:p>
        </w:tc>
        <w:tc>
          <w:tcPr>
            <w:tcW w:w="880" w:type="dxa"/>
            <w:vAlign w:val="bottom"/>
            <w:shd w:val="clear" w:color="auto" w:fill="E1E1DF"/>
          </w:tcPr>
          <w:p>
            <w:pPr>
              <w:spacing w:after="0"/>
              <w:rPr>
                <w:sz w:val="13"/>
                <w:szCs w:val="13"/>
                <w:color w:val="auto"/>
              </w:rPr>
            </w:pPr>
          </w:p>
        </w:tc>
        <w:tc>
          <w:tcPr>
            <w:tcW w:w="900" w:type="dxa"/>
            <w:vAlign w:val="bottom"/>
            <w:tcBorders>
              <w:right w:val="single" w:sz="8" w:color="E1E1DF"/>
            </w:tcBorders>
            <w:shd w:val="clear" w:color="auto" w:fill="E1E1DF"/>
          </w:tcPr>
          <w:p>
            <w:pPr>
              <w:spacing w:after="0"/>
              <w:rPr>
                <w:sz w:val="13"/>
                <w:szCs w:val="13"/>
                <w:color w:val="auto"/>
              </w:rPr>
            </w:pPr>
          </w:p>
        </w:tc>
        <w:tc>
          <w:tcPr>
            <w:tcW w:w="880" w:type="dxa"/>
            <w:vAlign w:val="bottom"/>
            <w:shd w:val="clear" w:color="auto" w:fill="E1E1DF"/>
          </w:tcPr>
          <w:p>
            <w:pPr>
              <w:spacing w:after="0"/>
              <w:rPr>
                <w:sz w:val="13"/>
                <w:szCs w:val="13"/>
                <w:color w:val="auto"/>
              </w:rPr>
            </w:pPr>
          </w:p>
        </w:tc>
        <w:tc>
          <w:tcPr>
            <w:tcW w:w="880" w:type="dxa"/>
            <w:vAlign w:val="bottom"/>
            <w:shd w:val="clear" w:color="auto" w:fill="E1E1D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340" w:type="dxa"/>
            <w:vAlign w:val="bottom"/>
            <w:tcBorders>
              <w:left w:val="single" w:sz="8" w:color="E1E1DF"/>
              <w:bottom w:val="single" w:sz="8" w:color="E1E1DF"/>
            </w:tcBorders>
            <w:shd w:val="clear" w:color="auto" w:fill="E1E1DF"/>
          </w:tcPr>
          <w:p>
            <w:pPr>
              <w:spacing w:after="0"/>
              <w:rPr>
                <w:sz w:val="12"/>
                <w:szCs w:val="12"/>
                <w:color w:val="auto"/>
              </w:rPr>
            </w:pPr>
          </w:p>
        </w:tc>
        <w:tc>
          <w:tcPr>
            <w:tcW w:w="860" w:type="dxa"/>
            <w:vAlign w:val="bottom"/>
            <w:tcBorders>
              <w:bottom w:val="single" w:sz="8" w:color="B1B2B4"/>
              <w:right w:val="single" w:sz="8" w:color="E1E1DF"/>
            </w:tcBorders>
            <w:shd w:val="clear" w:color="auto" w:fill="E1E1DF"/>
          </w:tcPr>
          <w:p>
            <w:pPr>
              <w:ind w:left="20"/>
              <w:spacing w:after="0" w:line="141" w:lineRule="exact"/>
              <w:rPr>
                <w:sz w:val="20"/>
                <w:szCs w:val="20"/>
                <w:color w:val="auto"/>
              </w:rPr>
            </w:pPr>
            <w:r>
              <w:rPr>
                <w:rFonts w:ascii="Arial" w:cs="Arial" w:eastAsia="Arial" w:hAnsi="Arial"/>
                <w:sz w:val="13"/>
                <w:szCs w:val="13"/>
                <w:color w:val="3B3C43"/>
              </w:rPr>
              <w:t>Incentive</w:t>
            </w:r>
          </w:p>
        </w:tc>
        <w:tc>
          <w:tcPr>
            <w:tcW w:w="780" w:type="dxa"/>
            <w:vAlign w:val="bottom"/>
            <w:tcBorders>
              <w:bottom w:val="single" w:sz="8" w:color="B1B2B4"/>
              <w:right w:val="single" w:sz="8" w:color="E1E1DF"/>
            </w:tcBorders>
            <w:shd w:val="clear" w:color="auto" w:fill="E1E1DF"/>
          </w:tcPr>
          <w:p>
            <w:pPr>
              <w:jc w:val="right"/>
              <w:spacing w:after="0" w:line="141" w:lineRule="exact"/>
              <w:rPr>
                <w:sz w:val="20"/>
                <w:szCs w:val="20"/>
                <w:color w:val="auto"/>
              </w:rPr>
            </w:pPr>
            <w:r>
              <w:rPr>
                <w:rFonts w:ascii="Arial" w:cs="Arial" w:eastAsia="Arial" w:hAnsi="Arial"/>
                <w:sz w:val="13"/>
                <w:szCs w:val="13"/>
                <w:color w:val="3B3C43"/>
              </w:rPr>
              <w:t>2020</w:t>
            </w:r>
          </w:p>
        </w:tc>
        <w:tc>
          <w:tcPr>
            <w:tcW w:w="780" w:type="dxa"/>
            <w:vAlign w:val="bottom"/>
            <w:tcBorders>
              <w:bottom w:val="single" w:sz="8" w:color="B1B2B4"/>
              <w:right w:val="single" w:sz="8" w:color="E1E1DF"/>
            </w:tcBorders>
            <w:shd w:val="clear" w:color="auto" w:fill="E1E1DF"/>
          </w:tcPr>
          <w:p>
            <w:pPr>
              <w:jc w:val="right"/>
              <w:spacing w:after="0" w:line="141" w:lineRule="exact"/>
              <w:rPr>
                <w:sz w:val="20"/>
                <w:szCs w:val="20"/>
                <w:color w:val="auto"/>
              </w:rPr>
            </w:pPr>
            <w:r>
              <w:rPr>
                <w:rFonts w:ascii="Arial" w:cs="Arial" w:eastAsia="Arial" w:hAnsi="Arial"/>
                <w:sz w:val="13"/>
                <w:szCs w:val="13"/>
                <w:color w:val="3B3C43"/>
              </w:rPr>
              <w:t>0</w:t>
            </w:r>
          </w:p>
        </w:tc>
        <w:tc>
          <w:tcPr>
            <w:tcW w:w="780" w:type="dxa"/>
            <w:vAlign w:val="bottom"/>
            <w:tcBorders>
              <w:bottom w:val="single" w:sz="8" w:color="B1B2B4"/>
            </w:tcBorders>
            <w:shd w:val="clear" w:color="auto" w:fill="E1E1DF"/>
          </w:tcPr>
          <w:p>
            <w:pPr>
              <w:jc w:val="right"/>
              <w:spacing w:after="0" w:line="141" w:lineRule="exact"/>
              <w:rPr>
                <w:sz w:val="20"/>
                <w:szCs w:val="20"/>
                <w:color w:val="auto"/>
              </w:rPr>
            </w:pPr>
            <w:r>
              <w:rPr>
                <w:rFonts w:ascii="Arial" w:cs="Arial" w:eastAsia="Arial" w:hAnsi="Arial"/>
                <w:sz w:val="13"/>
                <w:szCs w:val="13"/>
                <w:color w:val="3B3C43"/>
              </w:rPr>
              <w:t>587,020</w:t>
            </w:r>
          </w:p>
        </w:tc>
        <w:tc>
          <w:tcPr>
            <w:tcW w:w="780" w:type="dxa"/>
            <w:vAlign w:val="bottom"/>
            <w:tcBorders>
              <w:bottom w:val="single" w:sz="8" w:color="B1B2B4"/>
            </w:tcBorders>
            <w:shd w:val="clear" w:color="auto" w:fill="E1E1DF"/>
          </w:tcPr>
          <w:p>
            <w:pPr>
              <w:jc w:val="right"/>
              <w:spacing w:after="0" w:line="141" w:lineRule="exact"/>
              <w:rPr>
                <w:sz w:val="20"/>
                <w:szCs w:val="20"/>
                <w:color w:val="auto"/>
              </w:rPr>
            </w:pPr>
            <w:r>
              <w:rPr>
                <w:rFonts w:ascii="Arial" w:cs="Arial" w:eastAsia="Arial" w:hAnsi="Arial"/>
                <w:sz w:val="13"/>
                <w:szCs w:val="13"/>
                <w:color w:val="3B3C43"/>
              </w:rPr>
              <w:t>587,020</w:t>
            </w:r>
          </w:p>
        </w:tc>
        <w:tc>
          <w:tcPr>
            <w:tcW w:w="780" w:type="dxa"/>
            <w:vAlign w:val="bottom"/>
            <w:tcBorders>
              <w:bottom w:val="single" w:sz="8" w:color="B1B2B4"/>
            </w:tcBorders>
            <w:shd w:val="clear" w:color="auto" w:fill="E1E1DF"/>
          </w:tcPr>
          <w:p>
            <w:pPr>
              <w:spacing w:after="0"/>
              <w:rPr>
                <w:sz w:val="12"/>
                <w:szCs w:val="12"/>
                <w:color w:val="auto"/>
              </w:rPr>
            </w:pPr>
          </w:p>
        </w:tc>
        <w:tc>
          <w:tcPr>
            <w:tcW w:w="800" w:type="dxa"/>
            <w:vAlign w:val="bottom"/>
            <w:tcBorders>
              <w:bottom w:val="single" w:sz="8" w:color="B1B2B4"/>
              <w:right w:val="single" w:sz="8" w:color="E1E1DF"/>
            </w:tcBorders>
            <w:shd w:val="clear" w:color="auto" w:fill="E1E1DF"/>
          </w:tcPr>
          <w:p>
            <w:pPr>
              <w:spacing w:after="0"/>
              <w:rPr>
                <w:sz w:val="12"/>
                <w:szCs w:val="12"/>
                <w:color w:val="auto"/>
              </w:rPr>
            </w:pPr>
          </w:p>
        </w:tc>
        <w:tc>
          <w:tcPr>
            <w:tcW w:w="780" w:type="dxa"/>
            <w:vAlign w:val="bottom"/>
            <w:tcBorders>
              <w:bottom w:val="single" w:sz="8" w:color="B1B2B4"/>
              <w:right w:val="single" w:sz="8" w:color="E1E1DF"/>
            </w:tcBorders>
            <w:shd w:val="clear" w:color="auto" w:fill="E1E1DF"/>
          </w:tcPr>
          <w:p>
            <w:pPr>
              <w:spacing w:after="0"/>
              <w:rPr>
                <w:sz w:val="12"/>
                <w:szCs w:val="12"/>
                <w:color w:val="auto"/>
              </w:rPr>
            </w:pPr>
          </w:p>
        </w:tc>
        <w:tc>
          <w:tcPr>
            <w:tcW w:w="880" w:type="dxa"/>
            <w:vAlign w:val="bottom"/>
            <w:tcBorders>
              <w:bottom w:val="single" w:sz="8" w:color="B1B2B4"/>
            </w:tcBorders>
            <w:shd w:val="clear" w:color="auto" w:fill="E1E1DF"/>
          </w:tcPr>
          <w:p>
            <w:pPr>
              <w:spacing w:after="0"/>
              <w:rPr>
                <w:sz w:val="12"/>
                <w:szCs w:val="12"/>
                <w:color w:val="auto"/>
              </w:rPr>
            </w:pPr>
          </w:p>
        </w:tc>
        <w:tc>
          <w:tcPr>
            <w:tcW w:w="900" w:type="dxa"/>
            <w:vAlign w:val="bottom"/>
            <w:tcBorders>
              <w:bottom w:val="single" w:sz="8" w:color="B1B2B4"/>
              <w:right w:val="single" w:sz="8" w:color="E1E1DF"/>
            </w:tcBorders>
            <w:shd w:val="clear" w:color="auto" w:fill="E1E1DF"/>
          </w:tcPr>
          <w:p>
            <w:pPr>
              <w:spacing w:after="0"/>
              <w:rPr>
                <w:sz w:val="12"/>
                <w:szCs w:val="12"/>
                <w:color w:val="auto"/>
              </w:rPr>
            </w:pPr>
          </w:p>
        </w:tc>
        <w:tc>
          <w:tcPr>
            <w:tcW w:w="880" w:type="dxa"/>
            <w:vAlign w:val="bottom"/>
            <w:tcBorders>
              <w:bottom w:val="single" w:sz="8" w:color="B1B2B4"/>
            </w:tcBorders>
            <w:shd w:val="clear" w:color="auto" w:fill="E1E1DF"/>
          </w:tcPr>
          <w:p>
            <w:pPr>
              <w:spacing w:after="0"/>
              <w:rPr>
                <w:sz w:val="12"/>
                <w:szCs w:val="12"/>
                <w:color w:val="auto"/>
              </w:rPr>
            </w:pPr>
          </w:p>
        </w:tc>
        <w:tc>
          <w:tcPr>
            <w:tcW w:w="880" w:type="dxa"/>
            <w:vAlign w:val="bottom"/>
            <w:tcBorders>
              <w:bottom w:val="single" w:sz="8" w:color="B1B2B4"/>
            </w:tcBorders>
            <w:shd w:val="clear" w:color="auto" w:fill="E1E1D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E1E1DF"/>
              <w:bottom w:val="single" w:sz="8" w:color="E1E1DF"/>
            </w:tcBorders>
            <w:shd w:val="clear" w:color="auto" w:fill="E1E1DF"/>
          </w:tcPr>
          <w:p>
            <w:pPr>
              <w:spacing w:after="0"/>
              <w:rPr>
                <w:sz w:val="13"/>
                <w:szCs w:val="13"/>
                <w:color w:val="auto"/>
              </w:rPr>
            </w:pPr>
          </w:p>
        </w:tc>
        <w:tc>
          <w:tcPr>
            <w:tcW w:w="860" w:type="dxa"/>
            <w:vAlign w:val="bottom"/>
            <w:tcBorders>
              <w:bottom w:val="single" w:sz="8" w:color="B1B2B4"/>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RSU</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80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41,980</w:t>
            </w:r>
          </w:p>
        </w:tc>
        <w:tc>
          <w:tcPr>
            <w:tcW w:w="90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389,994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E1E1DF"/>
              <w:bottom w:val="single" w:sz="8" w:color="E1E1DF"/>
            </w:tcBorders>
            <w:shd w:val="clear" w:color="auto" w:fill="E1E1DF"/>
          </w:tcPr>
          <w:p>
            <w:pPr>
              <w:spacing w:after="0"/>
              <w:rPr>
                <w:sz w:val="13"/>
                <w:szCs w:val="13"/>
                <w:color w:val="auto"/>
              </w:rPr>
            </w:pPr>
          </w:p>
        </w:tc>
        <w:tc>
          <w:tcPr>
            <w:tcW w:w="860" w:type="dxa"/>
            <w:vAlign w:val="bottom"/>
            <w:tcBorders>
              <w:bottom w:val="single" w:sz="8" w:color="B1B2B4"/>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PSU-ROIC</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48,977</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97,954</w:t>
            </w:r>
          </w:p>
        </w:tc>
        <w:tc>
          <w:tcPr>
            <w:tcW w:w="880" w:type="dxa"/>
            <w:vAlign w:val="bottom"/>
            <w:tcBorders>
              <w:bottom w:val="single" w:sz="8" w:color="B1B2B4"/>
            </w:tcBorders>
            <w:shd w:val="clear" w:color="auto" w:fill="E1E1DF"/>
          </w:tcPr>
          <w:p>
            <w:pPr>
              <w:spacing w:after="0"/>
              <w:rPr>
                <w:sz w:val="13"/>
                <w:szCs w:val="13"/>
                <w:color w:val="auto"/>
              </w:rPr>
            </w:pPr>
          </w:p>
        </w:tc>
        <w:tc>
          <w:tcPr>
            <w:tcW w:w="90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454,996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E1E1DF"/>
            </w:tcBorders>
            <w:shd w:val="clear" w:color="auto" w:fill="E1E1DF"/>
          </w:tcPr>
          <w:p>
            <w:pPr>
              <w:spacing w:after="0"/>
              <w:rPr>
                <w:sz w:val="13"/>
                <w:szCs w:val="13"/>
                <w:color w:val="auto"/>
              </w:rPr>
            </w:pPr>
          </w:p>
        </w:tc>
        <w:tc>
          <w:tcPr>
            <w:tcW w:w="860" w:type="dxa"/>
            <w:vAlign w:val="bottom"/>
            <w:tcBorders>
              <w:bottom w:val="single" w:sz="8" w:color="B1B2B4"/>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PSU-TSR</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48,977</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97,954</w:t>
            </w:r>
          </w:p>
        </w:tc>
        <w:tc>
          <w:tcPr>
            <w:tcW w:w="880" w:type="dxa"/>
            <w:vAlign w:val="bottom"/>
            <w:tcBorders>
              <w:bottom w:val="single" w:sz="8" w:color="B1B2B4"/>
            </w:tcBorders>
            <w:shd w:val="clear" w:color="auto" w:fill="E1E1DF"/>
          </w:tcPr>
          <w:p>
            <w:pPr>
              <w:spacing w:after="0"/>
              <w:rPr>
                <w:sz w:val="13"/>
                <w:szCs w:val="13"/>
                <w:color w:val="auto"/>
              </w:rPr>
            </w:pPr>
          </w:p>
        </w:tc>
        <w:tc>
          <w:tcPr>
            <w:tcW w:w="90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490,750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40" w:type="dxa"/>
            <w:vAlign w:val="bottom"/>
          </w:tcPr>
          <w:p>
            <w:pPr>
              <w:ind w:left="40"/>
              <w:spacing w:after="0"/>
              <w:rPr>
                <w:sz w:val="20"/>
                <w:szCs w:val="20"/>
                <w:color w:val="auto"/>
              </w:rPr>
            </w:pPr>
            <w:r>
              <w:rPr>
                <w:rFonts w:ascii="Arial" w:cs="Arial" w:eastAsia="Arial" w:hAnsi="Arial"/>
                <w:sz w:val="13"/>
                <w:szCs w:val="13"/>
                <w:b w:val="1"/>
                <w:bCs w:val="1"/>
                <w:color w:val="3B3C43"/>
              </w:rPr>
              <w:t>Barry Glickman</w:t>
            </w:r>
          </w:p>
        </w:tc>
        <w:tc>
          <w:tcPr>
            <w:tcW w:w="860" w:type="dxa"/>
            <w:vAlign w:val="bottom"/>
          </w:tcPr>
          <w:p>
            <w:pPr>
              <w:ind w:left="20"/>
              <w:spacing w:after="0"/>
              <w:rPr>
                <w:sz w:val="20"/>
                <w:szCs w:val="20"/>
                <w:color w:val="auto"/>
              </w:rPr>
            </w:pPr>
            <w:r>
              <w:rPr>
                <w:rFonts w:ascii="Arial" w:cs="Arial" w:eastAsia="Arial" w:hAnsi="Arial"/>
                <w:sz w:val="13"/>
                <w:szCs w:val="13"/>
                <w:color w:val="3B3C43"/>
              </w:rPr>
              <w:t>Annual</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340" w:type="dxa"/>
            <w:vAlign w:val="bottom"/>
          </w:tcPr>
          <w:p>
            <w:pPr>
              <w:spacing w:after="0"/>
              <w:rPr>
                <w:sz w:val="12"/>
                <w:szCs w:val="12"/>
                <w:color w:val="auto"/>
              </w:rPr>
            </w:pPr>
          </w:p>
        </w:tc>
        <w:tc>
          <w:tcPr>
            <w:tcW w:w="860" w:type="dxa"/>
            <w:vAlign w:val="bottom"/>
            <w:tcBorders>
              <w:bottom w:val="single" w:sz="8" w:color="B1B2B4"/>
            </w:tcBorders>
          </w:tcPr>
          <w:p>
            <w:pPr>
              <w:ind w:left="20"/>
              <w:spacing w:after="0" w:line="141" w:lineRule="exact"/>
              <w:rPr>
                <w:sz w:val="20"/>
                <w:szCs w:val="20"/>
                <w:color w:val="auto"/>
              </w:rPr>
            </w:pPr>
            <w:r>
              <w:rPr>
                <w:rFonts w:ascii="Arial" w:cs="Arial" w:eastAsia="Arial" w:hAnsi="Arial"/>
                <w:sz w:val="13"/>
                <w:szCs w:val="13"/>
                <w:color w:val="3B3C43"/>
              </w:rPr>
              <w:t>Incentive</w:t>
            </w:r>
          </w:p>
        </w:tc>
        <w:tc>
          <w:tcPr>
            <w:tcW w:w="780" w:type="dxa"/>
            <w:vAlign w:val="bottom"/>
            <w:tcBorders>
              <w:bottom w:val="single" w:sz="8" w:color="B1B2B4"/>
            </w:tcBorders>
          </w:tcPr>
          <w:p>
            <w:pPr>
              <w:jc w:val="right"/>
              <w:spacing w:after="0" w:line="141" w:lineRule="exact"/>
              <w:rPr>
                <w:sz w:val="20"/>
                <w:szCs w:val="20"/>
                <w:color w:val="auto"/>
              </w:rPr>
            </w:pPr>
            <w:r>
              <w:rPr>
                <w:rFonts w:ascii="Arial" w:cs="Arial" w:eastAsia="Arial" w:hAnsi="Arial"/>
                <w:sz w:val="13"/>
                <w:szCs w:val="13"/>
                <w:color w:val="3B3C43"/>
              </w:rPr>
              <w:t>2020</w:t>
            </w:r>
          </w:p>
        </w:tc>
        <w:tc>
          <w:tcPr>
            <w:tcW w:w="780" w:type="dxa"/>
            <w:vAlign w:val="bottom"/>
            <w:tcBorders>
              <w:bottom w:val="single" w:sz="8" w:color="B1B2B4"/>
            </w:tcBorders>
          </w:tcPr>
          <w:p>
            <w:pPr>
              <w:jc w:val="right"/>
              <w:spacing w:after="0" w:line="141" w:lineRule="exact"/>
              <w:rPr>
                <w:sz w:val="20"/>
                <w:szCs w:val="20"/>
                <w:color w:val="auto"/>
              </w:rPr>
            </w:pPr>
            <w:r>
              <w:rPr>
                <w:rFonts w:ascii="Arial" w:cs="Arial" w:eastAsia="Arial" w:hAnsi="Arial"/>
                <w:sz w:val="13"/>
                <w:szCs w:val="13"/>
                <w:color w:val="3B3C43"/>
              </w:rPr>
              <w:t>0</w:t>
            </w:r>
          </w:p>
        </w:tc>
        <w:tc>
          <w:tcPr>
            <w:tcW w:w="780" w:type="dxa"/>
            <w:vAlign w:val="bottom"/>
            <w:tcBorders>
              <w:bottom w:val="single" w:sz="8" w:color="B1B2B4"/>
            </w:tcBorders>
          </w:tcPr>
          <w:p>
            <w:pPr>
              <w:jc w:val="right"/>
              <w:spacing w:after="0" w:line="141" w:lineRule="exact"/>
              <w:rPr>
                <w:sz w:val="20"/>
                <w:szCs w:val="20"/>
                <w:color w:val="auto"/>
              </w:rPr>
            </w:pPr>
            <w:r>
              <w:rPr>
                <w:rFonts w:ascii="Arial" w:cs="Arial" w:eastAsia="Arial" w:hAnsi="Arial"/>
                <w:sz w:val="13"/>
                <w:szCs w:val="13"/>
                <w:color w:val="3B3C43"/>
              </w:rPr>
              <w:t>536,000</w:t>
            </w:r>
          </w:p>
        </w:tc>
        <w:tc>
          <w:tcPr>
            <w:tcW w:w="780" w:type="dxa"/>
            <w:vAlign w:val="bottom"/>
            <w:tcBorders>
              <w:bottom w:val="single" w:sz="8" w:color="B1B2B4"/>
            </w:tcBorders>
          </w:tcPr>
          <w:p>
            <w:pPr>
              <w:jc w:val="right"/>
              <w:spacing w:after="0" w:line="141" w:lineRule="exact"/>
              <w:rPr>
                <w:sz w:val="20"/>
                <w:szCs w:val="20"/>
                <w:color w:val="auto"/>
              </w:rPr>
            </w:pPr>
            <w:r>
              <w:rPr>
                <w:rFonts w:ascii="Arial" w:cs="Arial" w:eastAsia="Arial" w:hAnsi="Arial"/>
                <w:sz w:val="13"/>
                <w:szCs w:val="13"/>
                <w:color w:val="3B3C43"/>
              </w:rPr>
              <w:t>536,000</w:t>
            </w:r>
          </w:p>
        </w:tc>
        <w:tc>
          <w:tcPr>
            <w:tcW w:w="780" w:type="dxa"/>
            <w:vAlign w:val="bottom"/>
            <w:tcBorders>
              <w:bottom w:val="single" w:sz="8" w:color="B1B2B4"/>
            </w:tcBorders>
          </w:tcPr>
          <w:p>
            <w:pPr>
              <w:spacing w:after="0"/>
              <w:rPr>
                <w:sz w:val="12"/>
                <w:szCs w:val="12"/>
                <w:color w:val="auto"/>
              </w:rPr>
            </w:pPr>
          </w:p>
        </w:tc>
        <w:tc>
          <w:tcPr>
            <w:tcW w:w="800" w:type="dxa"/>
            <w:vAlign w:val="bottom"/>
            <w:tcBorders>
              <w:bottom w:val="single" w:sz="8" w:color="B1B2B4"/>
            </w:tcBorders>
          </w:tcPr>
          <w:p>
            <w:pPr>
              <w:spacing w:after="0"/>
              <w:rPr>
                <w:sz w:val="12"/>
                <w:szCs w:val="12"/>
                <w:color w:val="auto"/>
              </w:rPr>
            </w:pPr>
          </w:p>
        </w:tc>
        <w:tc>
          <w:tcPr>
            <w:tcW w:w="780" w:type="dxa"/>
            <w:vAlign w:val="bottom"/>
            <w:tcBorders>
              <w:bottom w:val="single" w:sz="8" w:color="B1B2B4"/>
            </w:tcBorders>
          </w:tcPr>
          <w:p>
            <w:pPr>
              <w:spacing w:after="0"/>
              <w:rPr>
                <w:sz w:val="12"/>
                <w:szCs w:val="12"/>
                <w:color w:val="auto"/>
              </w:rPr>
            </w:pPr>
          </w:p>
        </w:tc>
        <w:tc>
          <w:tcPr>
            <w:tcW w:w="880" w:type="dxa"/>
            <w:vAlign w:val="bottom"/>
            <w:tcBorders>
              <w:bottom w:val="single" w:sz="8" w:color="B1B2B4"/>
            </w:tcBorders>
          </w:tcPr>
          <w:p>
            <w:pPr>
              <w:spacing w:after="0"/>
              <w:rPr>
                <w:sz w:val="12"/>
                <w:szCs w:val="12"/>
                <w:color w:val="auto"/>
              </w:rPr>
            </w:pPr>
          </w:p>
        </w:tc>
        <w:tc>
          <w:tcPr>
            <w:tcW w:w="900" w:type="dxa"/>
            <w:vAlign w:val="bottom"/>
            <w:tcBorders>
              <w:bottom w:val="single" w:sz="8" w:color="B1B2B4"/>
            </w:tcBorders>
          </w:tcPr>
          <w:p>
            <w:pPr>
              <w:spacing w:after="0"/>
              <w:rPr>
                <w:sz w:val="12"/>
                <w:szCs w:val="12"/>
                <w:color w:val="auto"/>
              </w:rPr>
            </w:pPr>
          </w:p>
        </w:tc>
        <w:tc>
          <w:tcPr>
            <w:tcW w:w="880" w:type="dxa"/>
            <w:vAlign w:val="bottom"/>
            <w:tcBorders>
              <w:bottom w:val="single" w:sz="8" w:color="B1B2B4"/>
            </w:tcBorders>
          </w:tcPr>
          <w:p>
            <w:pPr>
              <w:spacing w:after="0"/>
              <w:rPr>
                <w:sz w:val="12"/>
                <w:szCs w:val="12"/>
                <w:color w:val="auto"/>
              </w:rPr>
            </w:pPr>
          </w:p>
        </w:tc>
        <w:tc>
          <w:tcPr>
            <w:tcW w:w="880" w:type="dxa"/>
            <w:vAlign w:val="bottom"/>
            <w:tcBorders>
              <w:bottom w:val="single" w:sz="8" w:color="B1B2B4"/>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860" w:type="dxa"/>
            <w:vAlign w:val="bottom"/>
            <w:tcBorders>
              <w:bottom w:val="single" w:sz="8" w:color="B1B2B4"/>
            </w:tcBorders>
          </w:tcPr>
          <w:p>
            <w:pPr>
              <w:ind w:left="20"/>
              <w:spacing w:after="0"/>
              <w:rPr>
                <w:sz w:val="20"/>
                <w:szCs w:val="20"/>
                <w:color w:val="auto"/>
              </w:rPr>
            </w:pPr>
            <w:r>
              <w:rPr>
                <w:rFonts w:ascii="Arial" w:cs="Arial" w:eastAsia="Arial" w:hAnsi="Arial"/>
                <w:sz w:val="13"/>
                <w:szCs w:val="13"/>
                <w:color w:val="3B3C43"/>
              </w:rPr>
              <w:t>RSU</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80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41,980</w:t>
            </w:r>
          </w:p>
        </w:tc>
        <w:tc>
          <w:tcPr>
            <w:tcW w:w="90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389,994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860" w:type="dxa"/>
            <w:vAlign w:val="bottom"/>
            <w:tcBorders>
              <w:bottom w:val="single" w:sz="8" w:color="B1B2B4"/>
            </w:tcBorders>
          </w:tcPr>
          <w:p>
            <w:pPr>
              <w:ind w:left="20"/>
              <w:spacing w:after="0"/>
              <w:rPr>
                <w:sz w:val="20"/>
                <w:szCs w:val="20"/>
                <w:color w:val="auto"/>
              </w:rPr>
            </w:pPr>
            <w:r>
              <w:rPr>
                <w:rFonts w:ascii="Arial" w:cs="Arial" w:eastAsia="Arial" w:hAnsi="Arial"/>
                <w:sz w:val="13"/>
                <w:szCs w:val="13"/>
                <w:color w:val="3B3C43"/>
              </w:rPr>
              <w:t>PSU-ROIC</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48,977</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97,954</w:t>
            </w:r>
          </w:p>
        </w:tc>
        <w:tc>
          <w:tcPr>
            <w:tcW w:w="880" w:type="dxa"/>
            <w:vAlign w:val="bottom"/>
            <w:tcBorders>
              <w:bottom w:val="single" w:sz="8" w:color="B1B2B4"/>
            </w:tcBorders>
          </w:tcPr>
          <w:p>
            <w:pPr>
              <w:spacing w:after="0"/>
              <w:rPr>
                <w:sz w:val="13"/>
                <w:szCs w:val="13"/>
                <w:color w:val="auto"/>
              </w:rPr>
            </w:pPr>
          </w:p>
        </w:tc>
        <w:tc>
          <w:tcPr>
            <w:tcW w:w="90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454,996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Borders>
              <w:bottom w:val="single" w:sz="8" w:color="E1E1DF"/>
            </w:tcBorders>
          </w:tcPr>
          <w:p>
            <w:pPr>
              <w:spacing w:after="0"/>
              <w:rPr>
                <w:sz w:val="13"/>
                <w:szCs w:val="13"/>
                <w:color w:val="auto"/>
              </w:rPr>
            </w:pPr>
          </w:p>
        </w:tc>
        <w:tc>
          <w:tcPr>
            <w:tcW w:w="860" w:type="dxa"/>
            <w:vAlign w:val="bottom"/>
            <w:tcBorders>
              <w:bottom w:val="single" w:sz="8" w:color="B1B2B4"/>
            </w:tcBorders>
          </w:tcPr>
          <w:p>
            <w:pPr>
              <w:ind w:left="20"/>
              <w:spacing w:after="0"/>
              <w:rPr>
                <w:sz w:val="20"/>
                <w:szCs w:val="20"/>
                <w:color w:val="auto"/>
              </w:rPr>
            </w:pPr>
            <w:r>
              <w:rPr>
                <w:rFonts w:ascii="Arial" w:cs="Arial" w:eastAsia="Arial" w:hAnsi="Arial"/>
                <w:sz w:val="13"/>
                <w:szCs w:val="13"/>
                <w:color w:val="3B3C43"/>
              </w:rPr>
              <w:t>PSU-TSR</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spacing w:after="0"/>
              <w:rPr>
                <w:sz w:val="13"/>
                <w:szCs w:val="13"/>
                <w:color w:val="auto"/>
              </w:rPr>
            </w:pP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48,977</w:t>
            </w:r>
          </w:p>
        </w:tc>
        <w:tc>
          <w:tcPr>
            <w:tcW w:w="7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97,954</w:t>
            </w:r>
          </w:p>
        </w:tc>
        <w:tc>
          <w:tcPr>
            <w:tcW w:w="880" w:type="dxa"/>
            <w:vAlign w:val="bottom"/>
            <w:tcBorders>
              <w:bottom w:val="single" w:sz="8" w:color="B1B2B4"/>
            </w:tcBorders>
          </w:tcPr>
          <w:p>
            <w:pPr>
              <w:spacing w:after="0"/>
              <w:rPr>
                <w:sz w:val="13"/>
                <w:szCs w:val="13"/>
                <w:color w:val="auto"/>
              </w:rPr>
            </w:pPr>
          </w:p>
        </w:tc>
        <w:tc>
          <w:tcPr>
            <w:tcW w:w="90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spacing w:after="0"/>
              <w:rPr>
                <w:sz w:val="13"/>
                <w:szCs w:val="13"/>
                <w:color w:val="auto"/>
              </w:rPr>
            </w:pPr>
          </w:p>
        </w:tc>
        <w:tc>
          <w:tcPr>
            <w:tcW w:w="88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490,750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40" w:type="dxa"/>
            <w:vAlign w:val="bottom"/>
            <w:tcBorders>
              <w:left w:val="single" w:sz="8" w:color="E1E1DF"/>
            </w:tcBorders>
            <w:shd w:val="clear" w:color="auto" w:fill="E1E1DF"/>
          </w:tcPr>
          <w:p>
            <w:pPr>
              <w:ind w:left="40"/>
              <w:spacing w:after="0" w:line="129" w:lineRule="exact"/>
              <w:rPr>
                <w:sz w:val="20"/>
                <w:szCs w:val="20"/>
                <w:color w:val="auto"/>
              </w:rPr>
            </w:pPr>
            <w:r>
              <w:rPr>
                <w:rFonts w:ascii="Arial" w:cs="Arial" w:eastAsia="Arial" w:hAnsi="Arial"/>
                <w:sz w:val="13"/>
                <w:szCs w:val="13"/>
                <w:b w:val="1"/>
                <w:bCs w:val="1"/>
                <w:color w:val="3B3C43"/>
              </w:rPr>
              <w:t>Catherine</w:t>
            </w:r>
          </w:p>
        </w:tc>
        <w:tc>
          <w:tcPr>
            <w:tcW w:w="860" w:type="dxa"/>
            <w:vAlign w:val="bottom"/>
            <w:tcBorders>
              <w:right w:val="single" w:sz="8" w:color="E1E1DF"/>
            </w:tcBorders>
            <w:shd w:val="clear" w:color="auto" w:fill="E1E1DF"/>
          </w:tcPr>
          <w:p>
            <w:pPr>
              <w:ind w:left="20"/>
              <w:spacing w:after="0" w:line="129" w:lineRule="exact"/>
              <w:rPr>
                <w:sz w:val="20"/>
                <w:szCs w:val="20"/>
                <w:color w:val="auto"/>
              </w:rPr>
            </w:pPr>
            <w:r>
              <w:rPr>
                <w:rFonts w:ascii="Arial" w:cs="Arial" w:eastAsia="Arial" w:hAnsi="Arial"/>
                <w:sz w:val="13"/>
                <w:szCs w:val="13"/>
                <w:color w:val="3B3C43"/>
              </w:rPr>
              <w:t>Annual</w:t>
            </w:r>
          </w:p>
        </w:tc>
        <w:tc>
          <w:tcPr>
            <w:tcW w:w="780" w:type="dxa"/>
            <w:vAlign w:val="bottom"/>
            <w:tcBorders>
              <w:right w:val="single" w:sz="8" w:color="E1E1DF"/>
            </w:tcBorders>
            <w:shd w:val="clear" w:color="auto" w:fill="E1E1DF"/>
          </w:tcPr>
          <w:p>
            <w:pPr>
              <w:spacing w:after="0"/>
              <w:rPr>
                <w:sz w:val="11"/>
                <w:szCs w:val="11"/>
                <w:color w:val="auto"/>
              </w:rPr>
            </w:pPr>
          </w:p>
        </w:tc>
        <w:tc>
          <w:tcPr>
            <w:tcW w:w="780" w:type="dxa"/>
            <w:vAlign w:val="bottom"/>
            <w:tcBorders>
              <w:right w:val="single" w:sz="8" w:color="E1E1DF"/>
            </w:tcBorders>
            <w:shd w:val="clear" w:color="auto" w:fill="E1E1DF"/>
          </w:tcPr>
          <w:p>
            <w:pPr>
              <w:spacing w:after="0"/>
              <w:rPr>
                <w:sz w:val="11"/>
                <w:szCs w:val="11"/>
                <w:color w:val="auto"/>
              </w:rPr>
            </w:pPr>
          </w:p>
        </w:tc>
        <w:tc>
          <w:tcPr>
            <w:tcW w:w="780" w:type="dxa"/>
            <w:vAlign w:val="bottom"/>
            <w:shd w:val="clear" w:color="auto" w:fill="E1E1DF"/>
          </w:tcPr>
          <w:p>
            <w:pPr>
              <w:spacing w:after="0"/>
              <w:rPr>
                <w:sz w:val="11"/>
                <w:szCs w:val="11"/>
                <w:color w:val="auto"/>
              </w:rPr>
            </w:pPr>
          </w:p>
        </w:tc>
        <w:tc>
          <w:tcPr>
            <w:tcW w:w="780" w:type="dxa"/>
            <w:vAlign w:val="bottom"/>
            <w:shd w:val="clear" w:color="auto" w:fill="E1E1DF"/>
          </w:tcPr>
          <w:p>
            <w:pPr>
              <w:spacing w:after="0"/>
              <w:rPr>
                <w:sz w:val="11"/>
                <w:szCs w:val="11"/>
                <w:color w:val="auto"/>
              </w:rPr>
            </w:pPr>
          </w:p>
        </w:tc>
        <w:tc>
          <w:tcPr>
            <w:tcW w:w="780" w:type="dxa"/>
            <w:vAlign w:val="bottom"/>
            <w:shd w:val="clear" w:color="auto" w:fill="E1E1DF"/>
          </w:tcPr>
          <w:p>
            <w:pPr>
              <w:spacing w:after="0"/>
              <w:rPr>
                <w:sz w:val="11"/>
                <w:szCs w:val="11"/>
                <w:color w:val="auto"/>
              </w:rPr>
            </w:pPr>
          </w:p>
        </w:tc>
        <w:tc>
          <w:tcPr>
            <w:tcW w:w="800" w:type="dxa"/>
            <w:vAlign w:val="bottom"/>
            <w:tcBorders>
              <w:right w:val="single" w:sz="8" w:color="E1E1DF"/>
            </w:tcBorders>
            <w:shd w:val="clear" w:color="auto" w:fill="E1E1DF"/>
          </w:tcPr>
          <w:p>
            <w:pPr>
              <w:spacing w:after="0"/>
              <w:rPr>
                <w:sz w:val="11"/>
                <w:szCs w:val="11"/>
                <w:color w:val="auto"/>
              </w:rPr>
            </w:pPr>
          </w:p>
        </w:tc>
        <w:tc>
          <w:tcPr>
            <w:tcW w:w="780" w:type="dxa"/>
            <w:vAlign w:val="bottom"/>
            <w:tcBorders>
              <w:right w:val="single" w:sz="8" w:color="E1E1DF"/>
            </w:tcBorders>
            <w:shd w:val="clear" w:color="auto" w:fill="E1E1DF"/>
          </w:tcPr>
          <w:p>
            <w:pPr>
              <w:spacing w:after="0"/>
              <w:rPr>
                <w:sz w:val="11"/>
                <w:szCs w:val="11"/>
                <w:color w:val="auto"/>
              </w:rPr>
            </w:pPr>
          </w:p>
        </w:tc>
        <w:tc>
          <w:tcPr>
            <w:tcW w:w="880" w:type="dxa"/>
            <w:vAlign w:val="bottom"/>
            <w:shd w:val="clear" w:color="auto" w:fill="E1E1DF"/>
          </w:tcPr>
          <w:p>
            <w:pPr>
              <w:spacing w:after="0"/>
              <w:rPr>
                <w:sz w:val="11"/>
                <w:szCs w:val="11"/>
                <w:color w:val="auto"/>
              </w:rPr>
            </w:pPr>
          </w:p>
        </w:tc>
        <w:tc>
          <w:tcPr>
            <w:tcW w:w="900" w:type="dxa"/>
            <w:vAlign w:val="bottom"/>
            <w:tcBorders>
              <w:right w:val="single" w:sz="8" w:color="E1E1DF"/>
            </w:tcBorders>
            <w:shd w:val="clear" w:color="auto" w:fill="E1E1DF"/>
          </w:tcPr>
          <w:p>
            <w:pPr>
              <w:spacing w:after="0"/>
              <w:rPr>
                <w:sz w:val="11"/>
                <w:szCs w:val="11"/>
                <w:color w:val="auto"/>
              </w:rPr>
            </w:pPr>
          </w:p>
        </w:tc>
        <w:tc>
          <w:tcPr>
            <w:tcW w:w="880" w:type="dxa"/>
            <w:vAlign w:val="bottom"/>
            <w:shd w:val="clear" w:color="auto" w:fill="E1E1DF"/>
          </w:tcPr>
          <w:p>
            <w:pPr>
              <w:spacing w:after="0"/>
              <w:rPr>
                <w:sz w:val="11"/>
                <w:szCs w:val="11"/>
                <w:color w:val="auto"/>
              </w:rPr>
            </w:pPr>
          </w:p>
        </w:tc>
        <w:tc>
          <w:tcPr>
            <w:tcW w:w="880" w:type="dxa"/>
            <w:vAlign w:val="bottom"/>
            <w:shd w:val="clear" w:color="auto" w:fill="E1E1D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E1E1DF"/>
              <w:bottom w:val="single" w:sz="8" w:color="E1E1DF"/>
            </w:tcBorders>
            <w:shd w:val="clear" w:color="auto" w:fill="E1E1DF"/>
          </w:tcPr>
          <w:p>
            <w:pPr>
              <w:ind w:left="40"/>
              <w:spacing w:after="0" w:line="162" w:lineRule="exact"/>
              <w:rPr>
                <w:sz w:val="20"/>
                <w:szCs w:val="20"/>
                <w:color w:val="auto"/>
              </w:rPr>
            </w:pPr>
            <w:r>
              <w:rPr>
                <w:rFonts w:ascii="Arial" w:cs="Arial" w:eastAsia="Arial" w:hAnsi="Arial"/>
                <w:sz w:val="12"/>
                <w:szCs w:val="12"/>
                <w:b w:val="1"/>
                <w:bCs w:val="1"/>
                <w:color w:val="3B3C43"/>
              </w:rPr>
              <w:t>MacGregor</w:t>
            </w:r>
            <w:r>
              <w:rPr>
                <w:rFonts w:ascii="Arial" w:cs="Arial" w:eastAsia="Arial" w:hAnsi="Arial"/>
                <w:sz w:val="18"/>
                <w:szCs w:val="18"/>
                <w:b w:val="1"/>
                <w:bCs w:val="1"/>
                <w:color w:val="3B3C43"/>
                <w:vertAlign w:val="superscript"/>
              </w:rPr>
              <w:t>4</w:t>
            </w:r>
          </w:p>
        </w:tc>
        <w:tc>
          <w:tcPr>
            <w:tcW w:w="860" w:type="dxa"/>
            <w:vAlign w:val="bottom"/>
            <w:tcBorders>
              <w:bottom w:val="single" w:sz="8" w:color="B1B2B4"/>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Incentive</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2020</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0</w:t>
            </w:r>
          </w:p>
        </w:tc>
        <w:tc>
          <w:tcPr>
            <w:tcW w:w="7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785,567</w:t>
            </w:r>
          </w:p>
        </w:tc>
        <w:tc>
          <w:tcPr>
            <w:tcW w:w="7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785,567</w:t>
            </w:r>
          </w:p>
        </w:tc>
        <w:tc>
          <w:tcPr>
            <w:tcW w:w="780" w:type="dxa"/>
            <w:vAlign w:val="bottom"/>
            <w:tcBorders>
              <w:bottom w:val="single" w:sz="8" w:color="B1B2B4"/>
            </w:tcBorders>
            <w:shd w:val="clear" w:color="auto" w:fill="E1E1DF"/>
          </w:tcPr>
          <w:p>
            <w:pPr>
              <w:spacing w:after="0"/>
              <w:rPr>
                <w:sz w:val="14"/>
                <w:szCs w:val="14"/>
                <w:color w:val="auto"/>
              </w:rPr>
            </w:pPr>
          </w:p>
        </w:tc>
        <w:tc>
          <w:tcPr>
            <w:tcW w:w="800" w:type="dxa"/>
            <w:vAlign w:val="bottom"/>
            <w:tcBorders>
              <w:bottom w:val="single" w:sz="8" w:color="B1B2B4"/>
              <w:right w:val="single" w:sz="8" w:color="E1E1DF"/>
            </w:tcBorders>
            <w:shd w:val="clear" w:color="auto" w:fill="E1E1DF"/>
          </w:tcPr>
          <w:p>
            <w:pPr>
              <w:spacing w:after="0"/>
              <w:rPr>
                <w:sz w:val="14"/>
                <w:szCs w:val="14"/>
                <w:color w:val="auto"/>
              </w:rPr>
            </w:pPr>
          </w:p>
        </w:tc>
        <w:tc>
          <w:tcPr>
            <w:tcW w:w="780" w:type="dxa"/>
            <w:vAlign w:val="bottom"/>
            <w:tcBorders>
              <w:bottom w:val="single" w:sz="8" w:color="B1B2B4"/>
              <w:right w:val="single" w:sz="8" w:color="E1E1DF"/>
            </w:tcBorders>
            <w:shd w:val="clear" w:color="auto" w:fill="E1E1DF"/>
          </w:tcPr>
          <w:p>
            <w:pPr>
              <w:spacing w:after="0"/>
              <w:rPr>
                <w:sz w:val="14"/>
                <w:szCs w:val="14"/>
                <w:color w:val="auto"/>
              </w:rPr>
            </w:pPr>
          </w:p>
        </w:tc>
        <w:tc>
          <w:tcPr>
            <w:tcW w:w="880" w:type="dxa"/>
            <w:vAlign w:val="bottom"/>
            <w:tcBorders>
              <w:bottom w:val="single" w:sz="8" w:color="B1B2B4"/>
            </w:tcBorders>
            <w:shd w:val="clear" w:color="auto" w:fill="E1E1DF"/>
          </w:tcPr>
          <w:p>
            <w:pPr>
              <w:spacing w:after="0"/>
              <w:rPr>
                <w:sz w:val="14"/>
                <w:szCs w:val="14"/>
                <w:color w:val="auto"/>
              </w:rPr>
            </w:pPr>
          </w:p>
        </w:tc>
        <w:tc>
          <w:tcPr>
            <w:tcW w:w="900" w:type="dxa"/>
            <w:vAlign w:val="bottom"/>
            <w:tcBorders>
              <w:bottom w:val="single" w:sz="8" w:color="B1B2B4"/>
              <w:right w:val="single" w:sz="8" w:color="E1E1DF"/>
            </w:tcBorders>
            <w:shd w:val="clear" w:color="auto" w:fill="E1E1DF"/>
          </w:tcPr>
          <w:p>
            <w:pPr>
              <w:spacing w:after="0"/>
              <w:rPr>
                <w:sz w:val="14"/>
                <w:szCs w:val="14"/>
                <w:color w:val="auto"/>
              </w:rPr>
            </w:pPr>
          </w:p>
        </w:tc>
        <w:tc>
          <w:tcPr>
            <w:tcW w:w="880" w:type="dxa"/>
            <w:vAlign w:val="bottom"/>
            <w:tcBorders>
              <w:bottom w:val="single" w:sz="8" w:color="B1B2B4"/>
            </w:tcBorders>
            <w:shd w:val="clear" w:color="auto" w:fill="E1E1DF"/>
          </w:tcPr>
          <w:p>
            <w:pPr>
              <w:spacing w:after="0"/>
              <w:rPr>
                <w:sz w:val="14"/>
                <w:szCs w:val="14"/>
                <w:color w:val="auto"/>
              </w:rPr>
            </w:pPr>
          </w:p>
        </w:tc>
        <w:tc>
          <w:tcPr>
            <w:tcW w:w="880" w:type="dxa"/>
            <w:vAlign w:val="bottom"/>
            <w:tcBorders>
              <w:bottom w:val="single" w:sz="8" w:color="B1B2B4"/>
            </w:tcBorders>
            <w:shd w:val="clear" w:color="auto" w:fill="E1E1D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E1E1DF"/>
              <w:bottom w:val="single" w:sz="8" w:color="E1E1DF"/>
            </w:tcBorders>
            <w:shd w:val="clear" w:color="auto" w:fill="E1E1DF"/>
          </w:tcPr>
          <w:p>
            <w:pPr>
              <w:spacing w:after="0"/>
              <w:rPr>
                <w:sz w:val="13"/>
                <w:szCs w:val="13"/>
                <w:color w:val="auto"/>
              </w:rPr>
            </w:pPr>
          </w:p>
        </w:tc>
        <w:tc>
          <w:tcPr>
            <w:tcW w:w="860" w:type="dxa"/>
            <w:vAlign w:val="bottom"/>
            <w:tcBorders>
              <w:bottom w:val="single" w:sz="8" w:color="B1B2B4"/>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RSU</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80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61,356</w:t>
            </w:r>
          </w:p>
        </w:tc>
        <w:tc>
          <w:tcPr>
            <w:tcW w:w="90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569,997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E1E1DF"/>
              <w:bottom w:val="single" w:sz="8" w:color="E1E1DF"/>
            </w:tcBorders>
            <w:shd w:val="clear" w:color="auto" w:fill="E1E1DF"/>
          </w:tcPr>
          <w:p>
            <w:pPr>
              <w:spacing w:after="0"/>
              <w:rPr>
                <w:sz w:val="13"/>
                <w:szCs w:val="13"/>
                <w:color w:val="auto"/>
              </w:rPr>
            </w:pPr>
          </w:p>
        </w:tc>
        <w:tc>
          <w:tcPr>
            <w:tcW w:w="860" w:type="dxa"/>
            <w:vAlign w:val="bottom"/>
            <w:tcBorders>
              <w:bottom w:val="single" w:sz="8" w:color="B1B2B4"/>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PSU-ROIC</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71,582</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143,164</w:t>
            </w:r>
          </w:p>
        </w:tc>
        <w:tc>
          <w:tcPr>
            <w:tcW w:w="880" w:type="dxa"/>
            <w:vAlign w:val="bottom"/>
            <w:tcBorders>
              <w:bottom w:val="single" w:sz="8" w:color="B1B2B4"/>
            </w:tcBorders>
            <w:shd w:val="clear" w:color="auto" w:fill="E1E1DF"/>
          </w:tcPr>
          <w:p>
            <w:pPr>
              <w:spacing w:after="0"/>
              <w:rPr>
                <w:sz w:val="13"/>
                <w:szCs w:val="13"/>
                <w:color w:val="auto"/>
              </w:rPr>
            </w:pPr>
          </w:p>
        </w:tc>
        <w:tc>
          <w:tcPr>
            <w:tcW w:w="90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664,997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E1E1DF"/>
            </w:tcBorders>
            <w:shd w:val="clear" w:color="auto" w:fill="E1E1DF"/>
          </w:tcPr>
          <w:p>
            <w:pPr>
              <w:spacing w:after="0"/>
              <w:rPr>
                <w:sz w:val="13"/>
                <w:szCs w:val="13"/>
                <w:color w:val="auto"/>
              </w:rPr>
            </w:pPr>
          </w:p>
        </w:tc>
        <w:tc>
          <w:tcPr>
            <w:tcW w:w="860" w:type="dxa"/>
            <w:vAlign w:val="bottom"/>
            <w:tcBorders>
              <w:bottom w:val="single" w:sz="8" w:color="B1B2B4"/>
              <w:right w:val="single" w:sz="8" w:color="E1E1DF"/>
            </w:tcBorders>
            <w:shd w:val="clear" w:color="auto" w:fill="E1E1DF"/>
          </w:tcPr>
          <w:p>
            <w:pPr>
              <w:ind w:left="20"/>
              <w:spacing w:after="0"/>
              <w:rPr>
                <w:sz w:val="20"/>
                <w:szCs w:val="20"/>
                <w:color w:val="auto"/>
              </w:rPr>
            </w:pPr>
            <w:r>
              <w:rPr>
                <w:rFonts w:ascii="Arial" w:cs="Arial" w:eastAsia="Arial" w:hAnsi="Arial"/>
                <w:sz w:val="13"/>
                <w:szCs w:val="13"/>
                <w:color w:val="3B3C43"/>
              </w:rPr>
              <w:t>PSU-TSR</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780" w:type="dxa"/>
            <w:vAlign w:val="bottom"/>
            <w:tcBorders>
              <w:bottom w:val="single" w:sz="8" w:color="B1B2B4"/>
              <w:right w:val="single" w:sz="8" w:color="E1E1DF"/>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spacing w:after="0"/>
              <w:rPr>
                <w:sz w:val="13"/>
                <w:szCs w:val="13"/>
                <w:color w:val="auto"/>
              </w:rPr>
            </w:pPr>
          </w:p>
        </w:tc>
        <w:tc>
          <w:tcPr>
            <w:tcW w:w="7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0</w:t>
            </w:r>
          </w:p>
        </w:tc>
        <w:tc>
          <w:tcPr>
            <w:tcW w:w="80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71,582</w:t>
            </w:r>
          </w:p>
        </w:tc>
        <w:tc>
          <w:tcPr>
            <w:tcW w:w="780" w:type="dxa"/>
            <w:vAlign w:val="bottom"/>
            <w:tcBorders>
              <w:bottom w:val="single" w:sz="8" w:color="B1B2B4"/>
              <w:right w:val="single" w:sz="8" w:color="E1E1DF"/>
            </w:tcBorders>
            <w:shd w:val="clear" w:color="auto" w:fill="E1E1DF"/>
          </w:tcPr>
          <w:p>
            <w:pPr>
              <w:jc w:val="right"/>
              <w:spacing w:after="0"/>
              <w:rPr>
                <w:sz w:val="20"/>
                <w:szCs w:val="20"/>
                <w:color w:val="auto"/>
              </w:rPr>
            </w:pPr>
            <w:r>
              <w:rPr>
                <w:rFonts w:ascii="Arial" w:cs="Arial" w:eastAsia="Arial" w:hAnsi="Arial"/>
                <w:sz w:val="13"/>
                <w:szCs w:val="13"/>
                <w:color w:val="3B3C43"/>
              </w:rPr>
              <w:t>143,164</w:t>
            </w:r>
          </w:p>
        </w:tc>
        <w:tc>
          <w:tcPr>
            <w:tcW w:w="880" w:type="dxa"/>
            <w:vAlign w:val="bottom"/>
            <w:tcBorders>
              <w:bottom w:val="single" w:sz="8" w:color="B1B2B4"/>
            </w:tcBorders>
            <w:shd w:val="clear" w:color="auto" w:fill="E1E1DF"/>
          </w:tcPr>
          <w:p>
            <w:pPr>
              <w:spacing w:after="0"/>
              <w:rPr>
                <w:sz w:val="13"/>
                <w:szCs w:val="13"/>
                <w:color w:val="auto"/>
              </w:rPr>
            </w:pPr>
          </w:p>
        </w:tc>
        <w:tc>
          <w:tcPr>
            <w:tcW w:w="900" w:type="dxa"/>
            <w:vAlign w:val="bottom"/>
            <w:tcBorders>
              <w:bottom w:val="single" w:sz="8" w:color="B1B2B4"/>
              <w:right w:val="single" w:sz="8" w:color="E1E1DF"/>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spacing w:after="0"/>
              <w:rPr>
                <w:sz w:val="13"/>
                <w:szCs w:val="13"/>
                <w:color w:val="auto"/>
              </w:rPr>
            </w:pPr>
          </w:p>
        </w:tc>
        <w:tc>
          <w:tcPr>
            <w:tcW w:w="88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717,252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80" w:right="460" w:hanging="272"/>
        <w:spacing w:after="0" w:line="258" w:lineRule="auto"/>
        <w:tabs>
          <w:tab w:leader="none" w:pos="280" w:val="left"/>
        </w:tabs>
        <w:numPr>
          <w:ilvl w:val="0"/>
          <w:numId w:val="109"/>
        </w:numPr>
        <w:rPr>
          <w:rFonts w:ascii="Arial" w:cs="Arial" w:eastAsia="Arial" w:hAnsi="Arial"/>
          <w:sz w:val="14"/>
          <w:szCs w:val="14"/>
          <w:color w:val="3B3C43"/>
        </w:rPr>
      </w:pPr>
      <w:r>
        <w:rPr>
          <w:rFonts w:ascii="Arial" w:cs="Arial" w:eastAsia="Arial" w:hAnsi="Arial"/>
          <w:sz w:val="14"/>
          <w:szCs w:val="14"/>
          <w:color w:val="3B3C43"/>
        </w:rPr>
        <w:t>“RSU” awards are time-based restricted stock unit awards, “PSU-ROIC” awards are performance-based restricted stock unit awards based on the ROIC performance measure, and “PSU-TSR” awards are market-based restricted stock unit awards based on the TSR performance measure.</w:t>
      </w:r>
    </w:p>
    <w:p>
      <w:pPr>
        <w:spacing w:after="0" w:line="72" w:lineRule="exact"/>
        <w:rPr>
          <w:rFonts w:ascii="Arial" w:cs="Arial" w:eastAsia="Arial" w:hAnsi="Arial"/>
          <w:sz w:val="14"/>
          <w:szCs w:val="14"/>
          <w:color w:val="3B3C43"/>
        </w:rPr>
      </w:pPr>
    </w:p>
    <w:p>
      <w:pPr>
        <w:ind w:left="280" w:right="440" w:hanging="272"/>
        <w:spacing w:after="0" w:line="258" w:lineRule="auto"/>
        <w:tabs>
          <w:tab w:leader="none" w:pos="280" w:val="left"/>
        </w:tabs>
        <w:numPr>
          <w:ilvl w:val="0"/>
          <w:numId w:val="109"/>
        </w:numPr>
        <w:rPr>
          <w:rFonts w:ascii="Arial" w:cs="Arial" w:eastAsia="Arial" w:hAnsi="Arial"/>
          <w:sz w:val="14"/>
          <w:szCs w:val="14"/>
          <w:color w:val="3B3C43"/>
        </w:rPr>
      </w:pPr>
      <w:r>
        <w:rPr>
          <w:rFonts w:ascii="Arial" w:cs="Arial" w:eastAsia="Arial" w:hAnsi="Arial"/>
          <w:sz w:val="14"/>
          <w:szCs w:val="14"/>
          <w:color w:val="3B3C43"/>
        </w:rPr>
        <w:t>Each target award as a percentage of base salary: Mr. Pferdehirt - 135%; Ms. Mannen - 100%; Mr. Rounce - 100%; Mr. Pieton - 100%; Mr. Glickman - 100%; and Ms. MacGregor - 100%.</w:t>
      </w:r>
    </w:p>
    <w:p>
      <w:pPr>
        <w:spacing w:after="0" w:line="72" w:lineRule="exact"/>
        <w:rPr>
          <w:rFonts w:ascii="Arial" w:cs="Arial" w:eastAsia="Arial" w:hAnsi="Arial"/>
          <w:sz w:val="14"/>
          <w:szCs w:val="14"/>
          <w:color w:val="3B3C43"/>
        </w:rPr>
      </w:pPr>
    </w:p>
    <w:p>
      <w:pPr>
        <w:ind w:left="280" w:right="420" w:hanging="272"/>
        <w:spacing w:after="0" w:line="247" w:lineRule="auto"/>
        <w:tabs>
          <w:tab w:leader="none" w:pos="280" w:val="left"/>
        </w:tabs>
        <w:numPr>
          <w:ilvl w:val="0"/>
          <w:numId w:val="109"/>
        </w:numPr>
        <w:rPr>
          <w:rFonts w:ascii="Arial" w:cs="Arial" w:eastAsia="Arial" w:hAnsi="Arial"/>
          <w:sz w:val="14"/>
          <w:szCs w:val="14"/>
          <w:color w:val="3B3C43"/>
        </w:rPr>
      </w:pPr>
      <w:r>
        <w:rPr>
          <w:rFonts w:ascii="Arial" w:cs="Arial" w:eastAsia="Arial" w:hAnsi="Arial"/>
          <w:sz w:val="14"/>
          <w:szCs w:val="14"/>
          <w:color w:val="3B3C43"/>
        </w:rPr>
        <w:t>Grant date fair values were determined in accordance with FASB ASC Topic 718. With respect to time-based RSUs and PSUs that are subject to performance (ROIC) vesting conditions, the aggregate grant date fair value of such awards was based on the Company’s share price on the grant date of the awards, assuming target performance. With respect to PSUs subject to market-based (TSR) vesting conditions, the grant date fair value of such award was determined utilizing a Monte Carlo simulation as disclosed in our Form 10-K.</w:t>
      </w:r>
    </w:p>
    <w:p>
      <w:pPr>
        <w:spacing w:after="0" w:line="147" w:lineRule="exact"/>
        <w:rPr>
          <w:rFonts w:ascii="Arial" w:cs="Arial" w:eastAsia="Arial" w:hAnsi="Arial"/>
          <w:sz w:val="14"/>
          <w:szCs w:val="14"/>
          <w:color w:val="3B3C43"/>
        </w:rPr>
      </w:pPr>
    </w:p>
    <w:p>
      <w:pPr>
        <w:ind w:left="280" w:hanging="272"/>
        <w:spacing w:after="0"/>
        <w:tabs>
          <w:tab w:leader="none" w:pos="280" w:val="left"/>
        </w:tabs>
        <w:numPr>
          <w:ilvl w:val="0"/>
          <w:numId w:val="109"/>
        </w:numPr>
        <w:rPr>
          <w:rFonts w:ascii="Arial" w:cs="Arial" w:eastAsia="Arial" w:hAnsi="Arial"/>
          <w:sz w:val="14"/>
          <w:szCs w:val="14"/>
          <w:color w:val="3B3C43"/>
        </w:rPr>
      </w:pPr>
      <w:r>
        <w:rPr>
          <w:rFonts w:ascii="Arial" w:cs="Arial" w:eastAsia="Arial" w:hAnsi="Arial"/>
          <w:sz w:val="14"/>
          <w:szCs w:val="14"/>
          <w:color w:val="3B3C43"/>
        </w:rPr>
        <w:t>Ms. MacGregor left the Company on October 31, 2020 and her grants have been forfeited.</w:t>
      </w:r>
    </w:p>
    <w:p>
      <w:pPr>
        <w:spacing w:after="0" w:line="18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B3C43"/>
        </w:rPr>
        <w:t xml:space="preserve">For a description of the material terms of the RSU awards, including the vesting schedules and a description of the performance targets and potential award amounts for PSUs, please see the descriptions set forth in </w:t>
      </w:r>
      <w:r>
        <w:rPr>
          <w:rFonts w:ascii="Arial" w:cs="Arial" w:eastAsia="Arial" w:hAnsi="Arial"/>
          <w:sz w:val="14"/>
          <w:szCs w:val="14"/>
          <w:i w:val="1"/>
          <w:iCs w:val="1"/>
          <w:color w:val="3B3C43"/>
        </w:rPr>
        <w:t>“Executive Compensation Discussion and Analysis.”</w:t>
      </w:r>
      <w:r>
        <w:rPr>
          <w:rFonts w:ascii="Arial" w:cs="Arial" w:eastAsia="Arial" w:hAnsi="Arial"/>
          <w:sz w:val="16"/>
          <w:szCs w:val="16"/>
          <w:color w:val="3B3C43"/>
        </w:rPr>
        <w:t xml:space="preserve"> Dividend equivalents, where allowed, are accumulated on RSU and PSU awards and are payable only if and when the RSUs and PSUs vest.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108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Outstanding Equity Awards at Fiscal Year-End Table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3B3C43"/>
        </w:rPr>
        <w:t>Shown below is information for each of the NEOs with respect to outstanding equity awards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121920</wp:posOffset>
            </wp:positionV>
            <wp:extent cx="8255" cy="10972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109728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121920</wp:posOffset>
            </wp:positionV>
            <wp:extent cx="8890" cy="10972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109728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121920</wp:posOffset>
            </wp:positionV>
            <wp:extent cx="8255" cy="10972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109728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shd w:val="clear" w:color="auto" w:fill="4A1F67"/>
          </w:tcPr>
          <w:p>
            <w:pPr>
              <w:spacing w:after="0"/>
              <w:rPr>
                <w:sz w:val="16"/>
                <w:szCs w:val="16"/>
                <w:color w:val="auto"/>
              </w:rPr>
            </w:pPr>
          </w:p>
        </w:tc>
        <w:tc>
          <w:tcPr>
            <w:tcW w:w="900" w:type="dxa"/>
            <w:vAlign w:val="bottom"/>
            <w:shd w:val="clear" w:color="auto" w:fill="4A1F67"/>
          </w:tcPr>
          <w:p>
            <w:pPr>
              <w:spacing w:after="0"/>
              <w:rPr>
                <w:sz w:val="16"/>
                <w:szCs w:val="16"/>
                <w:color w:val="auto"/>
              </w:rPr>
            </w:pPr>
          </w:p>
        </w:tc>
        <w:tc>
          <w:tcPr>
            <w:tcW w:w="1140" w:type="dxa"/>
            <w:vAlign w:val="bottom"/>
            <w:shd w:val="clear" w:color="auto" w:fill="4A1F67"/>
          </w:tcPr>
          <w:p>
            <w:pPr>
              <w:spacing w:after="0"/>
              <w:rPr>
                <w:sz w:val="16"/>
                <w:szCs w:val="16"/>
                <w:color w:val="auto"/>
              </w:rPr>
            </w:pPr>
          </w:p>
        </w:tc>
        <w:tc>
          <w:tcPr>
            <w:tcW w:w="2260" w:type="dxa"/>
            <w:vAlign w:val="bottom"/>
            <w:gridSpan w:val="2"/>
            <w:shd w:val="clear" w:color="auto" w:fill="4A1F67"/>
          </w:tcPr>
          <w:p>
            <w:pPr>
              <w:jc w:val="right"/>
              <w:ind w:right="217"/>
              <w:spacing w:after="0"/>
              <w:rPr>
                <w:sz w:val="20"/>
                <w:szCs w:val="20"/>
                <w:color w:val="auto"/>
              </w:rPr>
            </w:pPr>
            <w:r>
              <w:rPr>
                <w:rFonts w:ascii="Arial" w:cs="Arial" w:eastAsia="Arial" w:hAnsi="Arial"/>
                <w:sz w:val="13"/>
                <w:szCs w:val="13"/>
                <w:b w:val="1"/>
                <w:bCs w:val="1"/>
                <w:color w:val="FFFFFF"/>
              </w:rPr>
              <w:t>OPTION AWARDS</w:t>
            </w:r>
          </w:p>
        </w:tc>
        <w:tc>
          <w:tcPr>
            <w:tcW w:w="980" w:type="dxa"/>
            <w:vAlign w:val="bottom"/>
            <w:shd w:val="clear" w:color="auto" w:fill="4A1F67"/>
          </w:tcPr>
          <w:p>
            <w:pPr>
              <w:spacing w:after="0"/>
              <w:rPr>
                <w:sz w:val="16"/>
                <w:szCs w:val="16"/>
                <w:color w:val="auto"/>
              </w:rPr>
            </w:pPr>
          </w:p>
        </w:tc>
        <w:tc>
          <w:tcPr>
            <w:tcW w:w="880" w:type="dxa"/>
            <w:vAlign w:val="bottom"/>
            <w:shd w:val="clear" w:color="auto" w:fill="4A1F67"/>
          </w:tcPr>
          <w:p>
            <w:pPr>
              <w:spacing w:after="0"/>
              <w:rPr>
                <w:sz w:val="16"/>
                <w:szCs w:val="16"/>
                <w:color w:val="auto"/>
              </w:rPr>
            </w:pPr>
          </w:p>
        </w:tc>
        <w:tc>
          <w:tcPr>
            <w:tcW w:w="880" w:type="dxa"/>
            <w:vAlign w:val="bottom"/>
            <w:shd w:val="clear" w:color="auto" w:fill="4A1F67"/>
          </w:tcPr>
          <w:p>
            <w:pPr>
              <w:spacing w:after="0"/>
              <w:rPr>
                <w:sz w:val="16"/>
                <w:szCs w:val="16"/>
                <w:color w:val="auto"/>
              </w:rPr>
            </w:pPr>
          </w:p>
        </w:tc>
        <w:tc>
          <w:tcPr>
            <w:tcW w:w="1760" w:type="dxa"/>
            <w:vAlign w:val="bottom"/>
            <w:gridSpan w:val="2"/>
            <w:shd w:val="clear" w:color="auto" w:fill="4A1F67"/>
          </w:tcPr>
          <w:p>
            <w:pPr>
              <w:jc w:val="right"/>
              <w:ind w:right="257"/>
              <w:spacing w:after="0"/>
              <w:rPr>
                <w:sz w:val="20"/>
                <w:szCs w:val="20"/>
                <w:color w:val="auto"/>
              </w:rPr>
            </w:pPr>
            <w:r>
              <w:rPr>
                <w:rFonts w:ascii="Arial" w:cs="Arial" w:eastAsia="Arial" w:hAnsi="Arial"/>
                <w:sz w:val="13"/>
                <w:szCs w:val="13"/>
                <w:b w:val="1"/>
                <w:bCs w:val="1"/>
                <w:color w:val="FFFFFF"/>
              </w:rPr>
              <w:t>STOCK AWARDS</w:t>
            </w:r>
          </w:p>
        </w:tc>
        <w:tc>
          <w:tcPr>
            <w:tcW w:w="1060" w:type="dxa"/>
            <w:vAlign w:val="bottom"/>
            <w:shd w:val="clear" w:color="auto" w:fill="4A1F67"/>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360" w:type="dxa"/>
            <w:vAlign w:val="bottom"/>
            <w:shd w:val="clear" w:color="auto" w:fill="4A1F67"/>
          </w:tcPr>
          <w:p>
            <w:pPr>
              <w:spacing w:after="0"/>
              <w:rPr>
                <w:sz w:val="12"/>
                <w:szCs w:val="12"/>
                <w:color w:val="auto"/>
              </w:rPr>
            </w:pPr>
          </w:p>
        </w:tc>
        <w:tc>
          <w:tcPr>
            <w:tcW w:w="900" w:type="dxa"/>
            <w:vAlign w:val="bottom"/>
            <w:shd w:val="clear" w:color="auto" w:fill="4A1F67"/>
          </w:tcPr>
          <w:p>
            <w:pPr>
              <w:spacing w:after="0"/>
              <w:rPr>
                <w:sz w:val="12"/>
                <w:szCs w:val="12"/>
                <w:color w:val="auto"/>
              </w:rPr>
            </w:pPr>
          </w:p>
        </w:tc>
        <w:tc>
          <w:tcPr>
            <w:tcW w:w="1140" w:type="dxa"/>
            <w:vAlign w:val="bottom"/>
            <w:shd w:val="clear" w:color="auto" w:fill="4A1F67"/>
          </w:tcPr>
          <w:p>
            <w:pPr>
              <w:spacing w:after="0"/>
              <w:rPr>
                <w:sz w:val="12"/>
                <w:szCs w:val="12"/>
                <w:color w:val="auto"/>
              </w:rPr>
            </w:pPr>
          </w:p>
        </w:tc>
        <w:tc>
          <w:tcPr>
            <w:tcW w:w="1140" w:type="dxa"/>
            <w:vAlign w:val="bottom"/>
            <w:shd w:val="clear" w:color="auto" w:fill="4A1F67"/>
          </w:tcPr>
          <w:p>
            <w:pPr>
              <w:spacing w:after="0"/>
              <w:rPr>
                <w:sz w:val="12"/>
                <w:szCs w:val="12"/>
                <w:color w:val="auto"/>
              </w:rPr>
            </w:pPr>
          </w:p>
        </w:tc>
        <w:tc>
          <w:tcPr>
            <w:tcW w:w="1120" w:type="dxa"/>
            <w:vAlign w:val="bottom"/>
            <w:shd w:val="clear" w:color="auto" w:fill="4A1F67"/>
          </w:tcPr>
          <w:p>
            <w:pPr>
              <w:spacing w:after="0"/>
              <w:rPr>
                <w:sz w:val="12"/>
                <w:szCs w:val="12"/>
                <w:color w:val="auto"/>
              </w:rPr>
            </w:pPr>
          </w:p>
        </w:tc>
        <w:tc>
          <w:tcPr>
            <w:tcW w:w="980" w:type="dxa"/>
            <w:vAlign w:val="bottom"/>
            <w:shd w:val="clear" w:color="auto" w:fill="4A1F67"/>
          </w:tcPr>
          <w:p>
            <w:pPr>
              <w:spacing w:after="0"/>
              <w:rPr>
                <w:sz w:val="12"/>
                <w:szCs w:val="12"/>
                <w:color w:val="auto"/>
              </w:rPr>
            </w:pPr>
          </w:p>
        </w:tc>
        <w:tc>
          <w:tcPr>
            <w:tcW w:w="880" w:type="dxa"/>
            <w:vAlign w:val="bottom"/>
            <w:shd w:val="clear" w:color="auto" w:fill="4A1F67"/>
          </w:tcPr>
          <w:p>
            <w:pPr>
              <w:spacing w:after="0"/>
              <w:rPr>
                <w:sz w:val="12"/>
                <w:szCs w:val="12"/>
                <w:color w:val="auto"/>
              </w:rPr>
            </w:pPr>
          </w:p>
        </w:tc>
        <w:tc>
          <w:tcPr>
            <w:tcW w:w="880" w:type="dxa"/>
            <w:vAlign w:val="bottom"/>
            <w:shd w:val="clear" w:color="auto" w:fill="4A1F67"/>
          </w:tcPr>
          <w:p>
            <w:pPr>
              <w:spacing w:after="0"/>
              <w:rPr>
                <w:sz w:val="12"/>
                <w:szCs w:val="12"/>
                <w:color w:val="auto"/>
              </w:rPr>
            </w:pPr>
          </w:p>
        </w:tc>
        <w:tc>
          <w:tcPr>
            <w:tcW w:w="840" w:type="dxa"/>
            <w:vAlign w:val="bottom"/>
            <w:shd w:val="clear" w:color="auto" w:fill="4A1F67"/>
          </w:tcPr>
          <w:p>
            <w:pPr>
              <w:spacing w:after="0"/>
              <w:rPr>
                <w:sz w:val="12"/>
                <w:szCs w:val="12"/>
                <w:color w:val="auto"/>
              </w:rPr>
            </w:pPr>
          </w:p>
        </w:tc>
        <w:tc>
          <w:tcPr>
            <w:tcW w:w="920" w:type="dxa"/>
            <w:vAlign w:val="bottom"/>
            <w:shd w:val="clear" w:color="auto" w:fill="4A1F67"/>
          </w:tcPr>
          <w:p>
            <w:pPr>
              <w:jc w:val="right"/>
              <w:ind w:right="17"/>
              <w:spacing w:after="0" w:line="141" w:lineRule="exact"/>
              <w:rPr>
                <w:sz w:val="20"/>
                <w:szCs w:val="20"/>
                <w:color w:val="auto"/>
              </w:rPr>
            </w:pPr>
            <w:r>
              <w:rPr>
                <w:rFonts w:ascii="Arial" w:cs="Arial" w:eastAsia="Arial" w:hAnsi="Arial"/>
                <w:sz w:val="13"/>
                <w:szCs w:val="13"/>
                <w:b w:val="1"/>
                <w:bCs w:val="1"/>
                <w:color w:val="FFFFFF"/>
              </w:rPr>
              <w:t>Incentive</w:t>
            </w:r>
          </w:p>
        </w:tc>
        <w:tc>
          <w:tcPr>
            <w:tcW w:w="1060" w:type="dxa"/>
            <w:vAlign w:val="bottom"/>
            <w:shd w:val="clear" w:color="auto" w:fill="4A1F67"/>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140" w:type="dxa"/>
            <w:vAlign w:val="bottom"/>
            <w:shd w:val="clear" w:color="auto" w:fill="4A1F67"/>
          </w:tcPr>
          <w:p>
            <w:pPr>
              <w:spacing w:after="0"/>
              <w:rPr>
                <w:sz w:val="11"/>
                <w:szCs w:val="11"/>
                <w:color w:val="auto"/>
              </w:rPr>
            </w:pPr>
          </w:p>
        </w:tc>
        <w:tc>
          <w:tcPr>
            <w:tcW w:w="1140" w:type="dxa"/>
            <w:vAlign w:val="bottom"/>
            <w:shd w:val="clear" w:color="auto" w:fill="4A1F67"/>
          </w:tcPr>
          <w:p>
            <w:pPr>
              <w:spacing w:after="0"/>
              <w:rPr>
                <w:sz w:val="11"/>
                <w:szCs w:val="11"/>
                <w:color w:val="auto"/>
              </w:rPr>
            </w:pPr>
          </w:p>
        </w:tc>
        <w:tc>
          <w:tcPr>
            <w:tcW w:w="1120" w:type="dxa"/>
            <w:vAlign w:val="bottom"/>
            <w:shd w:val="clear" w:color="auto" w:fill="4A1F67"/>
          </w:tcPr>
          <w:p>
            <w:pPr>
              <w:spacing w:after="0"/>
              <w:rPr>
                <w:sz w:val="11"/>
                <w:szCs w:val="11"/>
                <w:color w:val="auto"/>
              </w:rPr>
            </w:pPr>
          </w:p>
        </w:tc>
        <w:tc>
          <w:tcPr>
            <w:tcW w:w="9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840" w:type="dxa"/>
            <w:vAlign w:val="bottom"/>
            <w:shd w:val="clear" w:color="auto" w:fill="4A1F67"/>
          </w:tcPr>
          <w:p>
            <w:pPr>
              <w:spacing w:after="0"/>
              <w:rPr>
                <w:sz w:val="11"/>
                <w:szCs w:val="11"/>
                <w:color w:val="auto"/>
              </w:rPr>
            </w:pPr>
          </w:p>
        </w:tc>
        <w:tc>
          <w:tcPr>
            <w:tcW w:w="920" w:type="dxa"/>
            <w:vAlign w:val="bottom"/>
            <w:shd w:val="clear" w:color="auto" w:fill="4A1F67"/>
          </w:tcPr>
          <w:p>
            <w:pPr>
              <w:jc w:val="right"/>
              <w:ind w:right="17"/>
              <w:spacing w:after="0" w:line="135" w:lineRule="exact"/>
              <w:rPr>
                <w:sz w:val="20"/>
                <w:szCs w:val="20"/>
                <w:color w:val="auto"/>
              </w:rPr>
            </w:pPr>
            <w:r>
              <w:rPr>
                <w:rFonts w:ascii="Arial" w:cs="Arial" w:eastAsia="Arial" w:hAnsi="Arial"/>
                <w:sz w:val="13"/>
                <w:szCs w:val="13"/>
                <w:b w:val="1"/>
                <w:bCs w:val="1"/>
                <w:color w:val="FFFFFF"/>
              </w:rPr>
              <w:t>Award Plan</w:t>
            </w:r>
          </w:p>
        </w:tc>
        <w:tc>
          <w:tcPr>
            <w:tcW w:w="106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35"/>
        </w:trPr>
        <w:tc>
          <w:tcPr>
            <w:tcW w:w="136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140" w:type="dxa"/>
            <w:vAlign w:val="bottom"/>
            <w:shd w:val="clear" w:color="auto" w:fill="4A1F67"/>
          </w:tcPr>
          <w:p>
            <w:pPr>
              <w:spacing w:after="0"/>
              <w:rPr>
                <w:sz w:val="11"/>
                <w:szCs w:val="11"/>
                <w:color w:val="auto"/>
              </w:rPr>
            </w:pPr>
          </w:p>
        </w:tc>
        <w:tc>
          <w:tcPr>
            <w:tcW w:w="1140" w:type="dxa"/>
            <w:vAlign w:val="bottom"/>
            <w:shd w:val="clear" w:color="auto" w:fill="4A1F67"/>
          </w:tcPr>
          <w:p>
            <w:pPr>
              <w:spacing w:after="0"/>
              <w:rPr>
                <w:sz w:val="11"/>
                <w:szCs w:val="11"/>
                <w:color w:val="auto"/>
              </w:rPr>
            </w:pPr>
          </w:p>
        </w:tc>
        <w:tc>
          <w:tcPr>
            <w:tcW w:w="11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Incentive</w:t>
            </w:r>
          </w:p>
        </w:tc>
        <w:tc>
          <w:tcPr>
            <w:tcW w:w="9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840" w:type="dxa"/>
            <w:vAlign w:val="bottom"/>
            <w:shd w:val="clear" w:color="auto" w:fill="4A1F67"/>
          </w:tcPr>
          <w:p>
            <w:pPr>
              <w:spacing w:after="0"/>
              <w:rPr>
                <w:sz w:val="11"/>
                <w:szCs w:val="11"/>
                <w:color w:val="auto"/>
              </w:rPr>
            </w:pPr>
          </w:p>
        </w:tc>
        <w:tc>
          <w:tcPr>
            <w:tcW w:w="920" w:type="dxa"/>
            <w:vAlign w:val="bottom"/>
            <w:shd w:val="clear" w:color="auto" w:fill="4A1F67"/>
          </w:tcPr>
          <w:p>
            <w:pPr>
              <w:jc w:val="right"/>
              <w:ind w:right="17"/>
              <w:spacing w:after="0" w:line="135" w:lineRule="exact"/>
              <w:rPr>
                <w:sz w:val="20"/>
                <w:szCs w:val="20"/>
                <w:color w:val="auto"/>
              </w:rPr>
            </w:pPr>
            <w:r>
              <w:rPr>
                <w:rFonts w:ascii="Arial" w:cs="Arial" w:eastAsia="Arial" w:hAnsi="Arial"/>
                <w:sz w:val="13"/>
                <w:szCs w:val="13"/>
                <w:b w:val="1"/>
                <w:bCs w:val="1"/>
                <w:color w:val="FFFFFF"/>
              </w:rPr>
              <w:t>Awards:</w:t>
            </w:r>
          </w:p>
        </w:tc>
        <w:tc>
          <w:tcPr>
            <w:tcW w:w="106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Award Plan</w:t>
            </w:r>
          </w:p>
        </w:tc>
        <w:tc>
          <w:tcPr>
            <w:tcW w:w="0" w:type="dxa"/>
            <w:vAlign w:val="bottom"/>
          </w:tcPr>
          <w:p>
            <w:pPr>
              <w:spacing w:after="0"/>
              <w:rPr>
                <w:sz w:val="1"/>
                <w:szCs w:val="1"/>
                <w:color w:val="auto"/>
              </w:rPr>
            </w:pPr>
          </w:p>
        </w:tc>
      </w:tr>
      <w:tr>
        <w:trPr>
          <w:trHeight w:val="135"/>
        </w:trPr>
        <w:tc>
          <w:tcPr>
            <w:tcW w:w="136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140" w:type="dxa"/>
            <w:vAlign w:val="bottom"/>
            <w:shd w:val="clear" w:color="auto" w:fill="4A1F67"/>
          </w:tcPr>
          <w:p>
            <w:pPr>
              <w:spacing w:after="0"/>
              <w:rPr>
                <w:sz w:val="11"/>
                <w:szCs w:val="11"/>
                <w:color w:val="auto"/>
              </w:rPr>
            </w:pPr>
          </w:p>
        </w:tc>
        <w:tc>
          <w:tcPr>
            <w:tcW w:w="1140" w:type="dxa"/>
            <w:vAlign w:val="bottom"/>
            <w:shd w:val="clear" w:color="auto" w:fill="4A1F67"/>
          </w:tcPr>
          <w:p>
            <w:pPr>
              <w:spacing w:after="0"/>
              <w:rPr>
                <w:sz w:val="11"/>
                <w:szCs w:val="11"/>
                <w:color w:val="auto"/>
              </w:rPr>
            </w:pPr>
          </w:p>
        </w:tc>
        <w:tc>
          <w:tcPr>
            <w:tcW w:w="11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Award Plan</w:t>
            </w:r>
          </w:p>
        </w:tc>
        <w:tc>
          <w:tcPr>
            <w:tcW w:w="9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840" w:type="dxa"/>
            <w:vAlign w:val="bottom"/>
            <w:shd w:val="clear" w:color="auto" w:fill="4A1F67"/>
          </w:tcPr>
          <w:p>
            <w:pPr>
              <w:spacing w:after="0"/>
              <w:rPr>
                <w:sz w:val="11"/>
                <w:szCs w:val="11"/>
                <w:color w:val="auto"/>
              </w:rPr>
            </w:pPr>
          </w:p>
        </w:tc>
        <w:tc>
          <w:tcPr>
            <w:tcW w:w="920" w:type="dxa"/>
            <w:vAlign w:val="bottom"/>
            <w:shd w:val="clear" w:color="auto" w:fill="4A1F67"/>
          </w:tcPr>
          <w:p>
            <w:pPr>
              <w:jc w:val="right"/>
              <w:ind w:right="17"/>
              <w:spacing w:after="0" w:line="135" w:lineRule="exact"/>
              <w:rPr>
                <w:sz w:val="20"/>
                <w:szCs w:val="20"/>
                <w:color w:val="auto"/>
              </w:rPr>
            </w:pPr>
            <w:r>
              <w:rPr>
                <w:rFonts w:ascii="Arial" w:cs="Arial" w:eastAsia="Arial" w:hAnsi="Arial"/>
                <w:sz w:val="13"/>
                <w:szCs w:val="13"/>
                <w:b w:val="1"/>
                <w:bCs w:val="1"/>
                <w:color w:val="FFFFFF"/>
              </w:rPr>
              <w:t>Number of</w:t>
            </w:r>
          </w:p>
        </w:tc>
        <w:tc>
          <w:tcPr>
            <w:tcW w:w="106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35"/>
        </w:trPr>
        <w:tc>
          <w:tcPr>
            <w:tcW w:w="136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140" w:type="dxa"/>
            <w:vAlign w:val="bottom"/>
            <w:shd w:val="clear" w:color="auto" w:fill="4A1F67"/>
          </w:tcPr>
          <w:p>
            <w:pPr>
              <w:spacing w:after="0"/>
              <w:rPr>
                <w:sz w:val="11"/>
                <w:szCs w:val="11"/>
                <w:color w:val="auto"/>
              </w:rPr>
            </w:pPr>
          </w:p>
        </w:tc>
        <w:tc>
          <w:tcPr>
            <w:tcW w:w="1140" w:type="dxa"/>
            <w:vAlign w:val="bottom"/>
            <w:shd w:val="clear" w:color="auto" w:fill="4A1F67"/>
          </w:tcPr>
          <w:p>
            <w:pPr>
              <w:spacing w:after="0"/>
              <w:rPr>
                <w:sz w:val="11"/>
                <w:szCs w:val="11"/>
                <w:color w:val="auto"/>
              </w:rPr>
            </w:pPr>
          </w:p>
        </w:tc>
        <w:tc>
          <w:tcPr>
            <w:tcW w:w="11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Awards:</w:t>
            </w:r>
          </w:p>
        </w:tc>
        <w:tc>
          <w:tcPr>
            <w:tcW w:w="9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8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Market</w:t>
            </w:r>
          </w:p>
        </w:tc>
        <w:tc>
          <w:tcPr>
            <w:tcW w:w="920" w:type="dxa"/>
            <w:vAlign w:val="bottom"/>
            <w:shd w:val="clear" w:color="auto" w:fill="4A1F67"/>
          </w:tcPr>
          <w:p>
            <w:pPr>
              <w:jc w:val="right"/>
              <w:ind w:right="17"/>
              <w:spacing w:after="0" w:line="135" w:lineRule="exact"/>
              <w:rPr>
                <w:sz w:val="20"/>
                <w:szCs w:val="20"/>
                <w:color w:val="auto"/>
              </w:rPr>
            </w:pPr>
            <w:r>
              <w:rPr>
                <w:rFonts w:ascii="Arial" w:cs="Arial" w:eastAsia="Arial" w:hAnsi="Arial"/>
                <w:sz w:val="13"/>
                <w:szCs w:val="13"/>
                <w:b w:val="1"/>
                <w:bCs w:val="1"/>
                <w:color w:val="FFFFFF"/>
              </w:rPr>
              <w:t>Unearned</w:t>
            </w:r>
          </w:p>
        </w:tc>
        <w:tc>
          <w:tcPr>
            <w:tcW w:w="106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Market or</w:t>
            </w:r>
          </w:p>
        </w:tc>
        <w:tc>
          <w:tcPr>
            <w:tcW w:w="0" w:type="dxa"/>
            <w:vAlign w:val="bottom"/>
          </w:tcPr>
          <w:p>
            <w:pPr>
              <w:spacing w:after="0"/>
              <w:rPr>
                <w:sz w:val="1"/>
                <w:szCs w:val="1"/>
                <w:color w:val="auto"/>
              </w:rPr>
            </w:pPr>
          </w:p>
        </w:tc>
      </w:tr>
      <w:tr>
        <w:trPr>
          <w:trHeight w:val="135"/>
        </w:trPr>
        <w:tc>
          <w:tcPr>
            <w:tcW w:w="136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1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Number of</w:t>
            </w:r>
          </w:p>
        </w:tc>
        <w:tc>
          <w:tcPr>
            <w:tcW w:w="11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Number of</w:t>
            </w:r>
          </w:p>
        </w:tc>
        <w:tc>
          <w:tcPr>
            <w:tcW w:w="11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Number of</w:t>
            </w:r>
          </w:p>
        </w:tc>
        <w:tc>
          <w:tcPr>
            <w:tcW w:w="9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880" w:type="dxa"/>
            <w:vAlign w:val="bottom"/>
            <w:shd w:val="clear" w:color="auto" w:fill="4A1F67"/>
          </w:tcPr>
          <w:p>
            <w:pPr>
              <w:jc w:val="right"/>
              <w:ind w:right="57"/>
              <w:spacing w:after="0" w:line="135" w:lineRule="exact"/>
              <w:rPr>
                <w:sz w:val="20"/>
                <w:szCs w:val="20"/>
                <w:color w:val="auto"/>
              </w:rPr>
            </w:pPr>
            <w:r>
              <w:rPr>
                <w:rFonts w:ascii="Arial" w:cs="Arial" w:eastAsia="Arial" w:hAnsi="Arial"/>
                <w:sz w:val="13"/>
                <w:szCs w:val="13"/>
                <w:b w:val="1"/>
                <w:bCs w:val="1"/>
                <w:color w:val="FFFFFF"/>
              </w:rPr>
              <w:t>Number of</w:t>
            </w:r>
          </w:p>
        </w:tc>
        <w:tc>
          <w:tcPr>
            <w:tcW w:w="8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Value of</w:t>
            </w:r>
          </w:p>
        </w:tc>
        <w:tc>
          <w:tcPr>
            <w:tcW w:w="920" w:type="dxa"/>
            <w:vAlign w:val="bottom"/>
            <w:shd w:val="clear" w:color="auto" w:fill="4A1F67"/>
          </w:tcPr>
          <w:p>
            <w:pPr>
              <w:jc w:val="right"/>
              <w:ind w:right="17"/>
              <w:spacing w:after="0" w:line="135" w:lineRule="exact"/>
              <w:rPr>
                <w:sz w:val="20"/>
                <w:szCs w:val="20"/>
                <w:color w:val="auto"/>
              </w:rPr>
            </w:pPr>
            <w:r>
              <w:rPr>
                <w:rFonts w:ascii="Arial" w:cs="Arial" w:eastAsia="Arial" w:hAnsi="Arial"/>
                <w:sz w:val="13"/>
                <w:szCs w:val="13"/>
                <w:b w:val="1"/>
                <w:bCs w:val="1"/>
                <w:color w:val="FFFFFF"/>
              </w:rPr>
              <w:t>Shares,</w:t>
            </w:r>
          </w:p>
        </w:tc>
        <w:tc>
          <w:tcPr>
            <w:tcW w:w="106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Payout Value</w:t>
            </w:r>
          </w:p>
        </w:tc>
        <w:tc>
          <w:tcPr>
            <w:tcW w:w="0" w:type="dxa"/>
            <w:vAlign w:val="bottom"/>
          </w:tcPr>
          <w:p>
            <w:pPr>
              <w:spacing w:after="0"/>
              <w:rPr>
                <w:sz w:val="1"/>
                <w:szCs w:val="1"/>
                <w:color w:val="auto"/>
              </w:rPr>
            </w:pPr>
          </w:p>
        </w:tc>
      </w:tr>
      <w:tr>
        <w:trPr>
          <w:trHeight w:val="135"/>
        </w:trPr>
        <w:tc>
          <w:tcPr>
            <w:tcW w:w="136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1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Securities</w:t>
            </w:r>
          </w:p>
        </w:tc>
        <w:tc>
          <w:tcPr>
            <w:tcW w:w="11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Securities</w:t>
            </w:r>
          </w:p>
        </w:tc>
        <w:tc>
          <w:tcPr>
            <w:tcW w:w="11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Securities</w:t>
            </w:r>
          </w:p>
        </w:tc>
        <w:tc>
          <w:tcPr>
            <w:tcW w:w="9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880" w:type="dxa"/>
            <w:vAlign w:val="bottom"/>
            <w:shd w:val="clear" w:color="auto" w:fill="4A1F67"/>
          </w:tcPr>
          <w:p>
            <w:pPr>
              <w:jc w:val="right"/>
              <w:ind w:right="57"/>
              <w:spacing w:after="0" w:line="135" w:lineRule="exact"/>
              <w:rPr>
                <w:sz w:val="20"/>
                <w:szCs w:val="20"/>
                <w:color w:val="auto"/>
              </w:rPr>
            </w:pPr>
            <w:r>
              <w:rPr>
                <w:rFonts w:ascii="Arial" w:cs="Arial" w:eastAsia="Arial" w:hAnsi="Arial"/>
                <w:sz w:val="13"/>
                <w:szCs w:val="13"/>
                <w:b w:val="1"/>
                <w:bCs w:val="1"/>
                <w:color w:val="FFFFFF"/>
              </w:rPr>
              <w:t>Shares or</w:t>
            </w:r>
          </w:p>
        </w:tc>
        <w:tc>
          <w:tcPr>
            <w:tcW w:w="8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Shares or</w:t>
            </w:r>
          </w:p>
        </w:tc>
        <w:tc>
          <w:tcPr>
            <w:tcW w:w="920" w:type="dxa"/>
            <w:vAlign w:val="bottom"/>
            <w:shd w:val="clear" w:color="auto" w:fill="4A1F67"/>
          </w:tcPr>
          <w:p>
            <w:pPr>
              <w:jc w:val="right"/>
              <w:ind w:right="17"/>
              <w:spacing w:after="0" w:line="135" w:lineRule="exact"/>
              <w:rPr>
                <w:sz w:val="20"/>
                <w:szCs w:val="20"/>
                <w:color w:val="auto"/>
              </w:rPr>
            </w:pPr>
            <w:r>
              <w:rPr>
                <w:rFonts w:ascii="Arial" w:cs="Arial" w:eastAsia="Arial" w:hAnsi="Arial"/>
                <w:sz w:val="13"/>
                <w:szCs w:val="13"/>
                <w:b w:val="1"/>
                <w:bCs w:val="1"/>
                <w:color w:val="FFFFFF"/>
              </w:rPr>
              <w:t>Units, or</w:t>
            </w:r>
          </w:p>
        </w:tc>
        <w:tc>
          <w:tcPr>
            <w:tcW w:w="106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of Unearned</w:t>
            </w:r>
          </w:p>
        </w:tc>
        <w:tc>
          <w:tcPr>
            <w:tcW w:w="0" w:type="dxa"/>
            <w:vAlign w:val="bottom"/>
          </w:tcPr>
          <w:p>
            <w:pPr>
              <w:spacing w:after="0"/>
              <w:rPr>
                <w:sz w:val="1"/>
                <w:szCs w:val="1"/>
                <w:color w:val="auto"/>
              </w:rPr>
            </w:pPr>
          </w:p>
        </w:tc>
      </w:tr>
      <w:tr>
        <w:trPr>
          <w:trHeight w:val="135"/>
        </w:trPr>
        <w:tc>
          <w:tcPr>
            <w:tcW w:w="136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1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11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11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Underlying</w:t>
            </w:r>
          </w:p>
        </w:tc>
        <w:tc>
          <w:tcPr>
            <w:tcW w:w="980" w:type="dxa"/>
            <w:vAlign w:val="bottom"/>
            <w:shd w:val="clear" w:color="auto" w:fill="4A1F67"/>
          </w:tcPr>
          <w:p>
            <w:pPr>
              <w:spacing w:after="0"/>
              <w:rPr>
                <w:sz w:val="11"/>
                <w:szCs w:val="11"/>
                <w:color w:val="auto"/>
              </w:rPr>
            </w:pPr>
          </w:p>
        </w:tc>
        <w:tc>
          <w:tcPr>
            <w:tcW w:w="880" w:type="dxa"/>
            <w:vAlign w:val="bottom"/>
            <w:shd w:val="clear" w:color="auto" w:fill="4A1F67"/>
          </w:tcPr>
          <w:p>
            <w:pPr>
              <w:spacing w:after="0"/>
              <w:rPr>
                <w:sz w:val="11"/>
                <w:szCs w:val="11"/>
                <w:color w:val="auto"/>
              </w:rPr>
            </w:pPr>
          </w:p>
        </w:tc>
        <w:tc>
          <w:tcPr>
            <w:tcW w:w="880" w:type="dxa"/>
            <w:vAlign w:val="bottom"/>
            <w:shd w:val="clear" w:color="auto" w:fill="4A1F67"/>
          </w:tcPr>
          <w:p>
            <w:pPr>
              <w:jc w:val="right"/>
              <w:ind w:right="57"/>
              <w:spacing w:after="0" w:line="135" w:lineRule="exact"/>
              <w:rPr>
                <w:sz w:val="20"/>
                <w:szCs w:val="20"/>
                <w:color w:val="auto"/>
              </w:rPr>
            </w:pPr>
            <w:r>
              <w:rPr>
                <w:rFonts w:ascii="Arial" w:cs="Arial" w:eastAsia="Arial" w:hAnsi="Arial"/>
                <w:sz w:val="13"/>
                <w:szCs w:val="13"/>
                <w:b w:val="1"/>
                <w:bCs w:val="1"/>
                <w:color w:val="FFFFFF"/>
              </w:rPr>
              <w:t>Units of</w:t>
            </w:r>
          </w:p>
        </w:tc>
        <w:tc>
          <w:tcPr>
            <w:tcW w:w="8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Units of</w:t>
            </w:r>
          </w:p>
        </w:tc>
        <w:tc>
          <w:tcPr>
            <w:tcW w:w="920" w:type="dxa"/>
            <w:vAlign w:val="bottom"/>
            <w:shd w:val="clear" w:color="auto" w:fill="4A1F67"/>
          </w:tcPr>
          <w:p>
            <w:pPr>
              <w:jc w:val="right"/>
              <w:ind w:right="17"/>
              <w:spacing w:after="0" w:line="135" w:lineRule="exact"/>
              <w:rPr>
                <w:sz w:val="20"/>
                <w:szCs w:val="20"/>
                <w:color w:val="auto"/>
              </w:rPr>
            </w:pPr>
            <w:r>
              <w:rPr>
                <w:rFonts w:ascii="Arial" w:cs="Arial" w:eastAsia="Arial" w:hAnsi="Arial"/>
                <w:sz w:val="13"/>
                <w:szCs w:val="13"/>
                <w:b w:val="1"/>
                <w:bCs w:val="1"/>
                <w:color w:val="FFFFFF"/>
              </w:rPr>
              <w:t>Other Rights</w:t>
            </w:r>
          </w:p>
        </w:tc>
        <w:tc>
          <w:tcPr>
            <w:tcW w:w="106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Shares, Units,</w:t>
            </w:r>
          </w:p>
        </w:tc>
        <w:tc>
          <w:tcPr>
            <w:tcW w:w="0" w:type="dxa"/>
            <w:vAlign w:val="bottom"/>
          </w:tcPr>
          <w:p>
            <w:pPr>
              <w:spacing w:after="0"/>
              <w:rPr>
                <w:sz w:val="1"/>
                <w:szCs w:val="1"/>
                <w:color w:val="auto"/>
              </w:rPr>
            </w:pPr>
          </w:p>
        </w:tc>
      </w:tr>
      <w:tr>
        <w:trPr>
          <w:trHeight w:val="135"/>
        </w:trPr>
        <w:tc>
          <w:tcPr>
            <w:tcW w:w="136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1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Unexercised</w:t>
            </w:r>
          </w:p>
        </w:tc>
        <w:tc>
          <w:tcPr>
            <w:tcW w:w="11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Unexercised</w:t>
            </w:r>
          </w:p>
        </w:tc>
        <w:tc>
          <w:tcPr>
            <w:tcW w:w="11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Unexercised</w:t>
            </w:r>
          </w:p>
        </w:tc>
        <w:tc>
          <w:tcPr>
            <w:tcW w:w="980" w:type="dxa"/>
            <w:vAlign w:val="bottom"/>
            <w:shd w:val="clear" w:color="auto" w:fill="4A1F67"/>
          </w:tcPr>
          <w:p>
            <w:pPr>
              <w:jc w:val="right"/>
              <w:ind w:right="77"/>
              <w:spacing w:after="0" w:line="135" w:lineRule="exact"/>
              <w:rPr>
                <w:sz w:val="20"/>
                <w:szCs w:val="20"/>
                <w:color w:val="auto"/>
              </w:rPr>
            </w:pPr>
            <w:r>
              <w:rPr>
                <w:rFonts w:ascii="Arial" w:cs="Arial" w:eastAsia="Arial" w:hAnsi="Arial"/>
                <w:sz w:val="13"/>
                <w:szCs w:val="13"/>
                <w:b w:val="1"/>
                <w:bCs w:val="1"/>
                <w:color w:val="FFFFFF"/>
              </w:rPr>
              <w:t>Option</w:t>
            </w:r>
          </w:p>
        </w:tc>
        <w:tc>
          <w:tcPr>
            <w:tcW w:w="880" w:type="dxa"/>
            <w:vAlign w:val="bottom"/>
            <w:shd w:val="clear" w:color="auto" w:fill="4A1F67"/>
          </w:tcPr>
          <w:p>
            <w:pPr>
              <w:jc w:val="right"/>
              <w:ind w:right="57"/>
              <w:spacing w:after="0" w:line="135" w:lineRule="exact"/>
              <w:rPr>
                <w:sz w:val="20"/>
                <w:szCs w:val="20"/>
                <w:color w:val="auto"/>
              </w:rPr>
            </w:pPr>
            <w:r>
              <w:rPr>
                <w:rFonts w:ascii="Arial" w:cs="Arial" w:eastAsia="Arial" w:hAnsi="Arial"/>
                <w:sz w:val="13"/>
                <w:szCs w:val="13"/>
                <w:b w:val="1"/>
                <w:bCs w:val="1"/>
                <w:color w:val="FFFFFF"/>
              </w:rPr>
              <w:t>Option</w:t>
            </w:r>
          </w:p>
        </w:tc>
        <w:tc>
          <w:tcPr>
            <w:tcW w:w="880" w:type="dxa"/>
            <w:vAlign w:val="bottom"/>
            <w:shd w:val="clear" w:color="auto" w:fill="4A1F67"/>
          </w:tcPr>
          <w:p>
            <w:pPr>
              <w:jc w:val="right"/>
              <w:ind w:right="57"/>
              <w:spacing w:after="0" w:line="135" w:lineRule="exact"/>
              <w:rPr>
                <w:sz w:val="20"/>
                <w:szCs w:val="20"/>
                <w:color w:val="auto"/>
              </w:rPr>
            </w:pPr>
            <w:r>
              <w:rPr>
                <w:rFonts w:ascii="Arial" w:cs="Arial" w:eastAsia="Arial" w:hAnsi="Arial"/>
                <w:sz w:val="13"/>
                <w:szCs w:val="13"/>
                <w:b w:val="1"/>
                <w:bCs w:val="1"/>
                <w:color w:val="FFFFFF"/>
              </w:rPr>
              <w:t>Stock that</w:t>
            </w:r>
          </w:p>
        </w:tc>
        <w:tc>
          <w:tcPr>
            <w:tcW w:w="84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Stock that</w:t>
            </w:r>
          </w:p>
        </w:tc>
        <w:tc>
          <w:tcPr>
            <w:tcW w:w="920" w:type="dxa"/>
            <w:vAlign w:val="bottom"/>
            <w:shd w:val="clear" w:color="auto" w:fill="4A1F67"/>
          </w:tcPr>
          <w:p>
            <w:pPr>
              <w:jc w:val="right"/>
              <w:ind w:right="17"/>
              <w:spacing w:after="0" w:line="135" w:lineRule="exact"/>
              <w:rPr>
                <w:sz w:val="20"/>
                <w:szCs w:val="20"/>
                <w:color w:val="auto"/>
              </w:rPr>
            </w:pPr>
            <w:r>
              <w:rPr>
                <w:rFonts w:ascii="Arial" w:cs="Arial" w:eastAsia="Arial" w:hAnsi="Arial"/>
                <w:sz w:val="13"/>
                <w:szCs w:val="13"/>
                <w:b w:val="1"/>
                <w:bCs w:val="1"/>
                <w:color w:val="FFFFFF"/>
              </w:rPr>
              <w:t>that have</w:t>
            </w:r>
          </w:p>
        </w:tc>
        <w:tc>
          <w:tcPr>
            <w:tcW w:w="106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or Other Rights</w:t>
            </w:r>
          </w:p>
        </w:tc>
        <w:tc>
          <w:tcPr>
            <w:tcW w:w="0" w:type="dxa"/>
            <w:vAlign w:val="bottom"/>
          </w:tcPr>
          <w:p>
            <w:pPr>
              <w:spacing w:after="0"/>
              <w:rPr>
                <w:sz w:val="1"/>
                <w:szCs w:val="1"/>
                <w:color w:val="auto"/>
              </w:rPr>
            </w:pPr>
          </w:p>
        </w:tc>
      </w:tr>
      <w:tr>
        <w:trPr>
          <w:trHeight w:val="131"/>
        </w:trPr>
        <w:tc>
          <w:tcPr>
            <w:tcW w:w="1360" w:type="dxa"/>
            <w:vAlign w:val="bottom"/>
            <w:shd w:val="clear" w:color="auto" w:fill="4A1F67"/>
          </w:tcPr>
          <w:p>
            <w:pPr>
              <w:spacing w:after="0"/>
              <w:rPr>
                <w:sz w:val="11"/>
                <w:szCs w:val="11"/>
                <w:color w:val="auto"/>
              </w:rPr>
            </w:pPr>
          </w:p>
        </w:tc>
        <w:tc>
          <w:tcPr>
            <w:tcW w:w="900" w:type="dxa"/>
            <w:vAlign w:val="bottom"/>
            <w:shd w:val="clear" w:color="auto" w:fill="4A1F67"/>
          </w:tcPr>
          <w:p>
            <w:pPr>
              <w:spacing w:after="0"/>
              <w:rPr>
                <w:sz w:val="11"/>
                <w:szCs w:val="11"/>
                <w:color w:val="auto"/>
              </w:rPr>
            </w:pPr>
          </w:p>
        </w:tc>
        <w:tc>
          <w:tcPr>
            <w:tcW w:w="114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Options (#)</w:t>
            </w:r>
          </w:p>
        </w:tc>
        <w:tc>
          <w:tcPr>
            <w:tcW w:w="114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Options (#)</w:t>
            </w:r>
          </w:p>
        </w:tc>
        <w:tc>
          <w:tcPr>
            <w:tcW w:w="112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Unearned</w:t>
            </w:r>
          </w:p>
        </w:tc>
        <w:tc>
          <w:tcPr>
            <w:tcW w:w="980" w:type="dxa"/>
            <w:vAlign w:val="bottom"/>
            <w:shd w:val="clear" w:color="auto" w:fill="4A1F67"/>
          </w:tcPr>
          <w:p>
            <w:pPr>
              <w:jc w:val="right"/>
              <w:ind w:right="77"/>
              <w:spacing w:after="0" w:line="131" w:lineRule="exact"/>
              <w:rPr>
                <w:sz w:val="20"/>
                <w:szCs w:val="20"/>
                <w:color w:val="auto"/>
              </w:rPr>
            </w:pPr>
            <w:r>
              <w:rPr>
                <w:rFonts w:ascii="Arial" w:cs="Arial" w:eastAsia="Arial" w:hAnsi="Arial"/>
                <w:sz w:val="13"/>
                <w:szCs w:val="13"/>
                <w:b w:val="1"/>
                <w:bCs w:val="1"/>
                <w:color w:val="FFFFFF"/>
              </w:rPr>
              <w:t>Exercise</w:t>
            </w:r>
          </w:p>
        </w:tc>
        <w:tc>
          <w:tcPr>
            <w:tcW w:w="880" w:type="dxa"/>
            <w:vAlign w:val="bottom"/>
            <w:shd w:val="clear" w:color="auto" w:fill="4A1F67"/>
          </w:tcPr>
          <w:p>
            <w:pPr>
              <w:jc w:val="right"/>
              <w:ind w:right="57"/>
              <w:spacing w:after="0" w:line="131" w:lineRule="exact"/>
              <w:rPr>
                <w:sz w:val="20"/>
                <w:szCs w:val="20"/>
                <w:color w:val="auto"/>
              </w:rPr>
            </w:pPr>
            <w:r>
              <w:rPr>
                <w:rFonts w:ascii="Arial" w:cs="Arial" w:eastAsia="Arial" w:hAnsi="Arial"/>
                <w:sz w:val="13"/>
                <w:szCs w:val="13"/>
                <w:b w:val="1"/>
                <w:bCs w:val="1"/>
                <w:color w:val="FFFFFF"/>
              </w:rPr>
              <w:t>Expiration</w:t>
            </w:r>
          </w:p>
        </w:tc>
        <w:tc>
          <w:tcPr>
            <w:tcW w:w="880" w:type="dxa"/>
            <w:vAlign w:val="bottom"/>
            <w:shd w:val="clear" w:color="auto" w:fill="4A1F67"/>
          </w:tcPr>
          <w:p>
            <w:pPr>
              <w:jc w:val="right"/>
              <w:ind w:right="57"/>
              <w:spacing w:after="0" w:line="131" w:lineRule="exact"/>
              <w:rPr>
                <w:sz w:val="20"/>
                <w:szCs w:val="20"/>
                <w:color w:val="auto"/>
              </w:rPr>
            </w:pPr>
            <w:r>
              <w:rPr>
                <w:rFonts w:ascii="Arial" w:cs="Arial" w:eastAsia="Arial" w:hAnsi="Arial"/>
                <w:sz w:val="13"/>
                <w:szCs w:val="13"/>
                <w:b w:val="1"/>
                <w:bCs w:val="1"/>
                <w:color w:val="FFFFFF"/>
              </w:rPr>
              <w:t>have Not</w:t>
            </w:r>
          </w:p>
        </w:tc>
        <w:tc>
          <w:tcPr>
            <w:tcW w:w="84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have Not</w:t>
            </w:r>
          </w:p>
        </w:tc>
        <w:tc>
          <w:tcPr>
            <w:tcW w:w="920" w:type="dxa"/>
            <w:vAlign w:val="bottom"/>
            <w:shd w:val="clear" w:color="auto" w:fill="4A1F67"/>
          </w:tcPr>
          <w:p>
            <w:pPr>
              <w:jc w:val="right"/>
              <w:ind w:right="17"/>
              <w:spacing w:after="0" w:line="131" w:lineRule="exact"/>
              <w:rPr>
                <w:sz w:val="20"/>
                <w:szCs w:val="20"/>
                <w:color w:val="auto"/>
              </w:rPr>
            </w:pPr>
            <w:r>
              <w:rPr>
                <w:rFonts w:ascii="Arial" w:cs="Arial" w:eastAsia="Arial" w:hAnsi="Arial"/>
                <w:sz w:val="13"/>
                <w:szCs w:val="13"/>
                <w:b w:val="1"/>
                <w:bCs w:val="1"/>
                <w:color w:val="FFFFFF"/>
              </w:rPr>
              <w:t>Not Vested</w:t>
            </w:r>
          </w:p>
        </w:tc>
        <w:tc>
          <w:tcPr>
            <w:tcW w:w="106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that have Not</w:t>
            </w:r>
          </w:p>
        </w:tc>
        <w:tc>
          <w:tcPr>
            <w:tcW w:w="0" w:type="dxa"/>
            <w:vAlign w:val="bottom"/>
          </w:tcPr>
          <w:p>
            <w:pPr>
              <w:spacing w:after="0"/>
              <w:rPr>
                <w:sz w:val="1"/>
                <w:szCs w:val="1"/>
                <w:color w:val="auto"/>
              </w:rPr>
            </w:pPr>
          </w:p>
        </w:tc>
      </w:tr>
      <w:tr>
        <w:trPr>
          <w:trHeight w:val="168"/>
        </w:trPr>
        <w:tc>
          <w:tcPr>
            <w:tcW w:w="1360" w:type="dxa"/>
            <w:vAlign w:val="bottom"/>
            <w:tcBorders>
              <w:bottom w:val="single" w:sz="8" w:color="4A1F67"/>
            </w:tcBorders>
            <w:shd w:val="clear" w:color="auto" w:fill="4A1F67"/>
          </w:tcPr>
          <w:p>
            <w:pPr>
              <w:ind w:left="40"/>
              <w:spacing w:after="0"/>
              <w:rPr>
                <w:sz w:val="20"/>
                <w:szCs w:val="20"/>
                <w:color w:val="auto"/>
              </w:rPr>
            </w:pPr>
            <w:r>
              <w:rPr>
                <w:rFonts w:ascii="Arial" w:cs="Arial" w:eastAsia="Arial" w:hAnsi="Arial"/>
                <w:sz w:val="13"/>
                <w:szCs w:val="13"/>
                <w:b w:val="1"/>
                <w:bCs w:val="1"/>
                <w:color w:val="FFFFFF"/>
              </w:rPr>
              <w:t>Name</w:t>
            </w:r>
          </w:p>
        </w:tc>
        <w:tc>
          <w:tcPr>
            <w:tcW w:w="90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Grant Date</w:t>
            </w:r>
          </w:p>
        </w:tc>
        <w:tc>
          <w:tcPr>
            <w:tcW w:w="114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Exercisable</w:t>
            </w:r>
          </w:p>
        </w:tc>
        <w:tc>
          <w:tcPr>
            <w:tcW w:w="114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Unexercisable</w:t>
            </w:r>
          </w:p>
        </w:tc>
        <w:tc>
          <w:tcPr>
            <w:tcW w:w="112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3"/>
                <w:szCs w:val="13"/>
                <w:b w:val="1"/>
                <w:bCs w:val="1"/>
                <w:color w:val="FFFFFF"/>
              </w:rPr>
              <w:t>Options (#)</w:t>
            </w:r>
          </w:p>
        </w:tc>
        <w:tc>
          <w:tcPr>
            <w:tcW w:w="980" w:type="dxa"/>
            <w:vAlign w:val="bottom"/>
            <w:tcBorders>
              <w:bottom w:val="single" w:sz="8" w:color="4A1F67"/>
            </w:tcBorders>
            <w:shd w:val="clear" w:color="auto" w:fill="4A1F67"/>
          </w:tcPr>
          <w:p>
            <w:pPr>
              <w:jc w:val="right"/>
              <w:ind w:right="77"/>
              <w:spacing w:after="0"/>
              <w:rPr>
                <w:sz w:val="20"/>
                <w:szCs w:val="20"/>
                <w:color w:val="auto"/>
              </w:rPr>
            </w:pPr>
            <w:r>
              <w:rPr>
                <w:rFonts w:ascii="Arial" w:cs="Arial" w:eastAsia="Arial" w:hAnsi="Arial"/>
                <w:sz w:val="13"/>
                <w:szCs w:val="13"/>
                <w:b w:val="1"/>
                <w:bCs w:val="1"/>
                <w:color w:val="FFFFFF"/>
              </w:rPr>
              <w:t>Price ($/€)</w:t>
            </w:r>
          </w:p>
        </w:tc>
        <w:tc>
          <w:tcPr>
            <w:tcW w:w="880" w:type="dxa"/>
            <w:vAlign w:val="bottom"/>
            <w:tcBorders>
              <w:bottom w:val="single" w:sz="8" w:color="4A1F67"/>
            </w:tcBorders>
            <w:shd w:val="clear" w:color="auto" w:fill="4A1F67"/>
          </w:tcPr>
          <w:p>
            <w:pPr>
              <w:jc w:val="right"/>
              <w:ind w:right="57"/>
              <w:spacing w:after="0"/>
              <w:rPr>
                <w:sz w:val="20"/>
                <w:szCs w:val="20"/>
                <w:color w:val="auto"/>
              </w:rPr>
            </w:pPr>
            <w:r>
              <w:rPr>
                <w:rFonts w:ascii="Arial" w:cs="Arial" w:eastAsia="Arial" w:hAnsi="Arial"/>
                <w:sz w:val="13"/>
                <w:szCs w:val="13"/>
                <w:b w:val="1"/>
                <w:bCs w:val="1"/>
                <w:color w:val="FFFFFF"/>
              </w:rPr>
              <w:t>Date</w:t>
            </w:r>
          </w:p>
        </w:tc>
        <w:tc>
          <w:tcPr>
            <w:tcW w:w="880" w:type="dxa"/>
            <w:vAlign w:val="bottom"/>
            <w:tcBorders>
              <w:bottom w:val="single" w:sz="8" w:color="4A1F67"/>
            </w:tcBorders>
            <w:shd w:val="clear" w:color="auto" w:fill="4A1F67"/>
          </w:tcPr>
          <w:p>
            <w:pPr>
              <w:jc w:val="right"/>
              <w:ind w:right="57"/>
              <w:spacing w:after="0"/>
              <w:rPr>
                <w:sz w:val="20"/>
                <w:szCs w:val="20"/>
                <w:color w:val="auto"/>
              </w:rPr>
            </w:pPr>
            <w:r>
              <w:rPr>
                <w:rFonts w:ascii="Arial" w:cs="Arial" w:eastAsia="Arial" w:hAnsi="Arial"/>
                <w:sz w:val="13"/>
                <w:szCs w:val="13"/>
                <w:b w:val="1"/>
                <w:bCs w:val="1"/>
                <w:color w:val="FFFFFF"/>
              </w:rPr>
              <w:t>Vested (#)</w:t>
            </w:r>
          </w:p>
        </w:tc>
        <w:tc>
          <w:tcPr>
            <w:tcW w:w="840" w:type="dxa"/>
            <w:vAlign w:val="bottom"/>
            <w:tcBorders>
              <w:bottom w:val="single" w:sz="8" w:color="4A1F67"/>
            </w:tcBorders>
            <w:shd w:val="clear" w:color="auto" w:fill="4A1F67"/>
          </w:tcPr>
          <w:p>
            <w:pPr>
              <w:jc w:val="right"/>
              <w:spacing w:after="0" w:line="161" w:lineRule="exact"/>
              <w:rPr>
                <w:sz w:val="20"/>
                <w:szCs w:val="20"/>
                <w:color w:val="auto"/>
              </w:rPr>
            </w:pPr>
            <w:r>
              <w:rPr>
                <w:rFonts w:ascii="Arial" w:cs="Arial" w:eastAsia="Arial" w:hAnsi="Arial"/>
                <w:sz w:val="12"/>
                <w:szCs w:val="12"/>
                <w:b w:val="1"/>
                <w:bCs w:val="1"/>
                <w:color w:val="FFFFFF"/>
              </w:rPr>
              <w:t>Vested ($)</w:t>
            </w:r>
            <w:r>
              <w:rPr>
                <w:rFonts w:ascii="Arial" w:cs="Arial" w:eastAsia="Arial" w:hAnsi="Arial"/>
                <w:sz w:val="18"/>
                <w:szCs w:val="18"/>
                <w:b w:val="1"/>
                <w:bCs w:val="1"/>
                <w:color w:val="FFFFFF"/>
                <w:vertAlign w:val="superscript"/>
              </w:rPr>
              <w:t>1</w:t>
            </w:r>
          </w:p>
        </w:tc>
        <w:tc>
          <w:tcPr>
            <w:tcW w:w="920" w:type="dxa"/>
            <w:vAlign w:val="bottom"/>
            <w:tcBorders>
              <w:bottom w:val="single" w:sz="8" w:color="4A1F67"/>
            </w:tcBorders>
            <w:shd w:val="clear" w:color="auto" w:fill="4A1F67"/>
          </w:tcPr>
          <w:p>
            <w:pPr>
              <w:jc w:val="right"/>
              <w:ind w:right="17"/>
              <w:spacing w:after="0"/>
              <w:rPr>
                <w:sz w:val="20"/>
                <w:szCs w:val="20"/>
                <w:color w:val="auto"/>
              </w:rPr>
            </w:pPr>
            <w:r>
              <w:rPr>
                <w:rFonts w:ascii="Arial" w:cs="Arial" w:eastAsia="Arial" w:hAnsi="Arial"/>
                <w:sz w:val="13"/>
                <w:szCs w:val="13"/>
                <w:b w:val="1"/>
                <w:bCs w:val="1"/>
                <w:color w:val="FFFFFF"/>
              </w:rPr>
              <w:t>(#)</w:t>
            </w:r>
          </w:p>
        </w:tc>
        <w:tc>
          <w:tcPr>
            <w:tcW w:w="1060" w:type="dxa"/>
            <w:vAlign w:val="bottom"/>
            <w:tcBorders>
              <w:bottom w:val="single" w:sz="8" w:color="4A1F67"/>
            </w:tcBorders>
            <w:shd w:val="clear" w:color="auto" w:fill="4A1F67"/>
          </w:tcPr>
          <w:p>
            <w:pPr>
              <w:jc w:val="right"/>
              <w:spacing w:after="0" w:line="161" w:lineRule="exact"/>
              <w:rPr>
                <w:sz w:val="20"/>
                <w:szCs w:val="20"/>
                <w:color w:val="auto"/>
              </w:rPr>
            </w:pPr>
            <w:r>
              <w:rPr>
                <w:rFonts w:ascii="Arial" w:cs="Arial" w:eastAsia="Arial" w:hAnsi="Arial"/>
                <w:sz w:val="12"/>
                <w:szCs w:val="12"/>
                <w:b w:val="1"/>
                <w:bCs w:val="1"/>
                <w:color w:val="FFFFFF"/>
              </w:rPr>
              <w:t>Vested ($)</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140"/>
        </w:trPr>
        <w:tc>
          <w:tcPr>
            <w:tcW w:w="1360" w:type="dxa"/>
            <w:vAlign w:val="bottom"/>
          </w:tcPr>
          <w:p>
            <w:pPr>
              <w:ind w:left="40"/>
              <w:spacing w:after="0" w:line="140" w:lineRule="exact"/>
              <w:rPr>
                <w:sz w:val="20"/>
                <w:szCs w:val="20"/>
                <w:color w:val="auto"/>
              </w:rPr>
            </w:pPr>
            <w:r>
              <w:rPr>
                <w:rFonts w:ascii="Arial" w:cs="Arial" w:eastAsia="Arial" w:hAnsi="Arial"/>
                <w:sz w:val="13"/>
                <w:szCs w:val="13"/>
                <w:b w:val="1"/>
                <w:bCs w:val="1"/>
                <w:color w:val="3B3C43"/>
              </w:rPr>
              <w:t>Douglas J.</w:t>
            </w:r>
          </w:p>
        </w:tc>
        <w:tc>
          <w:tcPr>
            <w:tcW w:w="900" w:type="dxa"/>
            <w:vAlign w:val="bottom"/>
          </w:tcPr>
          <w:p>
            <w:pPr>
              <w:jc w:val="right"/>
              <w:spacing w:after="0" w:line="140" w:lineRule="exact"/>
              <w:rPr>
                <w:sz w:val="20"/>
                <w:szCs w:val="20"/>
                <w:color w:val="auto"/>
              </w:rPr>
            </w:pPr>
            <w:r>
              <w:rPr>
                <w:rFonts w:ascii="Arial" w:cs="Arial" w:eastAsia="Arial" w:hAnsi="Arial"/>
                <w:sz w:val="13"/>
                <w:szCs w:val="13"/>
                <w:color w:val="3B3C43"/>
              </w:rPr>
              <w:t>6/20/2017</w:t>
            </w:r>
          </w:p>
        </w:tc>
        <w:tc>
          <w:tcPr>
            <w:tcW w:w="1140" w:type="dxa"/>
            <w:vAlign w:val="bottom"/>
          </w:tcPr>
          <w:p>
            <w:pPr>
              <w:jc w:val="right"/>
              <w:spacing w:after="0" w:line="140" w:lineRule="exact"/>
              <w:rPr>
                <w:sz w:val="20"/>
                <w:szCs w:val="20"/>
                <w:color w:val="auto"/>
              </w:rPr>
            </w:pPr>
            <w:r>
              <w:rPr>
                <w:rFonts w:ascii="Arial" w:cs="Arial" w:eastAsia="Arial" w:hAnsi="Arial"/>
                <w:sz w:val="13"/>
                <w:szCs w:val="13"/>
                <w:color w:val="3B3C43"/>
              </w:rPr>
              <w:t>224,835</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jc w:val="right"/>
              <w:ind w:right="77"/>
              <w:spacing w:after="0" w:line="140" w:lineRule="exact"/>
              <w:rPr>
                <w:sz w:val="20"/>
                <w:szCs w:val="20"/>
                <w:color w:val="auto"/>
              </w:rPr>
            </w:pPr>
            <w:r>
              <w:rPr>
                <w:rFonts w:ascii="Arial" w:cs="Arial" w:eastAsia="Arial" w:hAnsi="Arial"/>
                <w:sz w:val="13"/>
                <w:szCs w:val="13"/>
                <w:color w:val="3B3C43"/>
              </w:rPr>
              <w:t>$26.62</w:t>
            </w:r>
          </w:p>
        </w:tc>
        <w:tc>
          <w:tcPr>
            <w:tcW w:w="880" w:type="dxa"/>
            <w:vAlign w:val="bottom"/>
          </w:tcPr>
          <w:p>
            <w:pPr>
              <w:jc w:val="right"/>
              <w:ind w:right="57"/>
              <w:spacing w:after="0" w:line="140" w:lineRule="exact"/>
              <w:rPr>
                <w:sz w:val="20"/>
                <w:szCs w:val="20"/>
                <w:color w:val="auto"/>
              </w:rPr>
            </w:pPr>
            <w:r>
              <w:rPr>
                <w:rFonts w:ascii="Arial" w:cs="Arial" w:eastAsia="Arial" w:hAnsi="Arial"/>
                <w:sz w:val="13"/>
                <w:szCs w:val="13"/>
                <w:color w:val="3B3C43"/>
              </w:rPr>
              <w:t>6/20/2027</w:t>
            </w: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360" w:type="dxa"/>
            <w:vAlign w:val="bottom"/>
            <w:vMerge w:val="restart"/>
          </w:tcPr>
          <w:p>
            <w:pPr>
              <w:ind w:left="40"/>
              <w:spacing w:after="0"/>
              <w:rPr>
                <w:sz w:val="20"/>
                <w:szCs w:val="20"/>
                <w:color w:val="auto"/>
              </w:rPr>
            </w:pPr>
            <w:r>
              <w:rPr>
                <w:rFonts w:ascii="Arial" w:cs="Arial" w:eastAsia="Arial" w:hAnsi="Arial"/>
                <w:sz w:val="13"/>
                <w:szCs w:val="13"/>
                <w:b w:val="1"/>
                <w:bCs w:val="1"/>
                <w:color w:val="3B3C43"/>
              </w:rPr>
              <w:t>Pferdehirt</w:t>
            </w:r>
          </w:p>
        </w:tc>
        <w:tc>
          <w:tcPr>
            <w:tcW w:w="900" w:type="dxa"/>
            <w:vAlign w:val="bottom"/>
            <w:tcBorders>
              <w:bottom w:val="single" w:sz="8" w:color="B1B2B4"/>
            </w:tcBorders>
          </w:tcPr>
          <w:p>
            <w:pPr>
              <w:spacing w:after="0"/>
              <w:rPr>
                <w:sz w:val="4"/>
                <w:szCs w:val="4"/>
                <w:color w:val="auto"/>
              </w:rPr>
            </w:pPr>
          </w:p>
        </w:tc>
        <w:tc>
          <w:tcPr>
            <w:tcW w:w="1140" w:type="dxa"/>
            <w:vAlign w:val="bottom"/>
            <w:tcBorders>
              <w:bottom w:val="single" w:sz="8" w:color="B1B2B4"/>
            </w:tcBorders>
          </w:tcPr>
          <w:p>
            <w:pPr>
              <w:spacing w:after="0"/>
              <w:rPr>
                <w:sz w:val="4"/>
                <w:szCs w:val="4"/>
                <w:color w:val="auto"/>
              </w:rPr>
            </w:pPr>
          </w:p>
        </w:tc>
        <w:tc>
          <w:tcPr>
            <w:tcW w:w="1140" w:type="dxa"/>
            <w:vAlign w:val="bottom"/>
            <w:tcBorders>
              <w:bottom w:val="single" w:sz="8" w:color="B1B2B4"/>
            </w:tcBorders>
          </w:tcPr>
          <w:p>
            <w:pPr>
              <w:spacing w:after="0"/>
              <w:rPr>
                <w:sz w:val="4"/>
                <w:szCs w:val="4"/>
                <w:color w:val="auto"/>
              </w:rPr>
            </w:pPr>
          </w:p>
        </w:tc>
        <w:tc>
          <w:tcPr>
            <w:tcW w:w="1120" w:type="dxa"/>
            <w:vAlign w:val="bottom"/>
            <w:tcBorders>
              <w:bottom w:val="single" w:sz="8" w:color="B1B2B4"/>
            </w:tcBorders>
          </w:tcPr>
          <w:p>
            <w:pPr>
              <w:spacing w:after="0"/>
              <w:rPr>
                <w:sz w:val="4"/>
                <w:szCs w:val="4"/>
                <w:color w:val="auto"/>
              </w:rPr>
            </w:pPr>
          </w:p>
        </w:tc>
        <w:tc>
          <w:tcPr>
            <w:tcW w:w="980" w:type="dxa"/>
            <w:vAlign w:val="bottom"/>
            <w:tcBorders>
              <w:bottom w:val="single" w:sz="8" w:color="B1B2B4"/>
            </w:tcBorders>
          </w:tcPr>
          <w:p>
            <w:pPr>
              <w:spacing w:after="0"/>
              <w:rPr>
                <w:sz w:val="4"/>
                <w:szCs w:val="4"/>
                <w:color w:val="auto"/>
              </w:rPr>
            </w:pPr>
          </w:p>
        </w:tc>
        <w:tc>
          <w:tcPr>
            <w:tcW w:w="880" w:type="dxa"/>
            <w:vAlign w:val="bottom"/>
            <w:tcBorders>
              <w:bottom w:val="single" w:sz="8" w:color="B1B2B4"/>
            </w:tcBorders>
          </w:tcPr>
          <w:p>
            <w:pPr>
              <w:spacing w:after="0"/>
              <w:rPr>
                <w:sz w:val="4"/>
                <w:szCs w:val="4"/>
                <w:color w:val="auto"/>
              </w:rPr>
            </w:pPr>
          </w:p>
        </w:tc>
        <w:tc>
          <w:tcPr>
            <w:tcW w:w="880" w:type="dxa"/>
            <w:vAlign w:val="bottom"/>
            <w:tcBorders>
              <w:bottom w:val="single" w:sz="8" w:color="B1B2B4"/>
            </w:tcBorders>
          </w:tcPr>
          <w:p>
            <w:pPr>
              <w:spacing w:after="0"/>
              <w:rPr>
                <w:sz w:val="4"/>
                <w:szCs w:val="4"/>
                <w:color w:val="auto"/>
              </w:rPr>
            </w:pPr>
          </w:p>
        </w:tc>
        <w:tc>
          <w:tcPr>
            <w:tcW w:w="840" w:type="dxa"/>
            <w:vAlign w:val="bottom"/>
            <w:tcBorders>
              <w:bottom w:val="single" w:sz="8" w:color="B1B2B4"/>
            </w:tcBorders>
          </w:tcPr>
          <w:p>
            <w:pPr>
              <w:spacing w:after="0"/>
              <w:rPr>
                <w:sz w:val="4"/>
                <w:szCs w:val="4"/>
                <w:color w:val="auto"/>
              </w:rPr>
            </w:pPr>
          </w:p>
        </w:tc>
        <w:tc>
          <w:tcPr>
            <w:tcW w:w="920" w:type="dxa"/>
            <w:vAlign w:val="bottom"/>
            <w:tcBorders>
              <w:bottom w:val="single" w:sz="8" w:color="B1B2B4"/>
            </w:tcBorders>
          </w:tcPr>
          <w:p>
            <w:pPr>
              <w:spacing w:after="0"/>
              <w:rPr>
                <w:sz w:val="4"/>
                <w:szCs w:val="4"/>
                <w:color w:val="auto"/>
              </w:rPr>
            </w:pPr>
          </w:p>
        </w:tc>
        <w:tc>
          <w:tcPr>
            <w:tcW w:w="1060" w:type="dxa"/>
            <w:vAlign w:val="bottom"/>
            <w:tcBorders>
              <w:bottom w:val="single" w:sz="8" w:color="B1B2B4"/>
            </w:tcBorders>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1360" w:type="dxa"/>
            <w:vAlign w:val="bottom"/>
            <w:vMerge w:val="continue"/>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3B3C43"/>
              </w:rPr>
              <w:t>2/26/2018</w:t>
            </w:r>
          </w:p>
        </w:tc>
        <w:tc>
          <w:tcPr>
            <w:tcW w:w="1140" w:type="dxa"/>
            <w:vAlign w:val="bottom"/>
          </w:tcPr>
          <w:p>
            <w:pPr>
              <w:spacing w:after="0"/>
              <w:rPr>
                <w:sz w:val="8"/>
                <w:szCs w:val="8"/>
                <w:color w:val="auto"/>
              </w:rPr>
            </w:pPr>
          </w:p>
        </w:tc>
        <w:tc>
          <w:tcPr>
            <w:tcW w:w="1140" w:type="dxa"/>
            <w:vAlign w:val="bottom"/>
            <w:vMerge w:val="restart"/>
          </w:tcPr>
          <w:p>
            <w:pPr>
              <w:jc w:val="right"/>
              <w:spacing w:after="0" w:line="183" w:lineRule="exact"/>
              <w:rPr>
                <w:sz w:val="20"/>
                <w:szCs w:val="20"/>
                <w:color w:val="auto"/>
              </w:rPr>
            </w:pPr>
            <w:r>
              <w:rPr>
                <w:rFonts w:ascii="Arial" w:cs="Arial" w:eastAsia="Arial" w:hAnsi="Arial"/>
                <w:sz w:val="13"/>
                <w:szCs w:val="13"/>
                <w:color w:val="3B3C43"/>
              </w:rPr>
              <w:t>193,011</w:t>
            </w:r>
            <w:r>
              <w:rPr>
                <w:rFonts w:ascii="Arial" w:cs="Arial" w:eastAsia="Arial" w:hAnsi="Arial"/>
                <w:sz w:val="20"/>
                <w:szCs w:val="20"/>
                <w:color w:val="3B3C43"/>
                <w:vertAlign w:val="superscript"/>
              </w:rPr>
              <w:t>2</w:t>
            </w:r>
          </w:p>
        </w:tc>
        <w:tc>
          <w:tcPr>
            <w:tcW w:w="1120" w:type="dxa"/>
            <w:vAlign w:val="bottom"/>
          </w:tcPr>
          <w:p>
            <w:pPr>
              <w:spacing w:after="0"/>
              <w:rPr>
                <w:sz w:val="8"/>
                <w:szCs w:val="8"/>
                <w:color w:val="auto"/>
              </w:rPr>
            </w:pPr>
          </w:p>
        </w:tc>
        <w:tc>
          <w:tcPr>
            <w:tcW w:w="980" w:type="dxa"/>
            <w:vAlign w:val="bottom"/>
            <w:vMerge w:val="restart"/>
          </w:tcPr>
          <w:p>
            <w:pPr>
              <w:jc w:val="right"/>
              <w:ind w:right="77"/>
              <w:spacing w:after="0"/>
              <w:rPr>
                <w:sz w:val="20"/>
                <w:szCs w:val="20"/>
                <w:color w:val="auto"/>
              </w:rPr>
            </w:pPr>
            <w:r>
              <w:rPr>
                <w:rFonts w:ascii="Arial" w:cs="Arial" w:eastAsia="Arial" w:hAnsi="Arial"/>
                <w:sz w:val="13"/>
                <w:szCs w:val="13"/>
                <w:color w:val="3B3C43"/>
              </w:rPr>
              <w:t>$30.30</w:t>
            </w: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color w:val="3B3C43"/>
              </w:rPr>
              <w:t>2/26/2028</w:t>
            </w:r>
          </w:p>
        </w:tc>
        <w:tc>
          <w:tcPr>
            <w:tcW w:w="880" w:type="dxa"/>
            <w:vAlign w:val="bottom"/>
            <w:vMerge w:val="restart"/>
          </w:tcPr>
          <w:p>
            <w:pPr>
              <w:jc w:val="right"/>
              <w:ind w:right="57"/>
              <w:spacing w:after="0" w:line="183" w:lineRule="exact"/>
              <w:rPr>
                <w:sz w:val="20"/>
                <w:szCs w:val="20"/>
                <w:color w:val="auto"/>
              </w:rPr>
            </w:pPr>
            <w:r>
              <w:rPr>
                <w:rFonts w:ascii="Arial" w:cs="Arial" w:eastAsia="Arial" w:hAnsi="Arial"/>
                <w:sz w:val="13"/>
                <w:szCs w:val="13"/>
                <w:color w:val="3B3C43"/>
              </w:rPr>
              <w:t>57,425</w:t>
            </w:r>
            <w:r>
              <w:rPr>
                <w:rFonts w:ascii="Arial" w:cs="Arial" w:eastAsia="Arial" w:hAnsi="Arial"/>
                <w:sz w:val="20"/>
                <w:szCs w:val="20"/>
                <w:color w:val="3B3C43"/>
                <w:vertAlign w:val="superscript"/>
              </w:rPr>
              <w:t>2</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3B3C43"/>
              </w:rPr>
              <w:t>539,795</w:t>
            </w:r>
          </w:p>
        </w:tc>
        <w:tc>
          <w:tcPr>
            <w:tcW w:w="920" w:type="dxa"/>
            <w:vAlign w:val="bottom"/>
            <w:vMerge w:val="restart"/>
          </w:tcPr>
          <w:p>
            <w:pPr>
              <w:jc w:val="right"/>
              <w:ind w:right="17"/>
              <w:spacing w:after="0" w:line="183" w:lineRule="exact"/>
              <w:rPr>
                <w:sz w:val="20"/>
                <w:szCs w:val="20"/>
                <w:color w:val="auto"/>
              </w:rPr>
            </w:pPr>
            <w:r>
              <w:rPr>
                <w:rFonts w:ascii="Arial" w:cs="Arial" w:eastAsia="Arial" w:hAnsi="Arial"/>
                <w:sz w:val="13"/>
                <w:szCs w:val="13"/>
                <w:color w:val="3B3C43"/>
              </w:rPr>
              <w:t>172,277</w:t>
            </w:r>
            <w:r>
              <w:rPr>
                <w:rFonts w:ascii="Arial" w:cs="Arial" w:eastAsia="Arial" w:hAnsi="Arial"/>
                <w:sz w:val="20"/>
                <w:szCs w:val="20"/>
                <w:color w:val="3B3C43"/>
                <w:vertAlign w:val="superscript"/>
              </w:rPr>
              <w:t>3</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3B3C43"/>
              </w:rPr>
              <w:t>1,619,404</w:t>
            </w:r>
          </w:p>
        </w:tc>
        <w:tc>
          <w:tcPr>
            <w:tcW w:w="0" w:type="dxa"/>
            <w:vAlign w:val="bottom"/>
          </w:tcPr>
          <w:p>
            <w:pPr>
              <w:spacing w:after="0"/>
              <w:rPr>
                <w:sz w:val="1"/>
                <w:szCs w:val="1"/>
                <w:color w:val="auto"/>
              </w:rPr>
            </w:pPr>
          </w:p>
        </w:tc>
      </w:tr>
      <w:tr>
        <w:trPr>
          <w:trHeight w:val="83"/>
        </w:trPr>
        <w:tc>
          <w:tcPr>
            <w:tcW w:w="1360" w:type="dxa"/>
            <w:vAlign w:val="bottom"/>
          </w:tcPr>
          <w:p>
            <w:pPr>
              <w:spacing w:after="0"/>
              <w:rPr>
                <w:sz w:val="7"/>
                <w:szCs w:val="7"/>
                <w:color w:val="auto"/>
              </w:rPr>
            </w:pPr>
          </w:p>
        </w:tc>
        <w:tc>
          <w:tcPr>
            <w:tcW w:w="900" w:type="dxa"/>
            <w:vAlign w:val="bottom"/>
            <w:tcBorders>
              <w:bottom w:val="single" w:sz="8" w:color="B1B2B4"/>
            </w:tcBorders>
            <w:vMerge w:val="continue"/>
          </w:tcPr>
          <w:p>
            <w:pPr>
              <w:spacing w:after="0"/>
              <w:rPr>
                <w:sz w:val="7"/>
                <w:szCs w:val="7"/>
                <w:color w:val="auto"/>
              </w:rPr>
            </w:pPr>
          </w:p>
        </w:tc>
        <w:tc>
          <w:tcPr>
            <w:tcW w:w="1140" w:type="dxa"/>
            <w:vAlign w:val="bottom"/>
            <w:tcBorders>
              <w:bottom w:val="single" w:sz="8" w:color="B1B2B4"/>
            </w:tcBorders>
          </w:tcPr>
          <w:p>
            <w:pPr>
              <w:spacing w:after="0"/>
              <w:rPr>
                <w:sz w:val="7"/>
                <w:szCs w:val="7"/>
                <w:color w:val="auto"/>
              </w:rPr>
            </w:pPr>
          </w:p>
        </w:tc>
        <w:tc>
          <w:tcPr>
            <w:tcW w:w="1140" w:type="dxa"/>
            <w:vAlign w:val="bottom"/>
            <w:tcBorders>
              <w:bottom w:val="single" w:sz="8" w:color="B1B2B4"/>
            </w:tcBorders>
            <w:vMerge w:val="continue"/>
          </w:tcPr>
          <w:p>
            <w:pPr>
              <w:spacing w:after="0"/>
              <w:rPr>
                <w:sz w:val="7"/>
                <w:szCs w:val="7"/>
                <w:color w:val="auto"/>
              </w:rPr>
            </w:pPr>
          </w:p>
        </w:tc>
        <w:tc>
          <w:tcPr>
            <w:tcW w:w="1120" w:type="dxa"/>
            <w:vAlign w:val="bottom"/>
            <w:tcBorders>
              <w:bottom w:val="single" w:sz="8" w:color="B1B2B4"/>
            </w:tcBorders>
          </w:tcPr>
          <w:p>
            <w:pPr>
              <w:spacing w:after="0"/>
              <w:rPr>
                <w:sz w:val="7"/>
                <w:szCs w:val="7"/>
                <w:color w:val="auto"/>
              </w:rPr>
            </w:pPr>
          </w:p>
        </w:tc>
        <w:tc>
          <w:tcPr>
            <w:tcW w:w="980" w:type="dxa"/>
            <w:vAlign w:val="bottom"/>
            <w:tcBorders>
              <w:bottom w:val="single" w:sz="8" w:color="B1B2B4"/>
            </w:tcBorders>
            <w:vMerge w:val="continue"/>
          </w:tcPr>
          <w:p>
            <w:pPr>
              <w:spacing w:after="0"/>
              <w:rPr>
                <w:sz w:val="7"/>
                <w:szCs w:val="7"/>
                <w:color w:val="auto"/>
              </w:rPr>
            </w:pPr>
          </w:p>
        </w:tc>
        <w:tc>
          <w:tcPr>
            <w:tcW w:w="880" w:type="dxa"/>
            <w:vAlign w:val="bottom"/>
            <w:tcBorders>
              <w:bottom w:val="single" w:sz="8" w:color="B1B2B4"/>
            </w:tcBorders>
            <w:vMerge w:val="continue"/>
          </w:tcPr>
          <w:p>
            <w:pPr>
              <w:spacing w:after="0"/>
              <w:rPr>
                <w:sz w:val="7"/>
                <w:szCs w:val="7"/>
                <w:color w:val="auto"/>
              </w:rPr>
            </w:pPr>
          </w:p>
        </w:tc>
        <w:tc>
          <w:tcPr>
            <w:tcW w:w="880" w:type="dxa"/>
            <w:vAlign w:val="bottom"/>
            <w:tcBorders>
              <w:bottom w:val="single" w:sz="8" w:color="B1B2B4"/>
            </w:tcBorders>
            <w:vMerge w:val="continue"/>
          </w:tcPr>
          <w:p>
            <w:pPr>
              <w:spacing w:after="0"/>
              <w:rPr>
                <w:sz w:val="7"/>
                <w:szCs w:val="7"/>
                <w:color w:val="auto"/>
              </w:rPr>
            </w:pPr>
          </w:p>
        </w:tc>
        <w:tc>
          <w:tcPr>
            <w:tcW w:w="840" w:type="dxa"/>
            <w:vAlign w:val="bottom"/>
            <w:tcBorders>
              <w:bottom w:val="single" w:sz="8" w:color="B1B2B4"/>
            </w:tcBorders>
            <w:vMerge w:val="continue"/>
          </w:tcPr>
          <w:p>
            <w:pPr>
              <w:spacing w:after="0"/>
              <w:rPr>
                <w:sz w:val="7"/>
                <w:szCs w:val="7"/>
                <w:color w:val="auto"/>
              </w:rPr>
            </w:pPr>
          </w:p>
        </w:tc>
        <w:tc>
          <w:tcPr>
            <w:tcW w:w="920" w:type="dxa"/>
            <w:vAlign w:val="bottom"/>
            <w:tcBorders>
              <w:bottom w:val="single" w:sz="8" w:color="B1B2B4"/>
            </w:tcBorders>
            <w:vMerge w:val="continue"/>
          </w:tcPr>
          <w:p>
            <w:pPr>
              <w:spacing w:after="0"/>
              <w:rPr>
                <w:sz w:val="7"/>
                <w:szCs w:val="7"/>
                <w:color w:val="auto"/>
              </w:rPr>
            </w:pPr>
          </w:p>
        </w:tc>
        <w:tc>
          <w:tcPr>
            <w:tcW w:w="1060" w:type="dxa"/>
            <w:vAlign w:val="bottom"/>
            <w:tcBorders>
              <w:bottom w:val="single" w:sz="8" w:color="B1B2B4"/>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3/8/2019</w:t>
            </w:r>
          </w:p>
        </w:tc>
        <w:tc>
          <w:tcPr>
            <w:tcW w:w="1140" w:type="dxa"/>
            <w:vAlign w:val="bottom"/>
            <w:tcBorders>
              <w:bottom w:val="single" w:sz="8" w:color="B1B2B4"/>
            </w:tcBorders>
          </w:tcPr>
          <w:p>
            <w:pPr>
              <w:spacing w:after="0"/>
              <w:rPr>
                <w:sz w:val="15"/>
                <w:szCs w:val="15"/>
                <w:color w:val="auto"/>
              </w:rPr>
            </w:pPr>
          </w:p>
        </w:tc>
        <w:tc>
          <w:tcPr>
            <w:tcW w:w="1140" w:type="dxa"/>
            <w:vAlign w:val="bottom"/>
            <w:tcBorders>
              <w:bottom w:val="single" w:sz="8" w:color="B1B2B4"/>
            </w:tcBorders>
          </w:tcPr>
          <w:p>
            <w:pPr>
              <w:jc w:val="right"/>
              <w:spacing w:after="0" w:line="183" w:lineRule="exact"/>
              <w:rPr>
                <w:sz w:val="20"/>
                <w:szCs w:val="20"/>
                <w:color w:val="auto"/>
              </w:rPr>
            </w:pPr>
            <w:r>
              <w:rPr>
                <w:rFonts w:ascii="Arial" w:cs="Arial" w:eastAsia="Arial" w:hAnsi="Arial"/>
                <w:sz w:val="13"/>
                <w:szCs w:val="13"/>
                <w:color w:val="3B3C43"/>
              </w:rPr>
              <w:t>343,727</w:t>
            </w:r>
            <w:r>
              <w:rPr>
                <w:rFonts w:ascii="Arial" w:cs="Arial" w:eastAsia="Arial" w:hAnsi="Arial"/>
                <w:sz w:val="20"/>
                <w:szCs w:val="20"/>
                <w:color w:val="3B3C43"/>
                <w:vertAlign w:val="superscript"/>
              </w:rPr>
              <w:t>4</w:t>
            </w: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$20.98</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3/8/2029</w:t>
            </w:r>
          </w:p>
        </w:tc>
        <w:tc>
          <w:tcPr>
            <w:tcW w:w="880" w:type="dxa"/>
            <w:vAlign w:val="bottom"/>
            <w:tcBorders>
              <w:bottom w:val="single" w:sz="8" w:color="B1B2B4"/>
            </w:tcBorders>
          </w:tcPr>
          <w:p>
            <w:pPr>
              <w:jc w:val="right"/>
              <w:ind w:right="57"/>
              <w:spacing w:after="0" w:line="183" w:lineRule="exact"/>
              <w:rPr>
                <w:sz w:val="20"/>
                <w:szCs w:val="20"/>
                <w:color w:val="auto"/>
              </w:rPr>
            </w:pPr>
            <w:r>
              <w:rPr>
                <w:rFonts w:ascii="Arial" w:cs="Arial" w:eastAsia="Arial" w:hAnsi="Arial"/>
                <w:sz w:val="13"/>
                <w:szCs w:val="13"/>
                <w:color w:val="3B3C43"/>
              </w:rPr>
              <w:t>92,469</w:t>
            </w:r>
            <w:r>
              <w:rPr>
                <w:rFonts w:ascii="Arial" w:cs="Arial" w:eastAsia="Arial" w:hAnsi="Arial"/>
                <w:sz w:val="20"/>
                <w:szCs w:val="20"/>
                <w:color w:val="3B3C43"/>
                <w:vertAlign w:val="superscript"/>
              </w:rPr>
              <w:t>4</w:t>
            </w:r>
          </w:p>
        </w:tc>
        <w:tc>
          <w:tcPr>
            <w:tcW w:w="8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869,209</w:t>
            </w:r>
          </w:p>
        </w:tc>
        <w:tc>
          <w:tcPr>
            <w:tcW w:w="920" w:type="dxa"/>
            <w:vAlign w:val="bottom"/>
            <w:tcBorders>
              <w:bottom w:val="single" w:sz="8" w:color="B1B2B4"/>
            </w:tcBorders>
          </w:tcPr>
          <w:p>
            <w:pPr>
              <w:jc w:val="right"/>
              <w:ind w:right="17"/>
              <w:spacing w:after="0" w:line="183" w:lineRule="exact"/>
              <w:rPr>
                <w:sz w:val="20"/>
                <w:szCs w:val="20"/>
                <w:color w:val="auto"/>
              </w:rPr>
            </w:pPr>
            <w:r>
              <w:rPr>
                <w:rFonts w:ascii="Arial" w:cs="Arial" w:eastAsia="Arial" w:hAnsi="Arial"/>
                <w:sz w:val="13"/>
                <w:szCs w:val="13"/>
                <w:color w:val="3B3C43"/>
              </w:rPr>
              <w:t>277,407</w:t>
            </w:r>
            <w:r>
              <w:rPr>
                <w:rFonts w:ascii="Arial" w:cs="Arial" w:eastAsia="Arial" w:hAnsi="Arial"/>
                <w:sz w:val="20"/>
                <w:szCs w:val="20"/>
                <w:color w:val="3B3C43"/>
                <w:vertAlign w:val="superscript"/>
              </w:rPr>
              <w:t>5</w:t>
            </w:r>
          </w:p>
        </w:tc>
        <w:tc>
          <w:tcPr>
            <w:tcW w:w="106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2,607,626</w:t>
            </w:r>
          </w:p>
        </w:tc>
        <w:tc>
          <w:tcPr>
            <w:tcW w:w="0" w:type="dxa"/>
            <w:vAlign w:val="bottom"/>
          </w:tcPr>
          <w:p>
            <w:pPr>
              <w:spacing w:after="0"/>
              <w:rPr>
                <w:sz w:val="1"/>
                <w:szCs w:val="1"/>
                <w:color w:val="auto"/>
              </w:rPr>
            </w:pPr>
          </w:p>
        </w:tc>
      </w:tr>
      <w:tr>
        <w:trPr>
          <w:trHeight w:val="183"/>
        </w:trPr>
        <w:tc>
          <w:tcPr>
            <w:tcW w:w="1360" w:type="dxa"/>
            <w:vAlign w:val="bottom"/>
            <w:tcBorders>
              <w:bottom w:val="single" w:sz="8" w:color="E1E1DF"/>
            </w:tcBorders>
          </w:tcPr>
          <w:p>
            <w:pPr>
              <w:spacing w:after="0"/>
              <w:rPr>
                <w:sz w:val="15"/>
                <w:szCs w:val="15"/>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1140" w:type="dxa"/>
            <w:vAlign w:val="bottom"/>
            <w:tcBorders>
              <w:bottom w:val="single" w:sz="8" w:color="B1B2B4"/>
            </w:tcBorders>
          </w:tcPr>
          <w:p>
            <w:pPr>
              <w:spacing w:after="0"/>
              <w:rPr>
                <w:sz w:val="15"/>
                <w:szCs w:val="15"/>
                <w:color w:val="auto"/>
              </w:rPr>
            </w:pPr>
          </w:p>
        </w:tc>
        <w:tc>
          <w:tcPr>
            <w:tcW w:w="1140" w:type="dxa"/>
            <w:vAlign w:val="bottom"/>
            <w:tcBorders>
              <w:bottom w:val="single" w:sz="8" w:color="B1B2B4"/>
            </w:tcBorders>
          </w:tcPr>
          <w:p>
            <w:pPr>
              <w:spacing w:after="0"/>
              <w:rPr>
                <w:sz w:val="15"/>
                <w:szCs w:val="15"/>
                <w:color w:val="auto"/>
              </w:rPr>
            </w:pP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tcPr>
          <w:p>
            <w:pPr>
              <w:jc w:val="right"/>
              <w:ind w:right="57"/>
              <w:spacing w:after="0" w:line="183" w:lineRule="exact"/>
              <w:rPr>
                <w:sz w:val="20"/>
                <w:szCs w:val="20"/>
                <w:color w:val="auto"/>
              </w:rPr>
            </w:pPr>
            <w:r>
              <w:rPr>
                <w:rFonts w:ascii="Arial" w:cs="Arial" w:eastAsia="Arial" w:hAnsi="Arial"/>
                <w:sz w:val="13"/>
                <w:szCs w:val="13"/>
                <w:color w:val="3B3C43"/>
              </w:rPr>
              <w:t>313,240</w:t>
            </w:r>
            <w:r>
              <w:rPr>
                <w:rFonts w:ascii="Arial" w:cs="Arial" w:eastAsia="Arial" w:hAnsi="Arial"/>
                <w:sz w:val="20"/>
                <w:szCs w:val="20"/>
                <w:color w:val="3B3C43"/>
                <w:vertAlign w:val="superscript"/>
              </w:rPr>
              <w:t>6</w:t>
            </w:r>
          </w:p>
        </w:tc>
        <w:tc>
          <w:tcPr>
            <w:tcW w:w="8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2,944,456</w:t>
            </w:r>
          </w:p>
        </w:tc>
        <w:tc>
          <w:tcPr>
            <w:tcW w:w="920" w:type="dxa"/>
            <w:vAlign w:val="bottom"/>
            <w:tcBorders>
              <w:bottom w:val="single" w:sz="8" w:color="B1B2B4"/>
            </w:tcBorders>
          </w:tcPr>
          <w:p>
            <w:pPr>
              <w:jc w:val="right"/>
              <w:ind w:right="17"/>
              <w:spacing w:after="0" w:line="183" w:lineRule="exact"/>
              <w:rPr>
                <w:sz w:val="20"/>
                <w:szCs w:val="20"/>
                <w:color w:val="auto"/>
              </w:rPr>
            </w:pPr>
            <w:r>
              <w:rPr>
                <w:rFonts w:ascii="Arial" w:cs="Arial" w:eastAsia="Arial" w:hAnsi="Arial"/>
                <w:sz w:val="13"/>
                <w:szCs w:val="13"/>
                <w:color w:val="3B3C43"/>
              </w:rPr>
              <w:t>730,893</w:t>
            </w:r>
            <w:r>
              <w:rPr>
                <w:rFonts w:ascii="Arial" w:cs="Arial" w:eastAsia="Arial" w:hAnsi="Arial"/>
                <w:sz w:val="20"/>
                <w:szCs w:val="20"/>
                <w:color w:val="3B3C43"/>
                <w:vertAlign w:val="superscript"/>
              </w:rPr>
              <w:t>7</w:t>
            </w:r>
          </w:p>
        </w:tc>
        <w:tc>
          <w:tcPr>
            <w:tcW w:w="106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6,870,394</w:t>
            </w:r>
          </w:p>
        </w:tc>
        <w:tc>
          <w:tcPr>
            <w:tcW w:w="0" w:type="dxa"/>
            <w:vAlign w:val="bottom"/>
          </w:tcPr>
          <w:p>
            <w:pPr>
              <w:spacing w:after="0"/>
              <w:rPr>
                <w:sz w:val="1"/>
                <w:szCs w:val="1"/>
                <w:color w:val="auto"/>
              </w:rPr>
            </w:pPr>
          </w:p>
        </w:tc>
      </w:tr>
      <w:tr>
        <w:trPr>
          <w:trHeight w:val="188"/>
        </w:trPr>
        <w:tc>
          <w:tcPr>
            <w:tcW w:w="1360" w:type="dxa"/>
            <w:vAlign w:val="bottom"/>
            <w:tcBorders>
              <w:bottom w:val="single" w:sz="8" w:color="E1E1DF"/>
            </w:tcBorders>
            <w:shd w:val="clear" w:color="auto" w:fill="E1E1DF"/>
          </w:tcPr>
          <w:p>
            <w:pPr>
              <w:ind w:left="40"/>
              <w:spacing w:after="0" w:line="129" w:lineRule="exact"/>
              <w:rPr>
                <w:sz w:val="20"/>
                <w:szCs w:val="20"/>
                <w:color w:val="auto"/>
              </w:rPr>
            </w:pPr>
            <w:r>
              <w:rPr>
                <w:rFonts w:ascii="Arial" w:cs="Arial" w:eastAsia="Arial" w:hAnsi="Arial"/>
                <w:sz w:val="13"/>
                <w:szCs w:val="13"/>
                <w:b w:val="1"/>
                <w:bCs w:val="1"/>
                <w:color w:val="3B3C43"/>
              </w:rPr>
              <w:t>Maryann T.</w:t>
            </w:r>
          </w:p>
        </w:tc>
        <w:tc>
          <w:tcPr>
            <w:tcW w:w="900" w:type="dxa"/>
            <w:vAlign w:val="bottom"/>
            <w:tcBorders>
              <w:bottom w:val="single" w:sz="8" w:color="E1E1DF"/>
            </w:tcBorders>
            <w:shd w:val="clear" w:color="auto" w:fill="E1E1DF"/>
          </w:tcPr>
          <w:p>
            <w:pPr>
              <w:jc w:val="right"/>
              <w:spacing w:after="0" w:line="129" w:lineRule="exact"/>
              <w:rPr>
                <w:sz w:val="20"/>
                <w:szCs w:val="20"/>
                <w:color w:val="auto"/>
              </w:rPr>
            </w:pPr>
            <w:r>
              <w:rPr>
                <w:rFonts w:ascii="Arial" w:cs="Arial" w:eastAsia="Arial" w:hAnsi="Arial"/>
                <w:sz w:val="13"/>
                <w:szCs w:val="13"/>
                <w:color w:val="3B3C43"/>
              </w:rPr>
              <w:t>2/28/2017</w:t>
            </w:r>
          </w:p>
        </w:tc>
        <w:tc>
          <w:tcPr>
            <w:tcW w:w="1140" w:type="dxa"/>
            <w:vAlign w:val="bottom"/>
            <w:tcBorders>
              <w:bottom w:val="single" w:sz="8" w:color="E1E1DF"/>
            </w:tcBorders>
            <w:shd w:val="clear" w:color="auto" w:fill="E1E1DF"/>
          </w:tcPr>
          <w:p>
            <w:pPr>
              <w:jc w:val="right"/>
              <w:spacing w:after="0" w:line="129" w:lineRule="exact"/>
              <w:rPr>
                <w:sz w:val="20"/>
                <w:szCs w:val="20"/>
                <w:color w:val="auto"/>
              </w:rPr>
            </w:pPr>
            <w:r>
              <w:rPr>
                <w:rFonts w:ascii="Arial" w:cs="Arial" w:eastAsia="Arial" w:hAnsi="Arial"/>
                <w:sz w:val="13"/>
                <w:szCs w:val="13"/>
                <w:color w:val="3B3C43"/>
              </w:rPr>
              <w:t>66,148</w:t>
            </w:r>
          </w:p>
        </w:tc>
        <w:tc>
          <w:tcPr>
            <w:tcW w:w="1140" w:type="dxa"/>
            <w:vAlign w:val="bottom"/>
            <w:tcBorders>
              <w:bottom w:val="single" w:sz="8" w:color="E1E1DF"/>
            </w:tcBorders>
            <w:shd w:val="clear" w:color="auto" w:fill="E1E1DF"/>
          </w:tcPr>
          <w:p>
            <w:pPr>
              <w:spacing w:after="0"/>
              <w:rPr>
                <w:sz w:val="15"/>
                <w:szCs w:val="15"/>
                <w:color w:val="auto"/>
              </w:rPr>
            </w:pPr>
          </w:p>
        </w:tc>
        <w:tc>
          <w:tcPr>
            <w:tcW w:w="1120" w:type="dxa"/>
            <w:vAlign w:val="bottom"/>
            <w:tcBorders>
              <w:bottom w:val="single" w:sz="8" w:color="E1E1DF"/>
            </w:tcBorders>
            <w:shd w:val="clear" w:color="auto" w:fill="E1E1DF"/>
          </w:tcPr>
          <w:p>
            <w:pPr>
              <w:spacing w:after="0"/>
              <w:rPr>
                <w:sz w:val="15"/>
                <w:szCs w:val="15"/>
                <w:color w:val="auto"/>
              </w:rPr>
            </w:pPr>
          </w:p>
        </w:tc>
        <w:tc>
          <w:tcPr>
            <w:tcW w:w="980" w:type="dxa"/>
            <w:vAlign w:val="bottom"/>
            <w:tcBorders>
              <w:bottom w:val="single" w:sz="8" w:color="E1E1DF"/>
            </w:tcBorders>
            <w:shd w:val="clear" w:color="auto" w:fill="E1E1DF"/>
          </w:tcPr>
          <w:p>
            <w:pPr>
              <w:jc w:val="right"/>
              <w:ind w:right="77"/>
              <w:spacing w:after="0" w:line="129" w:lineRule="exact"/>
              <w:rPr>
                <w:sz w:val="20"/>
                <w:szCs w:val="20"/>
                <w:color w:val="auto"/>
              </w:rPr>
            </w:pPr>
            <w:r>
              <w:rPr>
                <w:rFonts w:ascii="Arial" w:cs="Arial" w:eastAsia="Arial" w:hAnsi="Arial"/>
                <w:sz w:val="13"/>
                <w:szCs w:val="13"/>
                <w:color w:val="3B3C43"/>
              </w:rPr>
              <w:t>$32.32</w:t>
            </w:r>
          </w:p>
        </w:tc>
        <w:tc>
          <w:tcPr>
            <w:tcW w:w="880" w:type="dxa"/>
            <w:vAlign w:val="bottom"/>
            <w:tcBorders>
              <w:bottom w:val="single" w:sz="8" w:color="E1E1DF"/>
            </w:tcBorders>
            <w:shd w:val="clear" w:color="auto" w:fill="E1E1DF"/>
          </w:tcPr>
          <w:p>
            <w:pPr>
              <w:jc w:val="right"/>
              <w:ind w:right="57"/>
              <w:spacing w:after="0" w:line="129" w:lineRule="exact"/>
              <w:rPr>
                <w:sz w:val="20"/>
                <w:szCs w:val="20"/>
                <w:color w:val="auto"/>
              </w:rPr>
            </w:pPr>
            <w:r>
              <w:rPr>
                <w:rFonts w:ascii="Arial" w:cs="Arial" w:eastAsia="Arial" w:hAnsi="Arial"/>
                <w:sz w:val="13"/>
                <w:szCs w:val="13"/>
                <w:color w:val="3B3C43"/>
              </w:rPr>
              <w:t>2/28/2027</w:t>
            </w:r>
          </w:p>
        </w:tc>
        <w:tc>
          <w:tcPr>
            <w:tcW w:w="880" w:type="dxa"/>
            <w:vAlign w:val="bottom"/>
            <w:tcBorders>
              <w:bottom w:val="single" w:sz="8" w:color="E1E1DF"/>
            </w:tcBorders>
            <w:shd w:val="clear" w:color="auto" w:fill="E1E1DF"/>
          </w:tcPr>
          <w:p>
            <w:pPr>
              <w:spacing w:after="0"/>
              <w:rPr>
                <w:sz w:val="15"/>
                <w:szCs w:val="15"/>
                <w:color w:val="auto"/>
              </w:rPr>
            </w:pPr>
          </w:p>
        </w:tc>
        <w:tc>
          <w:tcPr>
            <w:tcW w:w="840" w:type="dxa"/>
            <w:vAlign w:val="bottom"/>
            <w:tcBorders>
              <w:bottom w:val="single" w:sz="8" w:color="E1E1DF"/>
            </w:tcBorders>
            <w:shd w:val="clear" w:color="auto" w:fill="E1E1DF"/>
          </w:tcPr>
          <w:p>
            <w:pPr>
              <w:spacing w:after="0"/>
              <w:rPr>
                <w:sz w:val="15"/>
                <w:szCs w:val="15"/>
                <w:color w:val="auto"/>
              </w:rPr>
            </w:pPr>
          </w:p>
        </w:tc>
        <w:tc>
          <w:tcPr>
            <w:tcW w:w="920" w:type="dxa"/>
            <w:vAlign w:val="bottom"/>
            <w:tcBorders>
              <w:bottom w:val="single" w:sz="8" w:color="E1E1DF"/>
            </w:tcBorders>
            <w:shd w:val="clear" w:color="auto" w:fill="E1E1DF"/>
          </w:tcPr>
          <w:p>
            <w:pPr>
              <w:spacing w:after="0"/>
              <w:rPr>
                <w:sz w:val="15"/>
                <w:szCs w:val="15"/>
                <w:color w:val="auto"/>
              </w:rPr>
            </w:pPr>
          </w:p>
        </w:tc>
        <w:tc>
          <w:tcPr>
            <w:tcW w:w="1060" w:type="dxa"/>
            <w:vAlign w:val="bottom"/>
            <w:tcBorders>
              <w:bottom w:val="single" w:sz="8" w:color="E1E1DF"/>
            </w:tcBorders>
            <w:shd w:val="clear" w:color="auto" w:fill="E1E1D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360" w:type="dxa"/>
            <w:vAlign w:val="bottom"/>
            <w:tcBorders>
              <w:top w:val="single" w:sz="8" w:color="E1E1DF"/>
            </w:tcBorders>
            <w:shd w:val="clear" w:color="auto" w:fill="E1E1DF"/>
          </w:tcPr>
          <w:p>
            <w:pPr>
              <w:ind w:left="40"/>
              <w:spacing w:after="0" w:line="94" w:lineRule="exact"/>
              <w:rPr>
                <w:sz w:val="20"/>
                <w:szCs w:val="20"/>
                <w:color w:val="auto"/>
              </w:rPr>
            </w:pPr>
            <w:r>
              <w:rPr>
                <w:rFonts w:ascii="Arial" w:cs="Arial" w:eastAsia="Arial" w:hAnsi="Arial"/>
                <w:sz w:val="10"/>
                <w:szCs w:val="10"/>
                <w:b w:val="1"/>
                <w:bCs w:val="1"/>
                <w:color w:val="3B3C43"/>
              </w:rPr>
              <w:t>Mannen</w:t>
            </w:r>
          </w:p>
        </w:tc>
        <w:tc>
          <w:tcPr>
            <w:tcW w:w="900" w:type="dxa"/>
            <w:vAlign w:val="bottom"/>
            <w:tcBorders>
              <w:top w:val="single" w:sz="8" w:color="B1B2B4"/>
            </w:tcBorders>
            <w:vMerge w:val="restart"/>
            <w:shd w:val="clear" w:color="auto" w:fill="E1E1DF"/>
          </w:tcPr>
          <w:p>
            <w:pPr>
              <w:jc w:val="right"/>
              <w:spacing w:after="0"/>
              <w:rPr>
                <w:sz w:val="20"/>
                <w:szCs w:val="20"/>
                <w:color w:val="auto"/>
              </w:rPr>
            </w:pPr>
            <w:r>
              <w:rPr>
                <w:rFonts w:ascii="Arial" w:cs="Arial" w:eastAsia="Arial" w:hAnsi="Arial"/>
                <w:sz w:val="13"/>
                <w:szCs w:val="13"/>
                <w:color w:val="3B3C43"/>
              </w:rPr>
              <w:t>2/26/2018</w:t>
            </w:r>
          </w:p>
        </w:tc>
        <w:tc>
          <w:tcPr>
            <w:tcW w:w="1140" w:type="dxa"/>
            <w:vAlign w:val="bottom"/>
            <w:tcBorders>
              <w:top w:val="single" w:sz="8" w:color="B1B2B4"/>
            </w:tcBorders>
            <w:shd w:val="clear" w:color="auto" w:fill="E1E1DF"/>
          </w:tcPr>
          <w:p>
            <w:pPr>
              <w:spacing w:after="0"/>
              <w:rPr>
                <w:sz w:val="8"/>
                <w:szCs w:val="8"/>
                <w:color w:val="auto"/>
              </w:rPr>
            </w:pPr>
          </w:p>
        </w:tc>
        <w:tc>
          <w:tcPr>
            <w:tcW w:w="1140" w:type="dxa"/>
            <w:vAlign w:val="bottom"/>
            <w:tcBorders>
              <w:top w:val="single" w:sz="8" w:color="B1B2B4"/>
            </w:tcBorders>
            <w:vMerge w:val="restart"/>
            <w:shd w:val="clear" w:color="auto" w:fill="E1E1DF"/>
          </w:tcPr>
          <w:p>
            <w:pPr>
              <w:jc w:val="right"/>
              <w:spacing w:after="0" w:line="183" w:lineRule="exact"/>
              <w:rPr>
                <w:sz w:val="20"/>
                <w:szCs w:val="20"/>
                <w:color w:val="auto"/>
              </w:rPr>
            </w:pPr>
            <w:r>
              <w:rPr>
                <w:rFonts w:ascii="Arial" w:cs="Arial" w:eastAsia="Arial" w:hAnsi="Arial"/>
                <w:sz w:val="13"/>
                <w:szCs w:val="13"/>
                <w:color w:val="3B3C43"/>
              </w:rPr>
              <w:t>68,774</w:t>
            </w:r>
            <w:r>
              <w:rPr>
                <w:rFonts w:ascii="Arial" w:cs="Arial" w:eastAsia="Arial" w:hAnsi="Arial"/>
                <w:sz w:val="20"/>
                <w:szCs w:val="20"/>
                <w:color w:val="3B3C43"/>
                <w:vertAlign w:val="superscript"/>
              </w:rPr>
              <w:t>2</w:t>
            </w:r>
          </w:p>
        </w:tc>
        <w:tc>
          <w:tcPr>
            <w:tcW w:w="1120" w:type="dxa"/>
            <w:vAlign w:val="bottom"/>
            <w:tcBorders>
              <w:top w:val="single" w:sz="8" w:color="B1B2B4"/>
            </w:tcBorders>
            <w:shd w:val="clear" w:color="auto" w:fill="E1E1DF"/>
          </w:tcPr>
          <w:p>
            <w:pPr>
              <w:spacing w:after="0"/>
              <w:rPr>
                <w:sz w:val="8"/>
                <w:szCs w:val="8"/>
                <w:color w:val="auto"/>
              </w:rPr>
            </w:pPr>
          </w:p>
        </w:tc>
        <w:tc>
          <w:tcPr>
            <w:tcW w:w="980" w:type="dxa"/>
            <w:vAlign w:val="bottom"/>
            <w:tcBorders>
              <w:top w:val="single" w:sz="8" w:color="B1B2B4"/>
            </w:tcBorders>
            <w:vMerge w:val="restart"/>
            <w:shd w:val="clear" w:color="auto" w:fill="E1E1DF"/>
          </w:tcPr>
          <w:p>
            <w:pPr>
              <w:jc w:val="right"/>
              <w:ind w:right="77"/>
              <w:spacing w:after="0"/>
              <w:rPr>
                <w:sz w:val="20"/>
                <w:szCs w:val="20"/>
                <w:color w:val="auto"/>
              </w:rPr>
            </w:pPr>
            <w:r>
              <w:rPr>
                <w:rFonts w:ascii="Arial" w:cs="Arial" w:eastAsia="Arial" w:hAnsi="Arial"/>
                <w:sz w:val="13"/>
                <w:szCs w:val="13"/>
                <w:color w:val="3B3C43"/>
              </w:rPr>
              <w:t>$30.30</w:t>
            </w:r>
          </w:p>
        </w:tc>
        <w:tc>
          <w:tcPr>
            <w:tcW w:w="880" w:type="dxa"/>
            <w:vAlign w:val="bottom"/>
            <w:tcBorders>
              <w:top w:val="single" w:sz="8" w:color="B1B2B4"/>
            </w:tcBorders>
            <w:vMerge w:val="restart"/>
            <w:shd w:val="clear" w:color="auto" w:fill="E1E1DF"/>
          </w:tcPr>
          <w:p>
            <w:pPr>
              <w:jc w:val="right"/>
              <w:ind w:right="57"/>
              <w:spacing w:after="0"/>
              <w:rPr>
                <w:sz w:val="20"/>
                <w:szCs w:val="20"/>
                <w:color w:val="auto"/>
              </w:rPr>
            </w:pPr>
            <w:r>
              <w:rPr>
                <w:rFonts w:ascii="Arial" w:cs="Arial" w:eastAsia="Arial" w:hAnsi="Arial"/>
                <w:sz w:val="13"/>
                <w:szCs w:val="13"/>
                <w:color w:val="3B3C43"/>
              </w:rPr>
              <w:t>2/26/2028</w:t>
            </w:r>
          </w:p>
        </w:tc>
        <w:tc>
          <w:tcPr>
            <w:tcW w:w="880" w:type="dxa"/>
            <w:vAlign w:val="bottom"/>
            <w:tcBorders>
              <w:top w:val="single" w:sz="8" w:color="B1B2B4"/>
            </w:tcBorders>
            <w:vMerge w:val="restart"/>
            <w:shd w:val="clear" w:color="auto" w:fill="E1E1DF"/>
          </w:tcPr>
          <w:p>
            <w:pPr>
              <w:jc w:val="right"/>
              <w:ind w:right="57"/>
              <w:spacing w:after="0" w:line="183" w:lineRule="exact"/>
              <w:rPr>
                <w:sz w:val="20"/>
                <w:szCs w:val="20"/>
                <w:color w:val="auto"/>
              </w:rPr>
            </w:pPr>
            <w:r>
              <w:rPr>
                <w:rFonts w:ascii="Arial" w:cs="Arial" w:eastAsia="Arial" w:hAnsi="Arial"/>
                <w:sz w:val="13"/>
                <w:szCs w:val="13"/>
                <w:color w:val="3B3C43"/>
              </w:rPr>
              <w:t>20,462</w:t>
            </w:r>
            <w:r>
              <w:rPr>
                <w:rFonts w:ascii="Arial" w:cs="Arial" w:eastAsia="Arial" w:hAnsi="Arial"/>
                <w:sz w:val="20"/>
                <w:szCs w:val="20"/>
                <w:color w:val="3B3C43"/>
                <w:vertAlign w:val="superscript"/>
              </w:rPr>
              <w:t>2</w:t>
            </w:r>
          </w:p>
        </w:tc>
        <w:tc>
          <w:tcPr>
            <w:tcW w:w="840" w:type="dxa"/>
            <w:vAlign w:val="bottom"/>
            <w:tcBorders>
              <w:top w:val="single" w:sz="8" w:color="B1B2B4"/>
            </w:tcBorders>
            <w:vMerge w:val="restart"/>
            <w:shd w:val="clear" w:color="auto" w:fill="E1E1DF"/>
          </w:tcPr>
          <w:p>
            <w:pPr>
              <w:jc w:val="right"/>
              <w:spacing w:after="0"/>
              <w:rPr>
                <w:sz w:val="20"/>
                <w:szCs w:val="20"/>
                <w:color w:val="auto"/>
              </w:rPr>
            </w:pPr>
            <w:r>
              <w:rPr>
                <w:rFonts w:ascii="Arial" w:cs="Arial" w:eastAsia="Arial" w:hAnsi="Arial"/>
                <w:sz w:val="13"/>
                <w:szCs w:val="13"/>
                <w:color w:val="3B3C43"/>
              </w:rPr>
              <w:t>192,343</w:t>
            </w:r>
          </w:p>
        </w:tc>
        <w:tc>
          <w:tcPr>
            <w:tcW w:w="920" w:type="dxa"/>
            <w:vAlign w:val="bottom"/>
            <w:tcBorders>
              <w:top w:val="single" w:sz="8" w:color="B1B2B4"/>
            </w:tcBorders>
            <w:vMerge w:val="restart"/>
            <w:shd w:val="clear" w:color="auto" w:fill="E1E1DF"/>
          </w:tcPr>
          <w:p>
            <w:pPr>
              <w:jc w:val="right"/>
              <w:ind w:right="17"/>
              <w:spacing w:after="0" w:line="183" w:lineRule="exact"/>
              <w:rPr>
                <w:sz w:val="20"/>
                <w:szCs w:val="20"/>
                <w:color w:val="auto"/>
              </w:rPr>
            </w:pPr>
            <w:r>
              <w:rPr>
                <w:rFonts w:ascii="Arial" w:cs="Arial" w:eastAsia="Arial" w:hAnsi="Arial"/>
                <w:sz w:val="13"/>
                <w:szCs w:val="13"/>
                <w:color w:val="3B3C43"/>
              </w:rPr>
              <w:t>61,386</w:t>
            </w:r>
            <w:r>
              <w:rPr>
                <w:rFonts w:ascii="Arial" w:cs="Arial" w:eastAsia="Arial" w:hAnsi="Arial"/>
                <w:sz w:val="20"/>
                <w:szCs w:val="20"/>
                <w:color w:val="3B3C43"/>
                <w:vertAlign w:val="superscript"/>
              </w:rPr>
              <w:t>3</w:t>
            </w:r>
          </w:p>
        </w:tc>
        <w:tc>
          <w:tcPr>
            <w:tcW w:w="1060" w:type="dxa"/>
            <w:vAlign w:val="bottom"/>
            <w:tcBorders>
              <w:top w:val="single" w:sz="8" w:color="B1B2B4"/>
            </w:tcBorders>
            <w:vMerge w:val="restart"/>
            <w:shd w:val="clear" w:color="auto" w:fill="E1E1DF"/>
          </w:tcPr>
          <w:p>
            <w:pPr>
              <w:jc w:val="right"/>
              <w:spacing w:after="0"/>
              <w:rPr>
                <w:sz w:val="20"/>
                <w:szCs w:val="20"/>
                <w:color w:val="auto"/>
              </w:rPr>
            </w:pPr>
            <w:r>
              <w:rPr>
                <w:rFonts w:ascii="Arial" w:cs="Arial" w:eastAsia="Arial" w:hAnsi="Arial"/>
                <w:sz w:val="13"/>
                <w:szCs w:val="13"/>
                <w:color w:val="3B3C43"/>
              </w:rPr>
              <w:t>577,028</w:t>
            </w:r>
          </w:p>
        </w:tc>
        <w:tc>
          <w:tcPr>
            <w:tcW w:w="0" w:type="dxa"/>
            <w:vAlign w:val="bottom"/>
          </w:tcPr>
          <w:p>
            <w:pPr>
              <w:spacing w:after="0"/>
              <w:rPr>
                <w:sz w:val="1"/>
                <w:szCs w:val="1"/>
                <w:color w:val="auto"/>
              </w:rPr>
            </w:pPr>
          </w:p>
        </w:tc>
      </w:tr>
      <w:tr>
        <w:trPr>
          <w:trHeight w:val="89"/>
        </w:trPr>
        <w:tc>
          <w:tcPr>
            <w:tcW w:w="1360" w:type="dxa"/>
            <w:vAlign w:val="bottom"/>
            <w:tcBorders>
              <w:bottom w:val="single" w:sz="8" w:color="E1E1DF"/>
            </w:tcBorders>
            <w:shd w:val="clear" w:color="auto" w:fill="E1E1DF"/>
          </w:tcPr>
          <w:p>
            <w:pPr>
              <w:spacing w:after="0"/>
              <w:rPr>
                <w:sz w:val="7"/>
                <w:szCs w:val="7"/>
                <w:color w:val="auto"/>
              </w:rPr>
            </w:pPr>
          </w:p>
        </w:tc>
        <w:tc>
          <w:tcPr>
            <w:tcW w:w="900" w:type="dxa"/>
            <w:vAlign w:val="bottom"/>
            <w:tcBorders>
              <w:bottom w:val="single" w:sz="8" w:color="B1B2B4"/>
            </w:tcBorders>
            <w:vMerge w:val="continue"/>
            <w:shd w:val="clear" w:color="auto" w:fill="E1E1DF"/>
          </w:tcPr>
          <w:p>
            <w:pPr>
              <w:spacing w:after="0"/>
              <w:rPr>
                <w:sz w:val="7"/>
                <w:szCs w:val="7"/>
                <w:color w:val="auto"/>
              </w:rPr>
            </w:pPr>
          </w:p>
        </w:tc>
        <w:tc>
          <w:tcPr>
            <w:tcW w:w="1140" w:type="dxa"/>
            <w:vAlign w:val="bottom"/>
            <w:tcBorders>
              <w:bottom w:val="single" w:sz="8" w:color="B1B2B4"/>
            </w:tcBorders>
            <w:shd w:val="clear" w:color="auto" w:fill="E1E1DF"/>
          </w:tcPr>
          <w:p>
            <w:pPr>
              <w:spacing w:after="0"/>
              <w:rPr>
                <w:sz w:val="7"/>
                <w:szCs w:val="7"/>
                <w:color w:val="auto"/>
              </w:rPr>
            </w:pPr>
          </w:p>
        </w:tc>
        <w:tc>
          <w:tcPr>
            <w:tcW w:w="1140" w:type="dxa"/>
            <w:vAlign w:val="bottom"/>
            <w:tcBorders>
              <w:bottom w:val="single" w:sz="8" w:color="B1B2B4"/>
            </w:tcBorders>
            <w:vMerge w:val="continue"/>
            <w:shd w:val="clear" w:color="auto" w:fill="E1E1DF"/>
          </w:tcPr>
          <w:p>
            <w:pPr>
              <w:spacing w:after="0"/>
              <w:rPr>
                <w:sz w:val="7"/>
                <w:szCs w:val="7"/>
                <w:color w:val="auto"/>
              </w:rPr>
            </w:pPr>
          </w:p>
        </w:tc>
        <w:tc>
          <w:tcPr>
            <w:tcW w:w="1120" w:type="dxa"/>
            <w:vAlign w:val="bottom"/>
            <w:tcBorders>
              <w:bottom w:val="single" w:sz="8" w:color="B1B2B4"/>
            </w:tcBorders>
            <w:shd w:val="clear" w:color="auto" w:fill="E1E1DF"/>
          </w:tcPr>
          <w:p>
            <w:pPr>
              <w:spacing w:after="0"/>
              <w:rPr>
                <w:sz w:val="7"/>
                <w:szCs w:val="7"/>
                <w:color w:val="auto"/>
              </w:rPr>
            </w:pPr>
          </w:p>
        </w:tc>
        <w:tc>
          <w:tcPr>
            <w:tcW w:w="980" w:type="dxa"/>
            <w:vAlign w:val="bottom"/>
            <w:tcBorders>
              <w:bottom w:val="single" w:sz="8" w:color="B1B2B4"/>
            </w:tcBorders>
            <w:vMerge w:val="continue"/>
            <w:shd w:val="clear" w:color="auto" w:fill="E1E1DF"/>
          </w:tcPr>
          <w:p>
            <w:pPr>
              <w:spacing w:after="0"/>
              <w:rPr>
                <w:sz w:val="7"/>
                <w:szCs w:val="7"/>
                <w:color w:val="auto"/>
              </w:rPr>
            </w:pPr>
          </w:p>
        </w:tc>
        <w:tc>
          <w:tcPr>
            <w:tcW w:w="880" w:type="dxa"/>
            <w:vAlign w:val="bottom"/>
            <w:tcBorders>
              <w:bottom w:val="single" w:sz="8" w:color="B1B2B4"/>
            </w:tcBorders>
            <w:vMerge w:val="continue"/>
            <w:shd w:val="clear" w:color="auto" w:fill="E1E1DF"/>
          </w:tcPr>
          <w:p>
            <w:pPr>
              <w:spacing w:after="0"/>
              <w:rPr>
                <w:sz w:val="7"/>
                <w:szCs w:val="7"/>
                <w:color w:val="auto"/>
              </w:rPr>
            </w:pPr>
          </w:p>
        </w:tc>
        <w:tc>
          <w:tcPr>
            <w:tcW w:w="880" w:type="dxa"/>
            <w:vAlign w:val="bottom"/>
            <w:tcBorders>
              <w:bottom w:val="single" w:sz="8" w:color="B1B2B4"/>
            </w:tcBorders>
            <w:vMerge w:val="continue"/>
            <w:shd w:val="clear" w:color="auto" w:fill="E1E1DF"/>
          </w:tcPr>
          <w:p>
            <w:pPr>
              <w:spacing w:after="0"/>
              <w:rPr>
                <w:sz w:val="7"/>
                <w:szCs w:val="7"/>
                <w:color w:val="auto"/>
              </w:rPr>
            </w:pPr>
          </w:p>
        </w:tc>
        <w:tc>
          <w:tcPr>
            <w:tcW w:w="840" w:type="dxa"/>
            <w:vAlign w:val="bottom"/>
            <w:tcBorders>
              <w:bottom w:val="single" w:sz="8" w:color="B1B2B4"/>
            </w:tcBorders>
            <w:vMerge w:val="continue"/>
            <w:shd w:val="clear" w:color="auto" w:fill="E1E1DF"/>
          </w:tcPr>
          <w:p>
            <w:pPr>
              <w:spacing w:after="0"/>
              <w:rPr>
                <w:sz w:val="7"/>
                <w:szCs w:val="7"/>
                <w:color w:val="auto"/>
              </w:rPr>
            </w:pPr>
          </w:p>
        </w:tc>
        <w:tc>
          <w:tcPr>
            <w:tcW w:w="920" w:type="dxa"/>
            <w:vAlign w:val="bottom"/>
            <w:tcBorders>
              <w:bottom w:val="single" w:sz="8" w:color="B1B2B4"/>
            </w:tcBorders>
            <w:vMerge w:val="continue"/>
            <w:shd w:val="clear" w:color="auto" w:fill="E1E1DF"/>
          </w:tcPr>
          <w:p>
            <w:pPr>
              <w:spacing w:after="0"/>
              <w:rPr>
                <w:sz w:val="7"/>
                <w:szCs w:val="7"/>
                <w:color w:val="auto"/>
              </w:rPr>
            </w:pPr>
          </w:p>
        </w:tc>
        <w:tc>
          <w:tcPr>
            <w:tcW w:w="1060" w:type="dxa"/>
            <w:vAlign w:val="bottom"/>
            <w:tcBorders>
              <w:bottom w:val="single" w:sz="8" w:color="B1B2B4"/>
            </w:tcBorders>
            <w:vMerge w:val="continue"/>
            <w:shd w:val="clear" w:color="auto" w:fill="E1E1D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E1E1DF"/>
            </w:tcBorders>
            <w:shd w:val="clear" w:color="auto" w:fill="E1E1DF"/>
          </w:tcPr>
          <w:p>
            <w:pPr>
              <w:spacing w:after="0"/>
              <w:rPr>
                <w:sz w:val="15"/>
                <w:szCs w:val="15"/>
                <w:color w:val="auto"/>
              </w:rPr>
            </w:pPr>
          </w:p>
        </w:tc>
        <w:tc>
          <w:tcPr>
            <w:tcW w:w="90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3/8/2019</w:t>
            </w:r>
          </w:p>
        </w:tc>
        <w:tc>
          <w:tcPr>
            <w:tcW w:w="1140" w:type="dxa"/>
            <w:vAlign w:val="bottom"/>
            <w:tcBorders>
              <w:bottom w:val="single" w:sz="8" w:color="B1B2B4"/>
            </w:tcBorders>
            <w:shd w:val="clear" w:color="auto" w:fill="E1E1DF"/>
          </w:tcPr>
          <w:p>
            <w:pPr>
              <w:spacing w:after="0"/>
              <w:rPr>
                <w:sz w:val="15"/>
                <w:szCs w:val="15"/>
                <w:color w:val="auto"/>
              </w:rPr>
            </w:pPr>
          </w:p>
        </w:tc>
        <w:tc>
          <w:tcPr>
            <w:tcW w:w="1140" w:type="dxa"/>
            <w:vAlign w:val="bottom"/>
            <w:tcBorders>
              <w:bottom w:val="single" w:sz="8" w:color="B1B2B4"/>
            </w:tcBorders>
            <w:shd w:val="clear" w:color="auto" w:fill="E1E1DF"/>
          </w:tcPr>
          <w:p>
            <w:pPr>
              <w:jc w:val="right"/>
              <w:spacing w:after="0" w:line="183" w:lineRule="exact"/>
              <w:rPr>
                <w:sz w:val="20"/>
                <w:szCs w:val="20"/>
                <w:color w:val="auto"/>
              </w:rPr>
            </w:pPr>
            <w:r>
              <w:rPr>
                <w:rFonts w:ascii="Arial" w:cs="Arial" w:eastAsia="Arial" w:hAnsi="Arial"/>
                <w:sz w:val="13"/>
                <w:szCs w:val="13"/>
                <w:color w:val="3B3C43"/>
              </w:rPr>
              <w:t>109,851</w:t>
            </w:r>
            <w:r>
              <w:rPr>
                <w:rFonts w:ascii="Arial" w:cs="Arial" w:eastAsia="Arial" w:hAnsi="Arial"/>
                <w:sz w:val="20"/>
                <w:szCs w:val="20"/>
                <w:color w:val="3B3C43"/>
                <w:vertAlign w:val="superscript"/>
              </w:rPr>
              <w:t>4</w:t>
            </w:r>
          </w:p>
        </w:tc>
        <w:tc>
          <w:tcPr>
            <w:tcW w:w="1120" w:type="dxa"/>
            <w:vAlign w:val="bottom"/>
            <w:tcBorders>
              <w:bottom w:val="single" w:sz="8" w:color="B1B2B4"/>
            </w:tcBorders>
            <w:shd w:val="clear" w:color="auto" w:fill="E1E1DF"/>
          </w:tcPr>
          <w:p>
            <w:pPr>
              <w:spacing w:after="0"/>
              <w:rPr>
                <w:sz w:val="15"/>
                <w:szCs w:val="15"/>
                <w:color w:val="auto"/>
              </w:rPr>
            </w:pPr>
          </w:p>
        </w:tc>
        <w:tc>
          <w:tcPr>
            <w:tcW w:w="980" w:type="dxa"/>
            <w:vAlign w:val="bottom"/>
            <w:tcBorders>
              <w:bottom w:val="single" w:sz="8" w:color="B1B2B4"/>
            </w:tcBorders>
            <w:shd w:val="clear" w:color="auto" w:fill="E1E1DF"/>
          </w:tcPr>
          <w:p>
            <w:pPr>
              <w:jc w:val="right"/>
              <w:ind w:right="77"/>
              <w:spacing w:after="0"/>
              <w:rPr>
                <w:sz w:val="20"/>
                <w:szCs w:val="20"/>
                <w:color w:val="auto"/>
              </w:rPr>
            </w:pPr>
            <w:r>
              <w:rPr>
                <w:rFonts w:ascii="Arial" w:cs="Arial" w:eastAsia="Arial" w:hAnsi="Arial"/>
                <w:sz w:val="13"/>
                <w:szCs w:val="13"/>
                <w:color w:val="3B3C43"/>
              </w:rPr>
              <w:t>$20.98</w:t>
            </w:r>
          </w:p>
        </w:tc>
        <w:tc>
          <w:tcPr>
            <w:tcW w:w="880" w:type="dxa"/>
            <w:vAlign w:val="bottom"/>
            <w:tcBorders>
              <w:bottom w:val="single" w:sz="8" w:color="B1B2B4"/>
            </w:tcBorders>
            <w:shd w:val="clear" w:color="auto" w:fill="E1E1DF"/>
          </w:tcPr>
          <w:p>
            <w:pPr>
              <w:jc w:val="right"/>
              <w:ind w:right="57"/>
              <w:spacing w:after="0"/>
              <w:rPr>
                <w:sz w:val="20"/>
                <w:szCs w:val="20"/>
                <w:color w:val="auto"/>
              </w:rPr>
            </w:pPr>
            <w:r>
              <w:rPr>
                <w:rFonts w:ascii="Arial" w:cs="Arial" w:eastAsia="Arial" w:hAnsi="Arial"/>
                <w:sz w:val="13"/>
                <w:szCs w:val="13"/>
                <w:color w:val="3B3C43"/>
              </w:rPr>
              <w:t>3/8/2029</w:t>
            </w:r>
          </w:p>
        </w:tc>
        <w:tc>
          <w:tcPr>
            <w:tcW w:w="880" w:type="dxa"/>
            <w:vAlign w:val="bottom"/>
            <w:tcBorders>
              <w:bottom w:val="single" w:sz="8" w:color="B1B2B4"/>
            </w:tcBorders>
            <w:shd w:val="clear" w:color="auto" w:fill="E1E1DF"/>
          </w:tcPr>
          <w:p>
            <w:pPr>
              <w:jc w:val="right"/>
              <w:ind w:right="57"/>
              <w:spacing w:after="0" w:line="183" w:lineRule="exact"/>
              <w:rPr>
                <w:sz w:val="20"/>
                <w:szCs w:val="20"/>
                <w:color w:val="auto"/>
              </w:rPr>
            </w:pPr>
            <w:r>
              <w:rPr>
                <w:rFonts w:ascii="Arial" w:cs="Arial" w:eastAsia="Arial" w:hAnsi="Arial"/>
                <w:sz w:val="13"/>
                <w:szCs w:val="13"/>
                <w:color w:val="3B3C43"/>
              </w:rPr>
              <w:t>29,551</w:t>
            </w:r>
            <w:r>
              <w:rPr>
                <w:rFonts w:ascii="Arial" w:cs="Arial" w:eastAsia="Arial" w:hAnsi="Arial"/>
                <w:sz w:val="20"/>
                <w:szCs w:val="20"/>
                <w:color w:val="3B3C43"/>
                <w:vertAlign w:val="superscript"/>
              </w:rPr>
              <w:t>4</w:t>
            </w:r>
          </w:p>
        </w:tc>
        <w:tc>
          <w:tcPr>
            <w:tcW w:w="84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277,779</w:t>
            </w:r>
          </w:p>
        </w:tc>
        <w:tc>
          <w:tcPr>
            <w:tcW w:w="920" w:type="dxa"/>
            <w:vAlign w:val="bottom"/>
            <w:tcBorders>
              <w:bottom w:val="single" w:sz="8" w:color="B1B2B4"/>
            </w:tcBorders>
            <w:shd w:val="clear" w:color="auto" w:fill="E1E1DF"/>
          </w:tcPr>
          <w:p>
            <w:pPr>
              <w:jc w:val="right"/>
              <w:ind w:right="17"/>
              <w:spacing w:after="0" w:line="183" w:lineRule="exact"/>
              <w:rPr>
                <w:sz w:val="20"/>
                <w:szCs w:val="20"/>
                <w:color w:val="auto"/>
              </w:rPr>
            </w:pPr>
            <w:r>
              <w:rPr>
                <w:rFonts w:ascii="Arial" w:cs="Arial" w:eastAsia="Arial" w:hAnsi="Arial"/>
                <w:sz w:val="13"/>
                <w:szCs w:val="13"/>
                <w:color w:val="3B3C43"/>
              </w:rPr>
              <w:t>88,655</w:t>
            </w:r>
            <w:r>
              <w:rPr>
                <w:rFonts w:ascii="Arial" w:cs="Arial" w:eastAsia="Arial" w:hAnsi="Arial"/>
                <w:sz w:val="20"/>
                <w:szCs w:val="20"/>
                <w:color w:val="3B3C43"/>
                <w:vertAlign w:val="superscript"/>
              </w:rPr>
              <w:t>5</w:t>
            </w:r>
          </w:p>
        </w:tc>
        <w:tc>
          <w:tcPr>
            <w:tcW w:w="106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833,357</w:t>
            </w:r>
          </w:p>
        </w:tc>
        <w:tc>
          <w:tcPr>
            <w:tcW w:w="0" w:type="dxa"/>
            <w:vAlign w:val="bottom"/>
          </w:tcPr>
          <w:p>
            <w:pPr>
              <w:spacing w:after="0"/>
              <w:rPr>
                <w:sz w:val="1"/>
                <w:szCs w:val="1"/>
                <w:color w:val="auto"/>
              </w:rPr>
            </w:pPr>
          </w:p>
        </w:tc>
      </w:tr>
      <w:tr>
        <w:trPr>
          <w:trHeight w:val="183"/>
        </w:trPr>
        <w:tc>
          <w:tcPr>
            <w:tcW w:w="1360" w:type="dxa"/>
            <w:vAlign w:val="bottom"/>
            <w:shd w:val="clear" w:color="auto" w:fill="E1E1DF"/>
          </w:tcPr>
          <w:p>
            <w:pPr>
              <w:spacing w:after="0"/>
              <w:rPr>
                <w:sz w:val="15"/>
                <w:szCs w:val="15"/>
                <w:color w:val="auto"/>
              </w:rPr>
            </w:pPr>
          </w:p>
        </w:tc>
        <w:tc>
          <w:tcPr>
            <w:tcW w:w="90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1140" w:type="dxa"/>
            <w:vAlign w:val="bottom"/>
            <w:tcBorders>
              <w:bottom w:val="single" w:sz="8" w:color="B1B2B4"/>
            </w:tcBorders>
            <w:shd w:val="clear" w:color="auto" w:fill="E1E1DF"/>
          </w:tcPr>
          <w:p>
            <w:pPr>
              <w:spacing w:after="0"/>
              <w:rPr>
                <w:sz w:val="15"/>
                <w:szCs w:val="15"/>
                <w:color w:val="auto"/>
              </w:rPr>
            </w:pPr>
          </w:p>
        </w:tc>
        <w:tc>
          <w:tcPr>
            <w:tcW w:w="1140" w:type="dxa"/>
            <w:vAlign w:val="bottom"/>
            <w:tcBorders>
              <w:bottom w:val="single" w:sz="8" w:color="B1B2B4"/>
            </w:tcBorders>
            <w:shd w:val="clear" w:color="auto" w:fill="E1E1DF"/>
          </w:tcPr>
          <w:p>
            <w:pPr>
              <w:spacing w:after="0"/>
              <w:rPr>
                <w:sz w:val="15"/>
                <w:szCs w:val="15"/>
                <w:color w:val="auto"/>
              </w:rPr>
            </w:pPr>
          </w:p>
        </w:tc>
        <w:tc>
          <w:tcPr>
            <w:tcW w:w="1120" w:type="dxa"/>
            <w:vAlign w:val="bottom"/>
            <w:tcBorders>
              <w:bottom w:val="single" w:sz="8" w:color="B1B2B4"/>
            </w:tcBorders>
            <w:shd w:val="clear" w:color="auto" w:fill="E1E1DF"/>
          </w:tcPr>
          <w:p>
            <w:pPr>
              <w:spacing w:after="0"/>
              <w:rPr>
                <w:sz w:val="15"/>
                <w:szCs w:val="15"/>
                <w:color w:val="auto"/>
              </w:rPr>
            </w:pPr>
          </w:p>
        </w:tc>
        <w:tc>
          <w:tcPr>
            <w:tcW w:w="980" w:type="dxa"/>
            <w:vAlign w:val="bottom"/>
            <w:tcBorders>
              <w:bottom w:val="single" w:sz="8" w:color="B1B2B4"/>
            </w:tcBorders>
            <w:shd w:val="clear" w:color="auto" w:fill="E1E1DF"/>
          </w:tcPr>
          <w:p>
            <w:pPr>
              <w:jc w:val="right"/>
              <w:ind w:right="7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shd w:val="clear" w:color="auto" w:fill="E1E1DF"/>
          </w:tcPr>
          <w:p>
            <w:pPr>
              <w:jc w:val="right"/>
              <w:ind w:right="5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shd w:val="clear" w:color="auto" w:fill="E1E1DF"/>
          </w:tcPr>
          <w:p>
            <w:pPr>
              <w:jc w:val="right"/>
              <w:ind w:right="57"/>
              <w:spacing w:after="0" w:line="183" w:lineRule="exact"/>
              <w:rPr>
                <w:sz w:val="20"/>
                <w:szCs w:val="20"/>
                <w:color w:val="auto"/>
              </w:rPr>
            </w:pPr>
            <w:r>
              <w:rPr>
                <w:rFonts w:ascii="Arial" w:cs="Arial" w:eastAsia="Arial" w:hAnsi="Arial"/>
                <w:sz w:val="13"/>
                <w:szCs w:val="13"/>
                <w:color w:val="3B3C43"/>
              </w:rPr>
              <w:t>100,107</w:t>
            </w:r>
            <w:r>
              <w:rPr>
                <w:rFonts w:ascii="Arial" w:cs="Arial" w:eastAsia="Arial" w:hAnsi="Arial"/>
                <w:sz w:val="20"/>
                <w:szCs w:val="20"/>
                <w:color w:val="3B3C43"/>
                <w:vertAlign w:val="superscript"/>
              </w:rPr>
              <w:t>6</w:t>
            </w:r>
          </w:p>
        </w:tc>
        <w:tc>
          <w:tcPr>
            <w:tcW w:w="84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941,006</w:t>
            </w:r>
          </w:p>
        </w:tc>
        <w:tc>
          <w:tcPr>
            <w:tcW w:w="920" w:type="dxa"/>
            <w:vAlign w:val="bottom"/>
            <w:tcBorders>
              <w:bottom w:val="single" w:sz="8" w:color="B1B2B4"/>
            </w:tcBorders>
            <w:shd w:val="clear" w:color="auto" w:fill="E1E1DF"/>
          </w:tcPr>
          <w:p>
            <w:pPr>
              <w:jc w:val="right"/>
              <w:ind w:right="17"/>
              <w:spacing w:after="0" w:line="183" w:lineRule="exact"/>
              <w:rPr>
                <w:sz w:val="20"/>
                <w:szCs w:val="20"/>
                <w:color w:val="auto"/>
              </w:rPr>
            </w:pPr>
            <w:r>
              <w:rPr>
                <w:rFonts w:ascii="Arial" w:cs="Arial" w:eastAsia="Arial" w:hAnsi="Arial"/>
                <w:sz w:val="13"/>
                <w:szCs w:val="13"/>
                <w:color w:val="3B3C43"/>
              </w:rPr>
              <w:t>233,584</w:t>
            </w:r>
            <w:r>
              <w:rPr>
                <w:rFonts w:ascii="Arial" w:cs="Arial" w:eastAsia="Arial" w:hAnsi="Arial"/>
                <w:sz w:val="20"/>
                <w:szCs w:val="20"/>
                <w:color w:val="3B3C43"/>
                <w:vertAlign w:val="superscript"/>
              </w:rPr>
              <w:t>7</w:t>
            </w:r>
          </w:p>
        </w:tc>
        <w:tc>
          <w:tcPr>
            <w:tcW w:w="106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2,195,690</w:t>
            </w:r>
          </w:p>
        </w:tc>
        <w:tc>
          <w:tcPr>
            <w:tcW w:w="0" w:type="dxa"/>
            <w:vAlign w:val="bottom"/>
          </w:tcPr>
          <w:p>
            <w:pPr>
              <w:spacing w:after="0"/>
              <w:rPr>
                <w:sz w:val="1"/>
                <w:szCs w:val="1"/>
                <w:color w:val="auto"/>
              </w:rPr>
            </w:pPr>
          </w:p>
        </w:tc>
      </w:tr>
      <w:tr>
        <w:trPr>
          <w:trHeight w:val="183"/>
        </w:trPr>
        <w:tc>
          <w:tcPr>
            <w:tcW w:w="1360" w:type="dxa"/>
            <w:vAlign w:val="bottom"/>
          </w:tcPr>
          <w:p>
            <w:pPr>
              <w:ind w:left="40"/>
              <w:spacing w:after="0"/>
              <w:rPr>
                <w:sz w:val="20"/>
                <w:szCs w:val="20"/>
                <w:color w:val="auto"/>
              </w:rPr>
            </w:pPr>
            <w:r>
              <w:rPr>
                <w:rFonts w:ascii="Arial" w:cs="Arial" w:eastAsia="Arial" w:hAnsi="Arial"/>
                <w:sz w:val="13"/>
                <w:szCs w:val="13"/>
                <w:b w:val="1"/>
                <w:bCs w:val="1"/>
                <w:color w:val="3B3C43"/>
              </w:rPr>
              <w:t>Justin Rounce</w:t>
            </w: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3/8/2019</w:t>
            </w:r>
          </w:p>
        </w:tc>
        <w:tc>
          <w:tcPr>
            <w:tcW w:w="1140" w:type="dxa"/>
            <w:vAlign w:val="bottom"/>
            <w:tcBorders>
              <w:bottom w:val="single" w:sz="8" w:color="B1B2B4"/>
            </w:tcBorders>
          </w:tcPr>
          <w:p>
            <w:pPr>
              <w:spacing w:after="0"/>
              <w:rPr>
                <w:sz w:val="15"/>
                <w:szCs w:val="15"/>
                <w:color w:val="auto"/>
              </w:rPr>
            </w:pPr>
          </w:p>
        </w:tc>
        <w:tc>
          <w:tcPr>
            <w:tcW w:w="1140" w:type="dxa"/>
            <w:vAlign w:val="bottom"/>
            <w:tcBorders>
              <w:bottom w:val="single" w:sz="8" w:color="B1B2B4"/>
            </w:tcBorders>
          </w:tcPr>
          <w:p>
            <w:pPr>
              <w:jc w:val="right"/>
              <w:spacing w:after="0" w:line="183" w:lineRule="exact"/>
              <w:rPr>
                <w:sz w:val="20"/>
                <w:szCs w:val="20"/>
                <w:color w:val="auto"/>
              </w:rPr>
            </w:pPr>
            <w:r>
              <w:rPr>
                <w:rFonts w:ascii="Arial" w:cs="Arial" w:eastAsia="Arial" w:hAnsi="Arial"/>
                <w:sz w:val="13"/>
                <w:szCs w:val="13"/>
                <w:color w:val="3B3C43"/>
              </w:rPr>
              <w:t>63,784</w:t>
            </w:r>
            <w:r>
              <w:rPr>
                <w:rFonts w:ascii="Arial" w:cs="Arial" w:eastAsia="Arial" w:hAnsi="Arial"/>
                <w:sz w:val="20"/>
                <w:szCs w:val="20"/>
                <w:color w:val="3B3C43"/>
                <w:vertAlign w:val="superscript"/>
              </w:rPr>
              <w:t>4</w:t>
            </w: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$20.98</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3/8/2029</w:t>
            </w:r>
          </w:p>
        </w:tc>
        <w:tc>
          <w:tcPr>
            <w:tcW w:w="880" w:type="dxa"/>
            <w:vAlign w:val="bottom"/>
            <w:tcBorders>
              <w:bottom w:val="single" w:sz="8" w:color="B1B2B4"/>
            </w:tcBorders>
          </w:tcPr>
          <w:p>
            <w:pPr>
              <w:jc w:val="right"/>
              <w:ind w:right="57"/>
              <w:spacing w:after="0" w:line="183" w:lineRule="exact"/>
              <w:rPr>
                <w:sz w:val="20"/>
                <w:szCs w:val="20"/>
                <w:color w:val="auto"/>
              </w:rPr>
            </w:pPr>
            <w:r>
              <w:rPr>
                <w:rFonts w:ascii="Arial" w:cs="Arial" w:eastAsia="Arial" w:hAnsi="Arial"/>
                <w:sz w:val="13"/>
                <w:szCs w:val="13"/>
                <w:color w:val="3B3C43"/>
              </w:rPr>
              <w:t>17,159</w:t>
            </w:r>
            <w:r>
              <w:rPr>
                <w:rFonts w:ascii="Arial" w:cs="Arial" w:eastAsia="Arial" w:hAnsi="Arial"/>
                <w:sz w:val="20"/>
                <w:szCs w:val="20"/>
                <w:color w:val="3B3C43"/>
                <w:vertAlign w:val="superscript"/>
              </w:rPr>
              <w:t>4</w:t>
            </w:r>
          </w:p>
        </w:tc>
        <w:tc>
          <w:tcPr>
            <w:tcW w:w="8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161,295</w:t>
            </w:r>
          </w:p>
        </w:tc>
        <w:tc>
          <w:tcPr>
            <w:tcW w:w="920" w:type="dxa"/>
            <w:vAlign w:val="bottom"/>
            <w:tcBorders>
              <w:bottom w:val="single" w:sz="8" w:color="B1B2B4"/>
            </w:tcBorders>
          </w:tcPr>
          <w:p>
            <w:pPr>
              <w:jc w:val="right"/>
              <w:ind w:right="17"/>
              <w:spacing w:after="0" w:line="183" w:lineRule="exact"/>
              <w:rPr>
                <w:sz w:val="20"/>
                <w:szCs w:val="20"/>
                <w:color w:val="auto"/>
              </w:rPr>
            </w:pPr>
            <w:r>
              <w:rPr>
                <w:rFonts w:ascii="Arial" w:cs="Arial" w:eastAsia="Arial" w:hAnsi="Arial"/>
                <w:sz w:val="13"/>
                <w:szCs w:val="13"/>
                <w:color w:val="3B3C43"/>
              </w:rPr>
              <w:t>51,477</w:t>
            </w:r>
            <w:r>
              <w:rPr>
                <w:rFonts w:ascii="Arial" w:cs="Arial" w:eastAsia="Arial" w:hAnsi="Arial"/>
                <w:sz w:val="20"/>
                <w:szCs w:val="20"/>
                <w:color w:val="3B3C43"/>
                <w:vertAlign w:val="superscript"/>
              </w:rPr>
              <w:t>5</w:t>
            </w:r>
          </w:p>
        </w:tc>
        <w:tc>
          <w:tcPr>
            <w:tcW w:w="106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483,884</w:t>
            </w:r>
          </w:p>
        </w:tc>
        <w:tc>
          <w:tcPr>
            <w:tcW w:w="0" w:type="dxa"/>
            <w:vAlign w:val="bottom"/>
          </w:tcPr>
          <w:p>
            <w:pPr>
              <w:spacing w:after="0"/>
              <w:rPr>
                <w:sz w:val="1"/>
                <w:szCs w:val="1"/>
                <w:color w:val="auto"/>
              </w:rPr>
            </w:pPr>
          </w:p>
        </w:tc>
      </w:tr>
      <w:tr>
        <w:trPr>
          <w:trHeight w:val="183"/>
        </w:trPr>
        <w:tc>
          <w:tcPr>
            <w:tcW w:w="1360" w:type="dxa"/>
            <w:vAlign w:val="bottom"/>
            <w:tcBorders>
              <w:bottom w:val="single" w:sz="8" w:color="E1E1DF"/>
            </w:tcBorders>
          </w:tcPr>
          <w:p>
            <w:pPr>
              <w:spacing w:after="0"/>
              <w:rPr>
                <w:sz w:val="15"/>
                <w:szCs w:val="15"/>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1140" w:type="dxa"/>
            <w:vAlign w:val="bottom"/>
            <w:tcBorders>
              <w:bottom w:val="single" w:sz="8" w:color="B1B2B4"/>
            </w:tcBorders>
          </w:tcPr>
          <w:p>
            <w:pPr>
              <w:spacing w:after="0"/>
              <w:rPr>
                <w:sz w:val="15"/>
                <w:szCs w:val="15"/>
                <w:color w:val="auto"/>
              </w:rPr>
            </w:pPr>
          </w:p>
        </w:tc>
        <w:tc>
          <w:tcPr>
            <w:tcW w:w="1140" w:type="dxa"/>
            <w:vAlign w:val="bottom"/>
            <w:tcBorders>
              <w:bottom w:val="single" w:sz="8" w:color="B1B2B4"/>
            </w:tcBorders>
          </w:tcPr>
          <w:p>
            <w:pPr>
              <w:spacing w:after="0"/>
              <w:rPr>
                <w:sz w:val="15"/>
                <w:szCs w:val="15"/>
                <w:color w:val="auto"/>
              </w:rPr>
            </w:pP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tcPr>
          <w:p>
            <w:pPr>
              <w:jc w:val="right"/>
              <w:ind w:right="57"/>
              <w:spacing w:after="0" w:line="183" w:lineRule="exact"/>
              <w:rPr>
                <w:sz w:val="20"/>
                <w:szCs w:val="20"/>
                <w:color w:val="auto"/>
              </w:rPr>
            </w:pPr>
            <w:r>
              <w:rPr>
                <w:rFonts w:ascii="Arial" w:cs="Arial" w:eastAsia="Arial" w:hAnsi="Arial"/>
                <w:sz w:val="13"/>
                <w:szCs w:val="13"/>
                <w:color w:val="3B3C43"/>
              </w:rPr>
              <w:t>58,127</w:t>
            </w:r>
            <w:r>
              <w:rPr>
                <w:rFonts w:ascii="Arial" w:cs="Arial" w:eastAsia="Arial" w:hAnsi="Arial"/>
                <w:sz w:val="20"/>
                <w:szCs w:val="20"/>
                <w:color w:val="3B3C43"/>
                <w:vertAlign w:val="superscript"/>
              </w:rPr>
              <w:t>6</w:t>
            </w:r>
          </w:p>
        </w:tc>
        <w:tc>
          <w:tcPr>
            <w:tcW w:w="8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546,394</w:t>
            </w:r>
          </w:p>
        </w:tc>
        <w:tc>
          <w:tcPr>
            <w:tcW w:w="920" w:type="dxa"/>
            <w:vAlign w:val="bottom"/>
            <w:tcBorders>
              <w:bottom w:val="single" w:sz="8" w:color="B1B2B4"/>
            </w:tcBorders>
          </w:tcPr>
          <w:p>
            <w:pPr>
              <w:jc w:val="right"/>
              <w:ind w:right="17"/>
              <w:spacing w:after="0" w:line="183" w:lineRule="exact"/>
              <w:rPr>
                <w:sz w:val="20"/>
                <w:szCs w:val="20"/>
                <w:color w:val="auto"/>
              </w:rPr>
            </w:pPr>
            <w:r>
              <w:rPr>
                <w:rFonts w:ascii="Arial" w:cs="Arial" w:eastAsia="Arial" w:hAnsi="Arial"/>
                <w:sz w:val="13"/>
                <w:szCs w:val="13"/>
                <w:color w:val="3B3C43"/>
              </w:rPr>
              <w:t>135,629</w:t>
            </w:r>
            <w:r>
              <w:rPr>
                <w:rFonts w:ascii="Arial" w:cs="Arial" w:eastAsia="Arial" w:hAnsi="Arial"/>
                <w:sz w:val="20"/>
                <w:szCs w:val="20"/>
                <w:color w:val="3B3C43"/>
                <w:vertAlign w:val="superscript"/>
              </w:rPr>
              <w:t>7</w:t>
            </w:r>
          </w:p>
        </w:tc>
        <w:tc>
          <w:tcPr>
            <w:tcW w:w="106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1,274,913</w:t>
            </w:r>
          </w:p>
        </w:tc>
        <w:tc>
          <w:tcPr>
            <w:tcW w:w="0" w:type="dxa"/>
            <w:vAlign w:val="bottom"/>
          </w:tcPr>
          <w:p>
            <w:pPr>
              <w:spacing w:after="0"/>
              <w:rPr>
                <w:sz w:val="1"/>
                <w:szCs w:val="1"/>
                <w:color w:val="auto"/>
              </w:rPr>
            </w:pPr>
          </w:p>
        </w:tc>
      </w:tr>
      <w:tr>
        <w:trPr>
          <w:trHeight w:val="181"/>
        </w:trPr>
        <w:tc>
          <w:tcPr>
            <w:tcW w:w="1360" w:type="dxa"/>
            <w:vAlign w:val="bottom"/>
            <w:tcBorders>
              <w:bottom w:val="single" w:sz="8" w:color="E1E1DF"/>
            </w:tcBorders>
            <w:shd w:val="clear" w:color="auto" w:fill="E1E1DF"/>
          </w:tcPr>
          <w:p>
            <w:pPr>
              <w:ind w:left="40"/>
              <w:spacing w:after="0"/>
              <w:rPr>
                <w:sz w:val="20"/>
                <w:szCs w:val="20"/>
                <w:color w:val="auto"/>
              </w:rPr>
            </w:pPr>
            <w:r>
              <w:rPr>
                <w:rFonts w:ascii="Arial" w:cs="Arial" w:eastAsia="Arial" w:hAnsi="Arial"/>
                <w:sz w:val="13"/>
                <w:szCs w:val="13"/>
                <w:b w:val="1"/>
                <w:bCs w:val="1"/>
                <w:color w:val="3B3C43"/>
              </w:rPr>
              <w:t>Arnaud Pieton</w:t>
            </w:r>
          </w:p>
        </w:tc>
        <w:tc>
          <w:tcPr>
            <w:tcW w:w="90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9/7/2015</w:t>
            </w:r>
          </w:p>
        </w:tc>
        <w:tc>
          <w:tcPr>
            <w:tcW w:w="114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6,000</w:t>
            </w:r>
          </w:p>
        </w:tc>
        <w:tc>
          <w:tcPr>
            <w:tcW w:w="1140" w:type="dxa"/>
            <w:vAlign w:val="bottom"/>
            <w:tcBorders>
              <w:bottom w:val="single" w:sz="8" w:color="B1B2B4"/>
            </w:tcBorders>
            <w:shd w:val="clear" w:color="auto" w:fill="E1E1DF"/>
          </w:tcPr>
          <w:p>
            <w:pPr>
              <w:spacing w:after="0"/>
              <w:rPr>
                <w:sz w:val="15"/>
                <w:szCs w:val="15"/>
                <w:color w:val="auto"/>
              </w:rPr>
            </w:pPr>
          </w:p>
        </w:tc>
        <w:tc>
          <w:tcPr>
            <w:tcW w:w="1120" w:type="dxa"/>
            <w:vAlign w:val="bottom"/>
            <w:tcBorders>
              <w:bottom w:val="single" w:sz="8" w:color="B1B2B4"/>
            </w:tcBorders>
            <w:shd w:val="clear" w:color="auto" w:fill="E1E1DF"/>
          </w:tcPr>
          <w:p>
            <w:pPr>
              <w:spacing w:after="0"/>
              <w:rPr>
                <w:sz w:val="15"/>
                <w:szCs w:val="15"/>
                <w:color w:val="auto"/>
              </w:rPr>
            </w:pPr>
          </w:p>
        </w:tc>
        <w:tc>
          <w:tcPr>
            <w:tcW w:w="980" w:type="dxa"/>
            <w:vAlign w:val="bottom"/>
            <w:tcBorders>
              <w:bottom w:val="single" w:sz="8" w:color="B1B2B4"/>
            </w:tcBorders>
            <w:shd w:val="clear" w:color="auto" w:fill="E1E1DF"/>
          </w:tcPr>
          <w:p>
            <w:pPr>
              <w:jc w:val="right"/>
              <w:ind w:right="77"/>
              <w:spacing w:after="0"/>
              <w:rPr>
                <w:sz w:val="20"/>
                <w:szCs w:val="20"/>
                <w:color w:val="auto"/>
              </w:rPr>
            </w:pPr>
            <w:r>
              <w:rPr>
                <w:rFonts w:ascii="Arial" w:cs="Arial" w:eastAsia="Arial" w:hAnsi="Arial"/>
                <w:sz w:val="13"/>
                <w:szCs w:val="13"/>
                <w:color w:val="3B3C43"/>
              </w:rPr>
              <w:t>€23,92</w:t>
            </w:r>
          </w:p>
        </w:tc>
        <w:tc>
          <w:tcPr>
            <w:tcW w:w="880" w:type="dxa"/>
            <w:vAlign w:val="bottom"/>
            <w:tcBorders>
              <w:bottom w:val="single" w:sz="8" w:color="B1B2B4"/>
            </w:tcBorders>
            <w:shd w:val="clear" w:color="auto" w:fill="E1E1DF"/>
          </w:tcPr>
          <w:p>
            <w:pPr>
              <w:jc w:val="right"/>
              <w:ind w:right="57"/>
              <w:spacing w:after="0"/>
              <w:rPr>
                <w:sz w:val="20"/>
                <w:szCs w:val="20"/>
                <w:color w:val="auto"/>
              </w:rPr>
            </w:pPr>
            <w:r>
              <w:rPr>
                <w:rFonts w:ascii="Arial" w:cs="Arial" w:eastAsia="Arial" w:hAnsi="Arial"/>
                <w:sz w:val="13"/>
                <w:szCs w:val="13"/>
                <w:color w:val="3B3C43"/>
              </w:rPr>
              <w:t>9/7/2023</w:t>
            </w:r>
          </w:p>
        </w:tc>
        <w:tc>
          <w:tcPr>
            <w:tcW w:w="880" w:type="dxa"/>
            <w:vAlign w:val="bottom"/>
            <w:tcBorders>
              <w:bottom w:val="single" w:sz="8" w:color="B1B2B4"/>
            </w:tcBorders>
            <w:shd w:val="clear" w:color="auto" w:fill="E1E1DF"/>
          </w:tcPr>
          <w:p>
            <w:pPr>
              <w:spacing w:after="0"/>
              <w:rPr>
                <w:sz w:val="15"/>
                <w:szCs w:val="15"/>
                <w:color w:val="auto"/>
              </w:rPr>
            </w:pPr>
          </w:p>
        </w:tc>
        <w:tc>
          <w:tcPr>
            <w:tcW w:w="840" w:type="dxa"/>
            <w:vAlign w:val="bottom"/>
            <w:tcBorders>
              <w:bottom w:val="single" w:sz="8" w:color="B1B2B4"/>
            </w:tcBorders>
            <w:shd w:val="clear" w:color="auto" w:fill="E1E1DF"/>
          </w:tcPr>
          <w:p>
            <w:pPr>
              <w:spacing w:after="0"/>
              <w:rPr>
                <w:sz w:val="15"/>
                <w:szCs w:val="15"/>
                <w:color w:val="auto"/>
              </w:rPr>
            </w:pPr>
          </w:p>
        </w:tc>
        <w:tc>
          <w:tcPr>
            <w:tcW w:w="920" w:type="dxa"/>
            <w:vAlign w:val="bottom"/>
            <w:tcBorders>
              <w:bottom w:val="single" w:sz="8" w:color="B1B2B4"/>
            </w:tcBorders>
            <w:shd w:val="clear" w:color="auto" w:fill="E1E1DF"/>
          </w:tcPr>
          <w:p>
            <w:pPr>
              <w:spacing w:after="0"/>
              <w:rPr>
                <w:sz w:val="15"/>
                <w:szCs w:val="15"/>
                <w:color w:val="auto"/>
              </w:rPr>
            </w:pPr>
          </w:p>
        </w:tc>
        <w:tc>
          <w:tcPr>
            <w:tcW w:w="1060" w:type="dxa"/>
            <w:vAlign w:val="bottom"/>
            <w:tcBorders>
              <w:bottom w:val="single" w:sz="8" w:color="B1B2B4"/>
            </w:tcBorders>
            <w:shd w:val="clear" w:color="auto" w:fill="E1E1D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Borders>
              <w:bottom w:val="single" w:sz="8" w:color="E1E1DF"/>
            </w:tcBorders>
            <w:shd w:val="clear" w:color="auto" w:fill="E1E1DF"/>
          </w:tcPr>
          <w:p>
            <w:pPr>
              <w:spacing w:after="0"/>
              <w:rPr>
                <w:sz w:val="15"/>
                <w:szCs w:val="15"/>
                <w:color w:val="auto"/>
              </w:rPr>
            </w:pPr>
          </w:p>
        </w:tc>
        <w:tc>
          <w:tcPr>
            <w:tcW w:w="90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7/1/2016</w:t>
            </w:r>
          </w:p>
        </w:tc>
        <w:tc>
          <w:tcPr>
            <w:tcW w:w="114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14,000</w:t>
            </w:r>
          </w:p>
        </w:tc>
        <w:tc>
          <w:tcPr>
            <w:tcW w:w="1140" w:type="dxa"/>
            <w:vAlign w:val="bottom"/>
            <w:tcBorders>
              <w:bottom w:val="single" w:sz="8" w:color="B1B2B4"/>
            </w:tcBorders>
            <w:shd w:val="clear" w:color="auto" w:fill="E1E1DF"/>
          </w:tcPr>
          <w:p>
            <w:pPr>
              <w:spacing w:after="0"/>
              <w:rPr>
                <w:sz w:val="15"/>
                <w:szCs w:val="15"/>
                <w:color w:val="auto"/>
              </w:rPr>
            </w:pPr>
          </w:p>
        </w:tc>
        <w:tc>
          <w:tcPr>
            <w:tcW w:w="1120" w:type="dxa"/>
            <w:vAlign w:val="bottom"/>
            <w:tcBorders>
              <w:bottom w:val="single" w:sz="8" w:color="B1B2B4"/>
            </w:tcBorders>
            <w:shd w:val="clear" w:color="auto" w:fill="E1E1DF"/>
          </w:tcPr>
          <w:p>
            <w:pPr>
              <w:spacing w:after="0"/>
              <w:rPr>
                <w:sz w:val="15"/>
                <w:szCs w:val="15"/>
                <w:color w:val="auto"/>
              </w:rPr>
            </w:pPr>
          </w:p>
        </w:tc>
        <w:tc>
          <w:tcPr>
            <w:tcW w:w="980" w:type="dxa"/>
            <w:vAlign w:val="bottom"/>
            <w:tcBorders>
              <w:bottom w:val="single" w:sz="8" w:color="B1B2B4"/>
            </w:tcBorders>
            <w:shd w:val="clear" w:color="auto" w:fill="E1E1DF"/>
          </w:tcPr>
          <w:p>
            <w:pPr>
              <w:jc w:val="right"/>
              <w:ind w:right="77"/>
              <w:spacing w:after="0"/>
              <w:rPr>
                <w:sz w:val="20"/>
                <w:szCs w:val="20"/>
                <w:color w:val="auto"/>
              </w:rPr>
            </w:pPr>
            <w:r>
              <w:rPr>
                <w:rFonts w:ascii="Arial" w:cs="Arial" w:eastAsia="Arial" w:hAnsi="Arial"/>
                <w:sz w:val="13"/>
                <w:szCs w:val="13"/>
                <w:color w:val="3B3C43"/>
              </w:rPr>
              <w:t>€24,17</w:t>
            </w:r>
          </w:p>
        </w:tc>
        <w:tc>
          <w:tcPr>
            <w:tcW w:w="880" w:type="dxa"/>
            <w:vAlign w:val="bottom"/>
            <w:tcBorders>
              <w:bottom w:val="single" w:sz="8" w:color="B1B2B4"/>
            </w:tcBorders>
            <w:shd w:val="clear" w:color="auto" w:fill="E1E1DF"/>
          </w:tcPr>
          <w:p>
            <w:pPr>
              <w:jc w:val="right"/>
              <w:ind w:right="57"/>
              <w:spacing w:after="0"/>
              <w:rPr>
                <w:sz w:val="20"/>
                <w:szCs w:val="20"/>
                <w:color w:val="auto"/>
              </w:rPr>
            </w:pPr>
            <w:r>
              <w:rPr>
                <w:rFonts w:ascii="Arial" w:cs="Arial" w:eastAsia="Arial" w:hAnsi="Arial"/>
                <w:sz w:val="13"/>
                <w:szCs w:val="13"/>
                <w:color w:val="3B3C43"/>
              </w:rPr>
              <w:t>7/1/2024</w:t>
            </w:r>
          </w:p>
        </w:tc>
        <w:tc>
          <w:tcPr>
            <w:tcW w:w="880" w:type="dxa"/>
            <w:vAlign w:val="bottom"/>
            <w:tcBorders>
              <w:bottom w:val="single" w:sz="8" w:color="B1B2B4"/>
            </w:tcBorders>
            <w:shd w:val="clear" w:color="auto" w:fill="E1E1DF"/>
          </w:tcPr>
          <w:p>
            <w:pPr>
              <w:spacing w:after="0"/>
              <w:rPr>
                <w:sz w:val="15"/>
                <w:szCs w:val="15"/>
                <w:color w:val="auto"/>
              </w:rPr>
            </w:pPr>
          </w:p>
        </w:tc>
        <w:tc>
          <w:tcPr>
            <w:tcW w:w="840" w:type="dxa"/>
            <w:vAlign w:val="bottom"/>
            <w:tcBorders>
              <w:bottom w:val="single" w:sz="8" w:color="B1B2B4"/>
            </w:tcBorders>
            <w:shd w:val="clear" w:color="auto" w:fill="E1E1DF"/>
          </w:tcPr>
          <w:p>
            <w:pPr>
              <w:spacing w:after="0"/>
              <w:rPr>
                <w:sz w:val="15"/>
                <w:szCs w:val="15"/>
                <w:color w:val="auto"/>
              </w:rPr>
            </w:pPr>
          </w:p>
        </w:tc>
        <w:tc>
          <w:tcPr>
            <w:tcW w:w="920" w:type="dxa"/>
            <w:vAlign w:val="bottom"/>
            <w:tcBorders>
              <w:bottom w:val="single" w:sz="8" w:color="B1B2B4"/>
            </w:tcBorders>
            <w:shd w:val="clear" w:color="auto" w:fill="E1E1DF"/>
          </w:tcPr>
          <w:p>
            <w:pPr>
              <w:spacing w:after="0"/>
              <w:rPr>
                <w:sz w:val="15"/>
                <w:szCs w:val="15"/>
                <w:color w:val="auto"/>
              </w:rPr>
            </w:pPr>
          </w:p>
        </w:tc>
        <w:tc>
          <w:tcPr>
            <w:tcW w:w="1060" w:type="dxa"/>
            <w:vAlign w:val="bottom"/>
            <w:tcBorders>
              <w:bottom w:val="single" w:sz="8" w:color="B1B2B4"/>
            </w:tcBorders>
            <w:shd w:val="clear" w:color="auto" w:fill="E1E1D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E1E1DF"/>
            </w:tcBorders>
            <w:shd w:val="clear" w:color="auto" w:fill="E1E1DF"/>
          </w:tcPr>
          <w:p>
            <w:pPr>
              <w:spacing w:after="0"/>
              <w:rPr>
                <w:sz w:val="15"/>
                <w:szCs w:val="15"/>
                <w:color w:val="auto"/>
              </w:rPr>
            </w:pPr>
          </w:p>
        </w:tc>
        <w:tc>
          <w:tcPr>
            <w:tcW w:w="90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2/28/2017</w:t>
            </w:r>
          </w:p>
        </w:tc>
        <w:tc>
          <w:tcPr>
            <w:tcW w:w="114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19,204</w:t>
            </w:r>
          </w:p>
        </w:tc>
        <w:tc>
          <w:tcPr>
            <w:tcW w:w="1140" w:type="dxa"/>
            <w:vAlign w:val="bottom"/>
            <w:tcBorders>
              <w:bottom w:val="single" w:sz="8" w:color="B1B2B4"/>
            </w:tcBorders>
            <w:shd w:val="clear" w:color="auto" w:fill="E1E1DF"/>
          </w:tcPr>
          <w:p>
            <w:pPr>
              <w:spacing w:after="0"/>
              <w:rPr>
                <w:sz w:val="15"/>
                <w:szCs w:val="15"/>
                <w:color w:val="auto"/>
              </w:rPr>
            </w:pPr>
          </w:p>
        </w:tc>
        <w:tc>
          <w:tcPr>
            <w:tcW w:w="1120" w:type="dxa"/>
            <w:vAlign w:val="bottom"/>
            <w:tcBorders>
              <w:bottom w:val="single" w:sz="8" w:color="B1B2B4"/>
            </w:tcBorders>
            <w:shd w:val="clear" w:color="auto" w:fill="E1E1DF"/>
          </w:tcPr>
          <w:p>
            <w:pPr>
              <w:spacing w:after="0"/>
              <w:rPr>
                <w:sz w:val="15"/>
                <w:szCs w:val="15"/>
                <w:color w:val="auto"/>
              </w:rPr>
            </w:pPr>
          </w:p>
        </w:tc>
        <w:tc>
          <w:tcPr>
            <w:tcW w:w="980" w:type="dxa"/>
            <w:vAlign w:val="bottom"/>
            <w:tcBorders>
              <w:bottom w:val="single" w:sz="8" w:color="B1B2B4"/>
            </w:tcBorders>
            <w:shd w:val="clear" w:color="auto" w:fill="E1E1DF"/>
          </w:tcPr>
          <w:p>
            <w:pPr>
              <w:jc w:val="right"/>
              <w:ind w:right="77"/>
              <w:spacing w:after="0"/>
              <w:rPr>
                <w:sz w:val="20"/>
                <w:szCs w:val="20"/>
                <w:color w:val="auto"/>
              </w:rPr>
            </w:pPr>
            <w:r>
              <w:rPr>
                <w:rFonts w:ascii="Arial" w:cs="Arial" w:eastAsia="Arial" w:hAnsi="Arial"/>
                <w:sz w:val="13"/>
                <w:szCs w:val="13"/>
                <w:color w:val="3B3C43"/>
              </w:rPr>
              <w:t>$32.32</w:t>
            </w:r>
          </w:p>
        </w:tc>
        <w:tc>
          <w:tcPr>
            <w:tcW w:w="880" w:type="dxa"/>
            <w:vAlign w:val="bottom"/>
            <w:tcBorders>
              <w:bottom w:val="single" w:sz="8" w:color="B1B2B4"/>
            </w:tcBorders>
            <w:shd w:val="clear" w:color="auto" w:fill="E1E1DF"/>
          </w:tcPr>
          <w:p>
            <w:pPr>
              <w:jc w:val="right"/>
              <w:ind w:right="57"/>
              <w:spacing w:after="0"/>
              <w:rPr>
                <w:sz w:val="20"/>
                <w:szCs w:val="20"/>
                <w:color w:val="auto"/>
              </w:rPr>
            </w:pPr>
            <w:r>
              <w:rPr>
                <w:rFonts w:ascii="Arial" w:cs="Arial" w:eastAsia="Arial" w:hAnsi="Arial"/>
                <w:sz w:val="13"/>
                <w:szCs w:val="13"/>
                <w:color w:val="3B3C43"/>
              </w:rPr>
              <w:t>2/28/2027</w:t>
            </w:r>
          </w:p>
        </w:tc>
        <w:tc>
          <w:tcPr>
            <w:tcW w:w="880" w:type="dxa"/>
            <w:vAlign w:val="bottom"/>
            <w:tcBorders>
              <w:bottom w:val="single" w:sz="8" w:color="B1B2B4"/>
            </w:tcBorders>
            <w:shd w:val="clear" w:color="auto" w:fill="E1E1DF"/>
          </w:tcPr>
          <w:p>
            <w:pPr>
              <w:spacing w:after="0"/>
              <w:rPr>
                <w:sz w:val="15"/>
                <w:szCs w:val="15"/>
                <w:color w:val="auto"/>
              </w:rPr>
            </w:pPr>
          </w:p>
        </w:tc>
        <w:tc>
          <w:tcPr>
            <w:tcW w:w="840" w:type="dxa"/>
            <w:vAlign w:val="bottom"/>
            <w:tcBorders>
              <w:bottom w:val="single" w:sz="8" w:color="B1B2B4"/>
            </w:tcBorders>
            <w:shd w:val="clear" w:color="auto" w:fill="E1E1DF"/>
          </w:tcPr>
          <w:p>
            <w:pPr>
              <w:spacing w:after="0"/>
              <w:rPr>
                <w:sz w:val="15"/>
                <w:szCs w:val="15"/>
                <w:color w:val="auto"/>
              </w:rPr>
            </w:pPr>
          </w:p>
        </w:tc>
        <w:tc>
          <w:tcPr>
            <w:tcW w:w="920" w:type="dxa"/>
            <w:vAlign w:val="bottom"/>
            <w:tcBorders>
              <w:bottom w:val="single" w:sz="8" w:color="B1B2B4"/>
            </w:tcBorders>
            <w:shd w:val="clear" w:color="auto" w:fill="E1E1DF"/>
          </w:tcPr>
          <w:p>
            <w:pPr>
              <w:spacing w:after="0"/>
              <w:rPr>
                <w:sz w:val="15"/>
                <w:szCs w:val="15"/>
                <w:color w:val="auto"/>
              </w:rPr>
            </w:pPr>
          </w:p>
        </w:tc>
        <w:tc>
          <w:tcPr>
            <w:tcW w:w="1060" w:type="dxa"/>
            <w:vAlign w:val="bottom"/>
            <w:tcBorders>
              <w:bottom w:val="single" w:sz="8" w:color="B1B2B4"/>
            </w:tcBorders>
            <w:shd w:val="clear" w:color="auto" w:fill="E1E1D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Borders>
              <w:bottom w:val="single" w:sz="8" w:color="E1E1DF"/>
            </w:tcBorders>
            <w:shd w:val="clear" w:color="auto" w:fill="E1E1DF"/>
          </w:tcPr>
          <w:p>
            <w:pPr>
              <w:spacing w:after="0"/>
              <w:rPr>
                <w:sz w:val="16"/>
                <w:szCs w:val="16"/>
                <w:color w:val="auto"/>
              </w:rPr>
            </w:pPr>
          </w:p>
        </w:tc>
        <w:tc>
          <w:tcPr>
            <w:tcW w:w="90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2/26/2018</w:t>
            </w:r>
          </w:p>
        </w:tc>
        <w:tc>
          <w:tcPr>
            <w:tcW w:w="1140" w:type="dxa"/>
            <w:vAlign w:val="bottom"/>
            <w:tcBorders>
              <w:bottom w:val="single" w:sz="8" w:color="B1B2B4"/>
            </w:tcBorders>
            <w:shd w:val="clear" w:color="auto" w:fill="E1E1DF"/>
          </w:tcPr>
          <w:p>
            <w:pPr>
              <w:spacing w:after="0"/>
              <w:rPr>
                <w:sz w:val="16"/>
                <w:szCs w:val="16"/>
                <w:color w:val="auto"/>
              </w:rPr>
            </w:pPr>
          </w:p>
        </w:tc>
        <w:tc>
          <w:tcPr>
            <w:tcW w:w="1140" w:type="dxa"/>
            <w:vAlign w:val="bottom"/>
            <w:tcBorders>
              <w:bottom w:val="single" w:sz="8" w:color="B1B2B4"/>
            </w:tcBorders>
            <w:shd w:val="clear" w:color="auto" w:fill="E1E1DF"/>
          </w:tcPr>
          <w:p>
            <w:pPr>
              <w:jc w:val="right"/>
              <w:spacing w:after="0" w:line="189" w:lineRule="exact"/>
              <w:rPr>
                <w:sz w:val="20"/>
                <w:szCs w:val="20"/>
                <w:color w:val="auto"/>
              </w:rPr>
            </w:pPr>
            <w:r>
              <w:rPr>
                <w:rFonts w:ascii="Arial" w:cs="Arial" w:eastAsia="Arial" w:hAnsi="Arial"/>
                <w:sz w:val="13"/>
                <w:szCs w:val="13"/>
                <w:color w:val="3B3C43"/>
              </w:rPr>
              <w:t>19,966</w:t>
            </w:r>
            <w:r>
              <w:rPr>
                <w:rFonts w:ascii="Arial" w:cs="Arial" w:eastAsia="Arial" w:hAnsi="Arial"/>
                <w:sz w:val="20"/>
                <w:szCs w:val="20"/>
                <w:color w:val="3B3C43"/>
                <w:vertAlign w:val="superscript"/>
              </w:rPr>
              <w:t>2</w:t>
            </w:r>
          </w:p>
        </w:tc>
        <w:tc>
          <w:tcPr>
            <w:tcW w:w="1120" w:type="dxa"/>
            <w:vAlign w:val="bottom"/>
            <w:tcBorders>
              <w:bottom w:val="single" w:sz="8" w:color="B1B2B4"/>
            </w:tcBorders>
            <w:shd w:val="clear" w:color="auto" w:fill="E1E1DF"/>
          </w:tcPr>
          <w:p>
            <w:pPr>
              <w:spacing w:after="0"/>
              <w:rPr>
                <w:sz w:val="16"/>
                <w:szCs w:val="16"/>
                <w:color w:val="auto"/>
              </w:rPr>
            </w:pPr>
          </w:p>
        </w:tc>
        <w:tc>
          <w:tcPr>
            <w:tcW w:w="980" w:type="dxa"/>
            <w:vAlign w:val="bottom"/>
            <w:tcBorders>
              <w:bottom w:val="single" w:sz="8" w:color="B1B2B4"/>
            </w:tcBorders>
            <w:shd w:val="clear" w:color="auto" w:fill="E1E1DF"/>
          </w:tcPr>
          <w:p>
            <w:pPr>
              <w:jc w:val="right"/>
              <w:ind w:right="77"/>
              <w:spacing w:after="0"/>
              <w:rPr>
                <w:sz w:val="20"/>
                <w:szCs w:val="20"/>
                <w:color w:val="auto"/>
              </w:rPr>
            </w:pPr>
            <w:r>
              <w:rPr>
                <w:rFonts w:ascii="Arial" w:cs="Arial" w:eastAsia="Arial" w:hAnsi="Arial"/>
                <w:sz w:val="13"/>
                <w:szCs w:val="13"/>
                <w:color w:val="3B3C43"/>
              </w:rPr>
              <w:t>$30.30</w:t>
            </w:r>
          </w:p>
        </w:tc>
        <w:tc>
          <w:tcPr>
            <w:tcW w:w="880" w:type="dxa"/>
            <w:vAlign w:val="bottom"/>
            <w:tcBorders>
              <w:bottom w:val="single" w:sz="8" w:color="B1B2B4"/>
            </w:tcBorders>
            <w:shd w:val="clear" w:color="auto" w:fill="E1E1DF"/>
          </w:tcPr>
          <w:p>
            <w:pPr>
              <w:jc w:val="right"/>
              <w:ind w:right="57"/>
              <w:spacing w:after="0"/>
              <w:rPr>
                <w:sz w:val="20"/>
                <w:szCs w:val="20"/>
                <w:color w:val="auto"/>
              </w:rPr>
            </w:pPr>
            <w:r>
              <w:rPr>
                <w:rFonts w:ascii="Arial" w:cs="Arial" w:eastAsia="Arial" w:hAnsi="Arial"/>
                <w:sz w:val="13"/>
                <w:szCs w:val="13"/>
                <w:color w:val="3B3C43"/>
              </w:rPr>
              <w:t>2/26/2028</w:t>
            </w:r>
          </w:p>
        </w:tc>
        <w:tc>
          <w:tcPr>
            <w:tcW w:w="880" w:type="dxa"/>
            <w:vAlign w:val="bottom"/>
            <w:tcBorders>
              <w:bottom w:val="single" w:sz="8" w:color="B1B2B4"/>
            </w:tcBorders>
            <w:shd w:val="clear" w:color="auto" w:fill="E1E1DF"/>
          </w:tcPr>
          <w:p>
            <w:pPr>
              <w:jc w:val="right"/>
              <w:ind w:right="57"/>
              <w:spacing w:after="0" w:line="189" w:lineRule="exact"/>
              <w:rPr>
                <w:sz w:val="20"/>
                <w:szCs w:val="20"/>
                <w:color w:val="auto"/>
              </w:rPr>
            </w:pPr>
            <w:r>
              <w:rPr>
                <w:rFonts w:ascii="Arial" w:cs="Arial" w:eastAsia="Arial" w:hAnsi="Arial"/>
                <w:sz w:val="13"/>
                <w:szCs w:val="13"/>
                <w:color w:val="3B3C43"/>
              </w:rPr>
              <w:t>5,940</w:t>
            </w:r>
            <w:r>
              <w:rPr>
                <w:rFonts w:ascii="Arial" w:cs="Arial" w:eastAsia="Arial" w:hAnsi="Arial"/>
                <w:sz w:val="20"/>
                <w:szCs w:val="20"/>
                <w:color w:val="3B3C43"/>
                <w:vertAlign w:val="superscript"/>
              </w:rPr>
              <w:t>2</w:t>
            </w:r>
          </w:p>
        </w:tc>
        <w:tc>
          <w:tcPr>
            <w:tcW w:w="84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55,836</w:t>
            </w:r>
          </w:p>
        </w:tc>
        <w:tc>
          <w:tcPr>
            <w:tcW w:w="920" w:type="dxa"/>
            <w:vAlign w:val="bottom"/>
            <w:tcBorders>
              <w:bottom w:val="single" w:sz="8" w:color="B1B2B4"/>
            </w:tcBorders>
            <w:shd w:val="clear" w:color="auto" w:fill="E1E1DF"/>
          </w:tcPr>
          <w:p>
            <w:pPr>
              <w:jc w:val="right"/>
              <w:ind w:right="17"/>
              <w:spacing w:after="0" w:line="189" w:lineRule="exact"/>
              <w:rPr>
                <w:sz w:val="20"/>
                <w:szCs w:val="20"/>
                <w:color w:val="auto"/>
              </w:rPr>
            </w:pPr>
            <w:r>
              <w:rPr>
                <w:rFonts w:ascii="Arial" w:cs="Arial" w:eastAsia="Arial" w:hAnsi="Arial"/>
                <w:sz w:val="13"/>
                <w:szCs w:val="13"/>
                <w:color w:val="3B3C43"/>
              </w:rPr>
              <w:t>17,821</w:t>
            </w:r>
            <w:r>
              <w:rPr>
                <w:rFonts w:ascii="Arial" w:cs="Arial" w:eastAsia="Arial" w:hAnsi="Arial"/>
                <w:sz w:val="20"/>
                <w:szCs w:val="20"/>
                <w:color w:val="3B3C43"/>
                <w:vertAlign w:val="superscript"/>
              </w:rPr>
              <w:t>3</w:t>
            </w:r>
          </w:p>
        </w:tc>
        <w:tc>
          <w:tcPr>
            <w:tcW w:w="106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167,517</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E1E1DF"/>
            </w:tcBorders>
            <w:shd w:val="clear" w:color="auto" w:fill="E1E1DF"/>
          </w:tcPr>
          <w:p>
            <w:pPr>
              <w:spacing w:after="0"/>
              <w:rPr>
                <w:sz w:val="15"/>
                <w:szCs w:val="15"/>
                <w:color w:val="auto"/>
              </w:rPr>
            </w:pPr>
          </w:p>
        </w:tc>
        <w:tc>
          <w:tcPr>
            <w:tcW w:w="90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3/8/2019</w:t>
            </w:r>
          </w:p>
        </w:tc>
        <w:tc>
          <w:tcPr>
            <w:tcW w:w="1140" w:type="dxa"/>
            <w:vAlign w:val="bottom"/>
            <w:tcBorders>
              <w:bottom w:val="single" w:sz="8" w:color="B1B2B4"/>
            </w:tcBorders>
            <w:shd w:val="clear" w:color="auto" w:fill="E1E1DF"/>
          </w:tcPr>
          <w:p>
            <w:pPr>
              <w:spacing w:after="0"/>
              <w:rPr>
                <w:sz w:val="15"/>
                <w:szCs w:val="15"/>
                <w:color w:val="auto"/>
              </w:rPr>
            </w:pPr>
          </w:p>
        </w:tc>
        <w:tc>
          <w:tcPr>
            <w:tcW w:w="1140" w:type="dxa"/>
            <w:vAlign w:val="bottom"/>
            <w:tcBorders>
              <w:bottom w:val="single" w:sz="8" w:color="B1B2B4"/>
            </w:tcBorders>
            <w:shd w:val="clear" w:color="auto" w:fill="E1E1DF"/>
          </w:tcPr>
          <w:p>
            <w:pPr>
              <w:jc w:val="right"/>
              <w:spacing w:after="0" w:line="183" w:lineRule="exact"/>
              <w:rPr>
                <w:sz w:val="20"/>
                <w:szCs w:val="20"/>
                <w:color w:val="auto"/>
              </w:rPr>
            </w:pPr>
            <w:r>
              <w:rPr>
                <w:rFonts w:ascii="Arial" w:cs="Arial" w:eastAsia="Arial" w:hAnsi="Arial"/>
                <w:sz w:val="13"/>
                <w:szCs w:val="13"/>
                <w:color w:val="3B3C43"/>
              </w:rPr>
              <w:t>46,066</w:t>
            </w:r>
            <w:r>
              <w:rPr>
                <w:rFonts w:ascii="Arial" w:cs="Arial" w:eastAsia="Arial" w:hAnsi="Arial"/>
                <w:sz w:val="20"/>
                <w:szCs w:val="20"/>
                <w:color w:val="3B3C43"/>
                <w:vertAlign w:val="superscript"/>
              </w:rPr>
              <w:t>4</w:t>
            </w:r>
          </w:p>
        </w:tc>
        <w:tc>
          <w:tcPr>
            <w:tcW w:w="1120" w:type="dxa"/>
            <w:vAlign w:val="bottom"/>
            <w:tcBorders>
              <w:bottom w:val="single" w:sz="8" w:color="B1B2B4"/>
            </w:tcBorders>
            <w:shd w:val="clear" w:color="auto" w:fill="E1E1DF"/>
          </w:tcPr>
          <w:p>
            <w:pPr>
              <w:spacing w:after="0"/>
              <w:rPr>
                <w:sz w:val="15"/>
                <w:szCs w:val="15"/>
                <w:color w:val="auto"/>
              </w:rPr>
            </w:pPr>
          </w:p>
        </w:tc>
        <w:tc>
          <w:tcPr>
            <w:tcW w:w="980" w:type="dxa"/>
            <w:vAlign w:val="bottom"/>
            <w:tcBorders>
              <w:bottom w:val="single" w:sz="8" w:color="B1B2B4"/>
            </w:tcBorders>
            <w:shd w:val="clear" w:color="auto" w:fill="E1E1DF"/>
          </w:tcPr>
          <w:p>
            <w:pPr>
              <w:jc w:val="right"/>
              <w:ind w:right="77"/>
              <w:spacing w:after="0"/>
              <w:rPr>
                <w:sz w:val="20"/>
                <w:szCs w:val="20"/>
                <w:color w:val="auto"/>
              </w:rPr>
            </w:pPr>
            <w:r>
              <w:rPr>
                <w:rFonts w:ascii="Arial" w:cs="Arial" w:eastAsia="Arial" w:hAnsi="Arial"/>
                <w:sz w:val="13"/>
                <w:szCs w:val="13"/>
                <w:color w:val="3B3C43"/>
              </w:rPr>
              <w:t>$20.98</w:t>
            </w:r>
          </w:p>
        </w:tc>
        <w:tc>
          <w:tcPr>
            <w:tcW w:w="880" w:type="dxa"/>
            <w:vAlign w:val="bottom"/>
            <w:tcBorders>
              <w:bottom w:val="single" w:sz="8" w:color="B1B2B4"/>
            </w:tcBorders>
            <w:shd w:val="clear" w:color="auto" w:fill="E1E1DF"/>
          </w:tcPr>
          <w:p>
            <w:pPr>
              <w:jc w:val="right"/>
              <w:ind w:right="57"/>
              <w:spacing w:after="0"/>
              <w:rPr>
                <w:sz w:val="20"/>
                <w:szCs w:val="20"/>
                <w:color w:val="auto"/>
              </w:rPr>
            </w:pPr>
            <w:r>
              <w:rPr>
                <w:rFonts w:ascii="Arial" w:cs="Arial" w:eastAsia="Arial" w:hAnsi="Arial"/>
                <w:sz w:val="13"/>
                <w:szCs w:val="13"/>
                <w:color w:val="3B3C43"/>
              </w:rPr>
              <w:t>3/8/2029</w:t>
            </w:r>
          </w:p>
        </w:tc>
        <w:tc>
          <w:tcPr>
            <w:tcW w:w="880" w:type="dxa"/>
            <w:vAlign w:val="bottom"/>
            <w:tcBorders>
              <w:bottom w:val="single" w:sz="8" w:color="B1B2B4"/>
            </w:tcBorders>
            <w:shd w:val="clear" w:color="auto" w:fill="E1E1DF"/>
          </w:tcPr>
          <w:p>
            <w:pPr>
              <w:jc w:val="right"/>
              <w:ind w:right="57"/>
              <w:spacing w:after="0" w:line="183" w:lineRule="exact"/>
              <w:rPr>
                <w:sz w:val="20"/>
                <w:szCs w:val="20"/>
                <w:color w:val="auto"/>
              </w:rPr>
            </w:pPr>
            <w:r>
              <w:rPr>
                <w:rFonts w:ascii="Arial" w:cs="Arial" w:eastAsia="Arial" w:hAnsi="Arial"/>
                <w:sz w:val="13"/>
                <w:szCs w:val="13"/>
                <w:color w:val="3B3C43"/>
              </w:rPr>
              <w:t>12,392</w:t>
            </w:r>
            <w:r>
              <w:rPr>
                <w:rFonts w:ascii="Arial" w:cs="Arial" w:eastAsia="Arial" w:hAnsi="Arial"/>
                <w:sz w:val="20"/>
                <w:szCs w:val="20"/>
                <w:color w:val="3B3C43"/>
                <w:vertAlign w:val="superscript"/>
              </w:rPr>
              <w:t>4</w:t>
            </w:r>
          </w:p>
        </w:tc>
        <w:tc>
          <w:tcPr>
            <w:tcW w:w="84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116,485</w:t>
            </w:r>
          </w:p>
        </w:tc>
        <w:tc>
          <w:tcPr>
            <w:tcW w:w="920" w:type="dxa"/>
            <w:vAlign w:val="bottom"/>
            <w:tcBorders>
              <w:bottom w:val="single" w:sz="8" w:color="B1B2B4"/>
            </w:tcBorders>
            <w:shd w:val="clear" w:color="auto" w:fill="E1E1DF"/>
          </w:tcPr>
          <w:p>
            <w:pPr>
              <w:jc w:val="right"/>
              <w:ind w:right="17"/>
              <w:spacing w:after="0" w:line="183" w:lineRule="exact"/>
              <w:rPr>
                <w:sz w:val="20"/>
                <w:szCs w:val="20"/>
                <w:color w:val="auto"/>
              </w:rPr>
            </w:pPr>
            <w:r>
              <w:rPr>
                <w:rFonts w:ascii="Arial" w:cs="Arial" w:eastAsia="Arial" w:hAnsi="Arial"/>
                <w:sz w:val="13"/>
                <w:szCs w:val="13"/>
                <w:color w:val="3B3C43"/>
              </w:rPr>
              <w:t>37,178</w:t>
            </w:r>
            <w:r>
              <w:rPr>
                <w:rFonts w:ascii="Arial" w:cs="Arial" w:eastAsia="Arial" w:hAnsi="Arial"/>
                <w:sz w:val="20"/>
                <w:szCs w:val="20"/>
                <w:color w:val="3B3C43"/>
                <w:vertAlign w:val="superscript"/>
              </w:rPr>
              <w:t>5</w:t>
            </w:r>
          </w:p>
        </w:tc>
        <w:tc>
          <w:tcPr>
            <w:tcW w:w="106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349,473</w:t>
            </w:r>
          </w:p>
        </w:tc>
        <w:tc>
          <w:tcPr>
            <w:tcW w:w="0" w:type="dxa"/>
            <w:vAlign w:val="bottom"/>
          </w:tcPr>
          <w:p>
            <w:pPr>
              <w:spacing w:after="0"/>
              <w:rPr>
                <w:sz w:val="1"/>
                <w:szCs w:val="1"/>
                <w:color w:val="auto"/>
              </w:rPr>
            </w:pPr>
          </w:p>
        </w:tc>
      </w:tr>
      <w:tr>
        <w:trPr>
          <w:trHeight w:val="183"/>
        </w:trPr>
        <w:tc>
          <w:tcPr>
            <w:tcW w:w="1360" w:type="dxa"/>
            <w:vAlign w:val="bottom"/>
            <w:shd w:val="clear" w:color="auto" w:fill="E1E1DF"/>
          </w:tcPr>
          <w:p>
            <w:pPr>
              <w:spacing w:after="0"/>
              <w:rPr>
                <w:sz w:val="15"/>
                <w:szCs w:val="15"/>
                <w:color w:val="auto"/>
              </w:rPr>
            </w:pPr>
          </w:p>
        </w:tc>
        <w:tc>
          <w:tcPr>
            <w:tcW w:w="90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1140" w:type="dxa"/>
            <w:vAlign w:val="bottom"/>
            <w:tcBorders>
              <w:bottom w:val="single" w:sz="8" w:color="B1B2B4"/>
            </w:tcBorders>
            <w:shd w:val="clear" w:color="auto" w:fill="E1E1DF"/>
          </w:tcPr>
          <w:p>
            <w:pPr>
              <w:spacing w:after="0"/>
              <w:rPr>
                <w:sz w:val="15"/>
                <w:szCs w:val="15"/>
                <w:color w:val="auto"/>
              </w:rPr>
            </w:pPr>
          </w:p>
        </w:tc>
        <w:tc>
          <w:tcPr>
            <w:tcW w:w="1140" w:type="dxa"/>
            <w:vAlign w:val="bottom"/>
            <w:tcBorders>
              <w:bottom w:val="single" w:sz="8" w:color="B1B2B4"/>
            </w:tcBorders>
            <w:shd w:val="clear" w:color="auto" w:fill="E1E1DF"/>
          </w:tcPr>
          <w:p>
            <w:pPr>
              <w:spacing w:after="0"/>
              <w:rPr>
                <w:sz w:val="15"/>
                <w:szCs w:val="15"/>
                <w:color w:val="auto"/>
              </w:rPr>
            </w:pPr>
          </w:p>
        </w:tc>
        <w:tc>
          <w:tcPr>
            <w:tcW w:w="1120" w:type="dxa"/>
            <w:vAlign w:val="bottom"/>
            <w:tcBorders>
              <w:bottom w:val="single" w:sz="8" w:color="B1B2B4"/>
            </w:tcBorders>
            <w:shd w:val="clear" w:color="auto" w:fill="E1E1DF"/>
          </w:tcPr>
          <w:p>
            <w:pPr>
              <w:spacing w:after="0"/>
              <w:rPr>
                <w:sz w:val="15"/>
                <w:szCs w:val="15"/>
                <w:color w:val="auto"/>
              </w:rPr>
            </w:pPr>
          </w:p>
        </w:tc>
        <w:tc>
          <w:tcPr>
            <w:tcW w:w="980" w:type="dxa"/>
            <w:vAlign w:val="bottom"/>
            <w:tcBorders>
              <w:bottom w:val="single" w:sz="8" w:color="B1B2B4"/>
            </w:tcBorders>
            <w:shd w:val="clear" w:color="auto" w:fill="E1E1DF"/>
          </w:tcPr>
          <w:p>
            <w:pPr>
              <w:jc w:val="right"/>
              <w:ind w:right="7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shd w:val="clear" w:color="auto" w:fill="E1E1DF"/>
          </w:tcPr>
          <w:p>
            <w:pPr>
              <w:jc w:val="right"/>
              <w:ind w:right="5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shd w:val="clear" w:color="auto" w:fill="E1E1DF"/>
          </w:tcPr>
          <w:p>
            <w:pPr>
              <w:jc w:val="right"/>
              <w:ind w:right="57"/>
              <w:spacing w:after="0" w:line="183" w:lineRule="exact"/>
              <w:rPr>
                <w:sz w:val="20"/>
                <w:szCs w:val="20"/>
                <w:color w:val="auto"/>
              </w:rPr>
            </w:pPr>
            <w:r>
              <w:rPr>
                <w:rFonts w:ascii="Arial" w:cs="Arial" w:eastAsia="Arial" w:hAnsi="Arial"/>
                <w:sz w:val="13"/>
                <w:szCs w:val="13"/>
                <w:color w:val="3B3C43"/>
              </w:rPr>
              <w:t>41,980</w:t>
            </w:r>
            <w:r>
              <w:rPr>
                <w:rFonts w:ascii="Arial" w:cs="Arial" w:eastAsia="Arial" w:hAnsi="Arial"/>
                <w:sz w:val="20"/>
                <w:szCs w:val="20"/>
                <w:color w:val="3B3C43"/>
                <w:vertAlign w:val="superscript"/>
              </w:rPr>
              <w:t>6</w:t>
            </w:r>
          </w:p>
        </w:tc>
        <w:tc>
          <w:tcPr>
            <w:tcW w:w="84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394,612</w:t>
            </w:r>
          </w:p>
        </w:tc>
        <w:tc>
          <w:tcPr>
            <w:tcW w:w="920" w:type="dxa"/>
            <w:vAlign w:val="bottom"/>
            <w:tcBorders>
              <w:bottom w:val="single" w:sz="8" w:color="B1B2B4"/>
            </w:tcBorders>
            <w:shd w:val="clear" w:color="auto" w:fill="E1E1DF"/>
          </w:tcPr>
          <w:p>
            <w:pPr>
              <w:jc w:val="right"/>
              <w:ind w:right="17"/>
              <w:spacing w:after="0" w:line="183" w:lineRule="exact"/>
              <w:rPr>
                <w:sz w:val="20"/>
                <w:szCs w:val="20"/>
                <w:color w:val="auto"/>
              </w:rPr>
            </w:pPr>
            <w:r>
              <w:rPr>
                <w:rFonts w:ascii="Arial" w:cs="Arial" w:eastAsia="Arial" w:hAnsi="Arial"/>
                <w:sz w:val="13"/>
                <w:szCs w:val="13"/>
                <w:color w:val="3B3C43"/>
              </w:rPr>
              <w:t>97,954</w:t>
            </w:r>
            <w:r>
              <w:rPr>
                <w:rFonts w:ascii="Arial" w:cs="Arial" w:eastAsia="Arial" w:hAnsi="Arial"/>
                <w:sz w:val="20"/>
                <w:szCs w:val="20"/>
                <w:color w:val="3B3C43"/>
                <w:vertAlign w:val="superscript"/>
              </w:rPr>
              <w:t>7</w:t>
            </w:r>
          </w:p>
        </w:tc>
        <w:tc>
          <w:tcPr>
            <w:tcW w:w="1060" w:type="dxa"/>
            <w:vAlign w:val="bottom"/>
            <w:tcBorders>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920,768</w:t>
            </w:r>
          </w:p>
        </w:tc>
        <w:tc>
          <w:tcPr>
            <w:tcW w:w="0" w:type="dxa"/>
            <w:vAlign w:val="bottom"/>
          </w:tcPr>
          <w:p>
            <w:pPr>
              <w:spacing w:after="0"/>
              <w:rPr>
                <w:sz w:val="1"/>
                <w:szCs w:val="1"/>
                <w:color w:val="auto"/>
              </w:rPr>
            </w:pPr>
          </w:p>
        </w:tc>
      </w:tr>
      <w:tr>
        <w:trPr>
          <w:trHeight w:val="181"/>
        </w:trPr>
        <w:tc>
          <w:tcPr>
            <w:tcW w:w="1360" w:type="dxa"/>
            <w:vAlign w:val="bottom"/>
          </w:tcPr>
          <w:p>
            <w:pPr>
              <w:ind w:left="40"/>
              <w:spacing w:after="0"/>
              <w:rPr>
                <w:sz w:val="20"/>
                <w:szCs w:val="20"/>
                <w:color w:val="auto"/>
              </w:rPr>
            </w:pPr>
            <w:r>
              <w:rPr>
                <w:rFonts w:ascii="Arial" w:cs="Arial" w:eastAsia="Arial" w:hAnsi="Arial"/>
                <w:sz w:val="13"/>
                <w:szCs w:val="13"/>
                <w:b w:val="1"/>
                <w:bCs w:val="1"/>
                <w:color w:val="3B3C43"/>
              </w:rPr>
              <w:t>Barry Glickman</w:t>
            </w: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2/28/2017</w:t>
            </w:r>
          </w:p>
        </w:tc>
        <w:tc>
          <w:tcPr>
            <w:tcW w:w="11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21,338</w:t>
            </w:r>
          </w:p>
        </w:tc>
        <w:tc>
          <w:tcPr>
            <w:tcW w:w="1140" w:type="dxa"/>
            <w:vAlign w:val="bottom"/>
            <w:tcBorders>
              <w:bottom w:val="single" w:sz="8" w:color="B1B2B4"/>
            </w:tcBorders>
          </w:tcPr>
          <w:p>
            <w:pPr>
              <w:spacing w:after="0"/>
              <w:rPr>
                <w:sz w:val="15"/>
                <w:szCs w:val="15"/>
                <w:color w:val="auto"/>
              </w:rPr>
            </w:pP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$32.32</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2/27/2027</w:t>
            </w:r>
          </w:p>
        </w:tc>
        <w:tc>
          <w:tcPr>
            <w:tcW w:w="880" w:type="dxa"/>
            <w:vAlign w:val="bottom"/>
            <w:tcBorders>
              <w:bottom w:val="single" w:sz="8" w:color="B1B2B4"/>
            </w:tcBorders>
          </w:tcPr>
          <w:p>
            <w:pPr>
              <w:spacing w:after="0"/>
              <w:rPr>
                <w:sz w:val="15"/>
                <w:szCs w:val="15"/>
                <w:color w:val="auto"/>
              </w:rPr>
            </w:pPr>
          </w:p>
        </w:tc>
        <w:tc>
          <w:tcPr>
            <w:tcW w:w="840" w:type="dxa"/>
            <w:vAlign w:val="bottom"/>
            <w:tcBorders>
              <w:bottom w:val="single" w:sz="8" w:color="B1B2B4"/>
            </w:tcBorders>
          </w:tcPr>
          <w:p>
            <w:pPr>
              <w:spacing w:after="0"/>
              <w:rPr>
                <w:sz w:val="15"/>
                <w:szCs w:val="15"/>
                <w:color w:val="auto"/>
              </w:rPr>
            </w:pPr>
          </w:p>
        </w:tc>
        <w:tc>
          <w:tcPr>
            <w:tcW w:w="920" w:type="dxa"/>
            <w:vAlign w:val="bottom"/>
            <w:tcBorders>
              <w:bottom w:val="single" w:sz="8" w:color="B1B2B4"/>
            </w:tcBorders>
          </w:tcPr>
          <w:p>
            <w:pPr>
              <w:spacing w:after="0"/>
              <w:rPr>
                <w:sz w:val="15"/>
                <w:szCs w:val="15"/>
                <w:color w:val="auto"/>
              </w:rPr>
            </w:pPr>
          </w:p>
        </w:tc>
        <w:tc>
          <w:tcPr>
            <w:tcW w:w="1060" w:type="dxa"/>
            <w:vAlign w:val="bottom"/>
            <w:tcBorders>
              <w:bottom w:val="single" w:sz="8" w:color="B1B2B4"/>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2/26/2018</w:t>
            </w:r>
          </w:p>
        </w:tc>
        <w:tc>
          <w:tcPr>
            <w:tcW w:w="1140" w:type="dxa"/>
            <w:vAlign w:val="bottom"/>
            <w:tcBorders>
              <w:bottom w:val="single" w:sz="8" w:color="B1B2B4"/>
            </w:tcBorders>
          </w:tcPr>
          <w:p>
            <w:pPr>
              <w:spacing w:after="0"/>
              <w:rPr>
                <w:sz w:val="15"/>
                <w:szCs w:val="15"/>
                <w:color w:val="auto"/>
              </w:rPr>
            </w:pPr>
          </w:p>
        </w:tc>
        <w:tc>
          <w:tcPr>
            <w:tcW w:w="1140" w:type="dxa"/>
            <w:vAlign w:val="bottom"/>
            <w:tcBorders>
              <w:bottom w:val="single" w:sz="8" w:color="B1B2B4"/>
            </w:tcBorders>
          </w:tcPr>
          <w:p>
            <w:pPr>
              <w:jc w:val="right"/>
              <w:spacing w:after="0" w:line="184" w:lineRule="exact"/>
              <w:rPr>
                <w:sz w:val="20"/>
                <w:szCs w:val="20"/>
                <w:color w:val="auto"/>
              </w:rPr>
            </w:pPr>
            <w:r>
              <w:rPr>
                <w:rFonts w:ascii="Arial" w:cs="Arial" w:eastAsia="Arial" w:hAnsi="Arial"/>
                <w:sz w:val="13"/>
                <w:szCs w:val="13"/>
                <w:color w:val="3B3C43"/>
              </w:rPr>
              <w:t>27,731</w:t>
            </w:r>
            <w:r>
              <w:rPr>
                <w:rFonts w:ascii="Arial" w:cs="Arial" w:eastAsia="Arial" w:hAnsi="Arial"/>
                <w:sz w:val="20"/>
                <w:szCs w:val="20"/>
                <w:color w:val="3B3C43"/>
                <w:vertAlign w:val="superscript"/>
              </w:rPr>
              <w:t>2</w:t>
            </w: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$30.30</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2/26/2028</w:t>
            </w:r>
          </w:p>
        </w:tc>
        <w:tc>
          <w:tcPr>
            <w:tcW w:w="880" w:type="dxa"/>
            <w:vAlign w:val="bottom"/>
            <w:tcBorders>
              <w:bottom w:val="single" w:sz="8" w:color="B1B2B4"/>
            </w:tcBorders>
          </w:tcPr>
          <w:p>
            <w:pPr>
              <w:jc w:val="right"/>
              <w:ind w:right="57"/>
              <w:spacing w:after="0" w:line="184" w:lineRule="exact"/>
              <w:rPr>
                <w:sz w:val="20"/>
                <w:szCs w:val="20"/>
                <w:color w:val="auto"/>
              </w:rPr>
            </w:pPr>
            <w:r>
              <w:rPr>
                <w:rFonts w:ascii="Arial" w:cs="Arial" w:eastAsia="Arial" w:hAnsi="Arial"/>
                <w:sz w:val="13"/>
                <w:szCs w:val="13"/>
                <w:color w:val="3B3C43"/>
              </w:rPr>
              <w:t>8,250</w:t>
            </w:r>
            <w:r>
              <w:rPr>
                <w:rFonts w:ascii="Arial" w:cs="Arial" w:eastAsia="Arial" w:hAnsi="Arial"/>
                <w:sz w:val="20"/>
                <w:szCs w:val="20"/>
                <w:color w:val="3B3C43"/>
                <w:vertAlign w:val="superscript"/>
              </w:rPr>
              <w:t>2</w:t>
            </w:r>
          </w:p>
        </w:tc>
        <w:tc>
          <w:tcPr>
            <w:tcW w:w="8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77,550</w:t>
            </w:r>
          </w:p>
        </w:tc>
        <w:tc>
          <w:tcPr>
            <w:tcW w:w="920" w:type="dxa"/>
            <w:vAlign w:val="bottom"/>
            <w:tcBorders>
              <w:bottom w:val="single" w:sz="8" w:color="B1B2B4"/>
            </w:tcBorders>
          </w:tcPr>
          <w:p>
            <w:pPr>
              <w:jc w:val="right"/>
              <w:ind w:right="17"/>
              <w:spacing w:after="0" w:line="184" w:lineRule="exact"/>
              <w:rPr>
                <w:sz w:val="20"/>
                <w:szCs w:val="20"/>
                <w:color w:val="auto"/>
              </w:rPr>
            </w:pPr>
            <w:r>
              <w:rPr>
                <w:rFonts w:ascii="Arial" w:cs="Arial" w:eastAsia="Arial" w:hAnsi="Arial"/>
                <w:sz w:val="13"/>
                <w:szCs w:val="13"/>
                <w:color w:val="3B3C43"/>
              </w:rPr>
              <w:t>24,752</w:t>
            </w:r>
            <w:r>
              <w:rPr>
                <w:rFonts w:ascii="Arial" w:cs="Arial" w:eastAsia="Arial" w:hAnsi="Arial"/>
                <w:sz w:val="20"/>
                <w:szCs w:val="20"/>
                <w:color w:val="3B3C43"/>
                <w:vertAlign w:val="superscript"/>
              </w:rPr>
              <w:t>3</w:t>
            </w:r>
          </w:p>
        </w:tc>
        <w:tc>
          <w:tcPr>
            <w:tcW w:w="106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232,669</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3/8/2019</w:t>
            </w:r>
          </w:p>
        </w:tc>
        <w:tc>
          <w:tcPr>
            <w:tcW w:w="1140" w:type="dxa"/>
            <w:vAlign w:val="bottom"/>
            <w:tcBorders>
              <w:bottom w:val="single" w:sz="8" w:color="B1B2B4"/>
            </w:tcBorders>
          </w:tcPr>
          <w:p>
            <w:pPr>
              <w:spacing w:after="0"/>
              <w:rPr>
                <w:sz w:val="15"/>
                <w:szCs w:val="15"/>
                <w:color w:val="auto"/>
              </w:rPr>
            </w:pPr>
          </w:p>
        </w:tc>
        <w:tc>
          <w:tcPr>
            <w:tcW w:w="1140" w:type="dxa"/>
            <w:vAlign w:val="bottom"/>
            <w:tcBorders>
              <w:bottom w:val="single" w:sz="8" w:color="B1B2B4"/>
            </w:tcBorders>
          </w:tcPr>
          <w:p>
            <w:pPr>
              <w:jc w:val="right"/>
              <w:spacing w:after="0" w:line="183" w:lineRule="exact"/>
              <w:rPr>
                <w:sz w:val="20"/>
                <w:szCs w:val="20"/>
                <w:color w:val="auto"/>
              </w:rPr>
            </w:pPr>
            <w:r>
              <w:rPr>
                <w:rFonts w:ascii="Arial" w:cs="Arial" w:eastAsia="Arial" w:hAnsi="Arial"/>
                <w:sz w:val="13"/>
                <w:szCs w:val="13"/>
                <w:color w:val="3B3C43"/>
              </w:rPr>
              <w:t>46,066</w:t>
            </w:r>
            <w:r>
              <w:rPr>
                <w:rFonts w:ascii="Arial" w:cs="Arial" w:eastAsia="Arial" w:hAnsi="Arial"/>
                <w:sz w:val="20"/>
                <w:szCs w:val="20"/>
                <w:color w:val="3B3C43"/>
                <w:vertAlign w:val="superscript"/>
              </w:rPr>
              <w:t>4</w:t>
            </w: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$20.98</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3/8/2029</w:t>
            </w:r>
          </w:p>
        </w:tc>
        <w:tc>
          <w:tcPr>
            <w:tcW w:w="880" w:type="dxa"/>
            <w:vAlign w:val="bottom"/>
            <w:tcBorders>
              <w:bottom w:val="single" w:sz="8" w:color="B1B2B4"/>
            </w:tcBorders>
          </w:tcPr>
          <w:p>
            <w:pPr>
              <w:jc w:val="right"/>
              <w:ind w:right="57"/>
              <w:spacing w:after="0" w:line="183" w:lineRule="exact"/>
              <w:rPr>
                <w:sz w:val="20"/>
                <w:szCs w:val="20"/>
                <w:color w:val="auto"/>
              </w:rPr>
            </w:pPr>
            <w:r>
              <w:rPr>
                <w:rFonts w:ascii="Arial" w:cs="Arial" w:eastAsia="Arial" w:hAnsi="Arial"/>
                <w:sz w:val="13"/>
                <w:szCs w:val="13"/>
                <w:color w:val="3B3C43"/>
              </w:rPr>
              <w:t>12,392</w:t>
            </w:r>
            <w:r>
              <w:rPr>
                <w:rFonts w:ascii="Arial" w:cs="Arial" w:eastAsia="Arial" w:hAnsi="Arial"/>
                <w:sz w:val="20"/>
                <w:szCs w:val="20"/>
                <w:color w:val="3B3C43"/>
                <w:vertAlign w:val="superscript"/>
              </w:rPr>
              <w:t>4</w:t>
            </w:r>
          </w:p>
        </w:tc>
        <w:tc>
          <w:tcPr>
            <w:tcW w:w="8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116,485</w:t>
            </w:r>
          </w:p>
        </w:tc>
        <w:tc>
          <w:tcPr>
            <w:tcW w:w="920" w:type="dxa"/>
            <w:vAlign w:val="bottom"/>
            <w:tcBorders>
              <w:bottom w:val="single" w:sz="8" w:color="B1B2B4"/>
            </w:tcBorders>
          </w:tcPr>
          <w:p>
            <w:pPr>
              <w:jc w:val="right"/>
              <w:ind w:right="17"/>
              <w:spacing w:after="0" w:line="183" w:lineRule="exact"/>
              <w:rPr>
                <w:sz w:val="20"/>
                <w:szCs w:val="20"/>
                <w:color w:val="auto"/>
              </w:rPr>
            </w:pPr>
            <w:r>
              <w:rPr>
                <w:rFonts w:ascii="Arial" w:cs="Arial" w:eastAsia="Arial" w:hAnsi="Arial"/>
                <w:sz w:val="13"/>
                <w:szCs w:val="13"/>
                <w:color w:val="3B3C43"/>
              </w:rPr>
              <w:t>37,178</w:t>
            </w:r>
            <w:r>
              <w:rPr>
                <w:rFonts w:ascii="Arial" w:cs="Arial" w:eastAsia="Arial" w:hAnsi="Arial"/>
                <w:sz w:val="20"/>
                <w:szCs w:val="20"/>
                <w:color w:val="3B3C43"/>
                <w:vertAlign w:val="superscript"/>
              </w:rPr>
              <w:t>5</w:t>
            </w:r>
          </w:p>
        </w:tc>
        <w:tc>
          <w:tcPr>
            <w:tcW w:w="106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349,473</w:t>
            </w:r>
          </w:p>
        </w:tc>
        <w:tc>
          <w:tcPr>
            <w:tcW w:w="0" w:type="dxa"/>
            <w:vAlign w:val="bottom"/>
          </w:tcPr>
          <w:p>
            <w:pPr>
              <w:spacing w:after="0"/>
              <w:rPr>
                <w:sz w:val="1"/>
                <w:szCs w:val="1"/>
                <w:color w:val="auto"/>
              </w:rPr>
            </w:pPr>
          </w:p>
        </w:tc>
      </w:tr>
      <w:tr>
        <w:trPr>
          <w:trHeight w:val="183"/>
        </w:trPr>
        <w:tc>
          <w:tcPr>
            <w:tcW w:w="1360" w:type="dxa"/>
            <w:vAlign w:val="bottom"/>
            <w:tcBorders>
              <w:bottom w:val="single" w:sz="8" w:color="E1E1DF"/>
            </w:tcBorders>
          </w:tcPr>
          <w:p>
            <w:pPr>
              <w:spacing w:after="0"/>
              <w:rPr>
                <w:sz w:val="15"/>
                <w:szCs w:val="15"/>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1140" w:type="dxa"/>
            <w:vAlign w:val="bottom"/>
            <w:tcBorders>
              <w:bottom w:val="single" w:sz="8" w:color="B1B2B4"/>
            </w:tcBorders>
          </w:tcPr>
          <w:p>
            <w:pPr>
              <w:spacing w:after="0"/>
              <w:rPr>
                <w:sz w:val="15"/>
                <w:szCs w:val="15"/>
                <w:color w:val="auto"/>
              </w:rPr>
            </w:pPr>
          </w:p>
        </w:tc>
        <w:tc>
          <w:tcPr>
            <w:tcW w:w="1140" w:type="dxa"/>
            <w:vAlign w:val="bottom"/>
            <w:tcBorders>
              <w:bottom w:val="single" w:sz="8" w:color="B1B2B4"/>
            </w:tcBorders>
          </w:tcPr>
          <w:p>
            <w:pPr>
              <w:spacing w:after="0"/>
              <w:rPr>
                <w:sz w:val="15"/>
                <w:szCs w:val="15"/>
                <w:color w:val="auto"/>
              </w:rPr>
            </w:pP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tcPr>
          <w:p>
            <w:pPr>
              <w:jc w:val="right"/>
              <w:ind w:right="57"/>
              <w:spacing w:after="0" w:line="183" w:lineRule="exact"/>
              <w:rPr>
                <w:sz w:val="20"/>
                <w:szCs w:val="20"/>
                <w:color w:val="auto"/>
              </w:rPr>
            </w:pPr>
            <w:r>
              <w:rPr>
                <w:rFonts w:ascii="Arial" w:cs="Arial" w:eastAsia="Arial" w:hAnsi="Arial"/>
                <w:sz w:val="13"/>
                <w:szCs w:val="13"/>
                <w:color w:val="3B3C43"/>
              </w:rPr>
              <w:t>41,980</w:t>
            </w:r>
            <w:r>
              <w:rPr>
                <w:rFonts w:ascii="Arial" w:cs="Arial" w:eastAsia="Arial" w:hAnsi="Arial"/>
                <w:sz w:val="20"/>
                <w:szCs w:val="20"/>
                <w:color w:val="3B3C43"/>
                <w:vertAlign w:val="superscript"/>
              </w:rPr>
              <w:t>6</w:t>
            </w:r>
          </w:p>
        </w:tc>
        <w:tc>
          <w:tcPr>
            <w:tcW w:w="8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394,612</w:t>
            </w:r>
          </w:p>
        </w:tc>
        <w:tc>
          <w:tcPr>
            <w:tcW w:w="920" w:type="dxa"/>
            <w:vAlign w:val="bottom"/>
            <w:tcBorders>
              <w:bottom w:val="single" w:sz="8" w:color="B1B2B4"/>
            </w:tcBorders>
          </w:tcPr>
          <w:p>
            <w:pPr>
              <w:jc w:val="right"/>
              <w:ind w:right="17"/>
              <w:spacing w:after="0" w:line="183" w:lineRule="exact"/>
              <w:rPr>
                <w:sz w:val="20"/>
                <w:szCs w:val="20"/>
                <w:color w:val="auto"/>
              </w:rPr>
            </w:pPr>
            <w:r>
              <w:rPr>
                <w:rFonts w:ascii="Arial" w:cs="Arial" w:eastAsia="Arial" w:hAnsi="Arial"/>
                <w:sz w:val="13"/>
                <w:szCs w:val="13"/>
                <w:color w:val="3B3C43"/>
              </w:rPr>
              <w:t>97,954</w:t>
            </w:r>
            <w:r>
              <w:rPr>
                <w:rFonts w:ascii="Arial" w:cs="Arial" w:eastAsia="Arial" w:hAnsi="Arial"/>
                <w:sz w:val="20"/>
                <w:szCs w:val="20"/>
                <w:color w:val="3B3C43"/>
                <w:vertAlign w:val="superscript"/>
              </w:rPr>
              <w:t>7</w:t>
            </w:r>
          </w:p>
        </w:tc>
        <w:tc>
          <w:tcPr>
            <w:tcW w:w="106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920,768</w:t>
            </w:r>
          </w:p>
        </w:tc>
        <w:tc>
          <w:tcPr>
            <w:tcW w:w="0" w:type="dxa"/>
            <w:vAlign w:val="bottom"/>
          </w:tcPr>
          <w:p>
            <w:pPr>
              <w:spacing w:after="0"/>
              <w:rPr>
                <w:sz w:val="1"/>
                <w:szCs w:val="1"/>
                <w:color w:val="auto"/>
              </w:rPr>
            </w:pPr>
          </w:p>
        </w:tc>
      </w:tr>
      <w:tr>
        <w:trPr>
          <w:trHeight w:val="188"/>
        </w:trPr>
        <w:tc>
          <w:tcPr>
            <w:tcW w:w="1360" w:type="dxa"/>
            <w:vAlign w:val="bottom"/>
            <w:tcBorders>
              <w:bottom w:val="single" w:sz="8" w:color="E1E1DF"/>
            </w:tcBorders>
            <w:shd w:val="clear" w:color="auto" w:fill="E1E1DF"/>
          </w:tcPr>
          <w:p>
            <w:pPr>
              <w:ind w:left="40"/>
              <w:spacing w:after="0" w:line="129" w:lineRule="exact"/>
              <w:rPr>
                <w:sz w:val="20"/>
                <w:szCs w:val="20"/>
                <w:color w:val="auto"/>
              </w:rPr>
            </w:pPr>
            <w:r>
              <w:rPr>
                <w:rFonts w:ascii="Arial" w:cs="Arial" w:eastAsia="Arial" w:hAnsi="Arial"/>
                <w:sz w:val="13"/>
                <w:szCs w:val="13"/>
                <w:b w:val="1"/>
                <w:bCs w:val="1"/>
                <w:color w:val="3B3C43"/>
              </w:rPr>
              <w:t>Catherine</w:t>
            </w:r>
          </w:p>
        </w:tc>
        <w:tc>
          <w:tcPr>
            <w:tcW w:w="900" w:type="dxa"/>
            <w:vAlign w:val="bottom"/>
            <w:tcBorders>
              <w:bottom w:val="single" w:sz="8" w:color="E1E1DF"/>
            </w:tcBorders>
            <w:shd w:val="clear" w:color="auto" w:fill="E1E1DF"/>
          </w:tcPr>
          <w:p>
            <w:pPr>
              <w:jc w:val="right"/>
              <w:spacing w:after="0" w:line="129" w:lineRule="exact"/>
              <w:rPr>
                <w:sz w:val="20"/>
                <w:szCs w:val="20"/>
                <w:color w:val="auto"/>
              </w:rPr>
            </w:pPr>
            <w:r>
              <w:rPr>
                <w:rFonts w:ascii="Arial" w:cs="Arial" w:eastAsia="Arial" w:hAnsi="Arial"/>
                <w:sz w:val="13"/>
                <w:szCs w:val="13"/>
                <w:color w:val="3B3C43"/>
              </w:rPr>
              <w:t>9/23/2019</w:t>
            </w:r>
          </w:p>
        </w:tc>
        <w:tc>
          <w:tcPr>
            <w:tcW w:w="1140" w:type="dxa"/>
            <w:vAlign w:val="bottom"/>
            <w:tcBorders>
              <w:bottom w:val="single" w:sz="8" w:color="E1E1DF"/>
            </w:tcBorders>
            <w:shd w:val="clear" w:color="auto" w:fill="E1E1DF"/>
          </w:tcPr>
          <w:p>
            <w:pPr>
              <w:spacing w:after="0"/>
              <w:rPr>
                <w:sz w:val="15"/>
                <w:szCs w:val="15"/>
                <w:color w:val="auto"/>
              </w:rPr>
            </w:pPr>
          </w:p>
        </w:tc>
        <w:tc>
          <w:tcPr>
            <w:tcW w:w="1140" w:type="dxa"/>
            <w:vAlign w:val="bottom"/>
            <w:tcBorders>
              <w:bottom w:val="single" w:sz="8" w:color="E1E1DF"/>
            </w:tcBorders>
            <w:shd w:val="clear" w:color="auto" w:fill="E1E1DF"/>
          </w:tcPr>
          <w:p>
            <w:pPr>
              <w:spacing w:after="0"/>
              <w:rPr>
                <w:sz w:val="15"/>
                <w:szCs w:val="15"/>
                <w:color w:val="auto"/>
              </w:rPr>
            </w:pPr>
          </w:p>
        </w:tc>
        <w:tc>
          <w:tcPr>
            <w:tcW w:w="1120" w:type="dxa"/>
            <w:vAlign w:val="bottom"/>
            <w:tcBorders>
              <w:bottom w:val="single" w:sz="8" w:color="E1E1DF"/>
            </w:tcBorders>
            <w:shd w:val="clear" w:color="auto" w:fill="E1E1DF"/>
          </w:tcPr>
          <w:p>
            <w:pPr>
              <w:spacing w:after="0"/>
              <w:rPr>
                <w:sz w:val="15"/>
                <w:szCs w:val="15"/>
                <w:color w:val="auto"/>
              </w:rPr>
            </w:pPr>
          </w:p>
        </w:tc>
        <w:tc>
          <w:tcPr>
            <w:tcW w:w="980" w:type="dxa"/>
            <w:vAlign w:val="bottom"/>
            <w:tcBorders>
              <w:bottom w:val="single" w:sz="8" w:color="E1E1DF"/>
            </w:tcBorders>
            <w:shd w:val="clear" w:color="auto" w:fill="E1E1DF"/>
          </w:tcPr>
          <w:p>
            <w:pPr>
              <w:jc w:val="right"/>
              <w:ind w:right="77"/>
              <w:spacing w:after="0" w:line="129" w:lineRule="exact"/>
              <w:rPr>
                <w:sz w:val="20"/>
                <w:szCs w:val="20"/>
                <w:color w:val="auto"/>
              </w:rPr>
            </w:pPr>
            <w:r>
              <w:rPr>
                <w:rFonts w:ascii="Arial" w:cs="Arial" w:eastAsia="Arial" w:hAnsi="Arial"/>
                <w:sz w:val="13"/>
                <w:szCs w:val="13"/>
                <w:color w:val="3B3C43"/>
              </w:rPr>
              <w:t>NA</w:t>
            </w:r>
          </w:p>
        </w:tc>
        <w:tc>
          <w:tcPr>
            <w:tcW w:w="880" w:type="dxa"/>
            <w:vAlign w:val="bottom"/>
            <w:tcBorders>
              <w:bottom w:val="single" w:sz="8" w:color="E1E1DF"/>
            </w:tcBorders>
            <w:shd w:val="clear" w:color="auto" w:fill="E1E1DF"/>
          </w:tcPr>
          <w:p>
            <w:pPr>
              <w:jc w:val="right"/>
              <w:ind w:right="57"/>
              <w:spacing w:after="0" w:line="129" w:lineRule="exact"/>
              <w:rPr>
                <w:sz w:val="20"/>
                <w:szCs w:val="20"/>
                <w:color w:val="auto"/>
              </w:rPr>
            </w:pPr>
            <w:r>
              <w:rPr>
                <w:rFonts w:ascii="Arial" w:cs="Arial" w:eastAsia="Arial" w:hAnsi="Arial"/>
                <w:sz w:val="13"/>
                <w:szCs w:val="13"/>
                <w:color w:val="3B3C43"/>
              </w:rPr>
              <w:t>NA</w:t>
            </w:r>
          </w:p>
        </w:tc>
        <w:tc>
          <w:tcPr>
            <w:tcW w:w="880" w:type="dxa"/>
            <w:vAlign w:val="bottom"/>
            <w:tcBorders>
              <w:bottom w:val="single" w:sz="8" w:color="E1E1DF"/>
            </w:tcBorders>
            <w:shd w:val="clear" w:color="auto" w:fill="E1E1DF"/>
          </w:tcPr>
          <w:p>
            <w:pPr>
              <w:spacing w:after="0"/>
              <w:rPr>
                <w:sz w:val="15"/>
                <w:szCs w:val="15"/>
                <w:color w:val="auto"/>
              </w:rPr>
            </w:pPr>
          </w:p>
        </w:tc>
        <w:tc>
          <w:tcPr>
            <w:tcW w:w="840" w:type="dxa"/>
            <w:vAlign w:val="bottom"/>
            <w:tcBorders>
              <w:bottom w:val="single" w:sz="8" w:color="E1E1DF"/>
            </w:tcBorders>
            <w:shd w:val="clear" w:color="auto" w:fill="E1E1DF"/>
          </w:tcPr>
          <w:p>
            <w:pPr>
              <w:spacing w:after="0"/>
              <w:rPr>
                <w:sz w:val="15"/>
                <w:szCs w:val="15"/>
                <w:color w:val="auto"/>
              </w:rPr>
            </w:pPr>
          </w:p>
        </w:tc>
        <w:tc>
          <w:tcPr>
            <w:tcW w:w="920" w:type="dxa"/>
            <w:vAlign w:val="bottom"/>
            <w:tcBorders>
              <w:bottom w:val="single" w:sz="8" w:color="E1E1DF"/>
            </w:tcBorders>
            <w:shd w:val="clear" w:color="auto" w:fill="E1E1DF"/>
          </w:tcPr>
          <w:p>
            <w:pPr>
              <w:spacing w:after="0"/>
              <w:rPr>
                <w:sz w:val="15"/>
                <w:szCs w:val="15"/>
                <w:color w:val="auto"/>
              </w:rPr>
            </w:pPr>
          </w:p>
        </w:tc>
        <w:tc>
          <w:tcPr>
            <w:tcW w:w="1060" w:type="dxa"/>
            <w:vAlign w:val="bottom"/>
            <w:tcBorders>
              <w:bottom w:val="single" w:sz="8" w:color="E1E1DF"/>
            </w:tcBorders>
            <w:shd w:val="clear" w:color="auto" w:fill="E1E1D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Borders>
              <w:top w:val="single" w:sz="8" w:color="E1E1DF"/>
              <w:bottom w:val="single" w:sz="8" w:color="E1E1DF"/>
            </w:tcBorders>
            <w:shd w:val="clear" w:color="auto" w:fill="E1E1DF"/>
          </w:tcPr>
          <w:p>
            <w:pPr>
              <w:ind w:left="40"/>
              <w:spacing w:after="0" w:line="129" w:lineRule="exact"/>
              <w:rPr>
                <w:sz w:val="20"/>
                <w:szCs w:val="20"/>
                <w:color w:val="auto"/>
              </w:rPr>
            </w:pPr>
            <w:r>
              <w:rPr>
                <w:rFonts w:ascii="Arial" w:cs="Arial" w:eastAsia="Arial" w:hAnsi="Arial"/>
                <w:sz w:val="9"/>
                <w:szCs w:val="9"/>
                <w:b w:val="1"/>
                <w:bCs w:val="1"/>
                <w:color w:val="3B3C43"/>
              </w:rPr>
              <w:t>MacGregor</w:t>
            </w:r>
            <w:r>
              <w:rPr>
                <w:rFonts w:ascii="Arial" w:cs="Arial" w:eastAsia="Arial" w:hAnsi="Arial"/>
                <w:sz w:val="14"/>
                <w:szCs w:val="14"/>
                <w:b w:val="1"/>
                <w:bCs w:val="1"/>
                <w:color w:val="3B3C43"/>
                <w:vertAlign w:val="superscript"/>
              </w:rPr>
              <w:t>8</w:t>
            </w:r>
          </w:p>
        </w:tc>
        <w:tc>
          <w:tcPr>
            <w:tcW w:w="900" w:type="dxa"/>
            <w:vAlign w:val="bottom"/>
            <w:tcBorders>
              <w:top w:val="single" w:sz="8" w:color="B1B2B4"/>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3/9/2020</w:t>
            </w:r>
          </w:p>
        </w:tc>
        <w:tc>
          <w:tcPr>
            <w:tcW w:w="1140" w:type="dxa"/>
            <w:vAlign w:val="bottom"/>
            <w:tcBorders>
              <w:top w:val="single" w:sz="8" w:color="B1B2B4"/>
              <w:bottom w:val="single" w:sz="8" w:color="E1E1DF"/>
            </w:tcBorders>
            <w:shd w:val="clear" w:color="auto" w:fill="E1E1DF"/>
          </w:tcPr>
          <w:p>
            <w:pPr>
              <w:spacing w:after="0"/>
              <w:rPr>
                <w:sz w:val="15"/>
                <w:szCs w:val="15"/>
                <w:color w:val="auto"/>
              </w:rPr>
            </w:pPr>
          </w:p>
        </w:tc>
        <w:tc>
          <w:tcPr>
            <w:tcW w:w="1140" w:type="dxa"/>
            <w:vAlign w:val="bottom"/>
            <w:tcBorders>
              <w:top w:val="single" w:sz="8" w:color="B1B2B4"/>
              <w:bottom w:val="single" w:sz="8" w:color="E1E1DF"/>
            </w:tcBorders>
            <w:shd w:val="clear" w:color="auto" w:fill="E1E1DF"/>
          </w:tcPr>
          <w:p>
            <w:pPr>
              <w:spacing w:after="0"/>
              <w:rPr>
                <w:sz w:val="15"/>
                <w:szCs w:val="15"/>
                <w:color w:val="auto"/>
              </w:rPr>
            </w:pPr>
          </w:p>
        </w:tc>
        <w:tc>
          <w:tcPr>
            <w:tcW w:w="1120" w:type="dxa"/>
            <w:vAlign w:val="bottom"/>
            <w:tcBorders>
              <w:top w:val="single" w:sz="8" w:color="B1B2B4"/>
              <w:bottom w:val="single" w:sz="8" w:color="E1E1DF"/>
            </w:tcBorders>
            <w:shd w:val="clear" w:color="auto" w:fill="E1E1DF"/>
          </w:tcPr>
          <w:p>
            <w:pPr>
              <w:spacing w:after="0"/>
              <w:rPr>
                <w:sz w:val="15"/>
                <w:szCs w:val="15"/>
                <w:color w:val="auto"/>
              </w:rPr>
            </w:pPr>
          </w:p>
        </w:tc>
        <w:tc>
          <w:tcPr>
            <w:tcW w:w="980" w:type="dxa"/>
            <w:vAlign w:val="bottom"/>
            <w:tcBorders>
              <w:top w:val="single" w:sz="8" w:color="B1B2B4"/>
              <w:bottom w:val="single" w:sz="8" w:color="B1B2B4"/>
            </w:tcBorders>
            <w:shd w:val="clear" w:color="auto" w:fill="E1E1DF"/>
          </w:tcPr>
          <w:p>
            <w:pPr>
              <w:jc w:val="right"/>
              <w:ind w:right="77"/>
              <w:spacing w:after="0"/>
              <w:rPr>
                <w:sz w:val="20"/>
                <w:szCs w:val="20"/>
                <w:color w:val="auto"/>
              </w:rPr>
            </w:pPr>
            <w:r>
              <w:rPr>
                <w:rFonts w:ascii="Arial" w:cs="Arial" w:eastAsia="Arial" w:hAnsi="Arial"/>
                <w:sz w:val="13"/>
                <w:szCs w:val="13"/>
                <w:color w:val="3B3C43"/>
              </w:rPr>
              <w:t>NA</w:t>
            </w:r>
          </w:p>
        </w:tc>
        <w:tc>
          <w:tcPr>
            <w:tcW w:w="880" w:type="dxa"/>
            <w:vAlign w:val="bottom"/>
            <w:tcBorders>
              <w:top w:val="single" w:sz="8" w:color="B1B2B4"/>
              <w:bottom w:val="single" w:sz="8" w:color="B1B2B4"/>
            </w:tcBorders>
            <w:shd w:val="clear" w:color="auto" w:fill="E1E1DF"/>
          </w:tcPr>
          <w:p>
            <w:pPr>
              <w:jc w:val="right"/>
              <w:ind w:right="57"/>
              <w:spacing w:after="0"/>
              <w:rPr>
                <w:sz w:val="20"/>
                <w:szCs w:val="20"/>
                <w:color w:val="auto"/>
              </w:rPr>
            </w:pPr>
            <w:r>
              <w:rPr>
                <w:rFonts w:ascii="Arial" w:cs="Arial" w:eastAsia="Arial" w:hAnsi="Arial"/>
                <w:sz w:val="13"/>
                <w:szCs w:val="13"/>
                <w:color w:val="3B3C43"/>
              </w:rPr>
              <w:t>NA</w:t>
            </w:r>
          </w:p>
        </w:tc>
        <w:tc>
          <w:tcPr>
            <w:tcW w:w="880" w:type="dxa"/>
            <w:vAlign w:val="bottom"/>
            <w:tcBorders>
              <w:top w:val="single" w:sz="8" w:color="B1B2B4"/>
              <w:bottom w:val="single" w:sz="8" w:color="B1B2B4"/>
            </w:tcBorders>
            <w:shd w:val="clear" w:color="auto" w:fill="E1E1DF"/>
          </w:tcPr>
          <w:p>
            <w:pPr>
              <w:jc w:val="right"/>
              <w:ind w:right="57"/>
              <w:spacing w:after="0" w:line="183" w:lineRule="exact"/>
              <w:rPr>
                <w:sz w:val="20"/>
                <w:szCs w:val="20"/>
                <w:color w:val="auto"/>
              </w:rPr>
            </w:pPr>
            <w:r>
              <w:rPr>
                <w:rFonts w:ascii="Arial" w:cs="Arial" w:eastAsia="Arial" w:hAnsi="Arial"/>
                <w:sz w:val="13"/>
                <w:szCs w:val="13"/>
                <w:color w:val="3B3C43"/>
              </w:rPr>
              <w:t>61,356</w:t>
            </w:r>
            <w:r>
              <w:rPr>
                <w:rFonts w:ascii="Arial" w:cs="Arial" w:eastAsia="Arial" w:hAnsi="Arial"/>
                <w:sz w:val="20"/>
                <w:szCs w:val="20"/>
                <w:color w:val="3B3C43"/>
                <w:vertAlign w:val="superscript"/>
              </w:rPr>
              <w:t>6</w:t>
            </w:r>
          </w:p>
        </w:tc>
        <w:tc>
          <w:tcPr>
            <w:tcW w:w="840" w:type="dxa"/>
            <w:vAlign w:val="bottom"/>
            <w:tcBorders>
              <w:top w:val="single" w:sz="8" w:color="B1B2B4"/>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576,746</w:t>
            </w:r>
          </w:p>
        </w:tc>
        <w:tc>
          <w:tcPr>
            <w:tcW w:w="920" w:type="dxa"/>
            <w:vAlign w:val="bottom"/>
            <w:tcBorders>
              <w:top w:val="single" w:sz="8" w:color="B1B2B4"/>
              <w:bottom w:val="single" w:sz="8" w:color="B1B2B4"/>
            </w:tcBorders>
            <w:shd w:val="clear" w:color="auto" w:fill="E1E1DF"/>
          </w:tcPr>
          <w:p>
            <w:pPr>
              <w:jc w:val="right"/>
              <w:ind w:right="17"/>
              <w:spacing w:after="0" w:line="183" w:lineRule="exact"/>
              <w:rPr>
                <w:sz w:val="20"/>
                <w:szCs w:val="20"/>
                <w:color w:val="auto"/>
              </w:rPr>
            </w:pPr>
            <w:r>
              <w:rPr>
                <w:rFonts w:ascii="Arial" w:cs="Arial" w:eastAsia="Arial" w:hAnsi="Arial"/>
                <w:sz w:val="13"/>
                <w:szCs w:val="13"/>
                <w:color w:val="3B3C43"/>
              </w:rPr>
              <w:t>143,164</w:t>
            </w:r>
            <w:r>
              <w:rPr>
                <w:rFonts w:ascii="Arial" w:cs="Arial" w:eastAsia="Arial" w:hAnsi="Arial"/>
                <w:sz w:val="20"/>
                <w:szCs w:val="20"/>
                <w:color w:val="3B3C43"/>
                <w:vertAlign w:val="superscript"/>
              </w:rPr>
              <w:t>7</w:t>
            </w:r>
          </w:p>
        </w:tc>
        <w:tc>
          <w:tcPr>
            <w:tcW w:w="1060" w:type="dxa"/>
            <w:vAlign w:val="bottom"/>
            <w:tcBorders>
              <w:top w:val="single" w:sz="8" w:color="B1B2B4"/>
              <w:bottom w:val="single" w:sz="8" w:color="B1B2B4"/>
            </w:tcBorders>
            <w:shd w:val="clear" w:color="auto" w:fill="E1E1DF"/>
          </w:tcPr>
          <w:p>
            <w:pPr>
              <w:jc w:val="right"/>
              <w:spacing w:after="0"/>
              <w:rPr>
                <w:sz w:val="20"/>
                <w:szCs w:val="20"/>
                <w:color w:val="auto"/>
              </w:rPr>
            </w:pPr>
            <w:r>
              <w:rPr>
                <w:rFonts w:ascii="Arial" w:cs="Arial" w:eastAsia="Arial" w:hAnsi="Arial"/>
                <w:sz w:val="13"/>
                <w:szCs w:val="13"/>
                <w:color w:val="3B3C43"/>
              </w:rPr>
              <w:t>1,345,742</w:t>
            </w:r>
          </w:p>
        </w:tc>
        <w:tc>
          <w:tcPr>
            <w:tcW w:w="0" w:type="dxa"/>
            <w:vAlign w:val="bottom"/>
          </w:tcPr>
          <w:p>
            <w:pPr>
              <w:spacing w:after="0"/>
              <w:rPr>
                <w:sz w:val="1"/>
                <w:szCs w:val="1"/>
                <w:color w:val="auto"/>
              </w:rPr>
            </w:pPr>
          </w:p>
        </w:tc>
      </w:tr>
      <w:tr>
        <w:trPr>
          <w:trHeight w:val="181"/>
        </w:trPr>
        <w:tc>
          <w:tcPr>
            <w:tcW w:w="1360" w:type="dxa"/>
            <w:vAlign w:val="bottom"/>
          </w:tcPr>
          <w:p>
            <w:pPr>
              <w:ind w:left="40"/>
              <w:spacing w:after="0"/>
              <w:rPr>
                <w:sz w:val="20"/>
                <w:szCs w:val="20"/>
                <w:color w:val="auto"/>
              </w:rPr>
            </w:pPr>
            <w:r>
              <w:rPr>
                <w:rFonts w:ascii="Arial" w:cs="Arial" w:eastAsia="Arial" w:hAnsi="Arial"/>
                <w:sz w:val="13"/>
                <w:szCs w:val="13"/>
                <w:b w:val="1"/>
                <w:bCs w:val="1"/>
                <w:color w:val="3B3C43"/>
              </w:rPr>
              <w:t>Nello Uccelletti</w:t>
            </w:r>
          </w:p>
        </w:tc>
        <w:tc>
          <w:tcPr>
            <w:tcW w:w="900" w:type="dxa"/>
            <w:vAlign w:val="bottom"/>
            <w:tcBorders>
              <w:top w:val="single" w:sz="8" w:color="B1B2B4"/>
              <w:bottom w:val="single" w:sz="8" w:color="B1B2B4"/>
            </w:tcBorders>
          </w:tcPr>
          <w:p>
            <w:pPr>
              <w:jc w:val="right"/>
              <w:spacing w:after="0"/>
              <w:rPr>
                <w:sz w:val="20"/>
                <w:szCs w:val="20"/>
                <w:color w:val="auto"/>
              </w:rPr>
            </w:pPr>
            <w:r>
              <w:rPr>
                <w:rFonts w:ascii="Arial" w:cs="Arial" w:eastAsia="Arial" w:hAnsi="Arial"/>
                <w:sz w:val="13"/>
                <w:szCs w:val="13"/>
                <w:color w:val="3B3C43"/>
              </w:rPr>
              <w:t>6/14/2013</w:t>
            </w:r>
          </w:p>
        </w:tc>
        <w:tc>
          <w:tcPr>
            <w:tcW w:w="1140" w:type="dxa"/>
            <w:vAlign w:val="bottom"/>
            <w:tcBorders>
              <w:top w:val="single" w:sz="8" w:color="B1B2B4"/>
              <w:bottom w:val="single" w:sz="8" w:color="B1B2B4"/>
            </w:tcBorders>
          </w:tcPr>
          <w:p>
            <w:pPr>
              <w:jc w:val="right"/>
              <w:spacing w:after="0"/>
              <w:rPr>
                <w:sz w:val="20"/>
                <w:szCs w:val="20"/>
                <w:color w:val="auto"/>
              </w:rPr>
            </w:pPr>
            <w:r>
              <w:rPr>
                <w:rFonts w:ascii="Arial" w:cs="Arial" w:eastAsia="Arial" w:hAnsi="Arial"/>
                <w:sz w:val="13"/>
                <w:szCs w:val="13"/>
                <w:color w:val="3B3C43"/>
              </w:rPr>
              <w:t>18,552</w:t>
            </w:r>
          </w:p>
        </w:tc>
        <w:tc>
          <w:tcPr>
            <w:tcW w:w="1140" w:type="dxa"/>
            <w:vAlign w:val="bottom"/>
            <w:tcBorders>
              <w:top w:val="single" w:sz="8" w:color="B1B2B4"/>
              <w:bottom w:val="single" w:sz="8" w:color="B1B2B4"/>
            </w:tcBorders>
          </w:tcPr>
          <w:p>
            <w:pPr>
              <w:spacing w:after="0"/>
              <w:rPr>
                <w:sz w:val="15"/>
                <w:szCs w:val="15"/>
                <w:color w:val="auto"/>
              </w:rPr>
            </w:pPr>
          </w:p>
        </w:tc>
        <w:tc>
          <w:tcPr>
            <w:tcW w:w="1120" w:type="dxa"/>
            <w:vAlign w:val="bottom"/>
            <w:tcBorders>
              <w:top w:val="single" w:sz="8" w:color="B1B2B4"/>
              <w:bottom w:val="single" w:sz="8" w:color="B1B2B4"/>
            </w:tcBorders>
          </w:tcPr>
          <w:p>
            <w:pPr>
              <w:spacing w:after="0"/>
              <w:rPr>
                <w:sz w:val="15"/>
                <w:szCs w:val="15"/>
                <w:color w:val="auto"/>
              </w:rPr>
            </w:pPr>
          </w:p>
        </w:tc>
        <w:tc>
          <w:tcPr>
            <w:tcW w:w="980" w:type="dxa"/>
            <w:vAlign w:val="bottom"/>
            <w:tcBorders>
              <w:top w:val="single" w:sz="8" w:color="B1B2B4"/>
              <w:bottom w:val="single" w:sz="8" w:color="B1B2B4"/>
            </w:tcBorders>
          </w:tcPr>
          <w:p>
            <w:pPr>
              <w:jc w:val="right"/>
              <w:ind w:right="77"/>
              <w:spacing w:after="0"/>
              <w:rPr>
                <w:sz w:val="20"/>
                <w:szCs w:val="20"/>
                <w:color w:val="auto"/>
              </w:rPr>
            </w:pPr>
            <w:r>
              <w:rPr>
                <w:rFonts w:ascii="Arial" w:cs="Arial" w:eastAsia="Arial" w:hAnsi="Arial"/>
                <w:sz w:val="13"/>
                <w:szCs w:val="13"/>
                <w:color w:val="3B3C43"/>
              </w:rPr>
              <w:t>€42.87</w:t>
            </w:r>
          </w:p>
        </w:tc>
        <w:tc>
          <w:tcPr>
            <w:tcW w:w="880" w:type="dxa"/>
            <w:vAlign w:val="bottom"/>
            <w:tcBorders>
              <w:top w:val="single" w:sz="8" w:color="B1B2B4"/>
              <w:bottom w:val="single" w:sz="8" w:color="B1B2B4"/>
            </w:tcBorders>
          </w:tcPr>
          <w:p>
            <w:pPr>
              <w:jc w:val="right"/>
              <w:ind w:right="57"/>
              <w:spacing w:after="0"/>
              <w:rPr>
                <w:sz w:val="20"/>
                <w:szCs w:val="20"/>
                <w:color w:val="auto"/>
              </w:rPr>
            </w:pPr>
            <w:r>
              <w:rPr>
                <w:rFonts w:ascii="Arial" w:cs="Arial" w:eastAsia="Arial" w:hAnsi="Arial"/>
                <w:sz w:val="13"/>
                <w:szCs w:val="13"/>
                <w:color w:val="3B3C43"/>
              </w:rPr>
              <w:t>6/14/2021</w:t>
            </w:r>
          </w:p>
        </w:tc>
        <w:tc>
          <w:tcPr>
            <w:tcW w:w="880" w:type="dxa"/>
            <w:vAlign w:val="bottom"/>
            <w:tcBorders>
              <w:top w:val="single" w:sz="8" w:color="B1B2B4"/>
              <w:bottom w:val="single" w:sz="8" w:color="B1B2B4"/>
            </w:tcBorders>
          </w:tcPr>
          <w:p>
            <w:pPr>
              <w:spacing w:after="0"/>
              <w:rPr>
                <w:sz w:val="15"/>
                <w:szCs w:val="15"/>
                <w:color w:val="auto"/>
              </w:rPr>
            </w:pPr>
          </w:p>
        </w:tc>
        <w:tc>
          <w:tcPr>
            <w:tcW w:w="840" w:type="dxa"/>
            <w:vAlign w:val="bottom"/>
            <w:tcBorders>
              <w:top w:val="single" w:sz="8" w:color="B1B2B4"/>
              <w:bottom w:val="single" w:sz="8" w:color="B1B2B4"/>
            </w:tcBorders>
          </w:tcPr>
          <w:p>
            <w:pPr>
              <w:spacing w:after="0"/>
              <w:rPr>
                <w:sz w:val="15"/>
                <w:szCs w:val="15"/>
                <w:color w:val="auto"/>
              </w:rPr>
            </w:pPr>
          </w:p>
        </w:tc>
        <w:tc>
          <w:tcPr>
            <w:tcW w:w="920" w:type="dxa"/>
            <w:vAlign w:val="bottom"/>
            <w:tcBorders>
              <w:top w:val="single" w:sz="8" w:color="B1B2B4"/>
              <w:bottom w:val="single" w:sz="8" w:color="B1B2B4"/>
            </w:tcBorders>
          </w:tcPr>
          <w:p>
            <w:pPr>
              <w:spacing w:after="0"/>
              <w:rPr>
                <w:sz w:val="15"/>
                <w:szCs w:val="15"/>
                <w:color w:val="auto"/>
              </w:rPr>
            </w:pPr>
          </w:p>
        </w:tc>
        <w:tc>
          <w:tcPr>
            <w:tcW w:w="1060" w:type="dxa"/>
            <w:vAlign w:val="bottom"/>
            <w:tcBorders>
              <w:top w:val="single" w:sz="8" w:color="B1B2B4"/>
              <w:bottom w:val="single" w:sz="8" w:color="B1B2B4"/>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60" w:type="dxa"/>
            <w:vAlign w:val="bottom"/>
          </w:tcPr>
          <w:p>
            <w:pPr>
              <w:spacing w:after="0"/>
              <w:rPr>
                <w:sz w:val="15"/>
                <w:szCs w:val="15"/>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9/7/2015</w:t>
            </w:r>
          </w:p>
        </w:tc>
        <w:tc>
          <w:tcPr>
            <w:tcW w:w="11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50,000</w:t>
            </w:r>
          </w:p>
        </w:tc>
        <w:tc>
          <w:tcPr>
            <w:tcW w:w="1140" w:type="dxa"/>
            <w:vAlign w:val="bottom"/>
            <w:tcBorders>
              <w:bottom w:val="single" w:sz="8" w:color="B1B2B4"/>
            </w:tcBorders>
          </w:tcPr>
          <w:p>
            <w:pPr>
              <w:spacing w:after="0"/>
              <w:rPr>
                <w:sz w:val="15"/>
                <w:szCs w:val="15"/>
                <w:color w:val="auto"/>
              </w:rPr>
            </w:pP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€23.92</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9/7/2023</w:t>
            </w:r>
          </w:p>
        </w:tc>
        <w:tc>
          <w:tcPr>
            <w:tcW w:w="880" w:type="dxa"/>
            <w:vAlign w:val="bottom"/>
            <w:tcBorders>
              <w:bottom w:val="single" w:sz="8" w:color="B1B2B4"/>
            </w:tcBorders>
          </w:tcPr>
          <w:p>
            <w:pPr>
              <w:spacing w:after="0"/>
              <w:rPr>
                <w:sz w:val="15"/>
                <w:szCs w:val="15"/>
                <w:color w:val="auto"/>
              </w:rPr>
            </w:pPr>
          </w:p>
        </w:tc>
        <w:tc>
          <w:tcPr>
            <w:tcW w:w="840" w:type="dxa"/>
            <w:vAlign w:val="bottom"/>
            <w:tcBorders>
              <w:bottom w:val="single" w:sz="8" w:color="B1B2B4"/>
            </w:tcBorders>
          </w:tcPr>
          <w:p>
            <w:pPr>
              <w:spacing w:after="0"/>
              <w:rPr>
                <w:sz w:val="15"/>
                <w:szCs w:val="15"/>
                <w:color w:val="auto"/>
              </w:rPr>
            </w:pPr>
          </w:p>
        </w:tc>
        <w:tc>
          <w:tcPr>
            <w:tcW w:w="920" w:type="dxa"/>
            <w:vAlign w:val="bottom"/>
            <w:tcBorders>
              <w:bottom w:val="single" w:sz="8" w:color="B1B2B4"/>
            </w:tcBorders>
          </w:tcPr>
          <w:p>
            <w:pPr>
              <w:spacing w:after="0"/>
              <w:rPr>
                <w:sz w:val="15"/>
                <w:szCs w:val="15"/>
                <w:color w:val="auto"/>
              </w:rPr>
            </w:pPr>
          </w:p>
        </w:tc>
        <w:tc>
          <w:tcPr>
            <w:tcW w:w="1060" w:type="dxa"/>
            <w:vAlign w:val="bottom"/>
            <w:tcBorders>
              <w:bottom w:val="single" w:sz="8" w:color="B1B2B4"/>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7/1/2016</w:t>
            </w:r>
          </w:p>
        </w:tc>
        <w:tc>
          <w:tcPr>
            <w:tcW w:w="11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50,000</w:t>
            </w:r>
          </w:p>
        </w:tc>
        <w:tc>
          <w:tcPr>
            <w:tcW w:w="1140" w:type="dxa"/>
            <w:vAlign w:val="bottom"/>
            <w:tcBorders>
              <w:bottom w:val="single" w:sz="8" w:color="B1B2B4"/>
            </w:tcBorders>
          </w:tcPr>
          <w:p>
            <w:pPr>
              <w:spacing w:after="0"/>
              <w:rPr>
                <w:sz w:val="15"/>
                <w:szCs w:val="15"/>
                <w:color w:val="auto"/>
              </w:rPr>
            </w:pP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€24.17</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7/1/2024</w:t>
            </w:r>
          </w:p>
        </w:tc>
        <w:tc>
          <w:tcPr>
            <w:tcW w:w="880" w:type="dxa"/>
            <w:vAlign w:val="bottom"/>
            <w:tcBorders>
              <w:bottom w:val="single" w:sz="8" w:color="B1B2B4"/>
            </w:tcBorders>
          </w:tcPr>
          <w:p>
            <w:pPr>
              <w:spacing w:after="0"/>
              <w:rPr>
                <w:sz w:val="15"/>
                <w:szCs w:val="15"/>
                <w:color w:val="auto"/>
              </w:rPr>
            </w:pPr>
          </w:p>
        </w:tc>
        <w:tc>
          <w:tcPr>
            <w:tcW w:w="840" w:type="dxa"/>
            <w:vAlign w:val="bottom"/>
            <w:tcBorders>
              <w:bottom w:val="single" w:sz="8" w:color="B1B2B4"/>
            </w:tcBorders>
          </w:tcPr>
          <w:p>
            <w:pPr>
              <w:spacing w:after="0"/>
              <w:rPr>
                <w:sz w:val="15"/>
                <w:szCs w:val="15"/>
                <w:color w:val="auto"/>
              </w:rPr>
            </w:pPr>
          </w:p>
        </w:tc>
        <w:tc>
          <w:tcPr>
            <w:tcW w:w="920" w:type="dxa"/>
            <w:vAlign w:val="bottom"/>
            <w:tcBorders>
              <w:bottom w:val="single" w:sz="8" w:color="B1B2B4"/>
            </w:tcBorders>
          </w:tcPr>
          <w:p>
            <w:pPr>
              <w:spacing w:after="0"/>
              <w:rPr>
                <w:sz w:val="15"/>
                <w:szCs w:val="15"/>
                <w:color w:val="auto"/>
              </w:rPr>
            </w:pPr>
          </w:p>
        </w:tc>
        <w:tc>
          <w:tcPr>
            <w:tcW w:w="1060" w:type="dxa"/>
            <w:vAlign w:val="bottom"/>
            <w:tcBorders>
              <w:bottom w:val="single" w:sz="8" w:color="B1B2B4"/>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2/28/2017</w:t>
            </w:r>
          </w:p>
        </w:tc>
        <w:tc>
          <w:tcPr>
            <w:tcW w:w="11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26,672</w:t>
            </w:r>
          </w:p>
        </w:tc>
        <w:tc>
          <w:tcPr>
            <w:tcW w:w="1140" w:type="dxa"/>
            <w:vAlign w:val="bottom"/>
            <w:tcBorders>
              <w:bottom w:val="single" w:sz="8" w:color="B1B2B4"/>
            </w:tcBorders>
          </w:tcPr>
          <w:p>
            <w:pPr>
              <w:spacing w:after="0"/>
              <w:rPr>
                <w:sz w:val="15"/>
                <w:szCs w:val="15"/>
                <w:color w:val="auto"/>
              </w:rPr>
            </w:pP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$32.32</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2/28/2027</w:t>
            </w:r>
          </w:p>
        </w:tc>
        <w:tc>
          <w:tcPr>
            <w:tcW w:w="880" w:type="dxa"/>
            <w:vAlign w:val="bottom"/>
            <w:tcBorders>
              <w:bottom w:val="single" w:sz="8" w:color="B1B2B4"/>
            </w:tcBorders>
          </w:tcPr>
          <w:p>
            <w:pPr>
              <w:spacing w:after="0"/>
              <w:rPr>
                <w:sz w:val="15"/>
                <w:szCs w:val="15"/>
                <w:color w:val="auto"/>
              </w:rPr>
            </w:pPr>
          </w:p>
        </w:tc>
        <w:tc>
          <w:tcPr>
            <w:tcW w:w="840" w:type="dxa"/>
            <w:vAlign w:val="bottom"/>
            <w:tcBorders>
              <w:bottom w:val="single" w:sz="8" w:color="B1B2B4"/>
            </w:tcBorders>
          </w:tcPr>
          <w:p>
            <w:pPr>
              <w:spacing w:after="0"/>
              <w:rPr>
                <w:sz w:val="15"/>
                <w:szCs w:val="15"/>
                <w:color w:val="auto"/>
              </w:rPr>
            </w:pPr>
          </w:p>
        </w:tc>
        <w:tc>
          <w:tcPr>
            <w:tcW w:w="920" w:type="dxa"/>
            <w:vAlign w:val="bottom"/>
            <w:tcBorders>
              <w:bottom w:val="single" w:sz="8" w:color="B1B2B4"/>
            </w:tcBorders>
          </w:tcPr>
          <w:p>
            <w:pPr>
              <w:spacing w:after="0"/>
              <w:rPr>
                <w:sz w:val="15"/>
                <w:szCs w:val="15"/>
                <w:color w:val="auto"/>
              </w:rPr>
            </w:pPr>
          </w:p>
        </w:tc>
        <w:tc>
          <w:tcPr>
            <w:tcW w:w="1060" w:type="dxa"/>
            <w:vAlign w:val="bottom"/>
            <w:tcBorders>
              <w:bottom w:val="single" w:sz="8" w:color="B1B2B4"/>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2/26/2018</w:t>
            </w:r>
          </w:p>
        </w:tc>
        <w:tc>
          <w:tcPr>
            <w:tcW w:w="1140" w:type="dxa"/>
            <w:vAlign w:val="bottom"/>
            <w:tcBorders>
              <w:bottom w:val="single" w:sz="8" w:color="B1B2B4"/>
            </w:tcBorders>
          </w:tcPr>
          <w:p>
            <w:pPr>
              <w:spacing w:after="0"/>
              <w:rPr>
                <w:sz w:val="16"/>
                <w:szCs w:val="16"/>
                <w:color w:val="auto"/>
              </w:rPr>
            </w:pPr>
          </w:p>
        </w:tc>
        <w:tc>
          <w:tcPr>
            <w:tcW w:w="1140" w:type="dxa"/>
            <w:vAlign w:val="bottom"/>
            <w:tcBorders>
              <w:bottom w:val="single" w:sz="8" w:color="B1B2B4"/>
            </w:tcBorders>
          </w:tcPr>
          <w:p>
            <w:pPr>
              <w:jc w:val="right"/>
              <w:spacing w:after="0" w:line="189" w:lineRule="exact"/>
              <w:rPr>
                <w:sz w:val="20"/>
                <w:szCs w:val="20"/>
                <w:color w:val="auto"/>
              </w:rPr>
            </w:pPr>
            <w:r>
              <w:rPr>
                <w:rFonts w:ascii="Arial" w:cs="Arial" w:eastAsia="Arial" w:hAnsi="Arial"/>
                <w:sz w:val="13"/>
                <w:szCs w:val="13"/>
                <w:color w:val="3B3C43"/>
              </w:rPr>
              <w:t>27,731</w:t>
            </w:r>
            <w:r>
              <w:rPr>
                <w:rFonts w:ascii="Arial" w:cs="Arial" w:eastAsia="Arial" w:hAnsi="Arial"/>
                <w:sz w:val="20"/>
                <w:szCs w:val="20"/>
                <w:color w:val="3B3C43"/>
                <w:vertAlign w:val="superscript"/>
              </w:rPr>
              <w:t>2</w:t>
            </w:r>
          </w:p>
        </w:tc>
        <w:tc>
          <w:tcPr>
            <w:tcW w:w="1120" w:type="dxa"/>
            <w:vAlign w:val="bottom"/>
            <w:tcBorders>
              <w:bottom w:val="single" w:sz="8" w:color="B1B2B4"/>
            </w:tcBorders>
          </w:tcPr>
          <w:p>
            <w:pPr>
              <w:spacing w:after="0"/>
              <w:rPr>
                <w:sz w:val="16"/>
                <w:szCs w:val="16"/>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$30.30</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2/26/2028</w:t>
            </w:r>
          </w:p>
        </w:tc>
        <w:tc>
          <w:tcPr>
            <w:tcW w:w="880" w:type="dxa"/>
            <w:vAlign w:val="bottom"/>
            <w:tcBorders>
              <w:bottom w:val="single" w:sz="8" w:color="B1B2B4"/>
            </w:tcBorders>
          </w:tcPr>
          <w:p>
            <w:pPr>
              <w:jc w:val="right"/>
              <w:ind w:right="57"/>
              <w:spacing w:after="0" w:line="189" w:lineRule="exact"/>
              <w:rPr>
                <w:sz w:val="20"/>
                <w:szCs w:val="20"/>
                <w:color w:val="auto"/>
              </w:rPr>
            </w:pPr>
            <w:r>
              <w:rPr>
                <w:rFonts w:ascii="Arial" w:cs="Arial" w:eastAsia="Arial" w:hAnsi="Arial"/>
                <w:sz w:val="13"/>
                <w:szCs w:val="13"/>
                <w:color w:val="3B3C43"/>
              </w:rPr>
              <w:t>8,250</w:t>
            </w:r>
            <w:r>
              <w:rPr>
                <w:rFonts w:ascii="Arial" w:cs="Arial" w:eastAsia="Arial" w:hAnsi="Arial"/>
                <w:sz w:val="20"/>
                <w:szCs w:val="20"/>
                <w:color w:val="3B3C43"/>
                <w:vertAlign w:val="superscript"/>
              </w:rPr>
              <w:t>2</w:t>
            </w:r>
          </w:p>
        </w:tc>
        <w:tc>
          <w:tcPr>
            <w:tcW w:w="8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77,550</w:t>
            </w:r>
          </w:p>
        </w:tc>
        <w:tc>
          <w:tcPr>
            <w:tcW w:w="920" w:type="dxa"/>
            <w:vAlign w:val="bottom"/>
            <w:tcBorders>
              <w:bottom w:val="single" w:sz="8" w:color="B1B2B4"/>
            </w:tcBorders>
          </w:tcPr>
          <w:p>
            <w:pPr>
              <w:jc w:val="right"/>
              <w:ind w:right="17"/>
              <w:spacing w:after="0" w:line="189" w:lineRule="exact"/>
              <w:rPr>
                <w:sz w:val="20"/>
                <w:szCs w:val="20"/>
                <w:color w:val="auto"/>
              </w:rPr>
            </w:pPr>
            <w:r>
              <w:rPr>
                <w:rFonts w:ascii="Arial" w:cs="Arial" w:eastAsia="Arial" w:hAnsi="Arial"/>
                <w:sz w:val="13"/>
                <w:szCs w:val="13"/>
                <w:color w:val="3B3C43"/>
              </w:rPr>
              <w:t>24,752</w:t>
            </w:r>
            <w:r>
              <w:rPr>
                <w:rFonts w:ascii="Arial" w:cs="Arial" w:eastAsia="Arial" w:hAnsi="Arial"/>
                <w:sz w:val="20"/>
                <w:szCs w:val="20"/>
                <w:color w:val="3B3C43"/>
                <w:vertAlign w:val="superscript"/>
              </w:rPr>
              <w:t>3</w:t>
            </w:r>
          </w:p>
        </w:tc>
        <w:tc>
          <w:tcPr>
            <w:tcW w:w="106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232,669</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3/8/2019</w:t>
            </w:r>
          </w:p>
        </w:tc>
        <w:tc>
          <w:tcPr>
            <w:tcW w:w="1140" w:type="dxa"/>
            <w:vAlign w:val="bottom"/>
            <w:tcBorders>
              <w:bottom w:val="single" w:sz="8" w:color="B1B2B4"/>
            </w:tcBorders>
          </w:tcPr>
          <w:p>
            <w:pPr>
              <w:spacing w:after="0"/>
              <w:rPr>
                <w:sz w:val="15"/>
                <w:szCs w:val="15"/>
                <w:color w:val="auto"/>
              </w:rPr>
            </w:pPr>
          </w:p>
        </w:tc>
        <w:tc>
          <w:tcPr>
            <w:tcW w:w="1140" w:type="dxa"/>
            <w:vAlign w:val="bottom"/>
            <w:tcBorders>
              <w:bottom w:val="single" w:sz="8" w:color="B1B2B4"/>
            </w:tcBorders>
          </w:tcPr>
          <w:p>
            <w:pPr>
              <w:jc w:val="right"/>
              <w:spacing w:after="0" w:line="183" w:lineRule="exact"/>
              <w:rPr>
                <w:sz w:val="20"/>
                <w:szCs w:val="20"/>
                <w:color w:val="auto"/>
              </w:rPr>
            </w:pPr>
            <w:r>
              <w:rPr>
                <w:rFonts w:ascii="Arial" w:cs="Arial" w:eastAsia="Arial" w:hAnsi="Arial"/>
                <w:sz w:val="13"/>
                <w:szCs w:val="13"/>
                <w:color w:val="3B3C43"/>
              </w:rPr>
              <w:t>46,066</w:t>
            </w:r>
            <w:r>
              <w:rPr>
                <w:rFonts w:ascii="Arial" w:cs="Arial" w:eastAsia="Arial" w:hAnsi="Arial"/>
                <w:sz w:val="20"/>
                <w:szCs w:val="20"/>
                <w:color w:val="3B3C43"/>
                <w:vertAlign w:val="superscript"/>
              </w:rPr>
              <w:t>4</w:t>
            </w: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$20.98</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3/8/2029</w:t>
            </w:r>
          </w:p>
        </w:tc>
        <w:tc>
          <w:tcPr>
            <w:tcW w:w="880" w:type="dxa"/>
            <w:vAlign w:val="bottom"/>
            <w:tcBorders>
              <w:bottom w:val="single" w:sz="8" w:color="B1B2B4"/>
            </w:tcBorders>
          </w:tcPr>
          <w:p>
            <w:pPr>
              <w:jc w:val="right"/>
              <w:ind w:right="57"/>
              <w:spacing w:after="0" w:line="183" w:lineRule="exact"/>
              <w:rPr>
                <w:sz w:val="20"/>
                <w:szCs w:val="20"/>
                <w:color w:val="auto"/>
              </w:rPr>
            </w:pPr>
            <w:r>
              <w:rPr>
                <w:rFonts w:ascii="Arial" w:cs="Arial" w:eastAsia="Arial" w:hAnsi="Arial"/>
                <w:sz w:val="13"/>
                <w:szCs w:val="13"/>
                <w:color w:val="3B3C43"/>
              </w:rPr>
              <w:t>12,392</w:t>
            </w:r>
            <w:r>
              <w:rPr>
                <w:rFonts w:ascii="Arial" w:cs="Arial" w:eastAsia="Arial" w:hAnsi="Arial"/>
                <w:sz w:val="20"/>
                <w:szCs w:val="20"/>
                <w:color w:val="3B3C43"/>
                <w:vertAlign w:val="superscript"/>
              </w:rPr>
              <w:t>4</w:t>
            </w:r>
          </w:p>
        </w:tc>
        <w:tc>
          <w:tcPr>
            <w:tcW w:w="8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116,482</w:t>
            </w:r>
          </w:p>
        </w:tc>
        <w:tc>
          <w:tcPr>
            <w:tcW w:w="920" w:type="dxa"/>
            <w:vAlign w:val="bottom"/>
            <w:tcBorders>
              <w:bottom w:val="single" w:sz="8" w:color="B1B2B4"/>
            </w:tcBorders>
          </w:tcPr>
          <w:p>
            <w:pPr>
              <w:jc w:val="right"/>
              <w:ind w:right="17"/>
              <w:spacing w:after="0" w:line="183" w:lineRule="exact"/>
              <w:rPr>
                <w:sz w:val="20"/>
                <w:szCs w:val="20"/>
                <w:color w:val="auto"/>
              </w:rPr>
            </w:pPr>
            <w:r>
              <w:rPr>
                <w:rFonts w:ascii="Arial" w:cs="Arial" w:eastAsia="Arial" w:hAnsi="Arial"/>
                <w:sz w:val="13"/>
                <w:szCs w:val="13"/>
                <w:color w:val="3B3C43"/>
              </w:rPr>
              <w:t>37,178</w:t>
            </w:r>
            <w:r>
              <w:rPr>
                <w:rFonts w:ascii="Arial" w:cs="Arial" w:eastAsia="Arial" w:hAnsi="Arial"/>
                <w:sz w:val="20"/>
                <w:szCs w:val="20"/>
                <w:color w:val="3B3C43"/>
                <w:vertAlign w:val="superscript"/>
              </w:rPr>
              <w:t>5</w:t>
            </w:r>
          </w:p>
        </w:tc>
        <w:tc>
          <w:tcPr>
            <w:tcW w:w="106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349,473</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90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3/9/2020</w:t>
            </w:r>
          </w:p>
        </w:tc>
        <w:tc>
          <w:tcPr>
            <w:tcW w:w="1140" w:type="dxa"/>
            <w:vAlign w:val="bottom"/>
            <w:tcBorders>
              <w:bottom w:val="single" w:sz="8" w:color="B1B2B4"/>
            </w:tcBorders>
          </w:tcPr>
          <w:p>
            <w:pPr>
              <w:spacing w:after="0"/>
              <w:rPr>
                <w:sz w:val="15"/>
                <w:szCs w:val="15"/>
                <w:color w:val="auto"/>
              </w:rPr>
            </w:pPr>
          </w:p>
        </w:tc>
        <w:tc>
          <w:tcPr>
            <w:tcW w:w="1140" w:type="dxa"/>
            <w:vAlign w:val="bottom"/>
            <w:tcBorders>
              <w:bottom w:val="single" w:sz="8" w:color="B1B2B4"/>
            </w:tcBorders>
          </w:tcPr>
          <w:p>
            <w:pPr>
              <w:spacing w:after="0"/>
              <w:rPr>
                <w:sz w:val="15"/>
                <w:szCs w:val="15"/>
                <w:color w:val="auto"/>
              </w:rPr>
            </w:pPr>
          </w:p>
        </w:tc>
        <w:tc>
          <w:tcPr>
            <w:tcW w:w="1120" w:type="dxa"/>
            <w:vAlign w:val="bottom"/>
            <w:tcBorders>
              <w:bottom w:val="single" w:sz="8" w:color="B1B2B4"/>
            </w:tcBorders>
          </w:tcPr>
          <w:p>
            <w:pPr>
              <w:spacing w:after="0"/>
              <w:rPr>
                <w:sz w:val="15"/>
                <w:szCs w:val="15"/>
                <w:color w:val="auto"/>
              </w:rPr>
            </w:pPr>
          </w:p>
        </w:tc>
        <w:tc>
          <w:tcPr>
            <w:tcW w:w="980" w:type="dxa"/>
            <w:vAlign w:val="bottom"/>
            <w:tcBorders>
              <w:bottom w:val="single" w:sz="8" w:color="B1B2B4"/>
            </w:tcBorders>
          </w:tcPr>
          <w:p>
            <w:pPr>
              <w:jc w:val="right"/>
              <w:ind w:right="7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NA</w:t>
            </w:r>
          </w:p>
        </w:tc>
        <w:tc>
          <w:tcPr>
            <w:tcW w:w="880" w:type="dxa"/>
            <w:vAlign w:val="bottom"/>
            <w:tcBorders>
              <w:bottom w:val="single" w:sz="8" w:color="B1B2B4"/>
            </w:tcBorders>
          </w:tcPr>
          <w:p>
            <w:pPr>
              <w:jc w:val="right"/>
              <w:ind w:right="57"/>
              <w:spacing w:after="0"/>
              <w:rPr>
                <w:sz w:val="20"/>
                <w:szCs w:val="20"/>
                <w:color w:val="auto"/>
              </w:rPr>
            </w:pPr>
            <w:r>
              <w:rPr>
                <w:rFonts w:ascii="Arial" w:cs="Arial" w:eastAsia="Arial" w:hAnsi="Arial"/>
                <w:sz w:val="13"/>
                <w:szCs w:val="13"/>
                <w:color w:val="3B3C43"/>
              </w:rPr>
              <w:t>NA</w:t>
            </w:r>
          </w:p>
        </w:tc>
        <w:tc>
          <w:tcPr>
            <w:tcW w:w="84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NA</w:t>
            </w:r>
          </w:p>
        </w:tc>
        <w:tc>
          <w:tcPr>
            <w:tcW w:w="920" w:type="dxa"/>
            <w:vAlign w:val="bottom"/>
            <w:tcBorders>
              <w:bottom w:val="single" w:sz="8" w:color="B1B2B4"/>
            </w:tcBorders>
          </w:tcPr>
          <w:p>
            <w:pPr>
              <w:jc w:val="right"/>
              <w:ind w:right="17"/>
              <w:spacing w:after="0"/>
              <w:rPr>
                <w:sz w:val="20"/>
                <w:szCs w:val="20"/>
                <w:color w:val="auto"/>
              </w:rPr>
            </w:pPr>
            <w:r>
              <w:rPr>
                <w:rFonts w:ascii="Arial" w:cs="Arial" w:eastAsia="Arial" w:hAnsi="Arial"/>
                <w:sz w:val="13"/>
                <w:szCs w:val="13"/>
                <w:color w:val="3B3C43"/>
              </w:rPr>
              <w:t>NA</w:t>
            </w:r>
          </w:p>
        </w:tc>
        <w:tc>
          <w:tcPr>
            <w:tcW w:w="1060" w:type="dxa"/>
            <w:vAlign w:val="bottom"/>
            <w:tcBorders>
              <w:bottom w:val="single" w:sz="8" w:color="B1B2B4"/>
            </w:tcBorders>
          </w:tcPr>
          <w:p>
            <w:pPr>
              <w:jc w:val="right"/>
              <w:spacing w:after="0"/>
              <w:rPr>
                <w:sz w:val="20"/>
                <w:szCs w:val="20"/>
                <w:color w:val="auto"/>
              </w:rPr>
            </w:pPr>
            <w:r>
              <w:rPr>
                <w:rFonts w:ascii="Arial" w:cs="Arial" w:eastAsia="Arial" w:hAnsi="Arial"/>
                <w:sz w:val="13"/>
                <w:szCs w:val="13"/>
                <w:color w:val="3B3C43"/>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-4705350</wp:posOffset>
            </wp:positionV>
            <wp:extent cx="8255" cy="9772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97726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-4705350</wp:posOffset>
            </wp:positionV>
            <wp:extent cx="8890" cy="9772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97726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-4705350</wp:posOffset>
            </wp:positionV>
            <wp:extent cx="8255" cy="9772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97726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-4705350</wp:posOffset>
            </wp:positionV>
            <wp:extent cx="8255" cy="9772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97726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-4705350</wp:posOffset>
            </wp:positionV>
            <wp:extent cx="8890" cy="9772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97726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-4705350</wp:posOffset>
            </wp:positionV>
            <wp:extent cx="8255" cy="9772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97726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-4705350</wp:posOffset>
            </wp:positionV>
            <wp:extent cx="8890" cy="9772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147" w:lineRule="exact"/>
        <w:rPr>
          <w:sz w:val="20"/>
          <w:szCs w:val="20"/>
          <w:color w:val="auto"/>
        </w:rPr>
      </w:pPr>
    </w:p>
    <w:p>
      <w:pPr>
        <w:ind w:left="280" w:hanging="272"/>
        <w:spacing w:after="0"/>
        <w:tabs>
          <w:tab w:leader="none" w:pos="280" w:val="left"/>
        </w:tabs>
        <w:numPr>
          <w:ilvl w:val="0"/>
          <w:numId w:val="110"/>
        </w:numPr>
        <w:rPr>
          <w:rFonts w:ascii="Arial" w:cs="Arial" w:eastAsia="Arial" w:hAnsi="Arial"/>
          <w:sz w:val="14"/>
          <w:szCs w:val="14"/>
          <w:color w:val="3B3C43"/>
        </w:rPr>
      </w:pPr>
      <w:r>
        <w:rPr>
          <w:rFonts w:ascii="Arial" w:cs="Arial" w:eastAsia="Arial" w:hAnsi="Arial"/>
          <w:sz w:val="14"/>
          <w:szCs w:val="14"/>
          <w:color w:val="3B3C43"/>
        </w:rPr>
        <w:t>The market value of RSUs that have not vested is calculated using the closing price of the Company’s Ordinary Shares on the NYSE of $9.40 on December 31, 2020.</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0"/>
        </w:numPr>
        <w:rPr>
          <w:rFonts w:ascii="Arial" w:cs="Arial" w:eastAsia="Arial" w:hAnsi="Arial"/>
          <w:sz w:val="14"/>
          <w:szCs w:val="14"/>
          <w:color w:val="3B3C43"/>
        </w:rPr>
      </w:pPr>
      <w:r>
        <w:rPr>
          <w:rFonts w:ascii="Arial" w:cs="Arial" w:eastAsia="Arial" w:hAnsi="Arial"/>
          <w:sz w:val="14"/>
          <w:szCs w:val="14"/>
          <w:color w:val="3B3C43"/>
        </w:rPr>
        <w:t>Reflects grant of stock options and RSUs, as applicable, that vest on February 26, 2021.</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0"/>
        </w:numPr>
        <w:rPr>
          <w:rFonts w:ascii="Arial" w:cs="Arial" w:eastAsia="Arial" w:hAnsi="Arial"/>
          <w:sz w:val="14"/>
          <w:szCs w:val="14"/>
          <w:color w:val="3B3C43"/>
        </w:rPr>
      </w:pPr>
      <w:r>
        <w:rPr>
          <w:rFonts w:ascii="Arial" w:cs="Arial" w:eastAsia="Arial" w:hAnsi="Arial"/>
          <w:sz w:val="14"/>
          <w:szCs w:val="14"/>
          <w:color w:val="3B3C43"/>
        </w:rPr>
        <w:t>Reflects the target number of PSUs that vest on February 26, 2021.</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0"/>
        </w:numPr>
        <w:rPr>
          <w:rFonts w:ascii="Arial" w:cs="Arial" w:eastAsia="Arial" w:hAnsi="Arial"/>
          <w:sz w:val="14"/>
          <w:szCs w:val="14"/>
          <w:color w:val="3B3C43"/>
        </w:rPr>
      </w:pPr>
      <w:r>
        <w:rPr>
          <w:rFonts w:ascii="Arial" w:cs="Arial" w:eastAsia="Arial" w:hAnsi="Arial"/>
          <w:sz w:val="14"/>
          <w:szCs w:val="14"/>
          <w:color w:val="3B3C43"/>
        </w:rPr>
        <w:t>Reflects grant of stock options and RSUs, as applicable, that vest on March 8, 2022.</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0"/>
        </w:numPr>
        <w:rPr>
          <w:rFonts w:ascii="Arial" w:cs="Arial" w:eastAsia="Arial" w:hAnsi="Arial"/>
          <w:sz w:val="14"/>
          <w:szCs w:val="14"/>
          <w:color w:val="3B3C43"/>
        </w:rPr>
      </w:pPr>
      <w:r>
        <w:rPr>
          <w:rFonts w:ascii="Arial" w:cs="Arial" w:eastAsia="Arial" w:hAnsi="Arial"/>
          <w:sz w:val="14"/>
          <w:szCs w:val="14"/>
          <w:color w:val="3B3C43"/>
        </w:rPr>
        <w:t>Reflects the target number of PSUs that vest on March 8, 2022.</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0"/>
        </w:numPr>
        <w:rPr>
          <w:rFonts w:ascii="Arial" w:cs="Arial" w:eastAsia="Arial" w:hAnsi="Arial"/>
          <w:sz w:val="14"/>
          <w:szCs w:val="14"/>
          <w:color w:val="3B3C43"/>
        </w:rPr>
      </w:pPr>
      <w:r>
        <w:rPr>
          <w:rFonts w:ascii="Arial" w:cs="Arial" w:eastAsia="Arial" w:hAnsi="Arial"/>
          <w:sz w:val="14"/>
          <w:szCs w:val="14"/>
          <w:color w:val="3B3C43"/>
        </w:rPr>
        <w:t>Reflects grant of RSUs, as applicable, that vest on March 9, 2023.</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0"/>
        </w:numPr>
        <w:rPr>
          <w:rFonts w:ascii="Arial" w:cs="Arial" w:eastAsia="Arial" w:hAnsi="Arial"/>
          <w:sz w:val="14"/>
          <w:szCs w:val="14"/>
          <w:color w:val="3B3C43"/>
        </w:rPr>
      </w:pPr>
      <w:r>
        <w:rPr>
          <w:rFonts w:ascii="Arial" w:cs="Arial" w:eastAsia="Arial" w:hAnsi="Arial"/>
          <w:sz w:val="14"/>
          <w:szCs w:val="14"/>
          <w:color w:val="3B3C43"/>
        </w:rPr>
        <w:t>Reflects the target number of PSUs that vest on March 9, 2023.</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0"/>
        </w:numPr>
        <w:rPr>
          <w:rFonts w:ascii="Arial" w:cs="Arial" w:eastAsia="Arial" w:hAnsi="Arial"/>
          <w:sz w:val="14"/>
          <w:szCs w:val="14"/>
          <w:color w:val="3B3C43"/>
        </w:rPr>
      </w:pPr>
      <w:r>
        <w:rPr>
          <w:rFonts w:ascii="Arial" w:cs="Arial" w:eastAsia="Arial" w:hAnsi="Arial"/>
          <w:sz w:val="14"/>
          <w:szCs w:val="14"/>
          <w:color w:val="3B3C43"/>
        </w:rPr>
        <w:t>Ms. MacGregor left the Company on October 31, 2020 and her grants have been forfeited.</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109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Option Exercises and Stock Vested Table</w:t>
      </w:r>
    </w:p>
    <w:p>
      <w:pPr>
        <w:spacing w:after="0" w:line="19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3B3C43"/>
        </w:rPr>
        <w:t>Shown below is information for each of the NEOs with respect to options to purchase Ordinary Shares exercised in 2020 and RSU and PSU awards that vested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105410</wp:posOffset>
            </wp:positionV>
            <wp:extent cx="8255" cy="548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54864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105410</wp:posOffset>
            </wp:positionV>
            <wp:extent cx="8890" cy="548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54864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20" w:type="dxa"/>
            <w:vAlign w:val="bottom"/>
            <w:shd w:val="clear" w:color="auto" w:fill="4A1F67"/>
          </w:tcPr>
          <w:p>
            <w:pPr>
              <w:spacing w:after="0"/>
              <w:rPr>
                <w:sz w:val="20"/>
                <w:szCs w:val="20"/>
                <w:color w:val="auto"/>
              </w:rPr>
            </w:pPr>
          </w:p>
        </w:tc>
        <w:tc>
          <w:tcPr>
            <w:tcW w:w="286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OPTION AWARDS</w:t>
            </w:r>
          </w:p>
        </w:tc>
        <w:tc>
          <w:tcPr>
            <w:tcW w:w="1860" w:type="dxa"/>
            <w:vAlign w:val="bottom"/>
            <w:shd w:val="clear" w:color="auto" w:fill="4A1F67"/>
          </w:tcPr>
          <w:p>
            <w:pPr>
              <w:spacing w:after="0"/>
              <w:rPr>
                <w:sz w:val="20"/>
                <w:szCs w:val="20"/>
                <w:color w:val="auto"/>
              </w:rPr>
            </w:pPr>
          </w:p>
        </w:tc>
        <w:tc>
          <w:tcPr>
            <w:tcW w:w="2620" w:type="dxa"/>
            <w:vAlign w:val="bottom"/>
            <w:shd w:val="clear" w:color="auto" w:fill="4A1F67"/>
          </w:tcPr>
          <w:p>
            <w:pPr>
              <w:jc w:val="right"/>
              <w:ind w:right="19"/>
              <w:spacing w:after="0"/>
              <w:rPr>
                <w:sz w:val="20"/>
                <w:szCs w:val="20"/>
                <w:color w:val="auto"/>
              </w:rPr>
            </w:pPr>
            <w:r>
              <w:rPr>
                <w:rFonts w:ascii="Arial" w:cs="Arial" w:eastAsia="Arial" w:hAnsi="Arial"/>
                <w:sz w:val="16"/>
                <w:szCs w:val="16"/>
                <w:b w:val="1"/>
                <w:bCs w:val="1"/>
                <w:color w:val="FFFFFF"/>
              </w:rPr>
              <w:t>STOCK AWARDS</w:t>
            </w:r>
          </w:p>
        </w:tc>
        <w:tc>
          <w:tcPr>
            <w:tcW w:w="1480" w:type="dxa"/>
            <w:vAlign w:val="bottom"/>
            <w:shd w:val="clear" w:color="auto" w:fill="4A1F67"/>
          </w:tcPr>
          <w:p>
            <w:pPr>
              <w:spacing w:after="0"/>
              <w:rPr>
                <w:sz w:val="20"/>
                <w:szCs w:val="20"/>
                <w:color w:val="auto"/>
              </w:rPr>
            </w:pPr>
          </w:p>
        </w:tc>
      </w:tr>
      <w:tr>
        <w:trPr>
          <w:trHeight w:val="206"/>
        </w:trPr>
        <w:tc>
          <w:tcPr>
            <w:tcW w:w="2420" w:type="dxa"/>
            <w:vAlign w:val="bottom"/>
            <w:shd w:val="clear" w:color="auto" w:fill="4A1F67"/>
          </w:tcPr>
          <w:p>
            <w:pPr>
              <w:spacing w:after="0"/>
              <w:rPr>
                <w:sz w:val="17"/>
                <w:szCs w:val="17"/>
                <w:color w:val="auto"/>
              </w:rPr>
            </w:pPr>
          </w:p>
        </w:tc>
        <w:tc>
          <w:tcPr>
            <w:tcW w:w="2860" w:type="dxa"/>
            <w:vAlign w:val="bottom"/>
            <w:shd w:val="clear" w:color="auto" w:fill="4A1F67"/>
          </w:tcPr>
          <w:p>
            <w:pPr>
              <w:jc w:val="right"/>
              <w:ind w:right="759"/>
              <w:spacing w:after="0"/>
              <w:rPr>
                <w:sz w:val="20"/>
                <w:szCs w:val="20"/>
                <w:color w:val="auto"/>
              </w:rPr>
            </w:pPr>
            <w:r>
              <w:rPr>
                <w:rFonts w:ascii="Arial" w:cs="Arial" w:eastAsia="Arial" w:hAnsi="Arial"/>
                <w:sz w:val="16"/>
                <w:szCs w:val="16"/>
                <w:b w:val="1"/>
                <w:bCs w:val="1"/>
                <w:color w:val="FFFFFF"/>
              </w:rPr>
              <w:t>Number of</w:t>
            </w:r>
          </w:p>
        </w:tc>
        <w:tc>
          <w:tcPr>
            <w:tcW w:w="1860" w:type="dxa"/>
            <w:vAlign w:val="bottom"/>
            <w:shd w:val="clear" w:color="auto" w:fill="4A1F67"/>
          </w:tcPr>
          <w:p>
            <w:pPr>
              <w:spacing w:after="0"/>
              <w:rPr>
                <w:sz w:val="17"/>
                <w:szCs w:val="17"/>
                <w:color w:val="auto"/>
              </w:rPr>
            </w:pPr>
          </w:p>
        </w:tc>
        <w:tc>
          <w:tcPr>
            <w:tcW w:w="2620" w:type="dxa"/>
            <w:vAlign w:val="bottom"/>
            <w:shd w:val="clear" w:color="auto" w:fill="4A1F67"/>
          </w:tcPr>
          <w:p>
            <w:pPr>
              <w:jc w:val="right"/>
              <w:ind w:right="719"/>
              <w:spacing w:after="0"/>
              <w:rPr>
                <w:sz w:val="20"/>
                <w:szCs w:val="20"/>
                <w:color w:val="auto"/>
              </w:rPr>
            </w:pPr>
            <w:r>
              <w:rPr>
                <w:rFonts w:ascii="Arial" w:cs="Arial" w:eastAsia="Arial" w:hAnsi="Arial"/>
                <w:sz w:val="16"/>
                <w:szCs w:val="16"/>
                <w:b w:val="1"/>
                <w:bCs w:val="1"/>
                <w:color w:val="FFFFFF"/>
              </w:rPr>
              <w:t>Number of Shares</w:t>
            </w:r>
          </w:p>
        </w:tc>
        <w:tc>
          <w:tcPr>
            <w:tcW w:w="1480" w:type="dxa"/>
            <w:vAlign w:val="bottom"/>
            <w:shd w:val="clear" w:color="auto" w:fill="4A1F67"/>
          </w:tcPr>
          <w:p>
            <w:pPr>
              <w:spacing w:after="0"/>
              <w:rPr>
                <w:sz w:val="17"/>
                <w:szCs w:val="17"/>
                <w:color w:val="auto"/>
              </w:rPr>
            </w:pPr>
          </w:p>
        </w:tc>
      </w:tr>
      <w:tr>
        <w:trPr>
          <w:trHeight w:val="177"/>
        </w:trPr>
        <w:tc>
          <w:tcPr>
            <w:tcW w:w="2420" w:type="dxa"/>
            <w:vAlign w:val="bottom"/>
            <w:shd w:val="clear" w:color="auto" w:fill="4A1F67"/>
          </w:tcPr>
          <w:p>
            <w:pPr>
              <w:ind w:left="40"/>
              <w:spacing w:after="0" w:line="177" w:lineRule="exact"/>
              <w:rPr>
                <w:sz w:val="20"/>
                <w:szCs w:val="20"/>
                <w:color w:val="auto"/>
              </w:rPr>
            </w:pPr>
            <w:r>
              <w:rPr>
                <w:rFonts w:ascii="Arial" w:cs="Arial" w:eastAsia="Arial" w:hAnsi="Arial"/>
                <w:sz w:val="16"/>
                <w:szCs w:val="16"/>
                <w:b w:val="1"/>
                <w:bCs w:val="1"/>
                <w:color w:val="FFFFFF"/>
              </w:rPr>
              <w:t>Named Executive</w:t>
            </w:r>
          </w:p>
        </w:tc>
        <w:tc>
          <w:tcPr>
            <w:tcW w:w="2860" w:type="dxa"/>
            <w:vAlign w:val="bottom"/>
            <w:shd w:val="clear" w:color="auto" w:fill="4A1F67"/>
          </w:tcPr>
          <w:p>
            <w:pPr>
              <w:jc w:val="right"/>
              <w:ind w:right="759"/>
              <w:spacing w:after="0" w:line="177" w:lineRule="exact"/>
              <w:rPr>
                <w:sz w:val="20"/>
                <w:szCs w:val="20"/>
                <w:color w:val="auto"/>
              </w:rPr>
            </w:pPr>
            <w:r>
              <w:rPr>
                <w:rFonts w:ascii="Arial" w:cs="Arial" w:eastAsia="Arial" w:hAnsi="Arial"/>
                <w:sz w:val="16"/>
                <w:szCs w:val="16"/>
                <w:b w:val="1"/>
                <w:bCs w:val="1"/>
                <w:color w:val="FFFFFF"/>
              </w:rPr>
              <w:t>Shares Acquired</w:t>
            </w:r>
          </w:p>
        </w:tc>
        <w:tc>
          <w:tcPr>
            <w:tcW w:w="1860" w:type="dxa"/>
            <w:vAlign w:val="bottom"/>
            <w:shd w:val="clear" w:color="auto" w:fill="4A1F67"/>
          </w:tcPr>
          <w:p>
            <w:pPr>
              <w:jc w:val="right"/>
              <w:ind w:right="339"/>
              <w:spacing w:after="0" w:line="177" w:lineRule="exact"/>
              <w:rPr>
                <w:sz w:val="20"/>
                <w:szCs w:val="20"/>
                <w:color w:val="auto"/>
              </w:rPr>
            </w:pPr>
            <w:r>
              <w:rPr>
                <w:rFonts w:ascii="Arial" w:cs="Arial" w:eastAsia="Arial" w:hAnsi="Arial"/>
                <w:sz w:val="16"/>
                <w:szCs w:val="16"/>
                <w:b w:val="1"/>
                <w:bCs w:val="1"/>
                <w:color w:val="FFFFFF"/>
              </w:rPr>
              <w:t>Value Realized on</w:t>
            </w:r>
          </w:p>
        </w:tc>
        <w:tc>
          <w:tcPr>
            <w:tcW w:w="2620" w:type="dxa"/>
            <w:vAlign w:val="bottom"/>
            <w:shd w:val="clear" w:color="auto" w:fill="4A1F67"/>
          </w:tcPr>
          <w:p>
            <w:pPr>
              <w:jc w:val="right"/>
              <w:ind w:right="719"/>
              <w:spacing w:after="0" w:line="177" w:lineRule="exact"/>
              <w:rPr>
                <w:sz w:val="20"/>
                <w:szCs w:val="20"/>
                <w:color w:val="auto"/>
              </w:rPr>
            </w:pPr>
            <w:r>
              <w:rPr>
                <w:rFonts w:ascii="Arial" w:cs="Arial" w:eastAsia="Arial" w:hAnsi="Arial"/>
                <w:sz w:val="16"/>
                <w:szCs w:val="16"/>
                <w:b w:val="1"/>
                <w:bCs w:val="1"/>
                <w:color w:val="FFFFFF"/>
              </w:rPr>
              <w:t>Acquired on</w:t>
            </w:r>
          </w:p>
        </w:tc>
        <w:tc>
          <w:tcPr>
            <w:tcW w:w="1480" w:type="dxa"/>
            <w:vAlign w:val="bottom"/>
            <w:shd w:val="clear" w:color="auto" w:fill="4A1F67"/>
          </w:tcPr>
          <w:p>
            <w:pPr>
              <w:jc w:val="right"/>
              <w:spacing w:after="0" w:line="177" w:lineRule="exact"/>
              <w:rPr>
                <w:sz w:val="20"/>
                <w:szCs w:val="20"/>
                <w:color w:val="auto"/>
              </w:rPr>
            </w:pPr>
            <w:r>
              <w:rPr>
                <w:rFonts w:ascii="Arial" w:cs="Arial" w:eastAsia="Arial" w:hAnsi="Arial"/>
                <w:sz w:val="16"/>
                <w:szCs w:val="16"/>
                <w:b w:val="1"/>
                <w:bCs w:val="1"/>
                <w:color w:val="FFFFFF"/>
              </w:rPr>
              <w:t>Value Realized on</w:t>
            </w:r>
          </w:p>
        </w:tc>
      </w:tr>
      <w:tr>
        <w:trPr>
          <w:trHeight w:val="246"/>
        </w:trPr>
        <w:tc>
          <w:tcPr>
            <w:tcW w:w="2420" w:type="dxa"/>
            <w:vAlign w:val="bottom"/>
            <w:shd w:val="clear" w:color="auto" w:fill="4A1F67"/>
          </w:tcPr>
          <w:p>
            <w:pPr>
              <w:ind w:left="40"/>
              <w:spacing w:after="0"/>
              <w:rPr>
                <w:sz w:val="20"/>
                <w:szCs w:val="20"/>
                <w:color w:val="auto"/>
              </w:rPr>
            </w:pPr>
            <w:r>
              <w:rPr>
                <w:rFonts w:ascii="Arial" w:cs="Arial" w:eastAsia="Arial" w:hAnsi="Arial"/>
                <w:sz w:val="16"/>
                <w:szCs w:val="16"/>
                <w:b w:val="1"/>
                <w:bCs w:val="1"/>
                <w:color w:val="FFFFFF"/>
              </w:rPr>
              <w:t>Officer</w:t>
            </w:r>
          </w:p>
        </w:tc>
        <w:tc>
          <w:tcPr>
            <w:tcW w:w="2860" w:type="dxa"/>
            <w:vAlign w:val="bottom"/>
            <w:shd w:val="clear" w:color="auto" w:fill="4A1F67"/>
          </w:tcPr>
          <w:p>
            <w:pPr>
              <w:jc w:val="right"/>
              <w:ind w:right="719"/>
              <w:spacing w:after="0"/>
              <w:rPr>
                <w:sz w:val="20"/>
                <w:szCs w:val="20"/>
                <w:color w:val="auto"/>
              </w:rPr>
            </w:pPr>
            <w:r>
              <w:rPr>
                <w:rFonts w:ascii="Arial" w:cs="Arial" w:eastAsia="Arial" w:hAnsi="Arial"/>
                <w:sz w:val="16"/>
                <w:szCs w:val="16"/>
                <w:b w:val="1"/>
                <w:bCs w:val="1"/>
                <w:color w:val="FFFFFF"/>
              </w:rPr>
              <w:t>on Exercise (#)</w:t>
            </w:r>
          </w:p>
        </w:tc>
        <w:tc>
          <w:tcPr>
            <w:tcW w:w="1860" w:type="dxa"/>
            <w:vAlign w:val="bottom"/>
            <w:shd w:val="clear" w:color="auto" w:fill="4A1F67"/>
          </w:tcPr>
          <w:p>
            <w:pPr>
              <w:jc w:val="right"/>
              <w:ind w:right="339"/>
              <w:spacing w:after="0"/>
              <w:rPr>
                <w:sz w:val="20"/>
                <w:szCs w:val="20"/>
                <w:color w:val="auto"/>
              </w:rPr>
            </w:pPr>
            <w:r>
              <w:rPr>
                <w:rFonts w:ascii="Arial" w:cs="Arial" w:eastAsia="Arial" w:hAnsi="Arial"/>
                <w:sz w:val="16"/>
                <w:szCs w:val="16"/>
                <w:b w:val="1"/>
                <w:bCs w:val="1"/>
                <w:color w:val="FFFFFF"/>
              </w:rPr>
              <w:t>Exercise ($)</w:t>
            </w:r>
          </w:p>
        </w:tc>
        <w:tc>
          <w:tcPr>
            <w:tcW w:w="2620" w:type="dxa"/>
            <w:vAlign w:val="bottom"/>
            <w:shd w:val="clear" w:color="auto" w:fill="4A1F67"/>
          </w:tcPr>
          <w:p>
            <w:pPr>
              <w:jc w:val="right"/>
              <w:ind w:right="719"/>
              <w:spacing w:after="0"/>
              <w:rPr>
                <w:sz w:val="20"/>
                <w:szCs w:val="20"/>
                <w:color w:val="auto"/>
              </w:rPr>
            </w:pPr>
            <w:r>
              <w:rPr>
                <w:rFonts w:ascii="Arial" w:cs="Arial" w:eastAsia="Arial" w:hAnsi="Arial"/>
                <w:sz w:val="16"/>
                <w:szCs w:val="16"/>
                <w:b w:val="1"/>
                <w:bCs w:val="1"/>
                <w:color w:val="FFFFFF"/>
              </w:rPr>
              <w:t>Vesting (#)</w:t>
            </w:r>
          </w:p>
        </w:tc>
        <w:tc>
          <w:tcPr>
            <w:tcW w:w="1480" w:type="dxa"/>
            <w:vAlign w:val="bottom"/>
            <w:shd w:val="clear" w:color="auto" w:fill="4A1F67"/>
          </w:tcPr>
          <w:p>
            <w:pPr>
              <w:jc w:val="right"/>
              <w:spacing w:after="0" w:line="246" w:lineRule="exact"/>
              <w:rPr>
                <w:sz w:val="20"/>
                <w:szCs w:val="20"/>
                <w:color w:val="auto"/>
              </w:rPr>
            </w:pPr>
            <w:r>
              <w:rPr>
                <w:rFonts w:ascii="Arial" w:cs="Arial" w:eastAsia="Arial" w:hAnsi="Arial"/>
                <w:sz w:val="16"/>
                <w:szCs w:val="16"/>
                <w:b w:val="1"/>
                <w:bCs w:val="1"/>
                <w:color w:val="FFFFFF"/>
              </w:rPr>
              <w:t>Vesting</w:t>
            </w:r>
            <w:r>
              <w:rPr>
                <w:rFonts w:ascii="Arial" w:cs="Arial" w:eastAsia="Arial" w:hAnsi="Arial"/>
                <w:sz w:val="26"/>
                <w:szCs w:val="26"/>
                <w:b w:val="1"/>
                <w:bCs w:val="1"/>
                <w:color w:val="FFFFFF"/>
                <w:vertAlign w:val="superscript"/>
              </w:rPr>
              <w:t>1</w:t>
            </w:r>
            <w:r>
              <w:rPr>
                <w:rFonts w:ascii="Arial" w:cs="Arial" w:eastAsia="Arial" w:hAnsi="Arial"/>
                <w:sz w:val="16"/>
                <w:szCs w:val="16"/>
                <w:b w:val="1"/>
                <w:bCs w:val="1"/>
                <w:color w:val="FFFFFF"/>
              </w:rPr>
              <w:t xml:space="preserve"> ($)</w:t>
            </w:r>
          </w:p>
        </w:tc>
      </w:tr>
      <w:tr>
        <w:trPr>
          <w:trHeight w:val="237"/>
        </w:trPr>
        <w:tc>
          <w:tcPr>
            <w:tcW w:w="2420" w:type="dxa"/>
            <w:vAlign w:val="bottom"/>
            <w:tcBorders>
              <w:bottom w:val="single" w:sz="8" w:color="E1E2E0"/>
            </w:tcBorders>
          </w:tcPr>
          <w:p>
            <w:pPr>
              <w:ind w:left="40"/>
              <w:spacing w:after="0"/>
              <w:rPr>
                <w:sz w:val="20"/>
                <w:szCs w:val="20"/>
                <w:color w:val="auto"/>
              </w:rPr>
            </w:pPr>
            <w:r>
              <w:rPr>
                <w:rFonts w:ascii="Arial" w:cs="Arial" w:eastAsia="Arial" w:hAnsi="Arial"/>
                <w:sz w:val="16"/>
                <w:szCs w:val="16"/>
                <w:b w:val="1"/>
                <w:bCs w:val="1"/>
                <w:color w:val="3B3C43"/>
              </w:rPr>
              <w:t>Douglas J. Pferdehirt</w:t>
            </w:r>
          </w:p>
        </w:tc>
        <w:tc>
          <w:tcPr>
            <w:tcW w:w="286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w:t>
            </w:r>
          </w:p>
        </w:tc>
        <w:tc>
          <w:tcPr>
            <w:tcW w:w="1860" w:type="dxa"/>
            <w:vAlign w:val="bottom"/>
            <w:tcBorders>
              <w:bottom w:val="single" w:sz="8" w:color="E1E2E0"/>
            </w:tcBorders>
          </w:tcPr>
          <w:p>
            <w:pPr>
              <w:jc w:val="right"/>
              <w:ind w:right="339"/>
              <w:spacing w:after="0"/>
              <w:rPr>
                <w:sz w:val="20"/>
                <w:szCs w:val="20"/>
                <w:color w:val="auto"/>
              </w:rPr>
            </w:pPr>
            <w:r>
              <w:rPr>
                <w:rFonts w:ascii="Arial" w:cs="Arial" w:eastAsia="Arial" w:hAnsi="Arial"/>
                <w:sz w:val="16"/>
                <w:szCs w:val="16"/>
                <w:color w:val="3B3C43"/>
              </w:rPr>
              <w:t>—</w:t>
            </w:r>
          </w:p>
        </w:tc>
        <w:tc>
          <w:tcPr>
            <w:tcW w:w="262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163,410</w:t>
            </w:r>
          </w:p>
        </w:tc>
        <w:tc>
          <w:tcPr>
            <w:tcW w:w="14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2,425,004</w:t>
            </w:r>
          </w:p>
        </w:tc>
      </w:tr>
      <w:tr>
        <w:trPr>
          <w:trHeight w:val="237"/>
        </w:trPr>
        <w:tc>
          <w:tcPr>
            <w:tcW w:w="2420" w:type="dxa"/>
            <w:vAlign w:val="bottom"/>
            <w:tcBorders>
              <w:bottom w:val="single" w:sz="8" w:color="E1E2E0"/>
            </w:tcBorders>
          </w:tcPr>
          <w:p>
            <w:pPr>
              <w:ind w:left="40"/>
              <w:spacing w:after="0"/>
              <w:rPr>
                <w:sz w:val="20"/>
                <w:szCs w:val="20"/>
                <w:color w:val="auto"/>
              </w:rPr>
            </w:pPr>
            <w:r>
              <w:rPr>
                <w:rFonts w:ascii="Arial" w:cs="Arial" w:eastAsia="Arial" w:hAnsi="Arial"/>
                <w:sz w:val="16"/>
                <w:szCs w:val="16"/>
                <w:b w:val="1"/>
                <w:bCs w:val="1"/>
                <w:color w:val="3B3C43"/>
              </w:rPr>
              <w:t>Maryann T. Mannen</w:t>
            </w:r>
          </w:p>
        </w:tc>
        <w:tc>
          <w:tcPr>
            <w:tcW w:w="286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w:t>
            </w:r>
          </w:p>
        </w:tc>
        <w:tc>
          <w:tcPr>
            <w:tcW w:w="1860" w:type="dxa"/>
            <w:vAlign w:val="bottom"/>
            <w:tcBorders>
              <w:bottom w:val="single" w:sz="8" w:color="E1E2E0"/>
            </w:tcBorders>
          </w:tcPr>
          <w:p>
            <w:pPr>
              <w:jc w:val="right"/>
              <w:ind w:right="339"/>
              <w:spacing w:after="0"/>
              <w:rPr>
                <w:sz w:val="20"/>
                <w:szCs w:val="20"/>
                <w:color w:val="auto"/>
              </w:rPr>
            </w:pPr>
            <w:r>
              <w:rPr>
                <w:rFonts w:ascii="Arial" w:cs="Arial" w:eastAsia="Arial" w:hAnsi="Arial"/>
                <w:sz w:val="16"/>
                <w:szCs w:val="16"/>
                <w:color w:val="3B3C43"/>
              </w:rPr>
              <w:t>—</w:t>
            </w:r>
          </w:p>
        </w:tc>
        <w:tc>
          <w:tcPr>
            <w:tcW w:w="262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47,957</w:t>
            </w:r>
          </w:p>
        </w:tc>
        <w:tc>
          <w:tcPr>
            <w:tcW w:w="14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538,455</w:t>
            </w:r>
          </w:p>
        </w:tc>
      </w:tr>
      <w:tr>
        <w:trPr>
          <w:trHeight w:val="237"/>
        </w:trPr>
        <w:tc>
          <w:tcPr>
            <w:tcW w:w="2420" w:type="dxa"/>
            <w:vAlign w:val="bottom"/>
            <w:tcBorders>
              <w:bottom w:val="single" w:sz="8" w:color="E1E2E0"/>
            </w:tcBorders>
          </w:tcPr>
          <w:p>
            <w:pPr>
              <w:ind w:left="40"/>
              <w:spacing w:after="0"/>
              <w:rPr>
                <w:sz w:val="20"/>
                <w:szCs w:val="20"/>
                <w:color w:val="auto"/>
              </w:rPr>
            </w:pPr>
            <w:r>
              <w:rPr>
                <w:rFonts w:ascii="Arial" w:cs="Arial" w:eastAsia="Arial" w:hAnsi="Arial"/>
                <w:sz w:val="16"/>
                <w:szCs w:val="16"/>
                <w:b w:val="1"/>
                <w:bCs w:val="1"/>
                <w:color w:val="3B3C43"/>
              </w:rPr>
              <w:t>Justin Rounce</w:t>
            </w:r>
          </w:p>
        </w:tc>
        <w:tc>
          <w:tcPr>
            <w:tcW w:w="286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w:t>
            </w:r>
          </w:p>
        </w:tc>
        <w:tc>
          <w:tcPr>
            <w:tcW w:w="1860" w:type="dxa"/>
            <w:vAlign w:val="bottom"/>
            <w:tcBorders>
              <w:bottom w:val="single" w:sz="8" w:color="E1E2E0"/>
            </w:tcBorders>
          </w:tcPr>
          <w:p>
            <w:pPr>
              <w:jc w:val="right"/>
              <w:ind w:right="339"/>
              <w:spacing w:after="0"/>
              <w:rPr>
                <w:sz w:val="20"/>
                <w:szCs w:val="20"/>
                <w:color w:val="auto"/>
              </w:rPr>
            </w:pPr>
            <w:r>
              <w:rPr>
                <w:rFonts w:ascii="Arial" w:cs="Arial" w:eastAsia="Arial" w:hAnsi="Arial"/>
                <w:sz w:val="16"/>
                <w:szCs w:val="16"/>
                <w:color w:val="3B3C43"/>
              </w:rPr>
              <w:t>—</w:t>
            </w:r>
          </w:p>
        </w:tc>
        <w:tc>
          <w:tcPr>
            <w:tcW w:w="262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26,395</w:t>
            </w:r>
          </w:p>
        </w:tc>
        <w:tc>
          <w:tcPr>
            <w:tcW w:w="14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178,166</w:t>
            </w:r>
          </w:p>
        </w:tc>
      </w:tr>
      <w:tr>
        <w:trPr>
          <w:trHeight w:val="236"/>
        </w:trPr>
        <w:tc>
          <w:tcPr>
            <w:tcW w:w="2420" w:type="dxa"/>
            <w:vAlign w:val="bottom"/>
            <w:tcBorders>
              <w:bottom w:val="single" w:sz="8" w:color="E1E2E0"/>
            </w:tcBorders>
          </w:tcPr>
          <w:p>
            <w:pPr>
              <w:ind w:left="40"/>
              <w:spacing w:after="0"/>
              <w:rPr>
                <w:sz w:val="20"/>
                <w:szCs w:val="20"/>
                <w:color w:val="auto"/>
              </w:rPr>
            </w:pPr>
            <w:r>
              <w:rPr>
                <w:rFonts w:ascii="Arial" w:cs="Arial" w:eastAsia="Arial" w:hAnsi="Arial"/>
                <w:sz w:val="16"/>
                <w:szCs w:val="16"/>
                <w:b w:val="1"/>
                <w:bCs w:val="1"/>
                <w:color w:val="3B3C43"/>
              </w:rPr>
              <w:t>Arnaud Pieton</w:t>
            </w:r>
          </w:p>
        </w:tc>
        <w:tc>
          <w:tcPr>
            <w:tcW w:w="286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w:t>
            </w:r>
          </w:p>
        </w:tc>
        <w:tc>
          <w:tcPr>
            <w:tcW w:w="1860" w:type="dxa"/>
            <w:vAlign w:val="bottom"/>
            <w:tcBorders>
              <w:bottom w:val="single" w:sz="8" w:color="E1E2E0"/>
            </w:tcBorders>
          </w:tcPr>
          <w:p>
            <w:pPr>
              <w:jc w:val="right"/>
              <w:ind w:right="339"/>
              <w:spacing w:after="0"/>
              <w:rPr>
                <w:sz w:val="20"/>
                <w:szCs w:val="20"/>
                <w:color w:val="auto"/>
              </w:rPr>
            </w:pPr>
            <w:r>
              <w:rPr>
                <w:rFonts w:ascii="Arial" w:cs="Arial" w:eastAsia="Arial" w:hAnsi="Arial"/>
                <w:sz w:val="16"/>
                <w:szCs w:val="16"/>
                <w:color w:val="3B3C43"/>
              </w:rPr>
              <w:t>—</w:t>
            </w:r>
          </w:p>
        </w:tc>
        <w:tc>
          <w:tcPr>
            <w:tcW w:w="262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13,922</w:t>
            </w:r>
          </w:p>
        </w:tc>
        <w:tc>
          <w:tcPr>
            <w:tcW w:w="14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206,602</w:t>
            </w:r>
          </w:p>
        </w:tc>
      </w:tr>
      <w:tr>
        <w:trPr>
          <w:trHeight w:val="237"/>
        </w:trPr>
        <w:tc>
          <w:tcPr>
            <w:tcW w:w="2420" w:type="dxa"/>
            <w:vAlign w:val="bottom"/>
            <w:tcBorders>
              <w:bottom w:val="single" w:sz="8" w:color="E1E2E0"/>
            </w:tcBorders>
          </w:tcPr>
          <w:p>
            <w:pPr>
              <w:ind w:left="40"/>
              <w:spacing w:after="0"/>
              <w:rPr>
                <w:sz w:val="20"/>
                <w:szCs w:val="20"/>
                <w:color w:val="auto"/>
              </w:rPr>
            </w:pPr>
            <w:r>
              <w:rPr>
                <w:rFonts w:ascii="Arial" w:cs="Arial" w:eastAsia="Arial" w:hAnsi="Arial"/>
                <w:sz w:val="16"/>
                <w:szCs w:val="16"/>
                <w:b w:val="1"/>
                <w:bCs w:val="1"/>
                <w:color w:val="3B3C43"/>
              </w:rPr>
              <w:t>Barry Glickman</w:t>
            </w:r>
          </w:p>
        </w:tc>
        <w:tc>
          <w:tcPr>
            <w:tcW w:w="286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w:t>
            </w:r>
          </w:p>
        </w:tc>
        <w:tc>
          <w:tcPr>
            <w:tcW w:w="1860" w:type="dxa"/>
            <w:vAlign w:val="bottom"/>
            <w:tcBorders>
              <w:bottom w:val="single" w:sz="8" w:color="E1E2E0"/>
            </w:tcBorders>
          </w:tcPr>
          <w:p>
            <w:pPr>
              <w:jc w:val="right"/>
              <w:ind w:right="339"/>
              <w:spacing w:after="0"/>
              <w:rPr>
                <w:sz w:val="20"/>
                <w:szCs w:val="20"/>
                <w:color w:val="auto"/>
              </w:rPr>
            </w:pPr>
            <w:r>
              <w:rPr>
                <w:rFonts w:ascii="Arial" w:cs="Arial" w:eastAsia="Arial" w:hAnsi="Arial"/>
                <w:sz w:val="16"/>
                <w:szCs w:val="16"/>
                <w:color w:val="3B3C43"/>
              </w:rPr>
              <w:t>—</w:t>
            </w:r>
          </w:p>
        </w:tc>
        <w:tc>
          <w:tcPr>
            <w:tcW w:w="262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15,470</w:t>
            </w:r>
          </w:p>
        </w:tc>
        <w:tc>
          <w:tcPr>
            <w:tcW w:w="14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229,575</w:t>
            </w:r>
          </w:p>
        </w:tc>
      </w:tr>
      <w:tr>
        <w:trPr>
          <w:trHeight w:val="237"/>
        </w:trPr>
        <w:tc>
          <w:tcPr>
            <w:tcW w:w="2420" w:type="dxa"/>
            <w:vAlign w:val="bottom"/>
            <w:tcBorders>
              <w:bottom w:val="single" w:sz="8" w:color="E1E2E0"/>
            </w:tcBorders>
          </w:tcPr>
          <w:p>
            <w:pPr>
              <w:ind w:left="40"/>
              <w:spacing w:after="0"/>
              <w:rPr>
                <w:sz w:val="20"/>
                <w:szCs w:val="20"/>
                <w:color w:val="auto"/>
              </w:rPr>
            </w:pPr>
            <w:r>
              <w:rPr>
                <w:rFonts w:ascii="Arial" w:cs="Arial" w:eastAsia="Arial" w:hAnsi="Arial"/>
                <w:sz w:val="16"/>
                <w:szCs w:val="16"/>
                <w:b w:val="1"/>
                <w:bCs w:val="1"/>
                <w:color w:val="3B3C43"/>
              </w:rPr>
              <w:t>Catherine MacGregor</w:t>
            </w:r>
          </w:p>
        </w:tc>
        <w:tc>
          <w:tcPr>
            <w:tcW w:w="286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w:t>
            </w:r>
          </w:p>
        </w:tc>
        <w:tc>
          <w:tcPr>
            <w:tcW w:w="1860" w:type="dxa"/>
            <w:vAlign w:val="bottom"/>
            <w:tcBorders>
              <w:bottom w:val="single" w:sz="8" w:color="E1E2E0"/>
            </w:tcBorders>
          </w:tcPr>
          <w:p>
            <w:pPr>
              <w:jc w:val="right"/>
              <w:ind w:right="339"/>
              <w:spacing w:after="0"/>
              <w:rPr>
                <w:sz w:val="20"/>
                <w:szCs w:val="20"/>
                <w:color w:val="auto"/>
              </w:rPr>
            </w:pPr>
            <w:r>
              <w:rPr>
                <w:rFonts w:ascii="Arial" w:cs="Arial" w:eastAsia="Arial" w:hAnsi="Arial"/>
                <w:sz w:val="16"/>
                <w:szCs w:val="16"/>
                <w:color w:val="3B3C43"/>
              </w:rPr>
              <w:t>—</w:t>
            </w:r>
          </w:p>
        </w:tc>
        <w:tc>
          <w:tcPr>
            <w:tcW w:w="262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20,383</w:t>
            </w:r>
          </w:p>
        </w:tc>
        <w:tc>
          <w:tcPr>
            <w:tcW w:w="14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160,414</w:t>
            </w:r>
          </w:p>
        </w:tc>
      </w:tr>
      <w:tr>
        <w:trPr>
          <w:trHeight w:val="237"/>
        </w:trPr>
        <w:tc>
          <w:tcPr>
            <w:tcW w:w="2420" w:type="dxa"/>
            <w:vAlign w:val="bottom"/>
            <w:tcBorders>
              <w:bottom w:val="single" w:sz="8" w:color="E1E2E0"/>
            </w:tcBorders>
          </w:tcPr>
          <w:p>
            <w:pPr>
              <w:ind w:left="40"/>
              <w:spacing w:after="0"/>
              <w:rPr>
                <w:sz w:val="20"/>
                <w:szCs w:val="20"/>
                <w:color w:val="auto"/>
              </w:rPr>
            </w:pPr>
            <w:r>
              <w:rPr>
                <w:rFonts w:ascii="Arial" w:cs="Arial" w:eastAsia="Arial" w:hAnsi="Arial"/>
                <w:sz w:val="16"/>
                <w:szCs w:val="16"/>
                <w:b w:val="1"/>
                <w:bCs w:val="1"/>
                <w:color w:val="3B3C43"/>
              </w:rPr>
              <w:t>Nello Uccelletti</w:t>
            </w:r>
          </w:p>
        </w:tc>
        <w:tc>
          <w:tcPr>
            <w:tcW w:w="286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w:t>
            </w:r>
          </w:p>
        </w:tc>
        <w:tc>
          <w:tcPr>
            <w:tcW w:w="1860" w:type="dxa"/>
            <w:vAlign w:val="bottom"/>
            <w:tcBorders>
              <w:bottom w:val="single" w:sz="8" w:color="E1E2E0"/>
            </w:tcBorders>
          </w:tcPr>
          <w:p>
            <w:pPr>
              <w:jc w:val="right"/>
              <w:ind w:right="339"/>
              <w:spacing w:after="0"/>
              <w:rPr>
                <w:sz w:val="20"/>
                <w:szCs w:val="20"/>
                <w:color w:val="auto"/>
              </w:rPr>
            </w:pPr>
            <w:r>
              <w:rPr>
                <w:rFonts w:ascii="Arial" w:cs="Arial" w:eastAsia="Arial" w:hAnsi="Arial"/>
                <w:sz w:val="16"/>
                <w:szCs w:val="16"/>
                <w:color w:val="3B3C43"/>
              </w:rPr>
              <w:t>—</w:t>
            </w:r>
          </w:p>
        </w:tc>
        <w:tc>
          <w:tcPr>
            <w:tcW w:w="2620" w:type="dxa"/>
            <w:vAlign w:val="bottom"/>
            <w:tcBorders>
              <w:bottom w:val="single" w:sz="8" w:color="E1E2E0"/>
            </w:tcBorders>
          </w:tcPr>
          <w:p>
            <w:pPr>
              <w:jc w:val="right"/>
              <w:ind w:right="719"/>
              <w:spacing w:after="0"/>
              <w:rPr>
                <w:sz w:val="20"/>
                <w:szCs w:val="20"/>
                <w:color w:val="auto"/>
              </w:rPr>
            </w:pPr>
            <w:r>
              <w:rPr>
                <w:rFonts w:ascii="Arial" w:cs="Arial" w:eastAsia="Arial" w:hAnsi="Arial"/>
                <w:sz w:val="16"/>
                <w:szCs w:val="16"/>
                <w:color w:val="3B3C43"/>
              </w:rPr>
              <w:t>49,337</w:t>
            </w:r>
          </w:p>
        </w:tc>
        <w:tc>
          <w:tcPr>
            <w:tcW w:w="1480" w:type="dxa"/>
            <w:vAlign w:val="bottom"/>
            <w:tcBorders>
              <w:bottom w:val="single" w:sz="8" w:color="E1E2E0"/>
            </w:tcBorders>
          </w:tcPr>
          <w:p>
            <w:pPr>
              <w:jc w:val="right"/>
              <w:spacing w:after="0"/>
              <w:rPr>
                <w:sz w:val="20"/>
                <w:szCs w:val="20"/>
                <w:color w:val="auto"/>
              </w:rPr>
            </w:pPr>
            <w:r>
              <w:rPr>
                <w:rFonts w:ascii="Arial" w:cs="Arial" w:eastAsia="Arial" w:hAnsi="Arial"/>
                <w:sz w:val="16"/>
                <w:szCs w:val="16"/>
                <w:color w:val="3B3C43"/>
              </w:rPr>
              <w:t>494,488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-1534160</wp:posOffset>
            </wp:positionV>
            <wp:extent cx="8255" cy="3943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39433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-1534160</wp:posOffset>
            </wp:positionV>
            <wp:extent cx="8890" cy="3943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394335"/>
                    </a:xfrm>
                    <a:prstGeom prst="rect">
                      <a:avLst/>
                    </a:prstGeom>
                    <a:noFill/>
                  </pic:spPr>
                </pic:pic>
              </a:graphicData>
            </a:graphic>
          </wp:anchor>
        </w:drawing>
      </w:r>
    </w:p>
    <w:p>
      <w:pPr>
        <w:spacing w:after="0" w:line="147" w:lineRule="exact"/>
        <w:rPr>
          <w:sz w:val="20"/>
          <w:szCs w:val="20"/>
          <w:color w:val="auto"/>
        </w:rPr>
      </w:pPr>
    </w:p>
    <w:p>
      <w:pPr>
        <w:ind w:right="6640" w:firstLine="102"/>
        <w:spacing w:after="0" w:line="540" w:lineRule="auto"/>
        <w:tabs>
          <w:tab w:leader="none" w:pos="364" w:val="left"/>
        </w:tabs>
        <w:numPr>
          <w:ilvl w:val="0"/>
          <w:numId w:val="111"/>
        </w:numPr>
        <w:rPr>
          <w:rFonts w:ascii="Arial" w:cs="Arial" w:eastAsia="Arial" w:hAnsi="Arial"/>
          <w:sz w:val="14"/>
          <w:szCs w:val="14"/>
          <w:color w:val="3B3C43"/>
        </w:rPr>
      </w:pPr>
      <w:r>
        <w:rPr>
          <w:rFonts w:ascii="Arial" w:cs="Arial" w:eastAsia="Arial" w:hAnsi="Arial"/>
          <w:sz w:val="14"/>
          <w:szCs w:val="14"/>
          <w:color w:val="3B3C43"/>
        </w:rPr>
        <w:t xml:space="preserve">The value of the vested shares does not include dividends earned. </w:t>
      </w:r>
      <w:r>
        <w:rPr>
          <w:rFonts w:ascii="Arial" w:cs="Arial" w:eastAsia="Arial" w:hAnsi="Arial"/>
          <w:sz w:val="14"/>
          <w:szCs w:val="14"/>
          <w:color w:val="000000"/>
        </w:rPr>
        <w:t>110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Pension Benefits Table</w:t>
      </w:r>
    </w:p>
    <w:p>
      <w:pPr>
        <w:spacing w:after="0" w:line="19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B3C43"/>
        </w:rPr>
        <w:t>The table below shows the present value of accumulated benefits payable to Ms. Mannen, who was the only NEO who participated in a Company pension plan. The table includes the number of years of service credited to Ms. Mannen using interest rate and mortality rate assumptions consistent with those used in our financial statements. Credited years of service for Ms. Mannen includes years of service with FMC Technologies and its former parent company. The U.S. Pension Plan values are the present value of accrued benefits at the first retirement date for unreduced benefits. The U.S. NonQualified Pension Plan value is the present value at December 31, 2020 of the lump sum payable at the first retirement date for unreduced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9601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1920" w:type="dxa"/>
            <w:vAlign w:val="bottom"/>
            <w:shd w:val="clear" w:color="auto" w:fill="4A1F67"/>
          </w:tcPr>
          <w:p>
            <w:pPr>
              <w:ind w:left="80"/>
              <w:spacing w:after="0"/>
              <w:rPr>
                <w:sz w:val="20"/>
                <w:szCs w:val="20"/>
                <w:color w:val="auto"/>
              </w:rPr>
            </w:pPr>
            <w:r>
              <w:rPr>
                <w:rFonts w:ascii="Arial" w:cs="Arial" w:eastAsia="Arial" w:hAnsi="Arial"/>
                <w:sz w:val="16"/>
                <w:szCs w:val="16"/>
                <w:b w:val="1"/>
                <w:bCs w:val="1"/>
                <w:color w:val="FFFFFF"/>
              </w:rPr>
              <w:t>Name</w:t>
            </w:r>
          </w:p>
        </w:tc>
        <w:tc>
          <w:tcPr>
            <w:tcW w:w="2620" w:type="dxa"/>
            <w:vAlign w:val="bottom"/>
            <w:shd w:val="clear" w:color="auto" w:fill="4A1F67"/>
          </w:tcPr>
          <w:p>
            <w:pPr>
              <w:jc w:val="right"/>
              <w:ind w:right="219"/>
              <w:spacing w:after="0"/>
              <w:rPr>
                <w:sz w:val="20"/>
                <w:szCs w:val="20"/>
                <w:color w:val="auto"/>
              </w:rPr>
            </w:pPr>
            <w:r>
              <w:rPr>
                <w:rFonts w:ascii="Arial" w:cs="Arial" w:eastAsia="Arial" w:hAnsi="Arial"/>
                <w:sz w:val="16"/>
                <w:szCs w:val="16"/>
                <w:b w:val="1"/>
                <w:bCs w:val="1"/>
                <w:color w:val="FFFFFF"/>
              </w:rPr>
              <w:t>Plan Name</w:t>
            </w:r>
            <w:r>
              <w:rPr>
                <w:rFonts w:ascii="Arial" w:cs="Arial" w:eastAsia="Arial" w:hAnsi="Arial"/>
                <w:sz w:val="26"/>
                <w:szCs w:val="26"/>
                <w:b w:val="1"/>
                <w:bCs w:val="1"/>
                <w:color w:val="FFFFFF"/>
                <w:vertAlign w:val="superscript"/>
              </w:rPr>
              <w:t>1</w:t>
            </w:r>
          </w:p>
        </w:tc>
        <w:tc>
          <w:tcPr>
            <w:tcW w:w="2360" w:type="dxa"/>
            <w:vAlign w:val="bottom"/>
            <w:shd w:val="clear" w:color="auto" w:fill="4A1F67"/>
          </w:tcPr>
          <w:p>
            <w:pPr>
              <w:jc w:val="right"/>
              <w:ind w:right="459"/>
              <w:spacing w:after="0"/>
              <w:rPr>
                <w:sz w:val="20"/>
                <w:szCs w:val="20"/>
                <w:color w:val="auto"/>
              </w:rPr>
            </w:pPr>
            <w:r>
              <w:rPr>
                <w:rFonts w:ascii="Arial" w:cs="Arial" w:eastAsia="Arial" w:hAnsi="Arial"/>
                <w:sz w:val="16"/>
                <w:szCs w:val="16"/>
                <w:b w:val="1"/>
                <w:bCs w:val="1"/>
                <w:color w:val="FFFFFF"/>
              </w:rPr>
              <w:t>Number of Years of</w:t>
            </w:r>
          </w:p>
        </w:tc>
        <w:tc>
          <w:tcPr>
            <w:tcW w:w="2560" w:type="dxa"/>
            <w:vAlign w:val="bottom"/>
            <w:shd w:val="clear" w:color="auto" w:fill="4A1F67"/>
          </w:tcPr>
          <w:p>
            <w:pPr>
              <w:jc w:val="right"/>
              <w:ind w:right="319"/>
              <w:spacing w:after="0"/>
              <w:rPr>
                <w:sz w:val="20"/>
                <w:szCs w:val="20"/>
                <w:color w:val="auto"/>
              </w:rPr>
            </w:pPr>
            <w:r>
              <w:rPr>
                <w:rFonts w:ascii="Arial" w:cs="Arial" w:eastAsia="Arial" w:hAnsi="Arial"/>
                <w:sz w:val="16"/>
                <w:szCs w:val="16"/>
                <w:b w:val="1"/>
                <w:bCs w:val="1"/>
                <w:color w:val="FFFFFF"/>
              </w:rPr>
              <w:t>Present Value of</w:t>
            </w:r>
          </w:p>
        </w:tc>
        <w:tc>
          <w:tcPr>
            <w:tcW w:w="178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Payments During</w:t>
            </w:r>
          </w:p>
        </w:tc>
      </w:tr>
      <w:tr>
        <w:trPr>
          <w:trHeight w:val="177"/>
        </w:trPr>
        <w:tc>
          <w:tcPr>
            <w:tcW w:w="1920" w:type="dxa"/>
            <w:vAlign w:val="bottom"/>
            <w:shd w:val="clear" w:color="auto" w:fill="4A1F67"/>
          </w:tcPr>
          <w:p>
            <w:pPr>
              <w:spacing w:after="0"/>
              <w:rPr>
                <w:sz w:val="15"/>
                <w:szCs w:val="15"/>
                <w:color w:val="auto"/>
              </w:rPr>
            </w:pPr>
          </w:p>
        </w:tc>
        <w:tc>
          <w:tcPr>
            <w:tcW w:w="2620" w:type="dxa"/>
            <w:vAlign w:val="bottom"/>
            <w:shd w:val="clear" w:color="auto" w:fill="4A1F67"/>
          </w:tcPr>
          <w:p>
            <w:pPr>
              <w:spacing w:after="0"/>
              <w:rPr>
                <w:sz w:val="15"/>
                <w:szCs w:val="15"/>
                <w:color w:val="auto"/>
              </w:rPr>
            </w:pPr>
          </w:p>
        </w:tc>
        <w:tc>
          <w:tcPr>
            <w:tcW w:w="2360" w:type="dxa"/>
            <w:vAlign w:val="bottom"/>
            <w:shd w:val="clear" w:color="auto" w:fill="4A1F67"/>
          </w:tcPr>
          <w:p>
            <w:pPr>
              <w:jc w:val="right"/>
              <w:ind w:right="459"/>
              <w:spacing w:after="0" w:line="177" w:lineRule="exact"/>
              <w:rPr>
                <w:sz w:val="20"/>
                <w:szCs w:val="20"/>
                <w:color w:val="auto"/>
              </w:rPr>
            </w:pPr>
            <w:r>
              <w:rPr>
                <w:rFonts w:ascii="Arial" w:cs="Arial" w:eastAsia="Arial" w:hAnsi="Arial"/>
                <w:sz w:val="16"/>
                <w:szCs w:val="16"/>
                <w:b w:val="1"/>
                <w:bCs w:val="1"/>
                <w:color w:val="FFFFFF"/>
              </w:rPr>
              <w:t>Credited Service as</w:t>
            </w:r>
          </w:p>
        </w:tc>
        <w:tc>
          <w:tcPr>
            <w:tcW w:w="2560" w:type="dxa"/>
            <w:vAlign w:val="bottom"/>
            <w:shd w:val="clear" w:color="auto" w:fill="4A1F67"/>
          </w:tcPr>
          <w:p>
            <w:pPr>
              <w:jc w:val="right"/>
              <w:ind w:right="319"/>
              <w:spacing w:after="0" w:line="177" w:lineRule="exact"/>
              <w:rPr>
                <w:sz w:val="20"/>
                <w:szCs w:val="20"/>
                <w:color w:val="auto"/>
              </w:rPr>
            </w:pPr>
            <w:r>
              <w:rPr>
                <w:rFonts w:ascii="Arial" w:cs="Arial" w:eastAsia="Arial" w:hAnsi="Arial"/>
                <w:sz w:val="16"/>
                <w:szCs w:val="16"/>
                <w:b w:val="1"/>
                <w:bCs w:val="1"/>
                <w:color w:val="FFFFFF"/>
              </w:rPr>
              <w:t>Accumulated Benefit</w:t>
            </w:r>
          </w:p>
        </w:tc>
        <w:tc>
          <w:tcPr>
            <w:tcW w:w="1780" w:type="dxa"/>
            <w:vAlign w:val="bottom"/>
            <w:shd w:val="clear" w:color="auto" w:fill="4A1F67"/>
          </w:tcPr>
          <w:p>
            <w:pPr>
              <w:jc w:val="right"/>
              <w:spacing w:after="0" w:line="177" w:lineRule="exact"/>
              <w:rPr>
                <w:sz w:val="20"/>
                <w:szCs w:val="20"/>
                <w:color w:val="auto"/>
              </w:rPr>
            </w:pPr>
            <w:r>
              <w:rPr>
                <w:rFonts w:ascii="Arial" w:cs="Arial" w:eastAsia="Arial" w:hAnsi="Arial"/>
                <w:sz w:val="16"/>
                <w:szCs w:val="16"/>
                <w:b w:val="1"/>
                <w:bCs w:val="1"/>
                <w:color w:val="FFFFFF"/>
              </w:rPr>
              <w:t>Last Fiscal Year</w:t>
            </w:r>
          </w:p>
        </w:tc>
      </w:tr>
      <w:tr>
        <w:trPr>
          <w:trHeight w:val="273"/>
        </w:trPr>
        <w:tc>
          <w:tcPr>
            <w:tcW w:w="1920" w:type="dxa"/>
            <w:vAlign w:val="bottom"/>
            <w:shd w:val="clear" w:color="auto" w:fill="4A1F67"/>
          </w:tcPr>
          <w:p>
            <w:pPr>
              <w:spacing w:after="0"/>
              <w:rPr>
                <w:sz w:val="23"/>
                <w:szCs w:val="23"/>
                <w:color w:val="auto"/>
              </w:rPr>
            </w:pPr>
          </w:p>
        </w:tc>
        <w:tc>
          <w:tcPr>
            <w:tcW w:w="2620" w:type="dxa"/>
            <w:vAlign w:val="bottom"/>
            <w:shd w:val="clear" w:color="auto" w:fill="4A1F67"/>
          </w:tcPr>
          <w:p>
            <w:pPr>
              <w:spacing w:after="0"/>
              <w:rPr>
                <w:sz w:val="23"/>
                <w:szCs w:val="23"/>
                <w:color w:val="auto"/>
              </w:rPr>
            </w:pPr>
          </w:p>
        </w:tc>
        <w:tc>
          <w:tcPr>
            <w:tcW w:w="2360" w:type="dxa"/>
            <w:vAlign w:val="bottom"/>
            <w:shd w:val="clear" w:color="auto" w:fill="4A1F67"/>
          </w:tcPr>
          <w:p>
            <w:pPr>
              <w:jc w:val="right"/>
              <w:ind w:right="459"/>
              <w:spacing w:after="0"/>
              <w:rPr>
                <w:sz w:val="20"/>
                <w:szCs w:val="20"/>
                <w:color w:val="auto"/>
              </w:rPr>
            </w:pPr>
            <w:r>
              <w:rPr>
                <w:rFonts w:ascii="Arial" w:cs="Arial" w:eastAsia="Arial" w:hAnsi="Arial"/>
                <w:sz w:val="16"/>
                <w:szCs w:val="16"/>
                <w:b w:val="1"/>
                <w:bCs w:val="1"/>
                <w:color w:val="FFFFFF"/>
              </w:rPr>
              <w:t>of 12/31/2020</w:t>
            </w:r>
          </w:p>
        </w:tc>
        <w:tc>
          <w:tcPr>
            <w:tcW w:w="2560" w:type="dxa"/>
            <w:vAlign w:val="bottom"/>
            <w:shd w:val="clear" w:color="auto" w:fill="4A1F67"/>
          </w:tcPr>
          <w:p>
            <w:pPr>
              <w:jc w:val="right"/>
              <w:ind w:right="319"/>
              <w:spacing w:after="0" w:line="273" w:lineRule="exact"/>
              <w:rPr>
                <w:sz w:val="20"/>
                <w:szCs w:val="20"/>
                <w:color w:val="auto"/>
              </w:rPr>
            </w:pPr>
            <w:r>
              <w:rPr>
                <w:rFonts w:ascii="Arial" w:cs="Arial" w:eastAsia="Arial" w:hAnsi="Arial"/>
                <w:sz w:val="16"/>
                <w:szCs w:val="16"/>
                <w:b w:val="1"/>
                <w:bCs w:val="1"/>
                <w:color w:val="FFFFFF"/>
              </w:rPr>
              <w:t>as of 12/31/2020 ($)</w:t>
            </w:r>
            <w:r>
              <w:rPr>
                <w:rFonts w:ascii="Arial" w:cs="Arial" w:eastAsia="Arial" w:hAnsi="Arial"/>
                <w:sz w:val="26"/>
                <w:szCs w:val="26"/>
                <w:b w:val="1"/>
                <w:bCs w:val="1"/>
                <w:color w:val="FFFFFF"/>
                <w:vertAlign w:val="superscript"/>
              </w:rPr>
              <w:t>2</w:t>
            </w:r>
          </w:p>
        </w:tc>
        <w:tc>
          <w:tcPr>
            <w:tcW w:w="1780" w:type="dxa"/>
            <w:vAlign w:val="bottom"/>
            <w:shd w:val="clear" w:color="auto" w:fill="4A1F67"/>
          </w:tcPr>
          <w:p>
            <w:pPr>
              <w:spacing w:after="0"/>
              <w:rPr>
                <w:sz w:val="23"/>
                <w:szCs w:val="23"/>
                <w:color w:val="auto"/>
              </w:rPr>
            </w:pPr>
          </w:p>
        </w:tc>
      </w:tr>
      <w:tr>
        <w:trPr>
          <w:trHeight w:val="264"/>
        </w:trPr>
        <w:tc>
          <w:tcPr>
            <w:tcW w:w="1920" w:type="dxa"/>
            <w:vAlign w:val="bottom"/>
          </w:tcPr>
          <w:p>
            <w:pPr>
              <w:ind w:left="80"/>
              <w:spacing w:after="0"/>
              <w:rPr>
                <w:sz w:val="20"/>
                <w:szCs w:val="20"/>
                <w:color w:val="auto"/>
              </w:rPr>
            </w:pPr>
            <w:r>
              <w:rPr>
                <w:rFonts w:ascii="Arial" w:cs="Arial" w:eastAsia="Arial" w:hAnsi="Arial"/>
                <w:sz w:val="16"/>
                <w:szCs w:val="16"/>
                <w:b w:val="1"/>
                <w:bCs w:val="1"/>
                <w:color w:val="3B3C43"/>
              </w:rPr>
              <w:t>Maryann T. Mannen</w:t>
            </w:r>
          </w:p>
        </w:tc>
        <w:tc>
          <w:tcPr>
            <w:tcW w:w="2620" w:type="dxa"/>
            <w:vAlign w:val="bottom"/>
          </w:tcPr>
          <w:p>
            <w:pPr>
              <w:jc w:val="right"/>
              <w:ind w:right="219"/>
              <w:spacing w:after="0"/>
              <w:rPr>
                <w:sz w:val="20"/>
                <w:szCs w:val="20"/>
                <w:color w:val="auto"/>
              </w:rPr>
            </w:pPr>
            <w:r>
              <w:rPr>
                <w:rFonts w:ascii="Arial" w:cs="Arial" w:eastAsia="Arial" w:hAnsi="Arial"/>
                <w:sz w:val="16"/>
                <w:szCs w:val="16"/>
                <w:color w:val="3B3C43"/>
              </w:rPr>
              <w:t>U.S. Pension Plan</w:t>
            </w:r>
          </w:p>
        </w:tc>
        <w:tc>
          <w:tcPr>
            <w:tcW w:w="2360" w:type="dxa"/>
            <w:vAlign w:val="bottom"/>
          </w:tcPr>
          <w:p>
            <w:pPr>
              <w:jc w:val="right"/>
              <w:ind w:right="459"/>
              <w:spacing w:after="0"/>
              <w:rPr>
                <w:sz w:val="20"/>
                <w:szCs w:val="20"/>
                <w:color w:val="auto"/>
              </w:rPr>
            </w:pPr>
            <w:r>
              <w:rPr>
                <w:rFonts w:ascii="Arial" w:cs="Arial" w:eastAsia="Arial" w:hAnsi="Arial"/>
                <w:sz w:val="16"/>
                <w:szCs w:val="16"/>
                <w:color w:val="3B3C43"/>
              </w:rPr>
              <w:t>31.7</w:t>
            </w:r>
          </w:p>
        </w:tc>
        <w:tc>
          <w:tcPr>
            <w:tcW w:w="2560" w:type="dxa"/>
            <w:vAlign w:val="bottom"/>
          </w:tcPr>
          <w:p>
            <w:pPr>
              <w:jc w:val="right"/>
              <w:ind w:right="319"/>
              <w:spacing w:after="0"/>
              <w:rPr>
                <w:sz w:val="20"/>
                <w:szCs w:val="20"/>
                <w:color w:val="auto"/>
              </w:rPr>
            </w:pPr>
            <w:r>
              <w:rPr>
                <w:rFonts w:ascii="Arial" w:cs="Arial" w:eastAsia="Arial" w:hAnsi="Arial"/>
                <w:sz w:val="16"/>
                <w:szCs w:val="16"/>
                <w:color w:val="3B3C43"/>
              </w:rPr>
              <w:t>1,780,725</w:t>
            </w:r>
          </w:p>
        </w:tc>
        <w:tc>
          <w:tcPr>
            <w:tcW w:w="178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47"/>
        </w:trPr>
        <w:tc>
          <w:tcPr>
            <w:tcW w:w="1920" w:type="dxa"/>
            <w:vAlign w:val="bottom"/>
            <w:tcBorders>
              <w:bottom w:val="single" w:sz="8" w:color="E1E2E0"/>
            </w:tcBorders>
          </w:tcPr>
          <w:p>
            <w:pPr>
              <w:spacing w:after="0"/>
              <w:rPr>
                <w:sz w:val="4"/>
                <w:szCs w:val="4"/>
                <w:color w:val="auto"/>
              </w:rPr>
            </w:pPr>
          </w:p>
        </w:tc>
        <w:tc>
          <w:tcPr>
            <w:tcW w:w="262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2560" w:type="dxa"/>
            <w:vAlign w:val="bottom"/>
            <w:tcBorders>
              <w:bottom w:val="single" w:sz="8" w:color="E1E2E0"/>
            </w:tcBorders>
          </w:tcPr>
          <w:p>
            <w:pPr>
              <w:spacing w:after="0"/>
              <w:rPr>
                <w:sz w:val="4"/>
                <w:szCs w:val="4"/>
                <w:color w:val="auto"/>
              </w:rPr>
            </w:pPr>
          </w:p>
        </w:tc>
        <w:tc>
          <w:tcPr>
            <w:tcW w:w="1780" w:type="dxa"/>
            <w:vAlign w:val="bottom"/>
            <w:tcBorders>
              <w:bottom w:val="single" w:sz="8" w:color="E1E2E0"/>
            </w:tcBorders>
          </w:tcPr>
          <w:p>
            <w:pPr>
              <w:spacing w:after="0"/>
              <w:rPr>
                <w:sz w:val="4"/>
                <w:szCs w:val="4"/>
                <w:color w:val="auto"/>
              </w:rPr>
            </w:pPr>
          </w:p>
        </w:tc>
      </w:tr>
      <w:tr>
        <w:trPr>
          <w:trHeight w:val="238"/>
        </w:trPr>
        <w:tc>
          <w:tcPr>
            <w:tcW w:w="1920" w:type="dxa"/>
            <w:vAlign w:val="bottom"/>
          </w:tcPr>
          <w:p>
            <w:pPr>
              <w:spacing w:after="0"/>
              <w:rPr>
                <w:sz w:val="20"/>
                <w:szCs w:val="20"/>
                <w:color w:val="auto"/>
              </w:rPr>
            </w:pPr>
          </w:p>
        </w:tc>
        <w:tc>
          <w:tcPr>
            <w:tcW w:w="2620" w:type="dxa"/>
            <w:vAlign w:val="bottom"/>
          </w:tcPr>
          <w:p>
            <w:pPr>
              <w:jc w:val="right"/>
              <w:ind w:right="219"/>
              <w:spacing w:after="0"/>
              <w:rPr>
                <w:sz w:val="20"/>
                <w:szCs w:val="20"/>
                <w:color w:val="auto"/>
              </w:rPr>
            </w:pPr>
            <w:r>
              <w:rPr>
                <w:rFonts w:ascii="Arial" w:cs="Arial" w:eastAsia="Arial" w:hAnsi="Arial"/>
                <w:sz w:val="16"/>
                <w:szCs w:val="16"/>
                <w:color w:val="3B3C43"/>
              </w:rPr>
              <w:t>U.S. Non-Qualified Pension</w:t>
            </w:r>
          </w:p>
        </w:tc>
        <w:tc>
          <w:tcPr>
            <w:tcW w:w="2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95"/>
        </w:trPr>
        <w:tc>
          <w:tcPr>
            <w:tcW w:w="1920" w:type="dxa"/>
            <w:vAlign w:val="bottom"/>
          </w:tcPr>
          <w:p>
            <w:pPr>
              <w:spacing w:after="0"/>
              <w:rPr>
                <w:sz w:val="16"/>
                <w:szCs w:val="16"/>
                <w:color w:val="auto"/>
              </w:rPr>
            </w:pPr>
          </w:p>
        </w:tc>
        <w:tc>
          <w:tcPr>
            <w:tcW w:w="2620" w:type="dxa"/>
            <w:vAlign w:val="bottom"/>
          </w:tcPr>
          <w:p>
            <w:pPr>
              <w:jc w:val="right"/>
              <w:ind w:right="219"/>
              <w:spacing w:after="0"/>
              <w:rPr>
                <w:sz w:val="20"/>
                <w:szCs w:val="20"/>
                <w:color w:val="auto"/>
              </w:rPr>
            </w:pPr>
            <w:r>
              <w:rPr>
                <w:rFonts w:ascii="Arial" w:cs="Arial" w:eastAsia="Arial" w:hAnsi="Arial"/>
                <w:sz w:val="16"/>
                <w:szCs w:val="16"/>
                <w:color w:val="3B3C43"/>
              </w:rPr>
              <w:t>Plan</w:t>
            </w:r>
          </w:p>
        </w:tc>
        <w:tc>
          <w:tcPr>
            <w:tcW w:w="2360" w:type="dxa"/>
            <w:vAlign w:val="bottom"/>
          </w:tcPr>
          <w:p>
            <w:pPr>
              <w:jc w:val="right"/>
              <w:ind w:right="459"/>
              <w:spacing w:after="0"/>
              <w:rPr>
                <w:sz w:val="20"/>
                <w:szCs w:val="20"/>
                <w:color w:val="auto"/>
              </w:rPr>
            </w:pPr>
            <w:r>
              <w:rPr>
                <w:rFonts w:ascii="Arial" w:cs="Arial" w:eastAsia="Arial" w:hAnsi="Arial"/>
                <w:sz w:val="16"/>
                <w:szCs w:val="16"/>
                <w:color w:val="3B3C43"/>
              </w:rPr>
              <w:t>31.7</w:t>
            </w:r>
          </w:p>
        </w:tc>
        <w:tc>
          <w:tcPr>
            <w:tcW w:w="2560" w:type="dxa"/>
            <w:vAlign w:val="bottom"/>
          </w:tcPr>
          <w:p>
            <w:pPr>
              <w:jc w:val="right"/>
              <w:ind w:right="319"/>
              <w:spacing w:after="0"/>
              <w:rPr>
                <w:sz w:val="20"/>
                <w:szCs w:val="20"/>
                <w:color w:val="auto"/>
              </w:rPr>
            </w:pPr>
            <w:r>
              <w:rPr>
                <w:rFonts w:ascii="Arial" w:cs="Arial" w:eastAsia="Arial" w:hAnsi="Arial"/>
                <w:sz w:val="16"/>
                <w:szCs w:val="16"/>
                <w:color w:val="3B3C43"/>
              </w:rPr>
              <w:t>7,376,478</w:t>
            </w:r>
          </w:p>
        </w:tc>
        <w:tc>
          <w:tcPr>
            <w:tcW w:w="178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46"/>
        </w:trPr>
        <w:tc>
          <w:tcPr>
            <w:tcW w:w="1920" w:type="dxa"/>
            <w:vAlign w:val="bottom"/>
            <w:tcBorders>
              <w:bottom w:val="single" w:sz="8" w:color="E1E2E0"/>
            </w:tcBorders>
          </w:tcPr>
          <w:p>
            <w:pPr>
              <w:spacing w:after="0"/>
              <w:rPr>
                <w:sz w:val="4"/>
                <w:szCs w:val="4"/>
                <w:color w:val="auto"/>
              </w:rPr>
            </w:pPr>
          </w:p>
        </w:tc>
        <w:tc>
          <w:tcPr>
            <w:tcW w:w="2620" w:type="dxa"/>
            <w:vAlign w:val="bottom"/>
            <w:tcBorders>
              <w:bottom w:val="single" w:sz="8" w:color="E1E2E0"/>
            </w:tcBorders>
          </w:tcPr>
          <w:p>
            <w:pPr>
              <w:spacing w:after="0"/>
              <w:rPr>
                <w:sz w:val="4"/>
                <w:szCs w:val="4"/>
                <w:color w:val="auto"/>
              </w:rPr>
            </w:pPr>
          </w:p>
        </w:tc>
        <w:tc>
          <w:tcPr>
            <w:tcW w:w="2360" w:type="dxa"/>
            <w:vAlign w:val="bottom"/>
            <w:tcBorders>
              <w:bottom w:val="single" w:sz="8" w:color="E1E2E0"/>
            </w:tcBorders>
          </w:tcPr>
          <w:p>
            <w:pPr>
              <w:spacing w:after="0"/>
              <w:rPr>
                <w:sz w:val="4"/>
                <w:szCs w:val="4"/>
                <w:color w:val="auto"/>
              </w:rPr>
            </w:pPr>
          </w:p>
        </w:tc>
        <w:tc>
          <w:tcPr>
            <w:tcW w:w="2560" w:type="dxa"/>
            <w:vAlign w:val="bottom"/>
            <w:tcBorders>
              <w:bottom w:val="single" w:sz="8" w:color="E1E2E0"/>
            </w:tcBorders>
          </w:tcPr>
          <w:p>
            <w:pPr>
              <w:spacing w:after="0"/>
              <w:rPr>
                <w:sz w:val="4"/>
                <w:szCs w:val="4"/>
                <w:color w:val="auto"/>
              </w:rPr>
            </w:pPr>
          </w:p>
        </w:tc>
        <w:tc>
          <w:tcPr>
            <w:tcW w:w="1780" w:type="dxa"/>
            <w:vAlign w:val="bottom"/>
            <w:tcBorders>
              <w:bottom w:val="single" w:sz="8" w:color="E1E2E0"/>
            </w:tcBorders>
          </w:tcPr>
          <w:p>
            <w:pPr>
              <w:spacing w:after="0"/>
              <w:rPr>
                <w:sz w:val="4"/>
                <w:szCs w:val="4"/>
                <w:color w:val="auto"/>
              </w:rPr>
            </w:pPr>
          </w:p>
        </w:tc>
      </w:tr>
    </w:tbl>
    <w:p>
      <w:pPr>
        <w:spacing w:after="0" w:line="194" w:lineRule="exact"/>
        <w:rPr>
          <w:sz w:val="20"/>
          <w:szCs w:val="20"/>
          <w:color w:val="auto"/>
        </w:rPr>
      </w:pPr>
    </w:p>
    <w:p>
      <w:pPr>
        <w:jc w:val="both"/>
        <w:ind w:left="280" w:right="20" w:hanging="272"/>
        <w:spacing w:after="0" w:line="249" w:lineRule="auto"/>
        <w:tabs>
          <w:tab w:leader="none" w:pos="280" w:val="left"/>
        </w:tabs>
        <w:numPr>
          <w:ilvl w:val="0"/>
          <w:numId w:val="112"/>
        </w:numPr>
        <w:rPr>
          <w:rFonts w:ascii="Arial" w:cs="Arial" w:eastAsia="Arial" w:hAnsi="Arial"/>
          <w:sz w:val="14"/>
          <w:szCs w:val="14"/>
          <w:color w:val="3B3C43"/>
        </w:rPr>
      </w:pPr>
      <w:r>
        <w:rPr>
          <w:rFonts w:ascii="Arial" w:cs="Arial" w:eastAsia="Arial" w:hAnsi="Arial"/>
          <w:sz w:val="14"/>
          <w:szCs w:val="14"/>
          <w:color w:val="3B3C43"/>
        </w:rPr>
        <w:t>Effective January 1, 2010, the U.S. Pension Plan and the U.S. Non-Qualified Pension Plan were closed to new entrants and frozen for employees, including executive officers, with less than five years of vesting service as of December 31, 2009. Accordingly, only Ms. Mannen participated in the U.S. Pension Plan and the U.S. Non-Qualified Pension Plan. Effective December 31, 2017, future benefit accruals were frozen under the U.S. Pension Plan and the U.S. Non-Qualified Pension Plan.</w:t>
      </w:r>
    </w:p>
    <w:p>
      <w:pPr>
        <w:spacing w:after="0" w:line="92" w:lineRule="exact"/>
        <w:rPr>
          <w:rFonts w:ascii="Arial" w:cs="Arial" w:eastAsia="Arial" w:hAnsi="Arial"/>
          <w:sz w:val="14"/>
          <w:szCs w:val="14"/>
          <w:color w:val="3B3C43"/>
        </w:rPr>
      </w:pPr>
    </w:p>
    <w:p>
      <w:pPr>
        <w:ind w:left="280" w:hanging="272"/>
        <w:spacing w:after="0"/>
        <w:tabs>
          <w:tab w:leader="none" w:pos="280" w:val="left"/>
        </w:tabs>
        <w:numPr>
          <w:ilvl w:val="0"/>
          <w:numId w:val="112"/>
        </w:numPr>
        <w:rPr>
          <w:rFonts w:ascii="Arial" w:cs="Arial" w:eastAsia="Arial" w:hAnsi="Arial"/>
          <w:sz w:val="14"/>
          <w:szCs w:val="14"/>
          <w:color w:val="3B3C43"/>
        </w:rPr>
      </w:pPr>
      <w:r>
        <w:rPr>
          <w:rFonts w:ascii="Arial" w:cs="Arial" w:eastAsia="Arial" w:hAnsi="Arial"/>
          <w:sz w:val="14"/>
          <w:szCs w:val="14"/>
          <w:color w:val="3B3C43"/>
        </w:rPr>
        <w:t>The following assumptions were used to calculate the present value of Ms. Mannen’s accumulated benefits as of December 31, 2020:</w:t>
      </w:r>
    </w:p>
    <w:p>
      <w:pPr>
        <w:spacing w:after="0" w:line="109" w:lineRule="exact"/>
        <w:rPr>
          <w:rFonts w:ascii="Arial" w:cs="Arial" w:eastAsia="Arial" w:hAnsi="Arial"/>
          <w:sz w:val="14"/>
          <w:szCs w:val="14"/>
          <w:color w:val="3B3C43"/>
        </w:rPr>
      </w:pPr>
    </w:p>
    <w:p>
      <w:pPr>
        <w:ind w:left="540" w:right="220" w:hanging="262"/>
        <w:spacing w:after="0" w:line="258" w:lineRule="auto"/>
        <w:tabs>
          <w:tab w:leader="none" w:pos="540" w:val="left"/>
        </w:tabs>
        <w:numPr>
          <w:ilvl w:val="1"/>
          <w:numId w:val="112"/>
        </w:numPr>
        <w:rPr>
          <w:rFonts w:ascii="Arial" w:cs="Arial" w:eastAsia="Arial" w:hAnsi="Arial"/>
          <w:sz w:val="14"/>
          <w:szCs w:val="14"/>
          <w:color w:val="3B3C43"/>
        </w:rPr>
      </w:pPr>
      <w:r>
        <w:rPr>
          <w:rFonts w:ascii="Arial" w:cs="Arial" w:eastAsia="Arial" w:hAnsi="Arial"/>
          <w:sz w:val="14"/>
          <w:szCs w:val="14"/>
          <w:color w:val="3B3C43"/>
        </w:rPr>
        <w:t>Sum of present value of U.S. Pension Plan benefit accrued through freeze date of December 31, 2017 plus present value of nonqualified DB benefit accrued through freeze date of December 31, 2017.</w:t>
      </w:r>
    </w:p>
    <w:p>
      <w:pPr>
        <w:spacing w:after="0" w:line="45" w:lineRule="exact"/>
        <w:rPr>
          <w:rFonts w:ascii="Arial" w:cs="Arial" w:eastAsia="Arial" w:hAnsi="Arial"/>
          <w:sz w:val="14"/>
          <w:szCs w:val="14"/>
          <w:color w:val="3B3C43"/>
        </w:rPr>
      </w:pPr>
    </w:p>
    <w:p>
      <w:pPr>
        <w:ind w:left="540" w:right="100" w:hanging="262"/>
        <w:spacing w:after="0" w:line="249" w:lineRule="auto"/>
        <w:tabs>
          <w:tab w:leader="none" w:pos="540" w:val="left"/>
        </w:tabs>
        <w:numPr>
          <w:ilvl w:val="1"/>
          <w:numId w:val="112"/>
        </w:numPr>
        <w:rPr>
          <w:rFonts w:ascii="Arial" w:cs="Arial" w:eastAsia="Arial" w:hAnsi="Arial"/>
          <w:sz w:val="14"/>
          <w:szCs w:val="14"/>
          <w:color w:val="3B3C43"/>
        </w:rPr>
      </w:pPr>
      <w:r>
        <w:rPr>
          <w:rFonts w:ascii="Arial" w:cs="Arial" w:eastAsia="Arial" w:hAnsi="Arial"/>
          <w:sz w:val="14"/>
          <w:szCs w:val="14"/>
          <w:color w:val="3B3C43"/>
        </w:rPr>
        <w:t>Present value of U.S. Qualified Pension Plan benefit calculated as amount payable at first unreduced age using December 31, 2020 FASB ASC Topic 715 disclosure assumptions (2.7%, Pri-2012 adjusted with modified MP-2020 projection scale) and reflecting discounting of present value back to December 31, 2020 FASB ASC 715 interest only (2.7%).</w:t>
      </w:r>
    </w:p>
    <w:p>
      <w:pPr>
        <w:spacing w:after="0" w:line="52" w:lineRule="exact"/>
        <w:rPr>
          <w:rFonts w:ascii="Arial" w:cs="Arial" w:eastAsia="Arial" w:hAnsi="Arial"/>
          <w:sz w:val="14"/>
          <w:szCs w:val="14"/>
          <w:color w:val="3B3C43"/>
        </w:rPr>
      </w:pPr>
    </w:p>
    <w:p>
      <w:pPr>
        <w:ind w:left="540" w:right="160" w:hanging="262"/>
        <w:spacing w:after="0" w:line="253" w:lineRule="auto"/>
        <w:tabs>
          <w:tab w:leader="none" w:pos="540" w:val="left"/>
        </w:tabs>
        <w:numPr>
          <w:ilvl w:val="1"/>
          <w:numId w:val="112"/>
        </w:numPr>
        <w:rPr>
          <w:rFonts w:ascii="Arial" w:cs="Arial" w:eastAsia="Arial" w:hAnsi="Arial"/>
          <w:sz w:val="14"/>
          <w:szCs w:val="14"/>
          <w:color w:val="3B3C43"/>
        </w:rPr>
      </w:pPr>
      <w:r>
        <w:rPr>
          <w:rFonts w:ascii="Arial" w:cs="Arial" w:eastAsia="Arial" w:hAnsi="Arial"/>
          <w:sz w:val="14"/>
          <w:szCs w:val="14"/>
          <w:color w:val="3B3C43"/>
        </w:rPr>
        <w:t>Present value of U.S. Non-Qualified Pension Plan benefit calculated as amount payable at first unreduced age using December 31, 2020 FASB ASC Topic 715 disclosure assumptions (1.7%, 417(e) 2021 for lump sums) and reflecting discounting of present value back to December 31, 2020 FASB ASC Topic 715 Interest only (2.7%)</w:t>
      </w:r>
    </w:p>
    <w:p>
      <w:pPr>
        <w:spacing w:after="0" w:line="214" w:lineRule="exact"/>
        <w:rPr>
          <w:rFonts w:ascii="Arial" w:cs="Arial" w:eastAsia="Arial" w:hAnsi="Arial"/>
          <w:sz w:val="14"/>
          <w:szCs w:val="14"/>
          <w:color w:val="3B3C43"/>
        </w:rPr>
      </w:pPr>
    </w:p>
    <w:p>
      <w:pPr>
        <w:ind w:left="540" w:hanging="262"/>
        <w:spacing w:after="0"/>
        <w:tabs>
          <w:tab w:leader="none" w:pos="540" w:val="left"/>
        </w:tabs>
        <w:numPr>
          <w:ilvl w:val="1"/>
          <w:numId w:val="112"/>
        </w:numPr>
        <w:rPr>
          <w:rFonts w:ascii="Arial" w:cs="Arial" w:eastAsia="Arial" w:hAnsi="Arial"/>
          <w:sz w:val="14"/>
          <w:szCs w:val="14"/>
          <w:color w:val="3B3C43"/>
        </w:rPr>
      </w:pPr>
      <w:r>
        <w:rPr>
          <w:rFonts w:ascii="Arial" w:cs="Arial" w:eastAsia="Arial" w:hAnsi="Arial"/>
          <w:sz w:val="14"/>
          <w:szCs w:val="14"/>
          <w:color w:val="3B3C43"/>
        </w:rPr>
        <w:t>Unreduced benefits are first available at age 62 (or current age, if later) under the U.S. Pension Plan and the U.S. Non-Qualified Pension Plan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US Pension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ADE8"/>
        </w:rPr>
        <w:t>Benefit Formula</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3B3C43"/>
        </w:rPr>
        <w:t>Our U.S. Pension Plan is a defined benefit plan that provides eligible employees having five or more years of service a pension benefit for retirement. Years of credited service and final average yearly earnings are used to calculate the pension benefit. The final average yearly earnings are based on the highest 60 consecutive months out of the final 120 months of compensation through the date on which benefit accruals were frozen, December 31, 2017. The normal annual retirement benefit is the product of (a) and (b) below:</w:t>
      </w:r>
    </w:p>
    <w:p>
      <w:pPr>
        <w:spacing w:after="0" w:line="175" w:lineRule="exact"/>
        <w:rPr>
          <w:sz w:val="20"/>
          <w:szCs w:val="20"/>
          <w:color w:val="auto"/>
        </w:rPr>
      </w:pPr>
    </w:p>
    <w:p>
      <w:pPr>
        <w:ind w:left="540" w:hanging="262"/>
        <w:spacing w:after="0"/>
        <w:tabs>
          <w:tab w:leader="none" w:pos="540" w:val="left"/>
        </w:tabs>
        <w:numPr>
          <w:ilvl w:val="0"/>
          <w:numId w:val="113"/>
        </w:numPr>
        <w:rPr>
          <w:rFonts w:ascii="Arial" w:cs="Arial" w:eastAsia="Arial" w:hAnsi="Arial"/>
          <w:sz w:val="16"/>
          <w:szCs w:val="16"/>
          <w:color w:val="3B3C43"/>
        </w:rPr>
      </w:pPr>
      <w:r>
        <w:rPr>
          <w:rFonts w:ascii="Arial" w:cs="Arial" w:eastAsia="Arial" w:hAnsi="Arial"/>
          <w:sz w:val="16"/>
          <w:szCs w:val="16"/>
          <w:color w:val="3B3C43"/>
        </w:rPr>
        <w:t>the sum of:</w:t>
      </w:r>
    </w:p>
    <w:p>
      <w:pPr>
        <w:spacing w:after="0" w:line="302" w:lineRule="exact"/>
        <w:rPr>
          <w:rFonts w:ascii="Arial" w:cs="Arial" w:eastAsia="Arial" w:hAnsi="Arial"/>
          <w:sz w:val="16"/>
          <w:szCs w:val="16"/>
          <w:color w:val="3B3C43"/>
        </w:rPr>
      </w:pPr>
    </w:p>
    <w:p>
      <w:pPr>
        <w:ind w:left="1080" w:right="120" w:hanging="262"/>
        <w:spacing w:after="0" w:line="251" w:lineRule="auto"/>
        <w:tabs>
          <w:tab w:leader="none" w:pos="1080" w:val="left"/>
        </w:tabs>
        <w:numPr>
          <w:ilvl w:val="1"/>
          <w:numId w:val="113"/>
        </w:numPr>
        <w:rPr>
          <w:rFonts w:ascii="Arial" w:cs="Arial" w:eastAsia="Arial" w:hAnsi="Arial"/>
          <w:sz w:val="16"/>
          <w:szCs w:val="16"/>
          <w:color w:val="3B3C43"/>
        </w:rPr>
      </w:pPr>
      <w:r>
        <w:rPr>
          <w:rFonts w:ascii="Arial" w:cs="Arial" w:eastAsia="Arial" w:hAnsi="Arial"/>
          <w:sz w:val="16"/>
          <w:szCs w:val="16"/>
          <w:color w:val="3B3C43"/>
        </w:rPr>
        <w:t>1% of the participant’s final average yearly earnings up to the Social Security Covered Compensation Base (defined as the average of the maximum Social Security taxable wages bases for the 35-year period ending in the year in which Social Security retirement age is reached), plus 1.5% of the participant’s final average yearly earnings in excess of the Social Security covered compensation base, multiplied by the participant’s expected years of credited service at age 65 up to 35 years of credited service; and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111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left="1080" w:right="40" w:hanging="262"/>
        <w:spacing w:after="0" w:line="260" w:lineRule="auto"/>
        <w:tabs>
          <w:tab w:leader="none" w:pos="1080" w:val="left"/>
        </w:tabs>
        <w:numPr>
          <w:ilvl w:val="1"/>
          <w:numId w:val="114"/>
        </w:numPr>
        <w:rPr>
          <w:rFonts w:ascii="Arial" w:cs="Arial" w:eastAsia="Arial" w:hAnsi="Arial"/>
          <w:sz w:val="16"/>
          <w:szCs w:val="16"/>
          <w:color w:val="3B3C43"/>
        </w:rPr>
      </w:pPr>
      <w:r>
        <w:rPr>
          <w:rFonts w:ascii="Arial" w:cs="Arial" w:eastAsia="Arial" w:hAnsi="Arial"/>
          <w:sz w:val="16"/>
          <w:szCs w:val="16"/>
          <w:color w:val="3B3C43"/>
        </w:rPr>
        <w:t>1.5% of the participant’s final average yearly earnings multiplied by the participant’s expected years of credited service at age 65 in excess of 35 years of credited service; and</w:t>
      </w:r>
    </w:p>
    <w:p>
      <w:pPr>
        <w:spacing w:after="0" w:line="168" w:lineRule="exact"/>
        <w:rPr>
          <w:rFonts w:ascii="Arial" w:cs="Arial" w:eastAsia="Arial" w:hAnsi="Arial"/>
          <w:sz w:val="16"/>
          <w:szCs w:val="16"/>
          <w:color w:val="3B3C43"/>
        </w:rPr>
      </w:pPr>
    </w:p>
    <w:p>
      <w:pPr>
        <w:ind w:left="540" w:hanging="262"/>
        <w:spacing w:after="0"/>
        <w:tabs>
          <w:tab w:leader="none" w:pos="540" w:val="left"/>
        </w:tabs>
        <w:numPr>
          <w:ilvl w:val="0"/>
          <w:numId w:val="115"/>
        </w:numPr>
        <w:rPr>
          <w:rFonts w:ascii="Arial" w:cs="Arial" w:eastAsia="Arial" w:hAnsi="Arial"/>
          <w:sz w:val="16"/>
          <w:szCs w:val="16"/>
          <w:color w:val="3B3C43"/>
        </w:rPr>
      </w:pPr>
      <w:r>
        <w:rPr>
          <w:rFonts w:ascii="Arial" w:cs="Arial" w:eastAsia="Arial" w:hAnsi="Arial"/>
          <w:sz w:val="16"/>
          <w:szCs w:val="16"/>
          <w:color w:val="3B3C43"/>
        </w:rPr>
        <w:t>the ratio of actual years of credited service to expected years of credited service at age 65.</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0ADE8"/>
        </w:rPr>
        <w:t>Eligible Earnings</w:t>
      </w:r>
    </w:p>
    <w:p>
      <w:pPr>
        <w:spacing w:after="0" w:line="25"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3B3C43"/>
        </w:rPr>
        <w:t>Eligible earnings under the U.S. Pension Plan include the base salary and annual cash incentive paid by the Company to the executives for each plan year, subject to certain IRS limits. Equity compensation, such as RSU, PSU, and stock option awards, and deferrals to the U.S. Non-Qualified Savings Plan, are not included. Eligible earnings were frozen as of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00ADE8"/>
        </w:rPr>
        <w:t>Early Retirement</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3B3C43"/>
        </w:rPr>
        <w:t>The U.S. Pension Plan’s “early retirement” eligibility is on or after the participant’s 55th birthday with 10 years of service. A participant in the U.S. Pension Plan who retires on or after their “early retirement date” is entitled to receive the early retirement benefit, which is equal to the normal retirement benefit reduced by one-third of 1% for each month by which the commencement of the participant’s early retirement benefit precedes the participant’s 62nd birthday. A participant in the U.S. Pension Plan whose employment terminates prior to their early retirement date is entitled to receive an early retirement benefit payable after the attainment of age 55, which is equal to the normal retirement benefit reduced by one-half of 1% for each month by which the commencement of the participant’s early retirement benefit precedes the participant’s 65th birthday.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0ADE8"/>
        </w:rPr>
        <w:t>Payment of Pension Benefit</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3B3C43"/>
        </w:rPr>
        <w:t>The normal retirement benefit is an individual life annuity for single retirees and 50% joint and survivor annuity for married retirees. The U.S. Pension Plan also provides for a variety of other methods for receiving pension benefits, such as 75% and 100% joint and survivor annuities, level income, and lump sum for benefits with lump sum values of $1,000 or less. The levels of annuities are actuarially determined based on the age of the participant and the age of the participant’s spouse for joint and survivor annuities. The actuarial reduction for a participant and spouse who are both age 62 is 7.9% from the normal retirement benefit for the 50% joint and survivor annuity, 11.4% from the normal retirement benefit for the 75% joint and survivor annuity, and 14.7% from the normal retirement benefit for the 100% joint and survivor annuity. The level income annuity pays increased benefits to the retiree until Social Security benefits begin at age 62 and reduces the benefit after age 62 so that the total of the retirement benefit and Social Security benefits is approximately equal before and after age 62.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U.S. Non-Qualified Pension Plan</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3B3C43"/>
        </w:rPr>
        <w:t>The normal form of payment for the U.S. Non-Qualified Pension Plan is a lump sum distribution. In addition, a participant may elect to receive her benefit in monthly installments payable over five years. The actuarial equivalence assumption for interest rates is based on the lesser of the 30-year Treasury Rate in effect for October of the year prior to termination and 6%. Distributions will be made to Ms. Mannen six months after her separation from service because she is a “key employee” as defined by the Code.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Italian Statutory Pension Plan</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 xml:space="preserve">The TFR </w:t>
      </w:r>
      <w:r>
        <w:rPr>
          <w:rFonts w:ascii="Arial" w:cs="Arial" w:eastAsia="Arial" w:hAnsi="Arial"/>
          <w:sz w:val="16"/>
          <w:szCs w:val="16"/>
          <w:i w:val="1"/>
          <w:iCs w:val="1"/>
          <w:color w:val="3B3C43"/>
        </w:rPr>
        <w:t>(</w:t>
      </w:r>
      <w:r>
        <w:rPr>
          <w:rFonts w:ascii="Arial" w:cs="Arial" w:eastAsia="Arial" w:hAnsi="Arial"/>
          <w:sz w:val="14"/>
          <w:szCs w:val="14"/>
          <w:i w:val="1"/>
          <w:iCs w:val="1"/>
          <w:color w:val="3B3C43"/>
        </w:rPr>
        <w:t>Trattamento di fine rapporto</w:t>
      </w:r>
      <w:r>
        <w:rPr>
          <w:rFonts w:ascii="Arial" w:cs="Arial" w:eastAsia="Arial" w:hAnsi="Arial"/>
          <w:sz w:val="16"/>
          <w:szCs w:val="16"/>
          <w:i w:val="1"/>
          <w:iCs w:val="1"/>
          <w:color w:val="3B3C43"/>
        </w:rPr>
        <w:t>)</w:t>
      </w:r>
      <w:r>
        <w:rPr>
          <w:rFonts w:ascii="Arial" w:cs="Arial" w:eastAsia="Arial" w:hAnsi="Arial"/>
          <w:sz w:val="16"/>
          <w:szCs w:val="16"/>
          <w:color w:val="3B3C43"/>
        </w:rPr>
        <w:t xml:space="preserve"> is an end-of-employment contract indemnity constituted by a certain amount of salary set aside each month to be paid to each employee upon termination of the employment contract. It is calculated according to the formula of a year’s overall salary divided by 13.5. The TFR may be transferred (if the employee requests) to either a state pension fund or private complementary pension funds. Mr. Uccelletti has decided to transfer 100% of his TFR to a supplementary pension fund.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112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Non-Qualified Deferred Compensation Table</w:t>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3B3C43"/>
        </w:rPr>
        <w:t>Pursuant to the Company’s U.S. Non-Qualified Savings Plan, certain of our U.S.-based employees, including our NEOs, may defer up to 75% of base salary and annual cash incentive. For the U.S. Non-Qualified Savings Plan, deferral elections are made by eligible employees in November or December of each year for amounts earned (or granted with regard to incentive compensation awards) in the following year. The investment options are publicly available mutual funds.</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The Company’s matching contribution will be made in the same investment allocations that the participant selects for his or her contributions to the plan. In addition, the NEOs who participate in the U.S. Non-Qualified Savings Plan may elect to defer all or any portion of their base salary and annual cash incentive payments for the current year under the U.S. NonQualified Savings Plan, and the deferred amounts will be deemed as being invested in any funds available under the U.S. Non-Qualified Savings Plan. Ms. MacGregor and Mr. Uccelletti are excluded because they did not participate in the U.S. Non-Qualified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110490</wp:posOffset>
            </wp:positionV>
            <wp:extent cx="8255" cy="548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54864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110490</wp:posOffset>
            </wp:positionV>
            <wp:extent cx="8890" cy="548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110490</wp:posOffset>
            </wp:positionV>
            <wp:extent cx="8890" cy="548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110490</wp:posOffset>
            </wp:positionV>
            <wp:extent cx="8890" cy="548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110490</wp:posOffset>
            </wp:positionV>
            <wp:extent cx="8890" cy="548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54864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20" w:type="dxa"/>
            <w:vAlign w:val="bottom"/>
            <w:shd w:val="clear" w:color="auto" w:fill="4A1F67"/>
          </w:tcPr>
          <w:p>
            <w:pPr>
              <w:spacing w:after="0"/>
              <w:rPr>
                <w:sz w:val="19"/>
                <w:szCs w:val="19"/>
                <w:color w:val="auto"/>
              </w:rPr>
            </w:pPr>
          </w:p>
        </w:tc>
        <w:tc>
          <w:tcPr>
            <w:tcW w:w="2060" w:type="dxa"/>
            <w:vAlign w:val="bottom"/>
            <w:shd w:val="clear" w:color="auto" w:fill="4A1F67"/>
          </w:tcPr>
          <w:p>
            <w:pPr>
              <w:jc w:val="right"/>
              <w:ind w:right="199"/>
              <w:spacing w:after="0"/>
              <w:rPr>
                <w:sz w:val="20"/>
                <w:szCs w:val="20"/>
                <w:color w:val="auto"/>
              </w:rPr>
            </w:pPr>
            <w:r>
              <w:rPr>
                <w:rFonts w:ascii="Arial" w:cs="Arial" w:eastAsia="Arial" w:hAnsi="Arial"/>
                <w:sz w:val="16"/>
                <w:szCs w:val="16"/>
                <w:b w:val="1"/>
                <w:bCs w:val="1"/>
                <w:color w:val="FFFFFF"/>
              </w:rPr>
              <w:t>Executive</w:t>
            </w:r>
          </w:p>
        </w:tc>
        <w:tc>
          <w:tcPr>
            <w:tcW w:w="1800" w:type="dxa"/>
            <w:vAlign w:val="bottom"/>
            <w:shd w:val="clear" w:color="auto" w:fill="4A1F67"/>
          </w:tcPr>
          <w:p>
            <w:pPr>
              <w:jc w:val="right"/>
              <w:ind w:right="199"/>
              <w:spacing w:after="0"/>
              <w:rPr>
                <w:sz w:val="20"/>
                <w:szCs w:val="20"/>
                <w:color w:val="auto"/>
              </w:rPr>
            </w:pPr>
            <w:r>
              <w:rPr>
                <w:rFonts w:ascii="Arial" w:cs="Arial" w:eastAsia="Arial" w:hAnsi="Arial"/>
                <w:sz w:val="16"/>
                <w:szCs w:val="16"/>
                <w:b w:val="1"/>
                <w:bCs w:val="1"/>
                <w:color w:val="FFFFFF"/>
              </w:rPr>
              <w:t>Registrant</w:t>
            </w:r>
          </w:p>
        </w:tc>
        <w:tc>
          <w:tcPr>
            <w:tcW w:w="1920" w:type="dxa"/>
            <w:vAlign w:val="bottom"/>
            <w:shd w:val="clear" w:color="auto" w:fill="4A1F67"/>
          </w:tcPr>
          <w:p>
            <w:pPr>
              <w:jc w:val="right"/>
              <w:ind w:right="319"/>
              <w:spacing w:after="0"/>
              <w:rPr>
                <w:sz w:val="20"/>
                <w:szCs w:val="20"/>
                <w:color w:val="auto"/>
              </w:rPr>
            </w:pPr>
            <w:r>
              <w:rPr>
                <w:rFonts w:ascii="Arial" w:cs="Arial" w:eastAsia="Arial" w:hAnsi="Arial"/>
                <w:sz w:val="16"/>
                <w:szCs w:val="16"/>
                <w:b w:val="1"/>
                <w:bCs w:val="1"/>
                <w:color w:val="FFFFFF"/>
              </w:rPr>
              <w:t>Aggregate</w:t>
            </w:r>
          </w:p>
        </w:tc>
        <w:tc>
          <w:tcPr>
            <w:tcW w:w="1680" w:type="dxa"/>
            <w:vAlign w:val="bottom"/>
            <w:shd w:val="clear" w:color="auto" w:fill="4A1F67"/>
          </w:tcPr>
          <w:p>
            <w:pPr>
              <w:jc w:val="right"/>
              <w:ind w:right="199"/>
              <w:spacing w:after="0"/>
              <w:rPr>
                <w:sz w:val="20"/>
                <w:szCs w:val="20"/>
                <w:color w:val="auto"/>
              </w:rPr>
            </w:pPr>
            <w:r>
              <w:rPr>
                <w:rFonts w:ascii="Arial" w:cs="Arial" w:eastAsia="Arial" w:hAnsi="Arial"/>
                <w:sz w:val="16"/>
                <w:szCs w:val="16"/>
                <w:b w:val="1"/>
                <w:bCs w:val="1"/>
                <w:color w:val="FFFFFF"/>
              </w:rPr>
              <w:t>Aggregate</w:t>
            </w:r>
          </w:p>
        </w:tc>
        <w:tc>
          <w:tcPr>
            <w:tcW w:w="154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Aggregate</w:t>
            </w:r>
          </w:p>
        </w:tc>
      </w:tr>
      <w:tr>
        <w:trPr>
          <w:trHeight w:val="189"/>
        </w:trPr>
        <w:tc>
          <w:tcPr>
            <w:tcW w:w="2220" w:type="dxa"/>
            <w:vAlign w:val="bottom"/>
            <w:shd w:val="clear" w:color="auto" w:fill="4A1F67"/>
          </w:tcPr>
          <w:p>
            <w:pPr>
              <w:spacing w:after="0"/>
              <w:rPr>
                <w:sz w:val="16"/>
                <w:szCs w:val="16"/>
                <w:color w:val="auto"/>
              </w:rPr>
            </w:pPr>
          </w:p>
        </w:tc>
        <w:tc>
          <w:tcPr>
            <w:tcW w:w="2060" w:type="dxa"/>
            <w:vAlign w:val="bottom"/>
            <w:shd w:val="clear" w:color="auto" w:fill="4A1F67"/>
          </w:tcPr>
          <w:p>
            <w:pPr>
              <w:jc w:val="right"/>
              <w:ind w:right="199"/>
              <w:spacing w:after="0"/>
              <w:rPr>
                <w:sz w:val="20"/>
                <w:szCs w:val="20"/>
                <w:color w:val="auto"/>
              </w:rPr>
            </w:pPr>
            <w:r>
              <w:rPr>
                <w:rFonts w:ascii="Arial" w:cs="Arial" w:eastAsia="Arial" w:hAnsi="Arial"/>
                <w:sz w:val="16"/>
                <w:szCs w:val="16"/>
                <w:b w:val="1"/>
                <w:bCs w:val="1"/>
                <w:color w:val="FFFFFF"/>
              </w:rPr>
              <w:t>Contributions in</w:t>
            </w:r>
          </w:p>
        </w:tc>
        <w:tc>
          <w:tcPr>
            <w:tcW w:w="1800" w:type="dxa"/>
            <w:vAlign w:val="bottom"/>
            <w:shd w:val="clear" w:color="auto" w:fill="4A1F67"/>
          </w:tcPr>
          <w:p>
            <w:pPr>
              <w:jc w:val="right"/>
              <w:ind w:right="199"/>
              <w:spacing w:after="0"/>
              <w:rPr>
                <w:sz w:val="20"/>
                <w:szCs w:val="20"/>
                <w:color w:val="auto"/>
              </w:rPr>
            </w:pPr>
            <w:r>
              <w:rPr>
                <w:rFonts w:ascii="Arial" w:cs="Arial" w:eastAsia="Arial" w:hAnsi="Arial"/>
                <w:sz w:val="16"/>
                <w:szCs w:val="16"/>
                <w:b w:val="1"/>
                <w:bCs w:val="1"/>
                <w:color w:val="FFFFFF"/>
              </w:rPr>
              <w:t>Contributions in</w:t>
            </w:r>
          </w:p>
        </w:tc>
        <w:tc>
          <w:tcPr>
            <w:tcW w:w="1920" w:type="dxa"/>
            <w:vAlign w:val="bottom"/>
            <w:shd w:val="clear" w:color="auto" w:fill="4A1F67"/>
          </w:tcPr>
          <w:p>
            <w:pPr>
              <w:jc w:val="right"/>
              <w:ind w:right="359"/>
              <w:spacing w:after="0"/>
              <w:rPr>
                <w:sz w:val="20"/>
                <w:szCs w:val="20"/>
                <w:color w:val="auto"/>
              </w:rPr>
            </w:pPr>
            <w:r>
              <w:rPr>
                <w:rFonts w:ascii="Arial" w:cs="Arial" w:eastAsia="Arial" w:hAnsi="Arial"/>
                <w:sz w:val="16"/>
                <w:szCs w:val="16"/>
                <w:b w:val="1"/>
                <w:bCs w:val="1"/>
                <w:color w:val="FFFFFF"/>
              </w:rPr>
              <w:t>Earnings in</w:t>
            </w:r>
          </w:p>
        </w:tc>
        <w:tc>
          <w:tcPr>
            <w:tcW w:w="1680" w:type="dxa"/>
            <w:vAlign w:val="bottom"/>
            <w:shd w:val="clear" w:color="auto" w:fill="4A1F67"/>
          </w:tcPr>
          <w:p>
            <w:pPr>
              <w:jc w:val="right"/>
              <w:ind w:right="199"/>
              <w:spacing w:after="0"/>
              <w:rPr>
                <w:sz w:val="20"/>
                <w:szCs w:val="20"/>
                <w:color w:val="auto"/>
              </w:rPr>
            </w:pPr>
            <w:r>
              <w:rPr>
                <w:rFonts w:ascii="Arial" w:cs="Arial" w:eastAsia="Arial" w:hAnsi="Arial"/>
                <w:sz w:val="16"/>
                <w:szCs w:val="16"/>
                <w:b w:val="1"/>
                <w:bCs w:val="1"/>
                <w:color w:val="FFFFFF"/>
              </w:rPr>
              <w:t>Withdrawals/</w:t>
            </w:r>
          </w:p>
        </w:tc>
        <w:tc>
          <w:tcPr>
            <w:tcW w:w="154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Balance at Last</w:t>
            </w:r>
          </w:p>
        </w:tc>
      </w:tr>
      <w:tr>
        <w:trPr>
          <w:trHeight w:val="177"/>
        </w:trPr>
        <w:tc>
          <w:tcPr>
            <w:tcW w:w="2220" w:type="dxa"/>
            <w:vAlign w:val="bottom"/>
            <w:shd w:val="clear" w:color="auto" w:fill="4A1F67"/>
          </w:tcPr>
          <w:p>
            <w:pPr>
              <w:spacing w:after="0"/>
              <w:rPr>
                <w:sz w:val="15"/>
                <w:szCs w:val="15"/>
                <w:color w:val="auto"/>
              </w:rPr>
            </w:pPr>
          </w:p>
        </w:tc>
        <w:tc>
          <w:tcPr>
            <w:tcW w:w="2060" w:type="dxa"/>
            <w:vAlign w:val="bottom"/>
            <w:shd w:val="clear" w:color="auto" w:fill="4A1F67"/>
          </w:tcPr>
          <w:p>
            <w:pPr>
              <w:jc w:val="right"/>
              <w:ind w:right="199"/>
              <w:spacing w:after="0" w:line="177" w:lineRule="exact"/>
              <w:rPr>
                <w:sz w:val="20"/>
                <w:szCs w:val="20"/>
                <w:color w:val="auto"/>
              </w:rPr>
            </w:pPr>
            <w:r>
              <w:rPr>
                <w:rFonts w:ascii="Arial" w:cs="Arial" w:eastAsia="Arial" w:hAnsi="Arial"/>
                <w:sz w:val="16"/>
                <w:szCs w:val="16"/>
                <w:b w:val="1"/>
                <w:bCs w:val="1"/>
                <w:color w:val="FFFFFF"/>
              </w:rPr>
              <w:t>Last Fiscal Year</w:t>
            </w:r>
          </w:p>
        </w:tc>
        <w:tc>
          <w:tcPr>
            <w:tcW w:w="1800" w:type="dxa"/>
            <w:vAlign w:val="bottom"/>
            <w:shd w:val="clear" w:color="auto" w:fill="4A1F67"/>
          </w:tcPr>
          <w:p>
            <w:pPr>
              <w:jc w:val="right"/>
              <w:ind w:right="199"/>
              <w:spacing w:after="0" w:line="177" w:lineRule="exact"/>
              <w:rPr>
                <w:sz w:val="20"/>
                <w:szCs w:val="20"/>
                <w:color w:val="auto"/>
              </w:rPr>
            </w:pPr>
            <w:r>
              <w:rPr>
                <w:rFonts w:ascii="Arial" w:cs="Arial" w:eastAsia="Arial" w:hAnsi="Arial"/>
                <w:sz w:val="16"/>
                <w:szCs w:val="16"/>
                <w:b w:val="1"/>
                <w:bCs w:val="1"/>
                <w:color w:val="FFFFFF"/>
              </w:rPr>
              <w:t>Last Fiscal Year</w:t>
            </w:r>
          </w:p>
        </w:tc>
        <w:tc>
          <w:tcPr>
            <w:tcW w:w="1920" w:type="dxa"/>
            <w:vAlign w:val="bottom"/>
            <w:shd w:val="clear" w:color="auto" w:fill="4A1F67"/>
          </w:tcPr>
          <w:p>
            <w:pPr>
              <w:jc w:val="right"/>
              <w:ind w:right="319"/>
              <w:spacing w:after="0" w:line="177" w:lineRule="exact"/>
              <w:rPr>
                <w:sz w:val="20"/>
                <w:szCs w:val="20"/>
                <w:color w:val="auto"/>
              </w:rPr>
            </w:pPr>
            <w:r>
              <w:rPr>
                <w:rFonts w:ascii="Arial" w:cs="Arial" w:eastAsia="Arial" w:hAnsi="Arial"/>
                <w:sz w:val="16"/>
                <w:szCs w:val="16"/>
                <w:b w:val="1"/>
                <w:bCs w:val="1"/>
                <w:color w:val="FFFFFF"/>
              </w:rPr>
              <w:t>Last Fiscal Year</w:t>
            </w:r>
          </w:p>
        </w:tc>
        <w:tc>
          <w:tcPr>
            <w:tcW w:w="1680" w:type="dxa"/>
            <w:vAlign w:val="bottom"/>
            <w:shd w:val="clear" w:color="auto" w:fill="4A1F67"/>
          </w:tcPr>
          <w:p>
            <w:pPr>
              <w:jc w:val="right"/>
              <w:ind w:right="199"/>
              <w:spacing w:after="0" w:line="177" w:lineRule="exact"/>
              <w:rPr>
                <w:sz w:val="20"/>
                <w:szCs w:val="20"/>
                <w:color w:val="auto"/>
              </w:rPr>
            </w:pPr>
            <w:r>
              <w:rPr>
                <w:rFonts w:ascii="Arial" w:cs="Arial" w:eastAsia="Arial" w:hAnsi="Arial"/>
                <w:sz w:val="16"/>
                <w:szCs w:val="16"/>
                <w:b w:val="1"/>
                <w:bCs w:val="1"/>
                <w:color w:val="FFFFFF"/>
              </w:rPr>
              <w:t>Distributions</w:t>
            </w:r>
          </w:p>
        </w:tc>
        <w:tc>
          <w:tcPr>
            <w:tcW w:w="1540" w:type="dxa"/>
            <w:vAlign w:val="bottom"/>
            <w:shd w:val="clear" w:color="auto" w:fill="4A1F67"/>
          </w:tcPr>
          <w:p>
            <w:pPr>
              <w:jc w:val="right"/>
              <w:spacing w:after="0" w:line="177" w:lineRule="exact"/>
              <w:rPr>
                <w:sz w:val="20"/>
                <w:szCs w:val="20"/>
                <w:color w:val="auto"/>
              </w:rPr>
            </w:pPr>
            <w:r>
              <w:rPr>
                <w:rFonts w:ascii="Arial" w:cs="Arial" w:eastAsia="Arial" w:hAnsi="Arial"/>
                <w:sz w:val="16"/>
                <w:szCs w:val="16"/>
                <w:b w:val="1"/>
                <w:bCs w:val="1"/>
                <w:color w:val="FFFFFF"/>
              </w:rPr>
              <w:t>Fiscal Year End</w:t>
            </w:r>
          </w:p>
        </w:tc>
      </w:tr>
      <w:tr>
        <w:trPr>
          <w:trHeight w:val="273"/>
        </w:trPr>
        <w:tc>
          <w:tcPr>
            <w:tcW w:w="2220" w:type="dxa"/>
            <w:vAlign w:val="bottom"/>
            <w:shd w:val="clear" w:color="auto" w:fill="4A1F67"/>
          </w:tcPr>
          <w:p>
            <w:pPr>
              <w:ind w:left="60"/>
              <w:spacing w:after="0"/>
              <w:rPr>
                <w:sz w:val="20"/>
                <w:szCs w:val="20"/>
                <w:color w:val="auto"/>
              </w:rPr>
            </w:pPr>
            <w:r>
              <w:rPr>
                <w:rFonts w:ascii="Arial" w:cs="Arial" w:eastAsia="Arial" w:hAnsi="Arial"/>
                <w:sz w:val="16"/>
                <w:szCs w:val="16"/>
                <w:b w:val="1"/>
                <w:bCs w:val="1"/>
                <w:color w:val="FFFFFF"/>
              </w:rPr>
              <w:t>Name</w:t>
            </w:r>
          </w:p>
        </w:tc>
        <w:tc>
          <w:tcPr>
            <w:tcW w:w="2060" w:type="dxa"/>
            <w:vAlign w:val="bottom"/>
            <w:shd w:val="clear" w:color="auto" w:fill="4A1F67"/>
          </w:tcPr>
          <w:p>
            <w:pPr>
              <w:jc w:val="right"/>
              <w:ind w:right="199"/>
              <w:spacing w:after="0" w:line="273"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1</w:t>
            </w:r>
          </w:p>
        </w:tc>
        <w:tc>
          <w:tcPr>
            <w:tcW w:w="1800" w:type="dxa"/>
            <w:vAlign w:val="bottom"/>
            <w:shd w:val="clear" w:color="auto" w:fill="4A1F67"/>
          </w:tcPr>
          <w:p>
            <w:pPr>
              <w:jc w:val="right"/>
              <w:ind w:right="199"/>
              <w:spacing w:after="0" w:line="273"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2,3</w:t>
            </w:r>
          </w:p>
        </w:tc>
        <w:tc>
          <w:tcPr>
            <w:tcW w:w="1920" w:type="dxa"/>
            <w:vAlign w:val="bottom"/>
            <w:shd w:val="clear" w:color="auto" w:fill="4A1F67"/>
          </w:tcPr>
          <w:p>
            <w:pPr>
              <w:jc w:val="right"/>
              <w:ind w:right="319"/>
              <w:spacing w:after="0"/>
              <w:rPr>
                <w:sz w:val="20"/>
                <w:szCs w:val="20"/>
                <w:color w:val="auto"/>
              </w:rPr>
            </w:pPr>
            <w:r>
              <w:rPr>
                <w:rFonts w:ascii="Arial" w:cs="Arial" w:eastAsia="Arial" w:hAnsi="Arial"/>
                <w:sz w:val="16"/>
                <w:szCs w:val="16"/>
                <w:b w:val="1"/>
                <w:bCs w:val="1"/>
                <w:color w:val="FFFFFF"/>
              </w:rPr>
              <w:t>($)</w:t>
            </w:r>
          </w:p>
        </w:tc>
        <w:tc>
          <w:tcPr>
            <w:tcW w:w="1680" w:type="dxa"/>
            <w:vAlign w:val="bottom"/>
            <w:shd w:val="clear" w:color="auto" w:fill="4A1F67"/>
          </w:tcPr>
          <w:p>
            <w:pPr>
              <w:jc w:val="right"/>
              <w:ind w:right="199"/>
              <w:spacing w:after="0"/>
              <w:rPr>
                <w:sz w:val="20"/>
                <w:szCs w:val="20"/>
                <w:color w:val="auto"/>
              </w:rPr>
            </w:pPr>
            <w:r>
              <w:rPr>
                <w:rFonts w:ascii="Arial" w:cs="Arial" w:eastAsia="Arial" w:hAnsi="Arial"/>
                <w:sz w:val="16"/>
                <w:szCs w:val="16"/>
                <w:b w:val="1"/>
                <w:bCs w:val="1"/>
                <w:color w:val="FFFFFF"/>
              </w:rPr>
              <w:t>($)</w:t>
            </w:r>
          </w:p>
        </w:tc>
        <w:tc>
          <w:tcPr>
            <w:tcW w:w="1540" w:type="dxa"/>
            <w:vAlign w:val="bottom"/>
            <w:shd w:val="clear" w:color="auto" w:fill="4A1F67"/>
          </w:tcPr>
          <w:p>
            <w:pPr>
              <w:jc w:val="right"/>
              <w:spacing w:after="0" w:line="273"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4</w:t>
            </w:r>
          </w:p>
        </w:tc>
      </w:tr>
      <w:tr>
        <w:trPr>
          <w:trHeight w:val="251"/>
        </w:trPr>
        <w:tc>
          <w:tcPr>
            <w:tcW w:w="2220" w:type="dxa"/>
            <w:vAlign w:val="bottom"/>
          </w:tcPr>
          <w:p>
            <w:pPr>
              <w:ind w:left="60"/>
              <w:spacing w:after="0"/>
              <w:rPr>
                <w:sz w:val="20"/>
                <w:szCs w:val="20"/>
                <w:color w:val="auto"/>
              </w:rPr>
            </w:pPr>
            <w:r>
              <w:rPr>
                <w:rFonts w:ascii="Arial" w:cs="Arial" w:eastAsia="Arial" w:hAnsi="Arial"/>
                <w:sz w:val="16"/>
                <w:szCs w:val="16"/>
                <w:b w:val="1"/>
                <w:bCs w:val="1"/>
                <w:color w:val="3B3C43"/>
              </w:rPr>
              <w:t>Douglas J. Pferdehirt</w:t>
            </w:r>
          </w:p>
        </w:tc>
        <w:tc>
          <w:tcPr>
            <w:tcW w:w="2060" w:type="dxa"/>
            <w:vAlign w:val="bottom"/>
          </w:tcPr>
          <w:p>
            <w:pPr>
              <w:jc w:val="right"/>
              <w:ind w:right="199"/>
              <w:spacing w:after="0"/>
              <w:rPr>
                <w:sz w:val="20"/>
                <w:szCs w:val="20"/>
                <w:color w:val="auto"/>
              </w:rPr>
            </w:pPr>
            <w:r>
              <w:rPr>
                <w:rFonts w:ascii="Arial" w:cs="Arial" w:eastAsia="Arial" w:hAnsi="Arial"/>
                <w:sz w:val="16"/>
                <w:szCs w:val="16"/>
                <w:color w:val="3B3C43"/>
              </w:rPr>
              <w:t>390,262</w:t>
            </w:r>
          </w:p>
        </w:tc>
        <w:tc>
          <w:tcPr>
            <w:tcW w:w="1800" w:type="dxa"/>
            <w:vAlign w:val="bottom"/>
          </w:tcPr>
          <w:p>
            <w:pPr>
              <w:jc w:val="right"/>
              <w:ind w:right="199"/>
              <w:spacing w:after="0"/>
              <w:rPr>
                <w:sz w:val="20"/>
                <w:szCs w:val="20"/>
                <w:color w:val="auto"/>
              </w:rPr>
            </w:pPr>
            <w:r>
              <w:rPr>
                <w:rFonts w:ascii="Arial" w:cs="Arial" w:eastAsia="Arial" w:hAnsi="Arial"/>
                <w:sz w:val="16"/>
                <w:szCs w:val="16"/>
                <w:color w:val="3B3C43"/>
              </w:rPr>
              <w:t>221,320</w:t>
            </w:r>
          </w:p>
        </w:tc>
        <w:tc>
          <w:tcPr>
            <w:tcW w:w="1920" w:type="dxa"/>
            <w:vAlign w:val="bottom"/>
          </w:tcPr>
          <w:p>
            <w:pPr>
              <w:jc w:val="right"/>
              <w:ind w:right="319"/>
              <w:spacing w:after="0"/>
              <w:rPr>
                <w:sz w:val="20"/>
                <w:szCs w:val="20"/>
                <w:color w:val="auto"/>
              </w:rPr>
            </w:pPr>
            <w:r>
              <w:rPr>
                <w:rFonts w:ascii="Arial" w:cs="Arial" w:eastAsia="Arial" w:hAnsi="Arial"/>
                <w:sz w:val="16"/>
                <w:szCs w:val="16"/>
                <w:color w:val="3B3C43"/>
              </w:rPr>
              <w:t>635,518</w:t>
            </w:r>
          </w:p>
        </w:tc>
        <w:tc>
          <w:tcPr>
            <w:tcW w:w="1680" w:type="dxa"/>
            <w:vAlign w:val="bottom"/>
          </w:tcPr>
          <w:p>
            <w:pPr>
              <w:jc w:val="right"/>
              <w:ind w:right="199"/>
              <w:spacing w:after="0"/>
              <w:rPr>
                <w:sz w:val="20"/>
                <w:szCs w:val="20"/>
                <w:color w:val="auto"/>
              </w:rPr>
            </w:pPr>
            <w:r>
              <w:rPr>
                <w:rFonts w:ascii="Arial" w:cs="Arial" w:eastAsia="Arial" w:hAnsi="Arial"/>
                <w:sz w:val="16"/>
                <w:szCs w:val="16"/>
                <w:color w:val="3B3C43"/>
              </w:rPr>
              <w:t>0</w:t>
            </w:r>
          </w:p>
        </w:tc>
        <w:tc>
          <w:tcPr>
            <w:tcW w:w="1540" w:type="dxa"/>
            <w:vAlign w:val="bottom"/>
          </w:tcPr>
          <w:p>
            <w:pPr>
              <w:jc w:val="right"/>
              <w:spacing w:after="0"/>
              <w:rPr>
                <w:sz w:val="20"/>
                <w:szCs w:val="20"/>
                <w:color w:val="auto"/>
              </w:rPr>
            </w:pPr>
            <w:r>
              <w:rPr>
                <w:rFonts w:ascii="Arial" w:cs="Arial" w:eastAsia="Arial" w:hAnsi="Arial"/>
                <w:sz w:val="16"/>
                <w:szCs w:val="16"/>
                <w:color w:val="3B3C43"/>
              </w:rPr>
              <w:t>4,072,953</w:t>
            </w:r>
          </w:p>
        </w:tc>
      </w:tr>
      <w:tr>
        <w:trPr>
          <w:trHeight w:val="46"/>
        </w:trPr>
        <w:tc>
          <w:tcPr>
            <w:tcW w:w="2220" w:type="dxa"/>
            <w:vAlign w:val="bottom"/>
            <w:tcBorders>
              <w:bottom w:val="single" w:sz="8" w:color="E1E2E0"/>
            </w:tcBorders>
          </w:tcPr>
          <w:p>
            <w:pPr>
              <w:spacing w:after="0"/>
              <w:rPr>
                <w:sz w:val="4"/>
                <w:szCs w:val="4"/>
                <w:color w:val="auto"/>
              </w:rPr>
            </w:pPr>
          </w:p>
        </w:tc>
        <w:tc>
          <w:tcPr>
            <w:tcW w:w="2060" w:type="dxa"/>
            <w:vAlign w:val="bottom"/>
            <w:tcBorders>
              <w:bottom w:val="single" w:sz="8" w:color="E1E2E0"/>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92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c>
          <w:tcPr>
            <w:tcW w:w="1540" w:type="dxa"/>
            <w:vAlign w:val="bottom"/>
            <w:tcBorders>
              <w:bottom w:val="single" w:sz="8" w:color="E1E2E0"/>
            </w:tcBorders>
          </w:tcPr>
          <w:p>
            <w:pPr>
              <w:spacing w:after="0"/>
              <w:rPr>
                <w:sz w:val="4"/>
                <w:szCs w:val="4"/>
                <w:color w:val="auto"/>
              </w:rPr>
            </w:pPr>
          </w:p>
        </w:tc>
      </w:tr>
      <w:tr>
        <w:trPr>
          <w:trHeight w:val="244"/>
        </w:trPr>
        <w:tc>
          <w:tcPr>
            <w:tcW w:w="2220" w:type="dxa"/>
            <w:vAlign w:val="bottom"/>
          </w:tcPr>
          <w:p>
            <w:pPr>
              <w:ind w:left="60"/>
              <w:spacing w:after="0"/>
              <w:rPr>
                <w:sz w:val="20"/>
                <w:szCs w:val="20"/>
                <w:color w:val="auto"/>
              </w:rPr>
            </w:pPr>
            <w:r>
              <w:rPr>
                <w:rFonts w:ascii="Arial" w:cs="Arial" w:eastAsia="Arial" w:hAnsi="Arial"/>
                <w:sz w:val="16"/>
                <w:szCs w:val="16"/>
                <w:b w:val="1"/>
                <w:bCs w:val="1"/>
                <w:color w:val="3B3C43"/>
              </w:rPr>
              <w:t>Maryann T. Mannen</w:t>
            </w:r>
          </w:p>
        </w:tc>
        <w:tc>
          <w:tcPr>
            <w:tcW w:w="2060" w:type="dxa"/>
            <w:vAlign w:val="bottom"/>
          </w:tcPr>
          <w:p>
            <w:pPr>
              <w:jc w:val="right"/>
              <w:ind w:right="199"/>
              <w:spacing w:after="0"/>
              <w:rPr>
                <w:sz w:val="20"/>
                <w:szCs w:val="20"/>
                <w:color w:val="auto"/>
              </w:rPr>
            </w:pPr>
            <w:r>
              <w:rPr>
                <w:rFonts w:ascii="Arial" w:cs="Arial" w:eastAsia="Arial" w:hAnsi="Arial"/>
                <w:sz w:val="16"/>
                <w:szCs w:val="16"/>
                <w:color w:val="3B3C43"/>
              </w:rPr>
              <w:t>7,005</w:t>
            </w:r>
          </w:p>
        </w:tc>
        <w:tc>
          <w:tcPr>
            <w:tcW w:w="1800" w:type="dxa"/>
            <w:vAlign w:val="bottom"/>
          </w:tcPr>
          <w:p>
            <w:pPr>
              <w:jc w:val="right"/>
              <w:ind w:right="199"/>
              <w:spacing w:after="0"/>
              <w:rPr>
                <w:sz w:val="20"/>
                <w:szCs w:val="20"/>
                <w:color w:val="auto"/>
              </w:rPr>
            </w:pPr>
            <w:r>
              <w:rPr>
                <w:rFonts w:ascii="Arial" w:cs="Arial" w:eastAsia="Arial" w:hAnsi="Arial"/>
                <w:sz w:val="16"/>
                <w:szCs w:val="16"/>
                <w:color w:val="3B3C43"/>
              </w:rPr>
              <w:t>103,944</w:t>
            </w:r>
          </w:p>
        </w:tc>
        <w:tc>
          <w:tcPr>
            <w:tcW w:w="1920" w:type="dxa"/>
            <w:vAlign w:val="bottom"/>
          </w:tcPr>
          <w:p>
            <w:pPr>
              <w:jc w:val="right"/>
              <w:ind w:right="319"/>
              <w:spacing w:after="0"/>
              <w:rPr>
                <w:sz w:val="20"/>
                <w:szCs w:val="20"/>
                <w:color w:val="auto"/>
              </w:rPr>
            </w:pPr>
            <w:r>
              <w:rPr>
                <w:rFonts w:ascii="Arial" w:cs="Arial" w:eastAsia="Arial" w:hAnsi="Arial"/>
                <w:sz w:val="16"/>
                <w:szCs w:val="16"/>
                <w:color w:val="3B3C43"/>
              </w:rPr>
              <w:t>126,337</w:t>
            </w:r>
          </w:p>
        </w:tc>
        <w:tc>
          <w:tcPr>
            <w:tcW w:w="1680" w:type="dxa"/>
            <w:vAlign w:val="bottom"/>
          </w:tcPr>
          <w:p>
            <w:pPr>
              <w:jc w:val="right"/>
              <w:ind w:right="199"/>
              <w:spacing w:after="0"/>
              <w:rPr>
                <w:sz w:val="20"/>
                <w:szCs w:val="20"/>
                <w:color w:val="auto"/>
              </w:rPr>
            </w:pPr>
            <w:r>
              <w:rPr>
                <w:rFonts w:ascii="Arial" w:cs="Arial" w:eastAsia="Arial" w:hAnsi="Arial"/>
                <w:sz w:val="16"/>
                <w:szCs w:val="16"/>
                <w:color w:val="3B3C43"/>
              </w:rPr>
              <w:t>0</w:t>
            </w:r>
          </w:p>
        </w:tc>
        <w:tc>
          <w:tcPr>
            <w:tcW w:w="1540" w:type="dxa"/>
            <w:vAlign w:val="bottom"/>
          </w:tcPr>
          <w:p>
            <w:pPr>
              <w:jc w:val="right"/>
              <w:spacing w:after="0"/>
              <w:rPr>
                <w:sz w:val="20"/>
                <w:szCs w:val="20"/>
                <w:color w:val="auto"/>
              </w:rPr>
            </w:pPr>
            <w:r>
              <w:rPr>
                <w:rFonts w:ascii="Arial" w:cs="Arial" w:eastAsia="Arial" w:hAnsi="Arial"/>
                <w:sz w:val="16"/>
                <w:szCs w:val="16"/>
                <w:color w:val="3B3C43"/>
              </w:rPr>
              <w:t>803,768</w:t>
            </w:r>
          </w:p>
        </w:tc>
      </w:tr>
      <w:tr>
        <w:trPr>
          <w:trHeight w:val="46"/>
        </w:trPr>
        <w:tc>
          <w:tcPr>
            <w:tcW w:w="2220" w:type="dxa"/>
            <w:vAlign w:val="bottom"/>
            <w:tcBorders>
              <w:bottom w:val="single" w:sz="8" w:color="E1E2E0"/>
            </w:tcBorders>
          </w:tcPr>
          <w:p>
            <w:pPr>
              <w:spacing w:after="0"/>
              <w:rPr>
                <w:sz w:val="4"/>
                <w:szCs w:val="4"/>
                <w:color w:val="auto"/>
              </w:rPr>
            </w:pPr>
          </w:p>
        </w:tc>
        <w:tc>
          <w:tcPr>
            <w:tcW w:w="2060" w:type="dxa"/>
            <w:vAlign w:val="bottom"/>
            <w:tcBorders>
              <w:bottom w:val="single" w:sz="8" w:color="E1E2E0"/>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92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c>
          <w:tcPr>
            <w:tcW w:w="1540" w:type="dxa"/>
            <w:vAlign w:val="bottom"/>
            <w:tcBorders>
              <w:bottom w:val="single" w:sz="8" w:color="E1E2E0"/>
            </w:tcBorders>
          </w:tcPr>
          <w:p>
            <w:pPr>
              <w:spacing w:after="0"/>
              <w:rPr>
                <w:sz w:val="4"/>
                <w:szCs w:val="4"/>
                <w:color w:val="auto"/>
              </w:rPr>
            </w:pPr>
          </w:p>
        </w:tc>
      </w:tr>
      <w:tr>
        <w:trPr>
          <w:trHeight w:val="244"/>
        </w:trPr>
        <w:tc>
          <w:tcPr>
            <w:tcW w:w="2220" w:type="dxa"/>
            <w:vAlign w:val="bottom"/>
          </w:tcPr>
          <w:p>
            <w:pPr>
              <w:ind w:left="60"/>
              <w:spacing w:after="0"/>
              <w:rPr>
                <w:sz w:val="20"/>
                <w:szCs w:val="20"/>
                <w:color w:val="auto"/>
              </w:rPr>
            </w:pPr>
            <w:r>
              <w:rPr>
                <w:rFonts w:ascii="Arial" w:cs="Arial" w:eastAsia="Arial" w:hAnsi="Arial"/>
                <w:sz w:val="16"/>
                <w:szCs w:val="16"/>
                <w:b w:val="1"/>
                <w:bCs w:val="1"/>
                <w:color w:val="3B3C43"/>
              </w:rPr>
              <w:t>Justin Rounce</w:t>
            </w:r>
          </w:p>
        </w:tc>
        <w:tc>
          <w:tcPr>
            <w:tcW w:w="2060" w:type="dxa"/>
            <w:vAlign w:val="bottom"/>
          </w:tcPr>
          <w:p>
            <w:pPr>
              <w:jc w:val="right"/>
              <w:ind w:right="199"/>
              <w:spacing w:after="0"/>
              <w:rPr>
                <w:sz w:val="20"/>
                <w:szCs w:val="20"/>
                <w:color w:val="auto"/>
              </w:rPr>
            </w:pPr>
            <w:r>
              <w:rPr>
                <w:rFonts w:ascii="Arial" w:cs="Arial" w:eastAsia="Arial" w:hAnsi="Arial"/>
                <w:sz w:val="16"/>
                <w:szCs w:val="16"/>
                <w:color w:val="3B3C43"/>
              </w:rPr>
              <w:t>76,482</w:t>
            </w:r>
          </w:p>
        </w:tc>
        <w:tc>
          <w:tcPr>
            <w:tcW w:w="1800" w:type="dxa"/>
            <w:vAlign w:val="bottom"/>
          </w:tcPr>
          <w:p>
            <w:pPr>
              <w:jc w:val="right"/>
              <w:ind w:right="199"/>
              <w:spacing w:after="0"/>
              <w:rPr>
                <w:sz w:val="20"/>
                <w:szCs w:val="20"/>
                <w:color w:val="auto"/>
              </w:rPr>
            </w:pPr>
            <w:r>
              <w:rPr>
                <w:rFonts w:ascii="Arial" w:cs="Arial" w:eastAsia="Arial" w:hAnsi="Arial"/>
                <w:sz w:val="16"/>
                <w:szCs w:val="16"/>
                <w:color w:val="3B3C43"/>
              </w:rPr>
              <w:t>75,710</w:t>
            </w:r>
          </w:p>
        </w:tc>
        <w:tc>
          <w:tcPr>
            <w:tcW w:w="1920" w:type="dxa"/>
            <w:vAlign w:val="bottom"/>
          </w:tcPr>
          <w:p>
            <w:pPr>
              <w:jc w:val="right"/>
              <w:ind w:right="319"/>
              <w:spacing w:after="0"/>
              <w:rPr>
                <w:sz w:val="20"/>
                <w:szCs w:val="20"/>
                <w:color w:val="auto"/>
              </w:rPr>
            </w:pPr>
            <w:r>
              <w:rPr>
                <w:rFonts w:ascii="Arial" w:cs="Arial" w:eastAsia="Arial" w:hAnsi="Arial"/>
                <w:sz w:val="16"/>
                <w:szCs w:val="16"/>
                <w:color w:val="3B3C43"/>
              </w:rPr>
              <w:t>52,043</w:t>
            </w:r>
          </w:p>
        </w:tc>
        <w:tc>
          <w:tcPr>
            <w:tcW w:w="1680" w:type="dxa"/>
            <w:vAlign w:val="bottom"/>
          </w:tcPr>
          <w:p>
            <w:pPr>
              <w:jc w:val="right"/>
              <w:ind w:right="199"/>
              <w:spacing w:after="0"/>
              <w:rPr>
                <w:sz w:val="20"/>
                <w:szCs w:val="20"/>
                <w:color w:val="auto"/>
              </w:rPr>
            </w:pPr>
            <w:r>
              <w:rPr>
                <w:rFonts w:ascii="Arial" w:cs="Arial" w:eastAsia="Arial" w:hAnsi="Arial"/>
                <w:sz w:val="16"/>
                <w:szCs w:val="16"/>
                <w:color w:val="3B3C43"/>
              </w:rPr>
              <w:t>0</w:t>
            </w:r>
          </w:p>
        </w:tc>
        <w:tc>
          <w:tcPr>
            <w:tcW w:w="1540" w:type="dxa"/>
            <w:vAlign w:val="bottom"/>
          </w:tcPr>
          <w:p>
            <w:pPr>
              <w:jc w:val="right"/>
              <w:spacing w:after="0"/>
              <w:rPr>
                <w:sz w:val="20"/>
                <w:szCs w:val="20"/>
                <w:color w:val="auto"/>
              </w:rPr>
            </w:pPr>
            <w:r>
              <w:rPr>
                <w:rFonts w:ascii="Arial" w:cs="Arial" w:eastAsia="Arial" w:hAnsi="Arial"/>
                <w:sz w:val="16"/>
                <w:szCs w:val="16"/>
                <w:color w:val="3B3C43"/>
              </w:rPr>
              <w:t>238,327</w:t>
            </w:r>
          </w:p>
        </w:tc>
      </w:tr>
      <w:tr>
        <w:trPr>
          <w:trHeight w:val="47"/>
        </w:trPr>
        <w:tc>
          <w:tcPr>
            <w:tcW w:w="2220" w:type="dxa"/>
            <w:vAlign w:val="bottom"/>
            <w:tcBorders>
              <w:bottom w:val="single" w:sz="8" w:color="E1E2E0"/>
            </w:tcBorders>
          </w:tcPr>
          <w:p>
            <w:pPr>
              <w:spacing w:after="0"/>
              <w:rPr>
                <w:sz w:val="4"/>
                <w:szCs w:val="4"/>
                <w:color w:val="auto"/>
              </w:rPr>
            </w:pPr>
          </w:p>
        </w:tc>
        <w:tc>
          <w:tcPr>
            <w:tcW w:w="2060" w:type="dxa"/>
            <w:vAlign w:val="bottom"/>
            <w:tcBorders>
              <w:bottom w:val="single" w:sz="8" w:color="E1E2E0"/>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92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c>
          <w:tcPr>
            <w:tcW w:w="1540" w:type="dxa"/>
            <w:vAlign w:val="bottom"/>
            <w:tcBorders>
              <w:bottom w:val="single" w:sz="8" w:color="E1E2E0"/>
            </w:tcBorders>
          </w:tcPr>
          <w:p>
            <w:pPr>
              <w:spacing w:after="0"/>
              <w:rPr>
                <w:sz w:val="4"/>
                <w:szCs w:val="4"/>
                <w:color w:val="auto"/>
              </w:rPr>
            </w:pPr>
          </w:p>
        </w:tc>
      </w:tr>
      <w:tr>
        <w:trPr>
          <w:trHeight w:val="244"/>
        </w:trPr>
        <w:tc>
          <w:tcPr>
            <w:tcW w:w="2220" w:type="dxa"/>
            <w:vAlign w:val="bottom"/>
          </w:tcPr>
          <w:p>
            <w:pPr>
              <w:ind w:left="60"/>
              <w:spacing w:after="0"/>
              <w:rPr>
                <w:sz w:val="20"/>
                <w:szCs w:val="20"/>
                <w:color w:val="auto"/>
              </w:rPr>
            </w:pPr>
            <w:r>
              <w:rPr>
                <w:rFonts w:ascii="Arial" w:cs="Arial" w:eastAsia="Arial" w:hAnsi="Arial"/>
                <w:sz w:val="16"/>
                <w:szCs w:val="16"/>
                <w:b w:val="1"/>
                <w:bCs w:val="1"/>
                <w:color w:val="3B3C43"/>
              </w:rPr>
              <w:t>Arnaud Pieton</w:t>
            </w:r>
          </w:p>
        </w:tc>
        <w:tc>
          <w:tcPr>
            <w:tcW w:w="2060" w:type="dxa"/>
            <w:vAlign w:val="bottom"/>
          </w:tcPr>
          <w:p>
            <w:pPr>
              <w:jc w:val="right"/>
              <w:ind w:right="199"/>
              <w:spacing w:after="0"/>
              <w:rPr>
                <w:sz w:val="20"/>
                <w:szCs w:val="20"/>
                <w:color w:val="auto"/>
              </w:rPr>
            </w:pPr>
            <w:r>
              <w:rPr>
                <w:rFonts w:ascii="Arial" w:cs="Arial" w:eastAsia="Arial" w:hAnsi="Arial"/>
                <w:sz w:val="16"/>
                <w:szCs w:val="16"/>
                <w:color w:val="3B3C43"/>
              </w:rPr>
              <w:t>92,142</w:t>
            </w:r>
          </w:p>
        </w:tc>
        <w:tc>
          <w:tcPr>
            <w:tcW w:w="1800" w:type="dxa"/>
            <w:vAlign w:val="bottom"/>
          </w:tcPr>
          <w:p>
            <w:pPr>
              <w:jc w:val="right"/>
              <w:ind w:right="199"/>
              <w:spacing w:after="0"/>
              <w:rPr>
                <w:sz w:val="20"/>
                <w:szCs w:val="20"/>
                <w:color w:val="auto"/>
              </w:rPr>
            </w:pPr>
            <w:r>
              <w:rPr>
                <w:rFonts w:ascii="Arial" w:cs="Arial" w:eastAsia="Arial" w:hAnsi="Arial"/>
                <w:sz w:val="16"/>
                <w:szCs w:val="16"/>
                <w:color w:val="3B3C43"/>
              </w:rPr>
              <w:t>6,383</w:t>
            </w:r>
          </w:p>
        </w:tc>
        <w:tc>
          <w:tcPr>
            <w:tcW w:w="1920" w:type="dxa"/>
            <w:vAlign w:val="bottom"/>
          </w:tcPr>
          <w:p>
            <w:pPr>
              <w:jc w:val="right"/>
              <w:ind w:right="319"/>
              <w:spacing w:after="0"/>
              <w:rPr>
                <w:sz w:val="20"/>
                <w:szCs w:val="20"/>
                <w:color w:val="auto"/>
              </w:rPr>
            </w:pPr>
            <w:r>
              <w:rPr>
                <w:rFonts w:ascii="Arial" w:cs="Arial" w:eastAsia="Arial" w:hAnsi="Arial"/>
                <w:sz w:val="16"/>
                <w:szCs w:val="16"/>
                <w:color w:val="3B3C43"/>
              </w:rPr>
              <w:t>21,933</w:t>
            </w:r>
          </w:p>
        </w:tc>
        <w:tc>
          <w:tcPr>
            <w:tcW w:w="1680" w:type="dxa"/>
            <w:vAlign w:val="bottom"/>
          </w:tcPr>
          <w:p>
            <w:pPr>
              <w:jc w:val="right"/>
              <w:ind w:right="199"/>
              <w:spacing w:after="0"/>
              <w:rPr>
                <w:sz w:val="20"/>
                <w:szCs w:val="20"/>
                <w:color w:val="auto"/>
              </w:rPr>
            </w:pPr>
            <w:r>
              <w:rPr>
                <w:rFonts w:ascii="Arial" w:cs="Arial" w:eastAsia="Arial" w:hAnsi="Arial"/>
                <w:sz w:val="16"/>
                <w:szCs w:val="16"/>
                <w:color w:val="3B3C43"/>
              </w:rPr>
              <w:t>0</w:t>
            </w:r>
          </w:p>
        </w:tc>
        <w:tc>
          <w:tcPr>
            <w:tcW w:w="1540" w:type="dxa"/>
            <w:vAlign w:val="bottom"/>
          </w:tcPr>
          <w:p>
            <w:pPr>
              <w:jc w:val="right"/>
              <w:spacing w:after="0"/>
              <w:rPr>
                <w:sz w:val="20"/>
                <w:szCs w:val="20"/>
                <w:color w:val="auto"/>
              </w:rPr>
            </w:pPr>
            <w:r>
              <w:rPr>
                <w:rFonts w:ascii="Arial" w:cs="Arial" w:eastAsia="Arial" w:hAnsi="Arial"/>
                <w:sz w:val="16"/>
                <w:szCs w:val="16"/>
                <w:color w:val="3B3C43"/>
              </w:rPr>
              <w:t>120,459</w:t>
            </w:r>
          </w:p>
        </w:tc>
      </w:tr>
      <w:tr>
        <w:trPr>
          <w:trHeight w:val="46"/>
        </w:trPr>
        <w:tc>
          <w:tcPr>
            <w:tcW w:w="2220" w:type="dxa"/>
            <w:vAlign w:val="bottom"/>
            <w:tcBorders>
              <w:bottom w:val="single" w:sz="8" w:color="E1E2E0"/>
            </w:tcBorders>
          </w:tcPr>
          <w:p>
            <w:pPr>
              <w:spacing w:after="0"/>
              <w:rPr>
                <w:sz w:val="4"/>
                <w:szCs w:val="4"/>
                <w:color w:val="auto"/>
              </w:rPr>
            </w:pPr>
          </w:p>
        </w:tc>
        <w:tc>
          <w:tcPr>
            <w:tcW w:w="2060" w:type="dxa"/>
            <w:vAlign w:val="bottom"/>
            <w:tcBorders>
              <w:bottom w:val="single" w:sz="8" w:color="E1E2E0"/>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92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c>
          <w:tcPr>
            <w:tcW w:w="1540" w:type="dxa"/>
            <w:vAlign w:val="bottom"/>
            <w:tcBorders>
              <w:bottom w:val="single" w:sz="8" w:color="E1E2E0"/>
            </w:tcBorders>
          </w:tcPr>
          <w:p>
            <w:pPr>
              <w:spacing w:after="0"/>
              <w:rPr>
                <w:sz w:val="4"/>
                <w:szCs w:val="4"/>
                <w:color w:val="auto"/>
              </w:rPr>
            </w:pPr>
          </w:p>
        </w:tc>
      </w:tr>
      <w:tr>
        <w:trPr>
          <w:trHeight w:val="244"/>
        </w:trPr>
        <w:tc>
          <w:tcPr>
            <w:tcW w:w="2220" w:type="dxa"/>
            <w:vAlign w:val="bottom"/>
          </w:tcPr>
          <w:p>
            <w:pPr>
              <w:ind w:left="60"/>
              <w:spacing w:after="0"/>
              <w:rPr>
                <w:sz w:val="20"/>
                <w:szCs w:val="20"/>
                <w:color w:val="auto"/>
              </w:rPr>
            </w:pPr>
            <w:r>
              <w:rPr>
                <w:rFonts w:ascii="Arial" w:cs="Arial" w:eastAsia="Arial" w:hAnsi="Arial"/>
                <w:sz w:val="16"/>
                <w:szCs w:val="16"/>
                <w:b w:val="1"/>
                <w:bCs w:val="1"/>
                <w:color w:val="3B3C43"/>
              </w:rPr>
              <w:t>Barry Glickman</w:t>
            </w:r>
          </w:p>
        </w:tc>
        <w:tc>
          <w:tcPr>
            <w:tcW w:w="2060" w:type="dxa"/>
            <w:vAlign w:val="bottom"/>
          </w:tcPr>
          <w:p>
            <w:pPr>
              <w:jc w:val="right"/>
              <w:ind w:right="199"/>
              <w:spacing w:after="0"/>
              <w:rPr>
                <w:sz w:val="20"/>
                <w:szCs w:val="20"/>
                <w:color w:val="auto"/>
              </w:rPr>
            </w:pPr>
            <w:r>
              <w:rPr>
                <w:rFonts w:ascii="Arial" w:cs="Arial" w:eastAsia="Arial" w:hAnsi="Arial"/>
                <w:sz w:val="16"/>
                <w:szCs w:val="16"/>
                <w:color w:val="3B3C43"/>
              </w:rPr>
              <w:t>43,665</w:t>
            </w:r>
          </w:p>
        </w:tc>
        <w:tc>
          <w:tcPr>
            <w:tcW w:w="1800" w:type="dxa"/>
            <w:vAlign w:val="bottom"/>
          </w:tcPr>
          <w:p>
            <w:pPr>
              <w:jc w:val="right"/>
              <w:ind w:right="199"/>
              <w:spacing w:after="0"/>
              <w:rPr>
                <w:sz w:val="20"/>
                <w:szCs w:val="20"/>
                <w:color w:val="auto"/>
              </w:rPr>
            </w:pPr>
            <w:r>
              <w:rPr>
                <w:rFonts w:ascii="Arial" w:cs="Arial" w:eastAsia="Arial" w:hAnsi="Arial"/>
                <w:sz w:val="16"/>
                <w:szCs w:val="16"/>
                <w:color w:val="3B3C43"/>
              </w:rPr>
              <w:t>64,068</w:t>
            </w:r>
          </w:p>
        </w:tc>
        <w:tc>
          <w:tcPr>
            <w:tcW w:w="1920" w:type="dxa"/>
            <w:vAlign w:val="bottom"/>
          </w:tcPr>
          <w:p>
            <w:pPr>
              <w:jc w:val="right"/>
              <w:ind w:right="319"/>
              <w:spacing w:after="0"/>
              <w:rPr>
                <w:sz w:val="20"/>
                <w:szCs w:val="20"/>
                <w:color w:val="auto"/>
              </w:rPr>
            </w:pPr>
            <w:r>
              <w:rPr>
                <w:rFonts w:ascii="Arial" w:cs="Arial" w:eastAsia="Arial" w:hAnsi="Arial"/>
                <w:sz w:val="16"/>
                <w:szCs w:val="16"/>
                <w:color w:val="3B3C43"/>
              </w:rPr>
              <w:t>(25,234)</w:t>
            </w:r>
          </w:p>
        </w:tc>
        <w:tc>
          <w:tcPr>
            <w:tcW w:w="1680" w:type="dxa"/>
            <w:vAlign w:val="bottom"/>
          </w:tcPr>
          <w:p>
            <w:pPr>
              <w:jc w:val="right"/>
              <w:ind w:right="199"/>
              <w:spacing w:after="0"/>
              <w:rPr>
                <w:sz w:val="20"/>
                <w:szCs w:val="20"/>
                <w:color w:val="auto"/>
              </w:rPr>
            </w:pPr>
            <w:r>
              <w:rPr>
                <w:rFonts w:ascii="Arial" w:cs="Arial" w:eastAsia="Arial" w:hAnsi="Arial"/>
                <w:sz w:val="16"/>
                <w:szCs w:val="16"/>
                <w:color w:val="3B3C43"/>
              </w:rPr>
              <w:t>0</w:t>
            </w:r>
          </w:p>
        </w:tc>
        <w:tc>
          <w:tcPr>
            <w:tcW w:w="1540" w:type="dxa"/>
            <w:vAlign w:val="bottom"/>
          </w:tcPr>
          <w:p>
            <w:pPr>
              <w:jc w:val="right"/>
              <w:spacing w:after="0"/>
              <w:rPr>
                <w:sz w:val="20"/>
                <w:szCs w:val="20"/>
                <w:color w:val="auto"/>
              </w:rPr>
            </w:pPr>
            <w:r>
              <w:rPr>
                <w:rFonts w:ascii="Arial" w:cs="Arial" w:eastAsia="Arial" w:hAnsi="Arial"/>
                <w:sz w:val="16"/>
                <w:szCs w:val="16"/>
                <w:color w:val="3B3C43"/>
              </w:rPr>
              <w:t>795,140</w:t>
            </w:r>
          </w:p>
        </w:tc>
      </w:tr>
      <w:tr>
        <w:trPr>
          <w:trHeight w:val="47"/>
        </w:trPr>
        <w:tc>
          <w:tcPr>
            <w:tcW w:w="2220" w:type="dxa"/>
            <w:vAlign w:val="bottom"/>
            <w:tcBorders>
              <w:bottom w:val="single" w:sz="8" w:color="E1E2E0"/>
            </w:tcBorders>
          </w:tcPr>
          <w:p>
            <w:pPr>
              <w:spacing w:after="0"/>
              <w:rPr>
                <w:sz w:val="4"/>
                <w:szCs w:val="4"/>
                <w:color w:val="auto"/>
              </w:rPr>
            </w:pPr>
          </w:p>
        </w:tc>
        <w:tc>
          <w:tcPr>
            <w:tcW w:w="2060" w:type="dxa"/>
            <w:vAlign w:val="bottom"/>
            <w:tcBorders>
              <w:bottom w:val="single" w:sz="8" w:color="E1E2E0"/>
            </w:tcBorders>
          </w:tcPr>
          <w:p>
            <w:pPr>
              <w:spacing w:after="0"/>
              <w:rPr>
                <w:sz w:val="4"/>
                <w:szCs w:val="4"/>
                <w:color w:val="auto"/>
              </w:rPr>
            </w:pPr>
          </w:p>
        </w:tc>
        <w:tc>
          <w:tcPr>
            <w:tcW w:w="1800" w:type="dxa"/>
            <w:vAlign w:val="bottom"/>
            <w:tcBorders>
              <w:bottom w:val="single" w:sz="8" w:color="E1E2E0"/>
            </w:tcBorders>
          </w:tcPr>
          <w:p>
            <w:pPr>
              <w:spacing w:after="0"/>
              <w:rPr>
                <w:sz w:val="4"/>
                <w:szCs w:val="4"/>
                <w:color w:val="auto"/>
              </w:rPr>
            </w:pPr>
          </w:p>
        </w:tc>
        <w:tc>
          <w:tcPr>
            <w:tcW w:w="1920" w:type="dxa"/>
            <w:vAlign w:val="bottom"/>
            <w:tcBorders>
              <w:bottom w:val="single" w:sz="8" w:color="E1E2E0"/>
            </w:tcBorders>
          </w:tcPr>
          <w:p>
            <w:pPr>
              <w:spacing w:after="0"/>
              <w:rPr>
                <w:sz w:val="4"/>
                <w:szCs w:val="4"/>
                <w:color w:val="auto"/>
              </w:rPr>
            </w:pPr>
          </w:p>
        </w:tc>
        <w:tc>
          <w:tcPr>
            <w:tcW w:w="1680" w:type="dxa"/>
            <w:vAlign w:val="bottom"/>
            <w:tcBorders>
              <w:bottom w:val="single" w:sz="8" w:color="E1E2E0"/>
            </w:tcBorders>
          </w:tcPr>
          <w:p>
            <w:pPr>
              <w:spacing w:after="0"/>
              <w:rPr>
                <w:sz w:val="4"/>
                <w:szCs w:val="4"/>
                <w:color w:val="auto"/>
              </w:rPr>
            </w:pPr>
          </w:p>
        </w:tc>
        <w:tc>
          <w:tcPr>
            <w:tcW w:w="1540" w:type="dxa"/>
            <w:vAlign w:val="bottom"/>
            <w:tcBorders>
              <w:bottom w:val="single" w:sz="8" w:color="E1E2E0"/>
            </w:tcBorders>
          </w:tcPr>
          <w:p>
            <w:pPr>
              <w:spacing w:after="0"/>
              <w:rPr>
                <w:sz w:val="4"/>
                <w:szCs w:val="4"/>
                <w:color w:val="auto"/>
              </w:rPr>
            </w:pPr>
          </w:p>
        </w:tc>
      </w:tr>
    </w:tbl>
    <w:p>
      <w:pPr>
        <w:spacing w:after="0" w:line="167" w:lineRule="exact"/>
        <w:rPr>
          <w:sz w:val="20"/>
          <w:szCs w:val="20"/>
          <w:color w:val="auto"/>
        </w:rPr>
      </w:pPr>
    </w:p>
    <w:p>
      <w:pPr>
        <w:ind w:left="280" w:hanging="272"/>
        <w:spacing w:after="0"/>
        <w:tabs>
          <w:tab w:leader="none" w:pos="280" w:val="left"/>
        </w:tabs>
        <w:numPr>
          <w:ilvl w:val="0"/>
          <w:numId w:val="116"/>
        </w:numPr>
        <w:rPr>
          <w:rFonts w:ascii="Arial" w:cs="Arial" w:eastAsia="Arial" w:hAnsi="Arial"/>
          <w:sz w:val="14"/>
          <w:szCs w:val="14"/>
          <w:color w:val="3B3C43"/>
        </w:rPr>
      </w:pPr>
      <w:r>
        <w:rPr>
          <w:rFonts w:ascii="Arial" w:cs="Arial" w:eastAsia="Arial" w:hAnsi="Arial"/>
          <w:sz w:val="14"/>
          <w:szCs w:val="14"/>
          <w:color w:val="3B3C43"/>
        </w:rPr>
        <w:t>All amounts are included in Salary and Non-Equity Incentive Plan Compensation reported for the NEOs in the Summary Compensation Table.</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6"/>
        </w:numPr>
        <w:rPr>
          <w:rFonts w:ascii="Arial" w:cs="Arial" w:eastAsia="Arial" w:hAnsi="Arial"/>
          <w:sz w:val="14"/>
          <w:szCs w:val="14"/>
          <w:color w:val="3B3C43"/>
        </w:rPr>
      </w:pPr>
      <w:r>
        <w:rPr>
          <w:rFonts w:ascii="Arial" w:cs="Arial" w:eastAsia="Arial" w:hAnsi="Arial"/>
          <w:sz w:val="14"/>
          <w:szCs w:val="14"/>
          <w:color w:val="3B3C43"/>
        </w:rPr>
        <w:t>All contributions made by the Company for the NEOs are included in All Other Compensation for the NEOs in the Summary Compensation Table.</w:t>
      </w:r>
    </w:p>
    <w:p>
      <w:pPr>
        <w:spacing w:after="0" w:line="95" w:lineRule="exact"/>
        <w:rPr>
          <w:rFonts w:ascii="Arial" w:cs="Arial" w:eastAsia="Arial" w:hAnsi="Arial"/>
          <w:sz w:val="14"/>
          <w:szCs w:val="14"/>
          <w:color w:val="3B3C43"/>
        </w:rPr>
      </w:pPr>
    </w:p>
    <w:p>
      <w:pPr>
        <w:ind w:left="280" w:right="620" w:hanging="272"/>
        <w:spacing w:after="0" w:line="258" w:lineRule="auto"/>
        <w:tabs>
          <w:tab w:leader="none" w:pos="280" w:val="left"/>
        </w:tabs>
        <w:numPr>
          <w:ilvl w:val="0"/>
          <w:numId w:val="116"/>
        </w:numPr>
        <w:rPr>
          <w:rFonts w:ascii="Arial" w:cs="Arial" w:eastAsia="Arial" w:hAnsi="Arial"/>
          <w:sz w:val="14"/>
          <w:szCs w:val="14"/>
          <w:color w:val="3B3C43"/>
        </w:rPr>
      </w:pPr>
      <w:r>
        <w:rPr>
          <w:rFonts w:ascii="Arial" w:cs="Arial" w:eastAsia="Arial" w:hAnsi="Arial"/>
          <w:sz w:val="14"/>
          <w:szCs w:val="14"/>
          <w:color w:val="3B3C43"/>
        </w:rPr>
        <w:t>The total amount includes a contribution made on March 15, 2020 attributable to the 2019 plan year and excludes a contribution that was made on March 15, 2021 attributable to the 2020 plan year.</w:t>
      </w:r>
    </w:p>
    <w:p>
      <w:pPr>
        <w:spacing w:after="0" w:line="72" w:lineRule="exact"/>
        <w:rPr>
          <w:rFonts w:ascii="Arial" w:cs="Arial" w:eastAsia="Arial" w:hAnsi="Arial"/>
          <w:sz w:val="14"/>
          <w:szCs w:val="14"/>
          <w:color w:val="3B3C43"/>
        </w:rPr>
      </w:pPr>
    </w:p>
    <w:p>
      <w:pPr>
        <w:ind w:left="280" w:right="400" w:hanging="272"/>
        <w:spacing w:after="0" w:line="258" w:lineRule="auto"/>
        <w:tabs>
          <w:tab w:leader="none" w:pos="280" w:val="left"/>
        </w:tabs>
        <w:numPr>
          <w:ilvl w:val="0"/>
          <w:numId w:val="116"/>
        </w:numPr>
        <w:rPr>
          <w:rFonts w:ascii="Arial" w:cs="Arial" w:eastAsia="Arial" w:hAnsi="Arial"/>
          <w:sz w:val="14"/>
          <w:szCs w:val="14"/>
          <w:color w:val="3B3C43"/>
        </w:rPr>
      </w:pPr>
      <w:r>
        <w:rPr>
          <w:rFonts w:ascii="Arial" w:cs="Arial" w:eastAsia="Arial" w:hAnsi="Arial"/>
          <w:sz w:val="14"/>
          <w:szCs w:val="14"/>
          <w:color w:val="3B3C43"/>
        </w:rPr>
        <w:t>The following amounts have been reported in the Summary Compensation Table in previous years: Mr. Pferdehirt $1,393,500; Ms. Mannen $207,846; and Mr. Rounce $31,421.</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113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Potential Payments upon Termination</w:t>
      </w:r>
    </w:p>
    <w:p>
      <w:pPr>
        <w:spacing w:after="0" w:line="2"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3B3C43"/>
        </w:rPr>
        <w:t>The compensation and benefits payable to each of the NEOs in the event of a voluntary termination are the same as those available to all other salaried employees in those situations. Our NEOs receive additional compensation benefits either in the event of their death or disability, retirement, or involuntary not-for-cause termination as discussed in this section, or, alternatively, in the event of a change-in-control. Termination payments and change-in-control payments are mutually exclusive, and our NEOs are not entitled to receive both forms of payment.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Payments in the Event of Death, Disability, or Retirement</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3B3C43"/>
        </w:rPr>
        <w:t>In the event of the death or disability of an NEO during active employment with the Company, all outstanding equity awards vest on the first business day following death or disability. This death or disability benefit also exists for any of our employees who hold an unvested equity award at the time of their death or disability. In the event of an NEO’s retirement after reaching the age of 62, all outstanding equity awards are retained and vest in accordance with their pre-retirement, normal vesting schedule. Mr. Uccelletti was the only NEO who was eligible for retirement as of December 31, 2020.</w:t>
      </w:r>
    </w:p>
    <w:p>
      <w:pPr>
        <w:spacing w:after="0" w:line="175"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3B3C43"/>
        </w:rPr>
        <w:t>The following table shows the value to each of the NEOs if death or disability had occurred on December 31, 2020. Ms. MacGregor and Mr. Uccelletti are excluded because they left the Company prior to December 31, 2020.</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3B3C43"/>
        </w:rPr>
        <w:t>Executive Benefits and Payments in the Event of Death or Disability on December 31, 2020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B3C43"/>
        </w:rPr>
        <w:t>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121920</wp:posOffset>
            </wp:positionV>
            <wp:extent cx="8255" cy="548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54864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121920</wp:posOffset>
            </wp:positionV>
            <wp:extent cx="8255" cy="548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54864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121920</wp:posOffset>
            </wp:positionV>
            <wp:extent cx="8890" cy="548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121920</wp:posOffset>
            </wp:positionV>
            <wp:extent cx="8255" cy="548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54864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60" w:type="dxa"/>
            <w:vAlign w:val="bottom"/>
            <w:shd w:val="clear" w:color="auto" w:fill="4A1F67"/>
          </w:tcPr>
          <w:p>
            <w:pPr>
              <w:spacing w:after="0"/>
              <w:rPr>
                <w:sz w:val="19"/>
                <w:szCs w:val="19"/>
                <w:color w:val="auto"/>
              </w:rPr>
            </w:pPr>
          </w:p>
        </w:tc>
        <w:tc>
          <w:tcPr>
            <w:tcW w:w="2440" w:type="dxa"/>
            <w:vAlign w:val="bottom"/>
            <w:shd w:val="clear" w:color="auto" w:fill="4A1F67"/>
          </w:tcPr>
          <w:p>
            <w:pPr>
              <w:spacing w:after="0"/>
              <w:rPr>
                <w:sz w:val="19"/>
                <w:szCs w:val="19"/>
                <w:color w:val="auto"/>
              </w:rPr>
            </w:pPr>
          </w:p>
        </w:tc>
        <w:tc>
          <w:tcPr>
            <w:tcW w:w="2280" w:type="dxa"/>
            <w:vAlign w:val="bottom"/>
            <w:shd w:val="clear" w:color="auto" w:fill="4A1F67"/>
          </w:tcPr>
          <w:p>
            <w:pPr>
              <w:spacing w:after="0"/>
              <w:rPr>
                <w:sz w:val="19"/>
                <w:szCs w:val="19"/>
                <w:color w:val="auto"/>
              </w:rPr>
            </w:pPr>
          </w:p>
        </w:tc>
        <w:tc>
          <w:tcPr>
            <w:tcW w:w="2540" w:type="dxa"/>
            <w:vAlign w:val="bottom"/>
            <w:shd w:val="clear" w:color="auto" w:fill="4A1F67"/>
          </w:tcPr>
          <w:p>
            <w:pPr>
              <w:jc w:val="right"/>
              <w:ind w:right="579"/>
              <w:spacing w:after="0"/>
              <w:rPr>
                <w:sz w:val="20"/>
                <w:szCs w:val="20"/>
                <w:color w:val="auto"/>
              </w:rPr>
            </w:pPr>
            <w:r>
              <w:rPr>
                <w:rFonts w:ascii="Arial" w:cs="Arial" w:eastAsia="Arial" w:hAnsi="Arial"/>
                <w:sz w:val="16"/>
                <w:szCs w:val="16"/>
                <w:b w:val="1"/>
                <w:bCs w:val="1"/>
                <w:color w:val="FFFFFF"/>
              </w:rPr>
              <w:t>Time Vested</w:t>
            </w:r>
          </w:p>
        </w:tc>
        <w:tc>
          <w:tcPr>
            <w:tcW w:w="1520" w:type="dxa"/>
            <w:vAlign w:val="bottom"/>
            <w:shd w:val="clear" w:color="auto" w:fill="4A1F67"/>
          </w:tcPr>
          <w:p>
            <w:pPr>
              <w:spacing w:after="0"/>
              <w:rPr>
                <w:sz w:val="19"/>
                <w:szCs w:val="19"/>
                <w:color w:val="auto"/>
              </w:rPr>
            </w:pPr>
          </w:p>
        </w:tc>
      </w:tr>
      <w:tr>
        <w:trPr>
          <w:trHeight w:val="189"/>
        </w:trPr>
        <w:tc>
          <w:tcPr>
            <w:tcW w:w="2460" w:type="dxa"/>
            <w:vAlign w:val="bottom"/>
            <w:shd w:val="clear" w:color="auto" w:fill="4A1F67"/>
          </w:tcPr>
          <w:p>
            <w:pPr>
              <w:spacing w:after="0"/>
              <w:rPr>
                <w:sz w:val="16"/>
                <w:szCs w:val="16"/>
                <w:color w:val="auto"/>
              </w:rPr>
            </w:pPr>
          </w:p>
        </w:tc>
        <w:tc>
          <w:tcPr>
            <w:tcW w:w="2440" w:type="dxa"/>
            <w:vAlign w:val="bottom"/>
            <w:shd w:val="clear" w:color="auto" w:fill="4A1F67"/>
          </w:tcPr>
          <w:p>
            <w:pPr>
              <w:jc w:val="right"/>
              <w:ind w:right="239"/>
              <w:spacing w:after="0"/>
              <w:rPr>
                <w:sz w:val="20"/>
                <w:szCs w:val="20"/>
                <w:color w:val="auto"/>
              </w:rPr>
            </w:pPr>
            <w:r>
              <w:rPr>
                <w:rFonts w:ascii="Arial" w:cs="Arial" w:eastAsia="Arial" w:hAnsi="Arial"/>
                <w:sz w:val="16"/>
                <w:szCs w:val="16"/>
                <w:b w:val="1"/>
                <w:bCs w:val="1"/>
                <w:color w:val="FFFFFF"/>
              </w:rPr>
              <w:t>Performance</w:t>
            </w:r>
          </w:p>
        </w:tc>
        <w:tc>
          <w:tcPr>
            <w:tcW w:w="2280" w:type="dxa"/>
            <w:vAlign w:val="bottom"/>
            <w:shd w:val="clear" w:color="auto" w:fill="4A1F67"/>
          </w:tcPr>
          <w:p>
            <w:pPr>
              <w:spacing w:after="0"/>
              <w:rPr>
                <w:sz w:val="16"/>
                <w:szCs w:val="16"/>
                <w:color w:val="auto"/>
              </w:rPr>
            </w:pPr>
          </w:p>
        </w:tc>
        <w:tc>
          <w:tcPr>
            <w:tcW w:w="2540" w:type="dxa"/>
            <w:vAlign w:val="bottom"/>
            <w:shd w:val="clear" w:color="auto" w:fill="4A1F67"/>
          </w:tcPr>
          <w:p>
            <w:pPr>
              <w:jc w:val="right"/>
              <w:ind w:right="579"/>
              <w:spacing w:after="0"/>
              <w:rPr>
                <w:sz w:val="20"/>
                <w:szCs w:val="20"/>
                <w:color w:val="auto"/>
              </w:rPr>
            </w:pPr>
            <w:r>
              <w:rPr>
                <w:rFonts w:ascii="Arial" w:cs="Arial" w:eastAsia="Arial" w:hAnsi="Arial"/>
                <w:sz w:val="16"/>
                <w:szCs w:val="16"/>
                <w:b w:val="1"/>
                <w:bCs w:val="1"/>
                <w:color w:val="FFFFFF"/>
              </w:rPr>
              <w:t>Restricted Stock</w:t>
            </w:r>
          </w:p>
        </w:tc>
        <w:tc>
          <w:tcPr>
            <w:tcW w:w="1520" w:type="dxa"/>
            <w:vAlign w:val="bottom"/>
            <w:shd w:val="clear" w:color="auto" w:fill="4A1F67"/>
          </w:tcPr>
          <w:p>
            <w:pPr>
              <w:spacing w:after="0"/>
              <w:rPr>
                <w:sz w:val="16"/>
                <w:szCs w:val="16"/>
                <w:color w:val="auto"/>
              </w:rPr>
            </w:pPr>
          </w:p>
        </w:tc>
      </w:tr>
      <w:tr>
        <w:trPr>
          <w:trHeight w:val="177"/>
        </w:trPr>
        <w:tc>
          <w:tcPr>
            <w:tcW w:w="2460" w:type="dxa"/>
            <w:vAlign w:val="bottom"/>
            <w:shd w:val="clear" w:color="auto" w:fill="4A1F67"/>
          </w:tcPr>
          <w:p>
            <w:pPr>
              <w:spacing w:after="0"/>
              <w:rPr>
                <w:sz w:val="15"/>
                <w:szCs w:val="15"/>
                <w:color w:val="auto"/>
              </w:rPr>
            </w:pPr>
          </w:p>
        </w:tc>
        <w:tc>
          <w:tcPr>
            <w:tcW w:w="2440" w:type="dxa"/>
            <w:vAlign w:val="bottom"/>
            <w:shd w:val="clear" w:color="auto" w:fill="4A1F67"/>
          </w:tcPr>
          <w:p>
            <w:pPr>
              <w:jc w:val="right"/>
              <w:ind w:right="239"/>
              <w:spacing w:after="0" w:line="177" w:lineRule="exact"/>
              <w:rPr>
                <w:sz w:val="20"/>
                <w:szCs w:val="20"/>
                <w:color w:val="auto"/>
              </w:rPr>
            </w:pPr>
            <w:r>
              <w:rPr>
                <w:rFonts w:ascii="Arial" w:cs="Arial" w:eastAsia="Arial" w:hAnsi="Arial"/>
                <w:sz w:val="16"/>
                <w:szCs w:val="16"/>
                <w:b w:val="1"/>
                <w:bCs w:val="1"/>
                <w:color w:val="FFFFFF"/>
              </w:rPr>
              <w:t>Based Restricted</w:t>
            </w:r>
          </w:p>
        </w:tc>
        <w:tc>
          <w:tcPr>
            <w:tcW w:w="2280" w:type="dxa"/>
            <w:vAlign w:val="bottom"/>
            <w:shd w:val="clear" w:color="auto" w:fill="4A1F67"/>
          </w:tcPr>
          <w:p>
            <w:pPr>
              <w:jc w:val="right"/>
              <w:ind w:right="279"/>
              <w:spacing w:after="0" w:line="177" w:lineRule="exact"/>
              <w:rPr>
                <w:sz w:val="20"/>
                <w:szCs w:val="20"/>
                <w:color w:val="auto"/>
              </w:rPr>
            </w:pPr>
            <w:r>
              <w:rPr>
                <w:rFonts w:ascii="Arial" w:cs="Arial" w:eastAsia="Arial" w:hAnsi="Arial"/>
                <w:sz w:val="16"/>
                <w:szCs w:val="16"/>
                <w:b w:val="1"/>
                <w:bCs w:val="1"/>
                <w:color w:val="FFFFFF"/>
              </w:rPr>
              <w:t>Stock Options/SARs</w:t>
            </w:r>
          </w:p>
        </w:tc>
        <w:tc>
          <w:tcPr>
            <w:tcW w:w="2540" w:type="dxa"/>
            <w:vAlign w:val="bottom"/>
            <w:shd w:val="clear" w:color="auto" w:fill="4A1F67"/>
          </w:tcPr>
          <w:p>
            <w:pPr>
              <w:jc w:val="right"/>
              <w:ind w:right="579"/>
              <w:spacing w:after="0" w:line="177" w:lineRule="exact"/>
              <w:rPr>
                <w:sz w:val="20"/>
                <w:szCs w:val="20"/>
                <w:color w:val="auto"/>
              </w:rPr>
            </w:pPr>
            <w:r>
              <w:rPr>
                <w:rFonts w:ascii="Arial" w:cs="Arial" w:eastAsia="Arial" w:hAnsi="Arial"/>
                <w:sz w:val="16"/>
                <w:szCs w:val="16"/>
                <w:b w:val="1"/>
                <w:bCs w:val="1"/>
                <w:color w:val="FFFFFF"/>
              </w:rPr>
              <w:t>Units Unvested and</w:t>
            </w:r>
          </w:p>
        </w:tc>
        <w:tc>
          <w:tcPr>
            <w:tcW w:w="1520" w:type="dxa"/>
            <w:vAlign w:val="bottom"/>
            <w:shd w:val="clear" w:color="auto" w:fill="4A1F67"/>
          </w:tcPr>
          <w:p>
            <w:pPr>
              <w:spacing w:after="0"/>
              <w:rPr>
                <w:sz w:val="15"/>
                <w:szCs w:val="15"/>
                <w:color w:val="auto"/>
              </w:rPr>
            </w:pPr>
          </w:p>
        </w:tc>
      </w:tr>
      <w:tr>
        <w:trPr>
          <w:trHeight w:val="273"/>
        </w:trPr>
        <w:tc>
          <w:tcPr>
            <w:tcW w:w="2460" w:type="dxa"/>
            <w:vAlign w:val="bottom"/>
            <w:shd w:val="clear" w:color="auto" w:fill="4A1F67"/>
          </w:tcPr>
          <w:p>
            <w:pPr>
              <w:ind w:left="60"/>
              <w:spacing w:after="0"/>
              <w:rPr>
                <w:sz w:val="20"/>
                <w:szCs w:val="20"/>
                <w:color w:val="auto"/>
              </w:rPr>
            </w:pPr>
            <w:r>
              <w:rPr>
                <w:rFonts w:ascii="Arial" w:cs="Arial" w:eastAsia="Arial" w:hAnsi="Arial"/>
                <w:sz w:val="16"/>
                <w:szCs w:val="16"/>
                <w:b w:val="1"/>
                <w:bCs w:val="1"/>
                <w:color w:val="FFFFFF"/>
              </w:rPr>
              <w:t>Name</w:t>
            </w:r>
          </w:p>
        </w:tc>
        <w:tc>
          <w:tcPr>
            <w:tcW w:w="2440" w:type="dxa"/>
            <w:vAlign w:val="bottom"/>
            <w:shd w:val="clear" w:color="auto" w:fill="4A1F67"/>
          </w:tcPr>
          <w:p>
            <w:pPr>
              <w:jc w:val="right"/>
              <w:ind w:right="239"/>
              <w:spacing w:after="0" w:line="273" w:lineRule="exact"/>
              <w:rPr>
                <w:sz w:val="20"/>
                <w:szCs w:val="20"/>
                <w:color w:val="auto"/>
              </w:rPr>
            </w:pPr>
            <w:r>
              <w:rPr>
                <w:rFonts w:ascii="Arial" w:cs="Arial" w:eastAsia="Arial" w:hAnsi="Arial"/>
                <w:sz w:val="16"/>
                <w:szCs w:val="16"/>
                <w:b w:val="1"/>
                <w:bCs w:val="1"/>
                <w:color w:val="FFFFFF"/>
              </w:rPr>
              <w:t>Stock Units ($)</w:t>
            </w:r>
            <w:r>
              <w:rPr>
                <w:rFonts w:ascii="Arial" w:cs="Arial" w:eastAsia="Arial" w:hAnsi="Arial"/>
                <w:sz w:val="26"/>
                <w:szCs w:val="26"/>
                <w:b w:val="1"/>
                <w:bCs w:val="1"/>
                <w:color w:val="FFFFFF"/>
                <w:vertAlign w:val="superscript"/>
              </w:rPr>
              <w:t>1</w:t>
            </w:r>
          </w:p>
        </w:tc>
        <w:tc>
          <w:tcPr>
            <w:tcW w:w="2280" w:type="dxa"/>
            <w:vAlign w:val="bottom"/>
            <w:shd w:val="clear" w:color="auto" w:fill="4A1F67"/>
          </w:tcPr>
          <w:p>
            <w:pPr>
              <w:jc w:val="right"/>
              <w:ind w:right="279"/>
              <w:spacing w:after="0" w:line="273"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2</w:t>
            </w:r>
          </w:p>
        </w:tc>
        <w:tc>
          <w:tcPr>
            <w:tcW w:w="2540" w:type="dxa"/>
            <w:vAlign w:val="bottom"/>
            <w:shd w:val="clear" w:color="auto" w:fill="4A1F67"/>
          </w:tcPr>
          <w:p>
            <w:pPr>
              <w:jc w:val="right"/>
              <w:ind w:right="579"/>
              <w:spacing w:after="0"/>
              <w:rPr>
                <w:sz w:val="20"/>
                <w:szCs w:val="20"/>
                <w:color w:val="auto"/>
              </w:rPr>
            </w:pPr>
            <w:r>
              <w:rPr>
                <w:rFonts w:ascii="Arial" w:cs="Arial" w:eastAsia="Arial" w:hAnsi="Arial"/>
                <w:sz w:val="16"/>
                <w:szCs w:val="16"/>
                <w:b w:val="1"/>
                <w:bCs w:val="1"/>
                <w:color w:val="FFFFFF"/>
              </w:rPr>
              <w:t>Accelerated ($)</w:t>
            </w:r>
          </w:p>
        </w:tc>
        <w:tc>
          <w:tcPr>
            <w:tcW w:w="152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Total ($)</w:t>
            </w:r>
          </w:p>
        </w:tc>
      </w:tr>
      <w:tr>
        <w:trPr>
          <w:trHeight w:val="251"/>
        </w:trPr>
        <w:tc>
          <w:tcPr>
            <w:tcW w:w="2460" w:type="dxa"/>
            <w:vAlign w:val="bottom"/>
          </w:tcPr>
          <w:p>
            <w:pPr>
              <w:ind w:left="60"/>
              <w:spacing w:after="0"/>
              <w:rPr>
                <w:sz w:val="20"/>
                <w:szCs w:val="20"/>
                <w:color w:val="auto"/>
              </w:rPr>
            </w:pPr>
            <w:r>
              <w:rPr>
                <w:rFonts w:ascii="Arial" w:cs="Arial" w:eastAsia="Arial" w:hAnsi="Arial"/>
                <w:sz w:val="16"/>
                <w:szCs w:val="16"/>
                <w:b w:val="1"/>
                <w:bCs w:val="1"/>
                <w:color w:val="3B3C43"/>
              </w:rPr>
              <w:t>Douglas J. Pferdehirt</w:t>
            </w:r>
          </w:p>
        </w:tc>
        <w:tc>
          <w:tcPr>
            <w:tcW w:w="2440" w:type="dxa"/>
            <w:vAlign w:val="bottom"/>
          </w:tcPr>
          <w:p>
            <w:pPr>
              <w:jc w:val="right"/>
              <w:ind w:right="239"/>
              <w:spacing w:after="0"/>
              <w:rPr>
                <w:sz w:val="20"/>
                <w:szCs w:val="20"/>
                <w:color w:val="auto"/>
              </w:rPr>
            </w:pPr>
            <w:r>
              <w:rPr>
                <w:rFonts w:ascii="Arial" w:cs="Arial" w:eastAsia="Arial" w:hAnsi="Arial"/>
                <w:sz w:val="16"/>
                <w:szCs w:val="16"/>
                <w:color w:val="3B3C43"/>
              </w:rPr>
              <w:t>11,097,424</w:t>
            </w:r>
          </w:p>
        </w:tc>
        <w:tc>
          <w:tcPr>
            <w:tcW w:w="2280" w:type="dxa"/>
            <w:vAlign w:val="bottom"/>
          </w:tcPr>
          <w:p>
            <w:pPr>
              <w:jc w:val="right"/>
              <w:ind w:right="279"/>
              <w:spacing w:after="0"/>
              <w:rPr>
                <w:sz w:val="20"/>
                <w:szCs w:val="20"/>
                <w:color w:val="auto"/>
              </w:rPr>
            </w:pPr>
            <w:r>
              <w:rPr>
                <w:rFonts w:ascii="Arial" w:cs="Arial" w:eastAsia="Arial" w:hAnsi="Arial"/>
                <w:sz w:val="16"/>
                <w:szCs w:val="16"/>
                <w:color w:val="3B3C43"/>
              </w:rPr>
              <w:t>$0</w:t>
            </w:r>
          </w:p>
        </w:tc>
        <w:tc>
          <w:tcPr>
            <w:tcW w:w="2540" w:type="dxa"/>
            <w:vAlign w:val="bottom"/>
          </w:tcPr>
          <w:p>
            <w:pPr>
              <w:jc w:val="right"/>
              <w:ind w:right="579"/>
              <w:spacing w:after="0"/>
              <w:rPr>
                <w:sz w:val="20"/>
                <w:szCs w:val="20"/>
                <w:color w:val="auto"/>
              </w:rPr>
            </w:pPr>
            <w:r>
              <w:rPr>
                <w:rFonts w:ascii="Arial" w:cs="Arial" w:eastAsia="Arial" w:hAnsi="Arial"/>
                <w:sz w:val="16"/>
                <w:szCs w:val="16"/>
                <w:color w:val="3B3C43"/>
              </w:rPr>
              <w:t>4,353,460</w:t>
            </w:r>
          </w:p>
        </w:tc>
        <w:tc>
          <w:tcPr>
            <w:tcW w:w="1520" w:type="dxa"/>
            <w:vAlign w:val="bottom"/>
          </w:tcPr>
          <w:p>
            <w:pPr>
              <w:jc w:val="right"/>
              <w:spacing w:after="0"/>
              <w:rPr>
                <w:sz w:val="20"/>
                <w:szCs w:val="20"/>
                <w:color w:val="auto"/>
              </w:rPr>
            </w:pPr>
            <w:r>
              <w:rPr>
                <w:rFonts w:ascii="Arial" w:cs="Arial" w:eastAsia="Arial" w:hAnsi="Arial"/>
                <w:sz w:val="16"/>
                <w:szCs w:val="16"/>
                <w:color w:val="3B3C43"/>
              </w:rPr>
              <w:t>15,450,884</w:t>
            </w:r>
          </w:p>
        </w:tc>
      </w:tr>
      <w:tr>
        <w:trPr>
          <w:trHeight w:val="46"/>
        </w:trPr>
        <w:tc>
          <w:tcPr>
            <w:tcW w:w="2460" w:type="dxa"/>
            <w:vAlign w:val="bottom"/>
            <w:tcBorders>
              <w:bottom w:val="single" w:sz="8" w:color="E1E2E0"/>
            </w:tcBorders>
          </w:tcPr>
          <w:p>
            <w:pPr>
              <w:spacing w:after="0"/>
              <w:rPr>
                <w:sz w:val="4"/>
                <w:szCs w:val="4"/>
                <w:color w:val="auto"/>
              </w:rPr>
            </w:pPr>
          </w:p>
        </w:tc>
        <w:tc>
          <w:tcPr>
            <w:tcW w:w="244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2540" w:type="dxa"/>
            <w:vAlign w:val="bottom"/>
            <w:tcBorders>
              <w:bottom w:val="single" w:sz="8" w:color="E1E2E0"/>
            </w:tcBorders>
          </w:tcPr>
          <w:p>
            <w:pPr>
              <w:spacing w:after="0"/>
              <w:rPr>
                <w:sz w:val="4"/>
                <w:szCs w:val="4"/>
                <w:color w:val="auto"/>
              </w:rPr>
            </w:pPr>
          </w:p>
        </w:tc>
        <w:tc>
          <w:tcPr>
            <w:tcW w:w="1520" w:type="dxa"/>
            <w:vAlign w:val="bottom"/>
            <w:tcBorders>
              <w:bottom w:val="single" w:sz="8" w:color="E1E2E0"/>
            </w:tcBorders>
          </w:tcPr>
          <w:p>
            <w:pPr>
              <w:spacing w:after="0"/>
              <w:rPr>
                <w:sz w:val="4"/>
                <w:szCs w:val="4"/>
                <w:color w:val="auto"/>
              </w:rPr>
            </w:pPr>
          </w:p>
        </w:tc>
      </w:tr>
      <w:tr>
        <w:trPr>
          <w:trHeight w:val="244"/>
        </w:trPr>
        <w:tc>
          <w:tcPr>
            <w:tcW w:w="2460" w:type="dxa"/>
            <w:vAlign w:val="bottom"/>
          </w:tcPr>
          <w:p>
            <w:pPr>
              <w:ind w:left="60"/>
              <w:spacing w:after="0"/>
              <w:rPr>
                <w:sz w:val="20"/>
                <w:szCs w:val="20"/>
                <w:color w:val="auto"/>
              </w:rPr>
            </w:pPr>
            <w:r>
              <w:rPr>
                <w:rFonts w:ascii="Arial" w:cs="Arial" w:eastAsia="Arial" w:hAnsi="Arial"/>
                <w:sz w:val="16"/>
                <w:szCs w:val="16"/>
                <w:b w:val="1"/>
                <w:bCs w:val="1"/>
                <w:color w:val="3B3C43"/>
              </w:rPr>
              <w:t>Maryann T. Mannen</w:t>
            </w:r>
          </w:p>
        </w:tc>
        <w:tc>
          <w:tcPr>
            <w:tcW w:w="2440" w:type="dxa"/>
            <w:vAlign w:val="bottom"/>
          </w:tcPr>
          <w:p>
            <w:pPr>
              <w:jc w:val="right"/>
              <w:ind w:right="239"/>
              <w:spacing w:after="0"/>
              <w:rPr>
                <w:sz w:val="20"/>
                <w:szCs w:val="20"/>
                <w:color w:val="auto"/>
              </w:rPr>
            </w:pPr>
            <w:r>
              <w:rPr>
                <w:rFonts w:ascii="Arial" w:cs="Arial" w:eastAsia="Arial" w:hAnsi="Arial"/>
                <w:sz w:val="16"/>
                <w:szCs w:val="16"/>
                <w:color w:val="3B3C43"/>
              </w:rPr>
              <w:t>3,606,075</w:t>
            </w:r>
          </w:p>
        </w:tc>
        <w:tc>
          <w:tcPr>
            <w:tcW w:w="2280" w:type="dxa"/>
            <w:vAlign w:val="bottom"/>
          </w:tcPr>
          <w:p>
            <w:pPr>
              <w:jc w:val="right"/>
              <w:ind w:right="279"/>
              <w:spacing w:after="0"/>
              <w:rPr>
                <w:sz w:val="20"/>
                <w:szCs w:val="20"/>
                <w:color w:val="auto"/>
              </w:rPr>
            </w:pPr>
            <w:r>
              <w:rPr>
                <w:rFonts w:ascii="Arial" w:cs="Arial" w:eastAsia="Arial" w:hAnsi="Arial"/>
                <w:sz w:val="16"/>
                <w:szCs w:val="16"/>
                <w:color w:val="3B3C43"/>
              </w:rPr>
              <w:t>$0</w:t>
            </w:r>
          </w:p>
        </w:tc>
        <w:tc>
          <w:tcPr>
            <w:tcW w:w="2540" w:type="dxa"/>
            <w:vAlign w:val="bottom"/>
          </w:tcPr>
          <w:p>
            <w:pPr>
              <w:jc w:val="right"/>
              <w:ind w:right="579"/>
              <w:spacing w:after="0"/>
              <w:rPr>
                <w:sz w:val="20"/>
                <w:szCs w:val="20"/>
                <w:color w:val="auto"/>
              </w:rPr>
            </w:pPr>
            <w:r>
              <w:rPr>
                <w:rFonts w:ascii="Arial" w:cs="Arial" w:eastAsia="Arial" w:hAnsi="Arial"/>
                <w:sz w:val="16"/>
                <w:szCs w:val="16"/>
                <w:color w:val="3B3C43"/>
              </w:rPr>
              <w:t>1,411,128</w:t>
            </w:r>
          </w:p>
        </w:tc>
        <w:tc>
          <w:tcPr>
            <w:tcW w:w="1520" w:type="dxa"/>
            <w:vAlign w:val="bottom"/>
          </w:tcPr>
          <w:p>
            <w:pPr>
              <w:jc w:val="right"/>
              <w:spacing w:after="0"/>
              <w:rPr>
                <w:sz w:val="20"/>
                <w:szCs w:val="20"/>
                <w:color w:val="auto"/>
              </w:rPr>
            </w:pPr>
            <w:r>
              <w:rPr>
                <w:rFonts w:ascii="Arial" w:cs="Arial" w:eastAsia="Arial" w:hAnsi="Arial"/>
                <w:sz w:val="16"/>
                <w:szCs w:val="16"/>
                <w:color w:val="3B3C43"/>
              </w:rPr>
              <w:t>5,017,203</w:t>
            </w:r>
          </w:p>
        </w:tc>
      </w:tr>
      <w:tr>
        <w:trPr>
          <w:trHeight w:val="47"/>
        </w:trPr>
        <w:tc>
          <w:tcPr>
            <w:tcW w:w="2460" w:type="dxa"/>
            <w:vAlign w:val="bottom"/>
            <w:tcBorders>
              <w:bottom w:val="single" w:sz="8" w:color="E1E2E0"/>
            </w:tcBorders>
          </w:tcPr>
          <w:p>
            <w:pPr>
              <w:spacing w:after="0"/>
              <w:rPr>
                <w:sz w:val="4"/>
                <w:szCs w:val="4"/>
                <w:color w:val="auto"/>
              </w:rPr>
            </w:pPr>
          </w:p>
        </w:tc>
        <w:tc>
          <w:tcPr>
            <w:tcW w:w="244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2540" w:type="dxa"/>
            <w:vAlign w:val="bottom"/>
            <w:tcBorders>
              <w:bottom w:val="single" w:sz="8" w:color="E1E2E0"/>
            </w:tcBorders>
          </w:tcPr>
          <w:p>
            <w:pPr>
              <w:spacing w:after="0"/>
              <w:rPr>
                <w:sz w:val="4"/>
                <w:szCs w:val="4"/>
                <w:color w:val="auto"/>
              </w:rPr>
            </w:pPr>
          </w:p>
        </w:tc>
        <w:tc>
          <w:tcPr>
            <w:tcW w:w="1520" w:type="dxa"/>
            <w:vAlign w:val="bottom"/>
            <w:tcBorders>
              <w:bottom w:val="single" w:sz="8" w:color="E1E2E0"/>
            </w:tcBorders>
          </w:tcPr>
          <w:p>
            <w:pPr>
              <w:spacing w:after="0"/>
              <w:rPr>
                <w:sz w:val="4"/>
                <w:szCs w:val="4"/>
                <w:color w:val="auto"/>
              </w:rPr>
            </w:pPr>
          </w:p>
        </w:tc>
      </w:tr>
      <w:tr>
        <w:trPr>
          <w:trHeight w:val="244"/>
        </w:trPr>
        <w:tc>
          <w:tcPr>
            <w:tcW w:w="2460" w:type="dxa"/>
            <w:vAlign w:val="bottom"/>
          </w:tcPr>
          <w:p>
            <w:pPr>
              <w:ind w:left="60"/>
              <w:spacing w:after="0"/>
              <w:rPr>
                <w:sz w:val="20"/>
                <w:szCs w:val="20"/>
                <w:color w:val="auto"/>
              </w:rPr>
            </w:pPr>
            <w:r>
              <w:rPr>
                <w:rFonts w:ascii="Arial" w:cs="Arial" w:eastAsia="Arial" w:hAnsi="Arial"/>
                <w:sz w:val="16"/>
                <w:szCs w:val="16"/>
                <w:b w:val="1"/>
                <w:bCs w:val="1"/>
                <w:color w:val="3B3C43"/>
              </w:rPr>
              <w:t>Justin Rounce</w:t>
            </w:r>
          </w:p>
        </w:tc>
        <w:tc>
          <w:tcPr>
            <w:tcW w:w="2440" w:type="dxa"/>
            <w:vAlign w:val="bottom"/>
          </w:tcPr>
          <w:p>
            <w:pPr>
              <w:jc w:val="right"/>
              <w:ind w:right="239"/>
              <w:spacing w:after="0"/>
              <w:rPr>
                <w:sz w:val="20"/>
                <w:szCs w:val="20"/>
                <w:color w:val="auto"/>
              </w:rPr>
            </w:pPr>
            <w:r>
              <w:rPr>
                <w:rFonts w:ascii="Arial" w:cs="Arial" w:eastAsia="Arial" w:hAnsi="Arial"/>
                <w:sz w:val="16"/>
                <w:szCs w:val="16"/>
                <w:color w:val="3B3C43"/>
              </w:rPr>
              <w:t>1,758,796</w:t>
            </w:r>
          </w:p>
        </w:tc>
        <w:tc>
          <w:tcPr>
            <w:tcW w:w="2280" w:type="dxa"/>
            <w:vAlign w:val="bottom"/>
          </w:tcPr>
          <w:p>
            <w:pPr>
              <w:jc w:val="right"/>
              <w:ind w:right="279"/>
              <w:spacing w:after="0"/>
              <w:rPr>
                <w:sz w:val="20"/>
                <w:szCs w:val="20"/>
                <w:color w:val="auto"/>
              </w:rPr>
            </w:pPr>
            <w:r>
              <w:rPr>
                <w:rFonts w:ascii="Arial" w:cs="Arial" w:eastAsia="Arial" w:hAnsi="Arial"/>
                <w:sz w:val="16"/>
                <w:szCs w:val="16"/>
                <w:color w:val="3B3C43"/>
              </w:rPr>
              <w:t>$0</w:t>
            </w:r>
          </w:p>
        </w:tc>
        <w:tc>
          <w:tcPr>
            <w:tcW w:w="2540" w:type="dxa"/>
            <w:vAlign w:val="bottom"/>
          </w:tcPr>
          <w:p>
            <w:pPr>
              <w:jc w:val="right"/>
              <w:ind w:right="579"/>
              <w:spacing w:after="0"/>
              <w:rPr>
                <w:sz w:val="20"/>
                <w:szCs w:val="20"/>
                <w:color w:val="auto"/>
              </w:rPr>
            </w:pPr>
            <w:r>
              <w:rPr>
                <w:rFonts w:ascii="Arial" w:cs="Arial" w:eastAsia="Arial" w:hAnsi="Arial"/>
                <w:sz w:val="16"/>
                <w:szCs w:val="16"/>
                <w:color w:val="3B3C43"/>
              </w:rPr>
              <w:t>707,688</w:t>
            </w:r>
          </w:p>
        </w:tc>
        <w:tc>
          <w:tcPr>
            <w:tcW w:w="1520" w:type="dxa"/>
            <w:vAlign w:val="bottom"/>
          </w:tcPr>
          <w:p>
            <w:pPr>
              <w:jc w:val="right"/>
              <w:spacing w:after="0"/>
              <w:rPr>
                <w:sz w:val="20"/>
                <w:szCs w:val="20"/>
                <w:color w:val="auto"/>
              </w:rPr>
            </w:pPr>
            <w:r>
              <w:rPr>
                <w:rFonts w:ascii="Arial" w:cs="Arial" w:eastAsia="Arial" w:hAnsi="Arial"/>
                <w:sz w:val="16"/>
                <w:szCs w:val="16"/>
                <w:color w:val="3B3C43"/>
              </w:rPr>
              <w:t>2,466,484</w:t>
            </w:r>
          </w:p>
        </w:tc>
      </w:tr>
      <w:tr>
        <w:trPr>
          <w:trHeight w:val="46"/>
        </w:trPr>
        <w:tc>
          <w:tcPr>
            <w:tcW w:w="2460" w:type="dxa"/>
            <w:vAlign w:val="bottom"/>
            <w:tcBorders>
              <w:bottom w:val="single" w:sz="8" w:color="E1E2E0"/>
            </w:tcBorders>
          </w:tcPr>
          <w:p>
            <w:pPr>
              <w:spacing w:after="0"/>
              <w:rPr>
                <w:sz w:val="4"/>
                <w:szCs w:val="4"/>
                <w:color w:val="auto"/>
              </w:rPr>
            </w:pPr>
          </w:p>
        </w:tc>
        <w:tc>
          <w:tcPr>
            <w:tcW w:w="244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2540" w:type="dxa"/>
            <w:vAlign w:val="bottom"/>
            <w:tcBorders>
              <w:bottom w:val="single" w:sz="8" w:color="E1E2E0"/>
            </w:tcBorders>
          </w:tcPr>
          <w:p>
            <w:pPr>
              <w:spacing w:after="0"/>
              <w:rPr>
                <w:sz w:val="4"/>
                <w:szCs w:val="4"/>
                <w:color w:val="auto"/>
              </w:rPr>
            </w:pPr>
          </w:p>
        </w:tc>
        <w:tc>
          <w:tcPr>
            <w:tcW w:w="1520" w:type="dxa"/>
            <w:vAlign w:val="bottom"/>
            <w:tcBorders>
              <w:bottom w:val="single" w:sz="8" w:color="E1E2E0"/>
            </w:tcBorders>
          </w:tcPr>
          <w:p>
            <w:pPr>
              <w:spacing w:after="0"/>
              <w:rPr>
                <w:sz w:val="4"/>
                <w:szCs w:val="4"/>
                <w:color w:val="auto"/>
              </w:rPr>
            </w:pPr>
          </w:p>
        </w:tc>
      </w:tr>
      <w:tr>
        <w:trPr>
          <w:trHeight w:val="244"/>
        </w:trPr>
        <w:tc>
          <w:tcPr>
            <w:tcW w:w="2460" w:type="dxa"/>
            <w:vAlign w:val="bottom"/>
          </w:tcPr>
          <w:p>
            <w:pPr>
              <w:ind w:left="60"/>
              <w:spacing w:after="0"/>
              <w:rPr>
                <w:sz w:val="20"/>
                <w:szCs w:val="20"/>
                <w:color w:val="auto"/>
              </w:rPr>
            </w:pPr>
            <w:r>
              <w:rPr>
                <w:rFonts w:ascii="Arial" w:cs="Arial" w:eastAsia="Arial" w:hAnsi="Arial"/>
                <w:sz w:val="16"/>
                <w:szCs w:val="16"/>
                <w:b w:val="1"/>
                <w:bCs w:val="1"/>
                <w:color w:val="3B3C43"/>
              </w:rPr>
              <w:t>Arnaud Pieton</w:t>
            </w:r>
          </w:p>
        </w:tc>
        <w:tc>
          <w:tcPr>
            <w:tcW w:w="2440" w:type="dxa"/>
            <w:vAlign w:val="bottom"/>
          </w:tcPr>
          <w:p>
            <w:pPr>
              <w:jc w:val="right"/>
              <w:ind w:right="239"/>
              <w:spacing w:after="0"/>
              <w:rPr>
                <w:sz w:val="20"/>
                <w:szCs w:val="20"/>
                <w:color w:val="auto"/>
              </w:rPr>
            </w:pPr>
            <w:r>
              <w:rPr>
                <w:rFonts w:ascii="Arial" w:cs="Arial" w:eastAsia="Arial" w:hAnsi="Arial"/>
                <w:sz w:val="16"/>
                <w:szCs w:val="16"/>
                <w:color w:val="3B3C43"/>
              </w:rPr>
              <w:t>1,437,758</w:t>
            </w:r>
          </w:p>
        </w:tc>
        <w:tc>
          <w:tcPr>
            <w:tcW w:w="2280" w:type="dxa"/>
            <w:vAlign w:val="bottom"/>
          </w:tcPr>
          <w:p>
            <w:pPr>
              <w:jc w:val="right"/>
              <w:ind w:right="279"/>
              <w:spacing w:after="0"/>
              <w:rPr>
                <w:sz w:val="20"/>
                <w:szCs w:val="20"/>
                <w:color w:val="auto"/>
              </w:rPr>
            </w:pPr>
            <w:r>
              <w:rPr>
                <w:rFonts w:ascii="Arial" w:cs="Arial" w:eastAsia="Arial" w:hAnsi="Arial"/>
                <w:sz w:val="16"/>
                <w:szCs w:val="16"/>
                <w:color w:val="3B3C43"/>
              </w:rPr>
              <w:t>$0</w:t>
            </w:r>
          </w:p>
        </w:tc>
        <w:tc>
          <w:tcPr>
            <w:tcW w:w="2540" w:type="dxa"/>
            <w:vAlign w:val="bottom"/>
          </w:tcPr>
          <w:p>
            <w:pPr>
              <w:jc w:val="right"/>
              <w:ind w:right="579"/>
              <w:spacing w:after="0"/>
              <w:rPr>
                <w:sz w:val="20"/>
                <w:szCs w:val="20"/>
                <w:color w:val="auto"/>
              </w:rPr>
            </w:pPr>
            <w:r>
              <w:rPr>
                <w:rFonts w:ascii="Arial" w:cs="Arial" w:eastAsia="Arial" w:hAnsi="Arial"/>
                <w:sz w:val="16"/>
                <w:szCs w:val="16"/>
                <w:color w:val="3B3C43"/>
              </w:rPr>
              <w:t>566,933</w:t>
            </w:r>
          </w:p>
        </w:tc>
        <w:tc>
          <w:tcPr>
            <w:tcW w:w="1520" w:type="dxa"/>
            <w:vAlign w:val="bottom"/>
          </w:tcPr>
          <w:p>
            <w:pPr>
              <w:jc w:val="right"/>
              <w:spacing w:after="0"/>
              <w:rPr>
                <w:sz w:val="20"/>
                <w:szCs w:val="20"/>
                <w:color w:val="auto"/>
              </w:rPr>
            </w:pPr>
            <w:r>
              <w:rPr>
                <w:rFonts w:ascii="Arial" w:cs="Arial" w:eastAsia="Arial" w:hAnsi="Arial"/>
                <w:sz w:val="16"/>
                <w:szCs w:val="16"/>
                <w:color w:val="3B3C43"/>
              </w:rPr>
              <w:t>2,004,691</w:t>
            </w:r>
          </w:p>
        </w:tc>
      </w:tr>
      <w:tr>
        <w:trPr>
          <w:trHeight w:val="47"/>
        </w:trPr>
        <w:tc>
          <w:tcPr>
            <w:tcW w:w="2460" w:type="dxa"/>
            <w:vAlign w:val="bottom"/>
            <w:tcBorders>
              <w:bottom w:val="single" w:sz="8" w:color="E1E2E0"/>
            </w:tcBorders>
          </w:tcPr>
          <w:p>
            <w:pPr>
              <w:spacing w:after="0"/>
              <w:rPr>
                <w:sz w:val="4"/>
                <w:szCs w:val="4"/>
                <w:color w:val="auto"/>
              </w:rPr>
            </w:pPr>
          </w:p>
        </w:tc>
        <w:tc>
          <w:tcPr>
            <w:tcW w:w="244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2540" w:type="dxa"/>
            <w:vAlign w:val="bottom"/>
            <w:tcBorders>
              <w:bottom w:val="single" w:sz="8" w:color="E1E2E0"/>
            </w:tcBorders>
          </w:tcPr>
          <w:p>
            <w:pPr>
              <w:spacing w:after="0"/>
              <w:rPr>
                <w:sz w:val="4"/>
                <w:szCs w:val="4"/>
                <w:color w:val="auto"/>
              </w:rPr>
            </w:pPr>
          </w:p>
        </w:tc>
        <w:tc>
          <w:tcPr>
            <w:tcW w:w="1520" w:type="dxa"/>
            <w:vAlign w:val="bottom"/>
            <w:tcBorders>
              <w:bottom w:val="single" w:sz="8" w:color="E1E2E0"/>
            </w:tcBorders>
          </w:tcPr>
          <w:p>
            <w:pPr>
              <w:spacing w:after="0"/>
              <w:rPr>
                <w:sz w:val="4"/>
                <w:szCs w:val="4"/>
                <w:color w:val="auto"/>
              </w:rPr>
            </w:pPr>
          </w:p>
        </w:tc>
      </w:tr>
      <w:tr>
        <w:trPr>
          <w:trHeight w:val="244"/>
        </w:trPr>
        <w:tc>
          <w:tcPr>
            <w:tcW w:w="2460" w:type="dxa"/>
            <w:vAlign w:val="bottom"/>
          </w:tcPr>
          <w:p>
            <w:pPr>
              <w:ind w:left="60"/>
              <w:spacing w:after="0"/>
              <w:rPr>
                <w:sz w:val="20"/>
                <w:szCs w:val="20"/>
                <w:color w:val="auto"/>
              </w:rPr>
            </w:pPr>
            <w:r>
              <w:rPr>
                <w:rFonts w:ascii="Arial" w:cs="Arial" w:eastAsia="Arial" w:hAnsi="Arial"/>
                <w:sz w:val="16"/>
                <w:szCs w:val="16"/>
                <w:b w:val="1"/>
                <w:bCs w:val="1"/>
                <w:color w:val="3B3C43"/>
              </w:rPr>
              <w:t>Barry Glickman</w:t>
            </w:r>
          </w:p>
        </w:tc>
        <w:tc>
          <w:tcPr>
            <w:tcW w:w="2440" w:type="dxa"/>
            <w:vAlign w:val="bottom"/>
          </w:tcPr>
          <w:p>
            <w:pPr>
              <w:jc w:val="right"/>
              <w:ind w:right="239"/>
              <w:spacing w:after="0"/>
              <w:rPr>
                <w:sz w:val="20"/>
                <w:szCs w:val="20"/>
                <w:color w:val="auto"/>
              </w:rPr>
            </w:pPr>
            <w:r>
              <w:rPr>
                <w:rFonts w:ascii="Arial" w:cs="Arial" w:eastAsia="Arial" w:hAnsi="Arial"/>
                <w:sz w:val="16"/>
                <w:szCs w:val="16"/>
                <w:color w:val="3B3C43"/>
              </w:rPr>
              <w:t>1,502,910</w:t>
            </w:r>
          </w:p>
        </w:tc>
        <w:tc>
          <w:tcPr>
            <w:tcW w:w="2280" w:type="dxa"/>
            <w:vAlign w:val="bottom"/>
          </w:tcPr>
          <w:p>
            <w:pPr>
              <w:jc w:val="right"/>
              <w:ind w:right="279"/>
              <w:spacing w:after="0"/>
              <w:rPr>
                <w:sz w:val="20"/>
                <w:szCs w:val="20"/>
                <w:color w:val="auto"/>
              </w:rPr>
            </w:pPr>
            <w:r>
              <w:rPr>
                <w:rFonts w:ascii="Arial" w:cs="Arial" w:eastAsia="Arial" w:hAnsi="Arial"/>
                <w:sz w:val="16"/>
                <w:szCs w:val="16"/>
                <w:color w:val="3B3C43"/>
              </w:rPr>
              <w:t>$0</w:t>
            </w:r>
          </w:p>
        </w:tc>
        <w:tc>
          <w:tcPr>
            <w:tcW w:w="2540" w:type="dxa"/>
            <w:vAlign w:val="bottom"/>
          </w:tcPr>
          <w:p>
            <w:pPr>
              <w:jc w:val="right"/>
              <w:ind w:right="579"/>
              <w:spacing w:after="0"/>
              <w:rPr>
                <w:sz w:val="20"/>
                <w:szCs w:val="20"/>
                <w:color w:val="auto"/>
              </w:rPr>
            </w:pPr>
            <w:r>
              <w:rPr>
                <w:rFonts w:ascii="Arial" w:cs="Arial" w:eastAsia="Arial" w:hAnsi="Arial"/>
                <w:sz w:val="16"/>
                <w:szCs w:val="16"/>
                <w:color w:val="3B3C43"/>
              </w:rPr>
              <w:t>588,647</w:t>
            </w:r>
          </w:p>
        </w:tc>
        <w:tc>
          <w:tcPr>
            <w:tcW w:w="1520" w:type="dxa"/>
            <w:vAlign w:val="bottom"/>
          </w:tcPr>
          <w:p>
            <w:pPr>
              <w:jc w:val="right"/>
              <w:spacing w:after="0"/>
              <w:rPr>
                <w:sz w:val="20"/>
                <w:szCs w:val="20"/>
                <w:color w:val="auto"/>
              </w:rPr>
            </w:pPr>
            <w:r>
              <w:rPr>
                <w:rFonts w:ascii="Arial" w:cs="Arial" w:eastAsia="Arial" w:hAnsi="Arial"/>
                <w:sz w:val="16"/>
                <w:szCs w:val="16"/>
                <w:color w:val="3B3C43"/>
              </w:rPr>
              <w:t>2,091,557</w:t>
            </w:r>
          </w:p>
        </w:tc>
      </w:tr>
      <w:tr>
        <w:trPr>
          <w:trHeight w:val="47"/>
        </w:trPr>
        <w:tc>
          <w:tcPr>
            <w:tcW w:w="2460" w:type="dxa"/>
            <w:vAlign w:val="bottom"/>
            <w:tcBorders>
              <w:bottom w:val="single" w:sz="8" w:color="E1E2E0"/>
            </w:tcBorders>
          </w:tcPr>
          <w:p>
            <w:pPr>
              <w:spacing w:after="0"/>
              <w:rPr>
                <w:sz w:val="4"/>
                <w:szCs w:val="4"/>
                <w:color w:val="auto"/>
              </w:rPr>
            </w:pPr>
          </w:p>
        </w:tc>
        <w:tc>
          <w:tcPr>
            <w:tcW w:w="2440" w:type="dxa"/>
            <w:vAlign w:val="bottom"/>
            <w:tcBorders>
              <w:bottom w:val="single" w:sz="8" w:color="E1E2E0"/>
            </w:tcBorders>
          </w:tcPr>
          <w:p>
            <w:pPr>
              <w:spacing w:after="0"/>
              <w:rPr>
                <w:sz w:val="4"/>
                <w:szCs w:val="4"/>
                <w:color w:val="auto"/>
              </w:rPr>
            </w:pPr>
          </w:p>
        </w:tc>
        <w:tc>
          <w:tcPr>
            <w:tcW w:w="2280" w:type="dxa"/>
            <w:vAlign w:val="bottom"/>
            <w:tcBorders>
              <w:bottom w:val="single" w:sz="8" w:color="E1E2E0"/>
            </w:tcBorders>
          </w:tcPr>
          <w:p>
            <w:pPr>
              <w:spacing w:after="0"/>
              <w:rPr>
                <w:sz w:val="4"/>
                <w:szCs w:val="4"/>
                <w:color w:val="auto"/>
              </w:rPr>
            </w:pPr>
          </w:p>
        </w:tc>
        <w:tc>
          <w:tcPr>
            <w:tcW w:w="2540" w:type="dxa"/>
            <w:vAlign w:val="bottom"/>
            <w:tcBorders>
              <w:bottom w:val="single" w:sz="8" w:color="E1E2E0"/>
            </w:tcBorders>
          </w:tcPr>
          <w:p>
            <w:pPr>
              <w:spacing w:after="0"/>
              <w:rPr>
                <w:sz w:val="4"/>
                <w:szCs w:val="4"/>
                <w:color w:val="auto"/>
              </w:rPr>
            </w:pPr>
          </w:p>
        </w:tc>
        <w:tc>
          <w:tcPr>
            <w:tcW w:w="1520" w:type="dxa"/>
            <w:vAlign w:val="bottom"/>
            <w:tcBorders>
              <w:bottom w:val="single" w:sz="8" w:color="E1E2E0"/>
            </w:tcBorders>
          </w:tcPr>
          <w:p>
            <w:pPr>
              <w:spacing w:after="0"/>
              <w:rPr>
                <w:sz w:val="4"/>
                <w:szCs w:val="4"/>
                <w:color w:val="auto"/>
              </w:rPr>
            </w:pPr>
          </w:p>
        </w:tc>
      </w:tr>
    </w:tbl>
    <w:p>
      <w:pPr>
        <w:spacing w:after="0" w:line="167" w:lineRule="exact"/>
        <w:rPr>
          <w:sz w:val="20"/>
          <w:szCs w:val="20"/>
          <w:color w:val="auto"/>
        </w:rPr>
      </w:pPr>
    </w:p>
    <w:p>
      <w:pPr>
        <w:ind w:left="280" w:hanging="272"/>
        <w:spacing w:after="0"/>
        <w:tabs>
          <w:tab w:leader="none" w:pos="280" w:val="left"/>
        </w:tabs>
        <w:numPr>
          <w:ilvl w:val="0"/>
          <w:numId w:val="117"/>
        </w:numPr>
        <w:rPr>
          <w:rFonts w:ascii="Arial" w:cs="Arial" w:eastAsia="Arial" w:hAnsi="Arial"/>
          <w:sz w:val="14"/>
          <w:szCs w:val="14"/>
          <w:color w:val="3B3C43"/>
        </w:rPr>
      </w:pPr>
      <w:r>
        <w:rPr>
          <w:rFonts w:ascii="Arial" w:cs="Arial" w:eastAsia="Arial" w:hAnsi="Arial"/>
          <w:sz w:val="14"/>
          <w:szCs w:val="14"/>
          <w:color w:val="3B3C43"/>
        </w:rPr>
        <w:t>Assumes PSUs are paid at target (100%).</w:t>
      </w:r>
    </w:p>
    <w:p>
      <w:pPr>
        <w:spacing w:after="0" w:line="95" w:lineRule="exact"/>
        <w:rPr>
          <w:rFonts w:ascii="Arial" w:cs="Arial" w:eastAsia="Arial" w:hAnsi="Arial"/>
          <w:sz w:val="14"/>
          <w:szCs w:val="14"/>
          <w:color w:val="3B3C43"/>
        </w:rPr>
      </w:pPr>
    </w:p>
    <w:p>
      <w:pPr>
        <w:ind w:left="280" w:right="260" w:hanging="272"/>
        <w:spacing w:after="0" w:line="258" w:lineRule="auto"/>
        <w:tabs>
          <w:tab w:leader="none" w:pos="280" w:val="left"/>
        </w:tabs>
        <w:numPr>
          <w:ilvl w:val="0"/>
          <w:numId w:val="117"/>
        </w:numPr>
        <w:rPr>
          <w:rFonts w:ascii="Arial" w:cs="Arial" w:eastAsia="Arial" w:hAnsi="Arial"/>
          <w:sz w:val="14"/>
          <w:szCs w:val="14"/>
          <w:color w:val="3B3C43"/>
        </w:rPr>
      </w:pPr>
      <w:r>
        <w:rPr>
          <w:rFonts w:ascii="Arial" w:cs="Arial" w:eastAsia="Arial" w:hAnsi="Arial"/>
          <w:sz w:val="14"/>
          <w:szCs w:val="14"/>
          <w:color w:val="3B3C43"/>
        </w:rPr>
        <w:t>Unvested stock options vest and become exercisable in the event of death or disability. All stock options plans have an exercise price that is greater than the Company’s stock price on December 31, 2020.</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114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Payments Made in an Involuntary Termination</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3B3C43"/>
        </w:rPr>
        <w:t>The amounts shown in the table below are calculated using the assumption that an involuntary not-for-cause termination was effective as of December 31, 2020, and, as a result, are based on amounts earned through such time and are only estimates of amounts that would be paid out to the NEOs in the event of such a termination. The actual amounts that would be paid out if such a termination were to occur can only be determined at the time of such executive officer’s actual termination. Ms. MacGregor and Mr. Uccelletti are excluded because they left the Company prior to December 31, 2020.</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B3C43"/>
        </w:rPr>
        <w:t>Executive Benefits and Payments for Involuntary Termination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B3C43"/>
        </w:rPr>
        <w:t>Not in Connection with a Change-in-Control Occurring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121920</wp:posOffset>
            </wp:positionV>
            <wp:extent cx="5297805" cy="12687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97805" cy="126873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shd w:val="clear" w:color="auto" w:fill="4A1F67"/>
          </w:tcPr>
          <w:p>
            <w:pPr>
              <w:spacing w:after="0"/>
              <w:rPr>
                <w:sz w:val="16"/>
                <w:szCs w:val="16"/>
                <w:color w:val="auto"/>
              </w:rPr>
            </w:pPr>
          </w:p>
        </w:tc>
        <w:tc>
          <w:tcPr>
            <w:tcW w:w="3080" w:type="dxa"/>
            <w:vAlign w:val="bottom"/>
            <w:gridSpan w:val="2"/>
            <w:shd w:val="clear" w:color="auto" w:fill="4A1F67"/>
          </w:tcPr>
          <w:p>
            <w:pPr>
              <w:jc w:val="right"/>
              <w:ind w:right="777"/>
              <w:spacing w:after="0"/>
              <w:rPr>
                <w:sz w:val="20"/>
                <w:szCs w:val="20"/>
                <w:color w:val="auto"/>
              </w:rPr>
            </w:pPr>
            <w:r>
              <w:rPr>
                <w:rFonts w:ascii="Arial" w:cs="Arial" w:eastAsia="Arial" w:hAnsi="Arial"/>
                <w:sz w:val="13"/>
                <w:szCs w:val="13"/>
                <w:b w:val="1"/>
                <w:bCs w:val="1"/>
                <w:color w:val="FFFFFF"/>
              </w:rPr>
              <w:t>Compensation</w:t>
            </w:r>
          </w:p>
        </w:tc>
        <w:tc>
          <w:tcPr>
            <w:tcW w:w="1160" w:type="dxa"/>
            <w:vAlign w:val="bottom"/>
            <w:shd w:val="clear" w:color="auto" w:fill="4A1F67"/>
          </w:tcPr>
          <w:p>
            <w:pPr>
              <w:spacing w:after="0"/>
              <w:rPr>
                <w:sz w:val="16"/>
                <w:szCs w:val="16"/>
                <w:color w:val="auto"/>
              </w:rPr>
            </w:pPr>
          </w:p>
        </w:tc>
        <w:tc>
          <w:tcPr>
            <w:tcW w:w="2660" w:type="dxa"/>
            <w:vAlign w:val="bottom"/>
            <w:gridSpan w:val="2"/>
            <w:shd w:val="clear" w:color="auto" w:fill="4A1F67"/>
          </w:tcPr>
          <w:p>
            <w:pPr>
              <w:jc w:val="right"/>
              <w:ind w:right="117"/>
              <w:spacing w:after="0"/>
              <w:rPr>
                <w:sz w:val="20"/>
                <w:szCs w:val="20"/>
                <w:color w:val="auto"/>
              </w:rPr>
            </w:pPr>
            <w:r>
              <w:rPr>
                <w:rFonts w:ascii="Arial" w:cs="Arial" w:eastAsia="Arial" w:hAnsi="Arial"/>
                <w:sz w:val="13"/>
                <w:szCs w:val="13"/>
                <w:b w:val="1"/>
                <w:bCs w:val="1"/>
                <w:color w:val="FFFFFF"/>
              </w:rPr>
              <w:t>Benefits and Perquisites</w:t>
            </w:r>
          </w:p>
        </w:tc>
        <w:tc>
          <w:tcPr>
            <w:tcW w:w="1240" w:type="dxa"/>
            <w:vAlign w:val="bottom"/>
            <w:shd w:val="clear" w:color="auto" w:fill="4A1F67"/>
          </w:tcPr>
          <w:p>
            <w:pPr>
              <w:spacing w:after="0"/>
              <w:rPr>
                <w:sz w:val="16"/>
                <w:szCs w:val="16"/>
                <w:color w:val="auto"/>
              </w:rPr>
            </w:pPr>
          </w:p>
        </w:tc>
        <w:tc>
          <w:tcPr>
            <w:tcW w:w="820" w:type="dxa"/>
            <w:vAlign w:val="bottom"/>
            <w:shd w:val="clear" w:color="auto" w:fill="4A1F67"/>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2280" w:type="dxa"/>
            <w:vAlign w:val="bottom"/>
            <w:shd w:val="clear" w:color="auto" w:fill="4A1F67"/>
          </w:tcPr>
          <w:p>
            <w:pPr>
              <w:spacing w:after="0"/>
              <w:rPr>
                <w:sz w:val="20"/>
                <w:szCs w:val="20"/>
                <w:color w:val="auto"/>
              </w:rPr>
            </w:pPr>
          </w:p>
        </w:tc>
        <w:tc>
          <w:tcPr>
            <w:tcW w:w="1840" w:type="dxa"/>
            <w:vAlign w:val="bottom"/>
            <w:shd w:val="clear" w:color="auto" w:fill="4A1F67"/>
          </w:tcPr>
          <w:p>
            <w:pPr>
              <w:spacing w:after="0"/>
              <w:rPr>
                <w:sz w:val="20"/>
                <w:szCs w:val="20"/>
                <w:color w:val="auto"/>
              </w:rPr>
            </w:pPr>
          </w:p>
        </w:tc>
        <w:tc>
          <w:tcPr>
            <w:tcW w:w="1240" w:type="dxa"/>
            <w:vAlign w:val="bottom"/>
            <w:shd w:val="clear" w:color="auto" w:fill="4A1F67"/>
          </w:tcPr>
          <w:p>
            <w:pPr>
              <w:spacing w:after="0"/>
              <w:rPr>
                <w:sz w:val="20"/>
                <w:szCs w:val="20"/>
                <w:color w:val="auto"/>
              </w:rPr>
            </w:pPr>
          </w:p>
        </w:tc>
        <w:tc>
          <w:tcPr>
            <w:tcW w:w="116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Equity Award</w:t>
            </w:r>
          </w:p>
        </w:tc>
        <w:tc>
          <w:tcPr>
            <w:tcW w:w="120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Medical, Dental,</w:t>
            </w:r>
          </w:p>
        </w:tc>
        <w:tc>
          <w:tcPr>
            <w:tcW w:w="1460" w:type="dxa"/>
            <w:vAlign w:val="bottom"/>
            <w:shd w:val="clear" w:color="auto" w:fill="4A1F67"/>
          </w:tcPr>
          <w:p>
            <w:pPr>
              <w:spacing w:after="0"/>
              <w:rPr>
                <w:sz w:val="20"/>
                <w:szCs w:val="20"/>
                <w:color w:val="auto"/>
              </w:rPr>
            </w:pPr>
          </w:p>
        </w:tc>
        <w:tc>
          <w:tcPr>
            <w:tcW w:w="1240" w:type="dxa"/>
            <w:vAlign w:val="bottom"/>
            <w:shd w:val="clear" w:color="auto" w:fill="4A1F67"/>
          </w:tcPr>
          <w:p>
            <w:pPr>
              <w:spacing w:after="0"/>
              <w:rPr>
                <w:sz w:val="20"/>
                <w:szCs w:val="20"/>
                <w:color w:val="auto"/>
              </w:rPr>
            </w:pPr>
          </w:p>
        </w:tc>
        <w:tc>
          <w:tcPr>
            <w:tcW w:w="820" w:type="dxa"/>
            <w:vAlign w:val="bottom"/>
            <w:shd w:val="clear" w:color="auto" w:fill="4A1F67"/>
          </w:tcPr>
          <w:p>
            <w:pPr>
              <w:spacing w:after="0"/>
              <w:rPr>
                <w:sz w:val="20"/>
                <w:szCs w:val="20"/>
                <w:color w:val="auto"/>
              </w:rPr>
            </w:pPr>
          </w:p>
        </w:tc>
        <w:tc>
          <w:tcPr>
            <w:tcW w:w="20" w:type="dxa"/>
            <w:vAlign w:val="bottom"/>
          </w:tcPr>
          <w:p>
            <w:pPr>
              <w:spacing w:after="0"/>
              <w:rPr>
                <w:sz w:val="20"/>
                <w:szCs w:val="20"/>
                <w:color w:val="auto"/>
              </w:rPr>
            </w:pPr>
          </w:p>
        </w:tc>
      </w:tr>
      <w:tr>
        <w:trPr>
          <w:trHeight w:val="135"/>
        </w:trPr>
        <w:tc>
          <w:tcPr>
            <w:tcW w:w="2280" w:type="dxa"/>
            <w:vAlign w:val="bottom"/>
            <w:shd w:val="clear" w:color="auto" w:fill="4A1F67"/>
          </w:tcPr>
          <w:p>
            <w:pPr>
              <w:spacing w:after="0"/>
              <w:rPr>
                <w:sz w:val="11"/>
                <w:szCs w:val="11"/>
                <w:color w:val="auto"/>
              </w:rPr>
            </w:pPr>
          </w:p>
        </w:tc>
        <w:tc>
          <w:tcPr>
            <w:tcW w:w="1840" w:type="dxa"/>
            <w:vAlign w:val="bottom"/>
            <w:shd w:val="clear" w:color="auto" w:fill="4A1F67"/>
          </w:tcPr>
          <w:p>
            <w:pPr>
              <w:spacing w:after="0"/>
              <w:rPr>
                <w:sz w:val="11"/>
                <w:szCs w:val="11"/>
                <w:color w:val="auto"/>
              </w:rPr>
            </w:pPr>
          </w:p>
        </w:tc>
        <w:tc>
          <w:tcPr>
            <w:tcW w:w="1240" w:type="dxa"/>
            <w:vAlign w:val="bottom"/>
            <w:shd w:val="clear" w:color="auto" w:fill="4A1F67"/>
          </w:tcPr>
          <w:p>
            <w:pPr>
              <w:jc w:val="right"/>
              <w:ind w:right="77"/>
              <w:spacing w:after="0" w:line="135" w:lineRule="exact"/>
              <w:rPr>
                <w:sz w:val="20"/>
                <w:szCs w:val="20"/>
                <w:color w:val="auto"/>
              </w:rPr>
            </w:pPr>
            <w:r>
              <w:rPr>
                <w:rFonts w:ascii="Arial" w:cs="Arial" w:eastAsia="Arial" w:hAnsi="Arial"/>
                <w:sz w:val="13"/>
                <w:szCs w:val="13"/>
                <w:b w:val="1"/>
                <w:bCs w:val="1"/>
                <w:color w:val="FFFFFF"/>
              </w:rPr>
              <w:t>Pro-rated Target</w:t>
            </w:r>
          </w:p>
        </w:tc>
        <w:tc>
          <w:tcPr>
            <w:tcW w:w="116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and Long-Term</w:t>
            </w:r>
          </w:p>
        </w:tc>
        <w:tc>
          <w:tcPr>
            <w:tcW w:w="120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w w:val="99"/>
              </w:rPr>
              <w:t>Life Insurance and</w:t>
            </w:r>
          </w:p>
        </w:tc>
        <w:tc>
          <w:tcPr>
            <w:tcW w:w="1460" w:type="dxa"/>
            <w:vAlign w:val="bottom"/>
            <w:shd w:val="clear" w:color="auto" w:fill="4A1F67"/>
          </w:tcPr>
          <w:p>
            <w:pPr>
              <w:jc w:val="right"/>
              <w:ind w:right="137"/>
              <w:spacing w:after="0" w:line="135" w:lineRule="exact"/>
              <w:rPr>
                <w:sz w:val="20"/>
                <w:szCs w:val="20"/>
                <w:color w:val="auto"/>
              </w:rPr>
            </w:pPr>
            <w:r>
              <w:rPr>
                <w:rFonts w:ascii="Arial" w:cs="Arial" w:eastAsia="Arial" w:hAnsi="Arial"/>
                <w:sz w:val="13"/>
                <w:szCs w:val="13"/>
                <w:b w:val="1"/>
                <w:bCs w:val="1"/>
                <w:color w:val="FFFFFF"/>
              </w:rPr>
              <w:t>Financial Planning</w:t>
            </w:r>
          </w:p>
        </w:tc>
        <w:tc>
          <w:tcPr>
            <w:tcW w:w="1240" w:type="dxa"/>
            <w:vAlign w:val="bottom"/>
            <w:shd w:val="clear" w:color="auto" w:fill="4A1F67"/>
          </w:tcPr>
          <w:p>
            <w:pPr>
              <w:jc w:val="right"/>
              <w:ind w:right="157"/>
              <w:spacing w:after="0" w:line="135" w:lineRule="exact"/>
              <w:rPr>
                <w:sz w:val="20"/>
                <w:szCs w:val="20"/>
                <w:color w:val="auto"/>
              </w:rPr>
            </w:pPr>
            <w:r>
              <w:rPr>
                <w:rFonts w:ascii="Arial" w:cs="Arial" w:eastAsia="Arial" w:hAnsi="Arial"/>
                <w:sz w:val="13"/>
                <w:szCs w:val="13"/>
                <w:b w:val="1"/>
                <w:bCs w:val="1"/>
                <w:color w:val="FFFFFF"/>
              </w:rPr>
              <w:t>Outplacement</w:t>
            </w:r>
          </w:p>
        </w:tc>
        <w:tc>
          <w:tcPr>
            <w:tcW w:w="820" w:type="dxa"/>
            <w:vAlign w:val="bottom"/>
            <w:shd w:val="clear" w:color="auto" w:fill="4A1F67"/>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2280" w:type="dxa"/>
            <w:vAlign w:val="bottom"/>
            <w:shd w:val="clear" w:color="auto" w:fill="4A1F67"/>
          </w:tcPr>
          <w:p>
            <w:pPr>
              <w:spacing w:after="0"/>
              <w:rPr>
                <w:sz w:val="11"/>
                <w:szCs w:val="11"/>
                <w:color w:val="auto"/>
              </w:rPr>
            </w:pPr>
          </w:p>
        </w:tc>
        <w:tc>
          <w:tcPr>
            <w:tcW w:w="1840" w:type="dxa"/>
            <w:vAlign w:val="bottom"/>
            <w:shd w:val="clear" w:color="auto" w:fill="4A1F67"/>
          </w:tcPr>
          <w:p>
            <w:pPr>
              <w:jc w:val="right"/>
              <w:ind w:right="57"/>
              <w:spacing w:after="0" w:line="131" w:lineRule="exact"/>
              <w:rPr>
                <w:sz w:val="20"/>
                <w:szCs w:val="20"/>
                <w:color w:val="auto"/>
              </w:rPr>
            </w:pPr>
            <w:r>
              <w:rPr>
                <w:rFonts w:ascii="Arial" w:cs="Arial" w:eastAsia="Arial" w:hAnsi="Arial"/>
                <w:sz w:val="13"/>
                <w:szCs w:val="13"/>
                <w:b w:val="1"/>
                <w:bCs w:val="1"/>
                <w:color w:val="FFFFFF"/>
              </w:rPr>
              <w:t>Severance</w:t>
            </w:r>
          </w:p>
        </w:tc>
        <w:tc>
          <w:tcPr>
            <w:tcW w:w="1240" w:type="dxa"/>
            <w:vAlign w:val="bottom"/>
            <w:shd w:val="clear" w:color="auto" w:fill="4A1F67"/>
          </w:tcPr>
          <w:p>
            <w:pPr>
              <w:jc w:val="right"/>
              <w:ind w:right="77"/>
              <w:spacing w:after="0" w:line="131" w:lineRule="exact"/>
              <w:rPr>
                <w:sz w:val="20"/>
                <w:szCs w:val="20"/>
                <w:color w:val="auto"/>
              </w:rPr>
            </w:pPr>
            <w:r>
              <w:rPr>
                <w:rFonts w:ascii="Arial" w:cs="Arial" w:eastAsia="Arial" w:hAnsi="Arial"/>
                <w:sz w:val="13"/>
                <w:szCs w:val="13"/>
                <w:b w:val="1"/>
                <w:bCs w:val="1"/>
                <w:color w:val="FFFFFF"/>
              </w:rPr>
              <w:t>Annual Cash</w:t>
            </w:r>
          </w:p>
        </w:tc>
        <w:tc>
          <w:tcPr>
            <w:tcW w:w="116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Incentive</w:t>
            </w:r>
          </w:p>
        </w:tc>
        <w:tc>
          <w:tcPr>
            <w:tcW w:w="120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Disability Benefits</w:t>
            </w:r>
          </w:p>
        </w:tc>
        <w:tc>
          <w:tcPr>
            <w:tcW w:w="1460" w:type="dxa"/>
            <w:vAlign w:val="bottom"/>
            <w:shd w:val="clear" w:color="auto" w:fill="4A1F67"/>
          </w:tcPr>
          <w:p>
            <w:pPr>
              <w:jc w:val="right"/>
              <w:ind w:right="137"/>
              <w:spacing w:after="0" w:line="131" w:lineRule="exact"/>
              <w:rPr>
                <w:sz w:val="20"/>
                <w:szCs w:val="20"/>
                <w:color w:val="auto"/>
              </w:rPr>
            </w:pPr>
            <w:r>
              <w:rPr>
                <w:rFonts w:ascii="Arial" w:cs="Arial" w:eastAsia="Arial" w:hAnsi="Arial"/>
                <w:sz w:val="13"/>
                <w:szCs w:val="13"/>
                <w:b w:val="1"/>
                <w:bCs w:val="1"/>
                <w:color w:val="FFFFFF"/>
                <w:w w:val="99"/>
              </w:rPr>
              <w:t>and Tax Preparation</w:t>
            </w:r>
          </w:p>
        </w:tc>
        <w:tc>
          <w:tcPr>
            <w:tcW w:w="1240" w:type="dxa"/>
            <w:vAlign w:val="bottom"/>
            <w:shd w:val="clear" w:color="auto" w:fill="4A1F67"/>
          </w:tcPr>
          <w:p>
            <w:pPr>
              <w:jc w:val="right"/>
              <w:ind w:right="157"/>
              <w:spacing w:after="0" w:line="131" w:lineRule="exact"/>
              <w:rPr>
                <w:sz w:val="20"/>
                <w:szCs w:val="20"/>
                <w:color w:val="auto"/>
              </w:rPr>
            </w:pPr>
            <w:r>
              <w:rPr>
                <w:rFonts w:ascii="Arial" w:cs="Arial" w:eastAsia="Arial" w:hAnsi="Arial"/>
                <w:sz w:val="13"/>
                <w:szCs w:val="13"/>
                <w:b w:val="1"/>
                <w:bCs w:val="1"/>
                <w:color w:val="FFFFFF"/>
              </w:rPr>
              <w:t>Services</w:t>
            </w:r>
          </w:p>
        </w:tc>
        <w:tc>
          <w:tcPr>
            <w:tcW w:w="82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Total</w:t>
            </w:r>
          </w:p>
        </w:tc>
        <w:tc>
          <w:tcPr>
            <w:tcW w:w="20" w:type="dxa"/>
            <w:vAlign w:val="bottom"/>
          </w:tcPr>
          <w:p>
            <w:pPr>
              <w:spacing w:after="0"/>
              <w:rPr>
                <w:sz w:val="11"/>
                <w:szCs w:val="11"/>
                <w:color w:val="auto"/>
              </w:rPr>
            </w:pPr>
          </w:p>
        </w:tc>
      </w:tr>
      <w:tr>
        <w:trPr>
          <w:trHeight w:val="188"/>
        </w:trPr>
        <w:tc>
          <w:tcPr>
            <w:tcW w:w="2280" w:type="dxa"/>
            <w:vAlign w:val="bottom"/>
            <w:shd w:val="clear" w:color="auto" w:fill="4A1F67"/>
          </w:tcPr>
          <w:p>
            <w:pPr>
              <w:ind w:left="40"/>
              <w:spacing w:after="0"/>
              <w:rPr>
                <w:sz w:val="20"/>
                <w:szCs w:val="20"/>
                <w:color w:val="auto"/>
              </w:rPr>
            </w:pPr>
            <w:r>
              <w:rPr>
                <w:rFonts w:ascii="Arial" w:cs="Arial" w:eastAsia="Arial" w:hAnsi="Arial"/>
                <w:sz w:val="13"/>
                <w:szCs w:val="13"/>
                <w:b w:val="1"/>
                <w:bCs w:val="1"/>
                <w:color w:val="FFFFFF"/>
              </w:rPr>
              <w:t>Name</w:t>
            </w:r>
          </w:p>
        </w:tc>
        <w:tc>
          <w:tcPr>
            <w:tcW w:w="1840" w:type="dxa"/>
            <w:vAlign w:val="bottom"/>
            <w:shd w:val="clear" w:color="auto" w:fill="4A1F67"/>
          </w:tcPr>
          <w:p>
            <w:pPr>
              <w:jc w:val="right"/>
              <w:ind w:right="57"/>
              <w:spacing w:after="0" w:line="188" w:lineRule="exact"/>
              <w:rPr>
                <w:sz w:val="20"/>
                <w:szCs w:val="20"/>
                <w:color w:val="auto"/>
              </w:rPr>
            </w:pPr>
            <w:r>
              <w:rPr>
                <w:rFonts w:ascii="Arial" w:cs="Arial" w:eastAsia="Arial" w:hAnsi="Arial"/>
                <w:sz w:val="13"/>
                <w:szCs w:val="13"/>
                <w:b w:val="1"/>
                <w:bCs w:val="1"/>
                <w:color w:val="FFFFFF"/>
              </w:rPr>
              <w:t>Payment ($)</w:t>
            </w:r>
            <w:r>
              <w:rPr>
                <w:rFonts w:ascii="Arial" w:cs="Arial" w:eastAsia="Arial" w:hAnsi="Arial"/>
                <w:sz w:val="20"/>
                <w:szCs w:val="20"/>
                <w:b w:val="1"/>
                <w:bCs w:val="1"/>
                <w:color w:val="FFFFFF"/>
                <w:vertAlign w:val="superscript"/>
              </w:rPr>
              <w:t>1</w:t>
            </w:r>
          </w:p>
        </w:tc>
        <w:tc>
          <w:tcPr>
            <w:tcW w:w="1240" w:type="dxa"/>
            <w:vAlign w:val="bottom"/>
            <w:shd w:val="clear" w:color="auto" w:fill="4A1F67"/>
          </w:tcPr>
          <w:p>
            <w:pPr>
              <w:jc w:val="right"/>
              <w:ind w:right="77"/>
              <w:spacing w:after="0" w:line="188" w:lineRule="exact"/>
              <w:rPr>
                <w:sz w:val="20"/>
                <w:szCs w:val="20"/>
                <w:color w:val="auto"/>
              </w:rPr>
            </w:pPr>
            <w:r>
              <w:rPr>
                <w:rFonts w:ascii="Arial" w:cs="Arial" w:eastAsia="Arial" w:hAnsi="Arial"/>
                <w:sz w:val="13"/>
                <w:szCs w:val="13"/>
                <w:b w:val="1"/>
                <w:bCs w:val="1"/>
                <w:color w:val="FFFFFF"/>
              </w:rPr>
              <w:t>Incentive ($)</w:t>
            </w:r>
            <w:r>
              <w:rPr>
                <w:rFonts w:ascii="Arial" w:cs="Arial" w:eastAsia="Arial" w:hAnsi="Arial"/>
                <w:sz w:val="20"/>
                <w:szCs w:val="20"/>
                <w:b w:val="1"/>
                <w:bCs w:val="1"/>
                <w:color w:val="FFFFFF"/>
                <w:vertAlign w:val="superscript"/>
              </w:rPr>
              <w:t>2</w:t>
            </w:r>
          </w:p>
        </w:tc>
        <w:tc>
          <w:tcPr>
            <w:tcW w:w="116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Acceleration ($)</w:t>
            </w:r>
          </w:p>
        </w:tc>
        <w:tc>
          <w:tcPr>
            <w:tcW w:w="1200" w:type="dxa"/>
            <w:vAlign w:val="bottom"/>
            <w:shd w:val="clear" w:color="auto" w:fill="4A1F67"/>
          </w:tcPr>
          <w:p>
            <w:pPr>
              <w:jc w:val="right"/>
              <w:spacing w:after="0" w:line="188"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3</w:t>
            </w:r>
          </w:p>
        </w:tc>
        <w:tc>
          <w:tcPr>
            <w:tcW w:w="1460" w:type="dxa"/>
            <w:vAlign w:val="bottom"/>
            <w:shd w:val="clear" w:color="auto" w:fill="4A1F67"/>
          </w:tcPr>
          <w:p>
            <w:pPr>
              <w:jc w:val="right"/>
              <w:ind w:right="137"/>
              <w:spacing w:after="0" w:line="188" w:lineRule="exact"/>
              <w:rPr>
                <w:sz w:val="20"/>
                <w:szCs w:val="20"/>
                <w:color w:val="auto"/>
              </w:rPr>
            </w:pPr>
            <w:r>
              <w:rPr>
                <w:rFonts w:ascii="Arial" w:cs="Arial" w:eastAsia="Arial" w:hAnsi="Arial"/>
                <w:sz w:val="13"/>
                <w:szCs w:val="13"/>
                <w:b w:val="1"/>
                <w:bCs w:val="1"/>
                <w:color w:val="FFFFFF"/>
              </w:rPr>
              <w:t>Assistance ($)</w:t>
            </w:r>
            <w:r>
              <w:rPr>
                <w:rFonts w:ascii="Arial" w:cs="Arial" w:eastAsia="Arial" w:hAnsi="Arial"/>
                <w:sz w:val="20"/>
                <w:szCs w:val="20"/>
                <w:b w:val="1"/>
                <w:bCs w:val="1"/>
                <w:color w:val="FFFFFF"/>
                <w:vertAlign w:val="superscript"/>
              </w:rPr>
              <w:t>4</w:t>
            </w:r>
          </w:p>
        </w:tc>
        <w:tc>
          <w:tcPr>
            <w:tcW w:w="1240" w:type="dxa"/>
            <w:vAlign w:val="bottom"/>
            <w:shd w:val="clear" w:color="auto" w:fill="4A1F67"/>
          </w:tcPr>
          <w:p>
            <w:pPr>
              <w:jc w:val="right"/>
              <w:ind w:right="157"/>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w:t>
            </w:r>
          </w:p>
        </w:tc>
        <w:tc>
          <w:tcPr>
            <w:tcW w:w="20" w:type="dxa"/>
            <w:vAlign w:val="bottom"/>
          </w:tcPr>
          <w:p>
            <w:pPr>
              <w:spacing w:after="0"/>
              <w:rPr>
                <w:sz w:val="16"/>
                <w:szCs w:val="16"/>
                <w:color w:val="auto"/>
              </w:rPr>
            </w:pPr>
          </w:p>
        </w:tc>
      </w:tr>
      <w:tr>
        <w:trPr>
          <w:trHeight w:val="183"/>
        </w:trPr>
        <w:tc>
          <w:tcPr>
            <w:tcW w:w="2280" w:type="dxa"/>
            <w:vAlign w:val="bottom"/>
            <w:tcBorders>
              <w:bottom w:val="single" w:sz="8" w:color="E1E2E0"/>
            </w:tcBorders>
          </w:tcPr>
          <w:p>
            <w:pPr>
              <w:ind w:left="60"/>
              <w:spacing w:after="0"/>
              <w:rPr>
                <w:sz w:val="20"/>
                <w:szCs w:val="20"/>
                <w:color w:val="auto"/>
              </w:rPr>
            </w:pPr>
            <w:r>
              <w:rPr>
                <w:rFonts w:ascii="Arial" w:cs="Arial" w:eastAsia="Arial" w:hAnsi="Arial"/>
                <w:sz w:val="13"/>
                <w:szCs w:val="13"/>
                <w:b w:val="1"/>
                <w:bCs w:val="1"/>
                <w:color w:val="3B3C43"/>
              </w:rPr>
              <w:t>Douglas J. Pferdehirt</w:t>
            </w:r>
          </w:p>
        </w:tc>
        <w:tc>
          <w:tcPr>
            <w:tcW w:w="1840" w:type="dxa"/>
            <w:vAlign w:val="bottom"/>
            <w:tcBorders>
              <w:bottom w:val="single" w:sz="8" w:color="E1E2E0"/>
            </w:tcBorders>
          </w:tcPr>
          <w:p>
            <w:pPr>
              <w:jc w:val="right"/>
              <w:ind w:right="57"/>
              <w:spacing w:after="0"/>
              <w:rPr>
                <w:sz w:val="20"/>
                <w:szCs w:val="20"/>
                <w:color w:val="auto"/>
              </w:rPr>
            </w:pPr>
            <w:r>
              <w:rPr>
                <w:rFonts w:ascii="Arial" w:cs="Arial" w:eastAsia="Arial" w:hAnsi="Arial"/>
                <w:sz w:val="13"/>
                <w:szCs w:val="13"/>
                <w:color w:val="3B3C43"/>
              </w:rPr>
              <w:t>4,356,900</w:t>
            </w:r>
          </w:p>
        </w:tc>
        <w:tc>
          <w:tcPr>
            <w:tcW w:w="1240" w:type="dxa"/>
            <w:vAlign w:val="bottom"/>
            <w:tcBorders>
              <w:bottom w:val="single" w:sz="8" w:color="E1E2E0"/>
            </w:tcBorders>
          </w:tcPr>
          <w:p>
            <w:pPr>
              <w:jc w:val="right"/>
              <w:ind w:right="77"/>
              <w:spacing w:after="0"/>
              <w:rPr>
                <w:sz w:val="20"/>
                <w:szCs w:val="20"/>
                <w:color w:val="auto"/>
              </w:rPr>
            </w:pPr>
            <w:r>
              <w:rPr>
                <w:rFonts w:ascii="Arial" w:cs="Arial" w:eastAsia="Arial" w:hAnsi="Arial"/>
                <w:sz w:val="13"/>
                <w:szCs w:val="13"/>
                <w:color w:val="3B3C43"/>
              </w:rPr>
              <w:t>1,668,600</w:t>
            </w:r>
          </w:p>
        </w:tc>
        <w:tc>
          <w:tcPr>
            <w:tcW w:w="116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w:t>
            </w:r>
          </w:p>
        </w:tc>
        <w:tc>
          <w:tcPr>
            <w:tcW w:w="120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30,055</w:t>
            </w:r>
          </w:p>
        </w:tc>
        <w:tc>
          <w:tcPr>
            <w:tcW w:w="1460" w:type="dxa"/>
            <w:vAlign w:val="bottom"/>
            <w:tcBorders>
              <w:bottom w:val="single" w:sz="8" w:color="E1E2E0"/>
            </w:tcBorders>
          </w:tcPr>
          <w:p>
            <w:pPr>
              <w:jc w:val="right"/>
              <w:ind w:right="137"/>
              <w:spacing w:after="0"/>
              <w:rPr>
                <w:sz w:val="20"/>
                <w:szCs w:val="20"/>
                <w:color w:val="auto"/>
              </w:rPr>
            </w:pPr>
            <w:r>
              <w:rPr>
                <w:rFonts w:ascii="Arial" w:cs="Arial" w:eastAsia="Arial" w:hAnsi="Arial"/>
                <w:sz w:val="13"/>
                <w:szCs w:val="13"/>
                <w:color w:val="3B3C43"/>
              </w:rPr>
              <w:t>23,205</w:t>
            </w:r>
          </w:p>
        </w:tc>
        <w:tc>
          <w:tcPr>
            <w:tcW w:w="1240" w:type="dxa"/>
            <w:vAlign w:val="bottom"/>
            <w:tcBorders>
              <w:bottom w:val="single" w:sz="8" w:color="E1E2E0"/>
            </w:tcBorders>
          </w:tcPr>
          <w:p>
            <w:pPr>
              <w:jc w:val="right"/>
              <w:ind w:right="157"/>
              <w:spacing w:after="0"/>
              <w:rPr>
                <w:sz w:val="20"/>
                <w:szCs w:val="20"/>
                <w:color w:val="auto"/>
              </w:rPr>
            </w:pPr>
            <w:r>
              <w:rPr>
                <w:rFonts w:ascii="Arial" w:cs="Arial" w:eastAsia="Arial" w:hAnsi="Arial"/>
                <w:sz w:val="13"/>
                <w:szCs w:val="13"/>
                <w:color w:val="3B3C43"/>
              </w:rPr>
              <w:t>50,000</w:t>
            </w:r>
          </w:p>
        </w:tc>
        <w:tc>
          <w:tcPr>
            <w:tcW w:w="82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6,128,760</w:t>
            </w:r>
          </w:p>
        </w:tc>
        <w:tc>
          <w:tcPr>
            <w:tcW w:w="20" w:type="dxa"/>
            <w:vAlign w:val="bottom"/>
            <w:tcBorders>
              <w:bottom w:val="single" w:sz="8" w:color="E1E2E0"/>
            </w:tcBorders>
          </w:tcPr>
          <w:p>
            <w:pPr>
              <w:spacing w:after="0"/>
              <w:rPr>
                <w:sz w:val="15"/>
                <w:szCs w:val="15"/>
                <w:color w:val="auto"/>
              </w:rPr>
            </w:pPr>
          </w:p>
        </w:tc>
      </w:tr>
      <w:tr>
        <w:trPr>
          <w:trHeight w:val="183"/>
        </w:trPr>
        <w:tc>
          <w:tcPr>
            <w:tcW w:w="2280" w:type="dxa"/>
            <w:vAlign w:val="bottom"/>
            <w:tcBorders>
              <w:bottom w:val="single" w:sz="8" w:color="E1E2E0"/>
            </w:tcBorders>
          </w:tcPr>
          <w:p>
            <w:pPr>
              <w:ind w:left="60"/>
              <w:spacing w:after="0"/>
              <w:rPr>
                <w:sz w:val="20"/>
                <w:szCs w:val="20"/>
                <w:color w:val="auto"/>
              </w:rPr>
            </w:pPr>
            <w:r>
              <w:rPr>
                <w:rFonts w:ascii="Arial" w:cs="Arial" w:eastAsia="Arial" w:hAnsi="Arial"/>
                <w:sz w:val="13"/>
                <w:szCs w:val="13"/>
                <w:b w:val="1"/>
                <w:bCs w:val="1"/>
                <w:color w:val="3B3C43"/>
              </w:rPr>
              <w:t>Maryann T. Mannen</w:t>
            </w:r>
          </w:p>
        </w:tc>
        <w:tc>
          <w:tcPr>
            <w:tcW w:w="1840" w:type="dxa"/>
            <w:vAlign w:val="bottom"/>
            <w:tcBorders>
              <w:bottom w:val="single" w:sz="8" w:color="E1E2E0"/>
            </w:tcBorders>
          </w:tcPr>
          <w:p>
            <w:pPr>
              <w:jc w:val="right"/>
              <w:ind w:right="57"/>
              <w:spacing w:after="0"/>
              <w:rPr>
                <w:sz w:val="20"/>
                <w:szCs w:val="20"/>
                <w:color w:val="auto"/>
              </w:rPr>
            </w:pPr>
            <w:r>
              <w:rPr>
                <w:rFonts w:ascii="Arial" w:cs="Arial" w:eastAsia="Arial" w:hAnsi="Arial"/>
                <w:sz w:val="13"/>
                <w:szCs w:val="13"/>
                <w:color w:val="3B3C43"/>
              </w:rPr>
              <w:t>2,409,000</w:t>
            </w:r>
          </w:p>
        </w:tc>
        <w:tc>
          <w:tcPr>
            <w:tcW w:w="1240" w:type="dxa"/>
            <w:vAlign w:val="bottom"/>
            <w:tcBorders>
              <w:bottom w:val="single" w:sz="8" w:color="E1E2E0"/>
            </w:tcBorders>
          </w:tcPr>
          <w:p>
            <w:pPr>
              <w:jc w:val="right"/>
              <w:ind w:right="77"/>
              <w:spacing w:after="0"/>
              <w:rPr>
                <w:sz w:val="20"/>
                <w:szCs w:val="20"/>
                <w:color w:val="auto"/>
              </w:rPr>
            </w:pPr>
            <w:r>
              <w:rPr>
                <w:rFonts w:ascii="Arial" w:cs="Arial" w:eastAsia="Arial" w:hAnsi="Arial"/>
                <w:sz w:val="13"/>
                <w:szCs w:val="13"/>
                <w:color w:val="3B3C43"/>
              </w:rPr>
              <w:t>803,000</w:t>
            </w:r>
          </w:p>
        </w:tc>
        <w:tc>
          <w:tcPr>
            <w:tcW w:w="116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w:t>
            </w:r>
          </w:p>
        </w:tc>
        <w:tc>
          <w:tcPr>
            <w:tcW w:w="120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18,194</w:t>
            </w:r>
          </w:p>
        </w:tc>
        <w:tc>
          <w:tcPr>
            <w:tcW w:w="1460" w:type="dxa"/>
            <w:vAlign w:val="bottom"/>
            <w:tcBorders>
              <w:bottom w:val="single" w:sz="8" w:color="E1E2E0"/>
            </w:tcBorders>
          </w:tcPr>
          <w:p>
            <w:pPr>
              <w:jc w:val="right"/>
              <w:ind w:right="137"/>
              <w:spacing w:after="0"/>
              <w:rPr>
                <w:sz w:val="20"/>
                <w:szCs w:val="20"/>
                <w:color w:val="auto"/>
              </w:rPr>
            </w:pPr>
            <w:r>
              <w:rPr>
                <w:rFonts w:ascii="Arial" w:cs="Arial" w:eastAsia="Arial" w:hAnsi="Arial"/>
                <w:sz w:val="13"/>
                <w:szCs w:val="13"/>
                <w:color w:val="3B3C43"/>
              </w:rPr>
              <w:t>22,783</w:t>
            </w:r>
          </w:p>
        </w:tc>
        <w:tc>
          <w:tcPr>
            <w:tcW w:w="1240" w:type="dxa"/>
            <w:vAlign w:val="bottom"/>
            <w:tcBorders>
              <w:bottom w:val="single" w:sz="8" w:color="E1E2E0"/>
            </w:tcBorders>
          </w:tcPr>
          <w:p>
            <w:pPr>
              <w:jc w:val="right"/>
              <w:ind w:right="157"/>
              <w:spacing w:after="0"/>
              <w:rPr>
                <w:sz w:val="20"/>
                <w:szCs w:val="20"/>
                <w:color w:val="auto"/>
              </w:rPr>
            </w:pPr>
            <w:r>
              <w:rPr>
                <w:rFonts w:ascii="Arial" w:cs="Arial" w:eastAsia="Arial" w:hAnsi="Arial"/>
                <w:sz w:val="13"/>
                <w:szCs w:val="13"/>
                <w:color w:val="3B3C43"/>
              </w:rPr>
              <w:t>50,000</w:t>
            </w:r>
          </w:p>
        </w:tc>
        <w:tc>
          <w:tcPr>
            <w:tcW w:w="82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3,302,977</w:t>
            </w:r>
          </w:p>
        </w:tc>
        <w:tc>
          <w:tcPr>
            <w:tcW w:w="20" w:type="dxa"/>
            <w:vAlign w:val="bottom"/>
            <w:tcBorders>
              <w:bottom w:val="single" w:sz="8" w:color="E1E2E0"/>
            </w:tcBorders>
          </w:tcPr>
          <w:p>
            <w:pPr>
              <w:spacing w:after="0"/>
              <w:rPr>
                <w:sz w:val="15"/>
                <w:szCs w:val="15"/>
                <w:color w:val="auto"/>
              </w:rPr>
            </w:pPr>
          </w:p>
        </w:tc>
      </w:tr>
      <w:tr>
        <w:trPr>
          <w:trHeight w:val="200"/>
        </w:trPr>
        <w:tc>
          <w:tcPr>
            <w:tcW w:w="2280" w:type="dxa"/>
            <w:vAlign w:val="bottom"/>
          </w:tcPr>
          <w:p>
            <w:pPr>
              <w:ind w:left="60"/>
              <w:spacing w:after="0"/>
              <w:rPr>
                <w:sz w:val="20"/>
                <w:szCs w:val="20"/>
                <w:color w:val="auto"/>
              </w:rPr>
            </w:pPr>
            <w:r>
              <w:rPr>
                <w:rFonts w:ascii="Arial" w:cs="Arial" w:eastAsia="Arial" w:hAnsi="Arial"/>
                <w:sz w:val="13"/>
                <w:szCs w:val="13"/>
                <w:b w:val="1"/>
                <w:bCs w:val="1"/>
                <w:color w:val="3B3C43"/>
              </w:rPr>
              <w:t>Justin Rounce</w:t>
            </w:r>
          </w:p>
        </w:tc>
        <w:tc>
          <w:tcPr>
            <w:tcW w:w="1840" w:type="dxa"/>
            <w:vAlign w:val="bottom"/>
          </w:tcPr>
          <w:p>
            <w:pPr>
              <w:jc w:val="right"/>
              <w:ind w:right="57"/>
              <w:spacing w:after="0"/>
              <w:rPr>
                <w:sz w:val="20"/>
                <w:szCs w:val="20"/>
                <w:color w:val="auto"/>
              </w:rPr>
            </w:pPr>
            <w:r>
              <w:rPr>
                <w:rFonts w:ascii="Arial" w:cs="Arial" w:eastAsia="Arial" w:hAnsi="Arial"/>
                <w:sz w:val="13"/>
                <w:szCs w:val="13"/>
                <w:color w:val="3B3C43"/>
              </w:rPr>
              <w:t>1,800,000</w:t>
            </w:r>
          </w:p>
        </w:tc>
        <w:tc>
          <w:tcPr>
            <w:tcW w:w="1240" w:type="dxa"/>
            <w:vAlign w:val="bottom"/>
          </w:tcPr>
          <w:p>
            <w:pPr>
              <w:jc w:val="right"/>
              <w:ind w:right="77"/>
              <w:spacing w:after="0"/>
              <w:rPr>
                <w:sz w:val="20"/>
                <w:szCs w:val="20"/>
                <w:color w:val="auto"/>
              </w:rPr>
            </w:pPr>
            <w:r>
              <w:rPr>
                <w:rFonts w:ascii="Arial" w:cs="Arial" w:eastAsia="Arial" w:hAnsi="Arial"/>
                <w:sz w:val="13"/>
                <w:szCs w:val="13"/>
                <w:color w:val="3B3C43"/>
              </w:rPr>
              <w:t>600,000</w:t>
            </w:r>
          </w:p>
        </w:tc>
        <w:tc>
          <w:tcPr>
            <w:tcW w:w="1160" w:type="dxa"/>
            <w:vAlign w:val="bottom"/>
          </w:tcPr>
          <w:p>
            <w:pPr>
              <w:jc w:val="right"/>
              <w:spacing w:after="0"/>
              <w:rPr>
                <w:sz w:val="20"/>
                <w:szCs w:val="20"/>
                <w:color w:val="auto"/>
              </w:rPr>
            </w:pPr>
            <w:r>
              <w:rPr>
                <w:rFonts w:ascii="Arial" w:cs="Arial" w:eastAsia="Arial" w:hAnsi="Arial"/>
                <w:sz w:val="13"/>
                <w:szCs w:val="13"/>
                <w:color w:val="3B3C43"/>
              </w:rPr>
              <w:t>-</w:t>
            </w:r>
          </w:p>
        </w:tc>
        <w:tc>
          <w:tcPr>
            <w:tcW w:w="1200" w:type="dxa"/>
            <w:vAlign w:val="bottom"/>
          </w:tcPr>
          <w:p>
            <w:pPr>
              <w:jc w:val="right"/>
              <w:spacing w:after="0"/>
              <w:rPr>
                <w:sz w:val="20"/>
                <w:szCs w:val="20"/>
                <w:color w:val="auto"/>
              </w:rPr>
            </w:pPr>
            <w:r>
              <w:rPr>
                <w:rFonts w:ascii="Arial" w:cs="Arial" w:eastAsia="Arial" w:hAnsi="Arial"/>
                <w:sz w:val="13"/>
                <w:szCs w:val="13"/>
                <w:color w:val="3B3C43"/>
              </w:rPr>
              <w:t>29,609</w:t>
            </w:r>
          </w:p>
        </w:tc>
        <w:tc>
          <w:tcPr>
            <w:tcW w:w="1460" w:type="dxa"/>
            <w:vAlign w:val="bottom"/>
          </w:tcPr>
          <w:p>
            <w:pPr>
              <w:spacing w:after="0"/>
              <w:rPr>
                <w:sz w:val="17"/>
                <w:szCs w:val="17"/>
                <w:color w:val="auto"/>
              </w:rPr>
            </w:pPr>
          </w:p>
        </w:tc>
        <w:tc>
          <w:tcPr>
            <w:tcW w:w="1240" w:type="dxa"/>
            <w:vAlign w:val="bottom"/>
          </w:tcPr>
          <w:p>
            <w:pPr>
              <w:jc w:val="right"/>
              <w:ind w:right="157"/>
              <w:spacing w:after="0"/>
              <w:rPr>
                <w:sz w:val="20"/>
                <w:szCs w:val="20"/>
                <w:color w:val="auto"/>
              </w:rPr>
            </w:pPr>
            <w:r>
              <w:rPr>
                <w:rFonts w:ascii="Arial" w:cs="Arial" w:eastAsia="Arial" w:hAnsi="Arial"/>
                <w:sz w:val="13"/>
                <w:szCs w:val="13"/>
                <w:color w:val="3B3C43"/>
              </w:rPr>
              <w:t>50,000</w:t>
            </w:r>
          </w:p>
        </w:tc>
        <w:tc>
          <w:tcPr>
            <w:tcW w:w="820" w:type="dxa"/>
            <w:vAlign w:val="bottom"/>
          </w:tcPr>
          <w:p>
            <w:pPr>
              <w:jc w:val="right"/>
              <w:spacing w:after="0"/>
              <w:rPr>
                <w:sz w:val="20"/>
                <w:szCs w:val="20"/>
                <w:color w:val="auto"/>
              </w:rPr>
            </w:pPr>
            <w:r>
              <w:rPr>
                <w:rFonts w:ascii="Arial" w:cs="Arial" w:eastAsia="Arial" w:hAnsi="Arial"/>
                <w:sz w:val="13"/>
                <w:szCs w:val="13"/>
                <w:color w:val="3B3C43"/>
              </w:rPr>
              <w:t>2,479,609</w:t>
            </w:r>
          </w:p>
        </w:tc>
        <w:tc>
          <w:tcPr>
            <w:tcW w:w="20" w:type="dxa"/>
            <w:vAlign w:val="bottom"/>
          </w:tcPr>
          <w:p>
            <w:pPr>
              <w:spacing w:after="0"/>
              <w:rPr>
                <w:sz w:val="17"/>
                <w:szCs w:val="17"/>
                <w:color w:val="auto"/>
              </w:rPr>
            </w:pPr>
          </w:p>
        </w:tc>
      </w:tr>
      <w:tr>
        <w:trPr>
          <w:trHeight w:val="43"/>
        </w:trPr>
        <w:tc>
          <w:tcPr>
            <w:tcW w:w="2280" w:type="dxa"/>
            <w:vAlign w:val="bottom"/>
            <w:tcBorders>
              <w:bottom w:val="single" w:sz="8" w:color="E1E2E0"/>
            </w:tcBorders>
          </w:tcPr>
          <w:p>
            <w:pPr>
              <w:spacing w:after="0"/>
              <w:rPr>
                <w:sz w:val="3"/>
                <w:szCs w:val="3"/>
                <w:color w:val="auto"/>
              </w:rPr>
            </w:pPr>
          </w:p>
        </w:tc>
        <w:tc>
          <w:tcPr>
            <w:tcW w:w="1840" w:type="dxa"/>
            <w:vAlign w:val="bottom"/>
            <w:tcBorders>
              <w:bottom w:val="single" w:sz="8" w:color="E1E2E0"/>
            </w:tcBorders>
          </w:tcPr>
          <w:p>
            <w:pPr>
              <w:spacing w:after="0"/>
              <w:rPr>
                <w:sz w:val="3"/>
                <w:szCs w:val="3"/>
                <w:color w:val="auto"/>
              </w:rPr>
            </w:pPr>
          </w:p>
        </w:tc>
        <w:tc>
          <w:tcPr>
            <w:tcW w:w="1240" w:type="dxa"/>
            <w:vAlign w:val="bottom"/>
            <w:tcBorders>
              <w:bottom w:val="single" w:sz="8" w:color="E1E2E0"/>
            </w:tcBorders>
          </w:tcPr>
          <w:p>
            <w:pPr>
              <w:spacing w:after="0"/>
              <w:rPr>
                <w:sz w:val="3"/>
                <w:szCs w:val="3"/>
                <w:color w:val="auto"/>
              </w:rPr>
            </w:pPr>
          </w:p>
        </w:tc>
        <w:tc>
          <w:tcPr>
            <w:tcW w:w="1160" w:type="dxa"/>
            <w:vAlign w:val="bottom"/>
            <w:tcBorders>
              <w:bottom w:val="single" w:sz="8" w:color="E1E2E0"/>
            </w:tcBorders>
          </w:tcPr>
          <w:p>
            <w:pPr>
              <w:spacing w:after="0"/>
              <w:rPr>
                <w:sz w:val="3"/>
                <w:szCs w:val="3"/>
                <w:color w:val="auto"/>
              </w:rPr>
            </w:pPr>
          </w:p>
        </w:tc>
        <w:tc>
          <w:tcPr>
            <w:tcW w:w="1200" w:type="dxa"/>
            <w:vAlign w:val="bottom"/>
            <w:tcBorders>
              <w:bottom w:val="single" w:sz="8" w:color="E1E2E0"/>
            </w:tcBorders>
          </w:tcPr>
          <w:p>
            <w:pPr>
              <w:spacing w:after="0"/>
              <w:rPr>
                <w:sz w:val="3"/>
                <w:szCs w:val="3"/>
                <w:color w:val="auto"/>
              </w:rPr>
            </w:pPr>
          </w:p>
        </w:tc>
        <w:tc>
          <w:tcPr>
            <w:tcW w:w="1460" w:type="dxa"/>
            <w:vAlign w:val="bottom"/>
            <w:tcBorders>
              <w:bottom w:val="single" w:sz="8" w:color="E1E2E0"/>
            </w:tcBorders>
          </w:tcPr>
          <w:p>
            <w:pPr>
              <w:spacing w:after="0"/>
              <w:rPr>
                <w:sz w:val="3"/>
                <w:szCs w:val="3"/>
                <w:color w:val="auto"/>
              </w:rPr>
            </w:pPr>
          </w:p>
        </w:tc>
        <w:tc>
          <w:tcPr>
            <w:tcW w:w="1240" w:type="dxa"/>
            <w:vAlign w:val="bottom"/>
            <w:tcBorders>
              <w:bottom w:val="single" w:sz="8" w:color="E1E2E0"/>
            </w:tcBorders>
          </w:tcPr>
          <w:p>
            <w:pPr>
              <w:spacing w:after="0"/>
              <w:rPr>
                <w:sz w:val="3"/>
                <w:szCs w:val="3"/>
                <w:color w:val="auto"/>
              </w:rPr>
            </w:pPr>
          </w:p>
        </w:tc>
        <w:tc>
          <w:tcPr>
            <w:tcW w:w="820" w:type="dxa"/>
            <w:vAlign w:val="bottom"/>
            <w:tcBorders>
              <w:bottom w:val="single" w:sz="8" w:color="E1E2E0"/>
            </w:tcBorders>
          </w:tcPr>
          <w:p>
            <w:pPr>
              <w:spacing w:after="0"/>
              <w:rPr>
                <w:sz w:val="3"/>
                <w:szCs w:val="3"/>
                <w:color w:val="auto"/>
              </w:rPr>
            </w:pPr>
          </w:p>
        </w:tc>
        <w:tc>
          <w:tcPr>
            <w:tcW w:w="20" w:type="dxa"/>
            <w:vAlign w:val="bottom"/>
            <w:tcBorders>
              <w:bottom w:val="single" w:sz="8" w:color="E1E2E0"/>
            </w:tcBorders>
          </w:tcPr>
          <w:p>
            <w:pPr>
              <w:spacing w:after="0"/>
              <w:rPr>
                <w:sz w:val="3"/>
                <w:szCs w:val="3"/>
                <w:color w:val="auto"/>
              </w:rPr>
            </w:pPr>
          </w:p>
        </w:tc>
      </w:tr>
      <w:tr>
        <w:trPr>
          <w:trHeight w:val="193"/>
        </w:trPr>
        <w:tc>
          <w:tcPr>
            <w:tcW w:w="2280" w:type="dxa"/>
            <w:vAlign w:val="bottom"/>
          </w:tcPr>
          <w:p>
            <w:pPr>
              <w:ind w:left="60"/>
              <w:spacing w:after="0"/>
              <w:rPr>
                <w:sz w:val="20"/>
                <w:szCs w:val="20"/>
                <w:color w:val="auto"/>
              </w:rPr>
            </w:pPr>
            <w:r>
              <w:rPr>
                <w:rFonts w:ascii="Arial" w:cs="Arial" w:eastAsia="Arial" w:hAnsi="Arial"/>
                <w:sz w:val="13"/>
                <w:szCs w:val="13"/>
                <w:b w:val="1"/>
                <w:bCs w:val="1"/>
                <w:color w:val="3B3C43"/>
              </w:rPr>
              <w:t>Arnaud Pieton</w:t>
            </w:r>
          </w:p>
        </w:tc>
        <w:tc>
          <w:tcPr>
            <w:tcW w:w="1840" w:type="dxa"/>
            <w:vAlign w:val="bottom"/>
          </w:tcPr>
          <w:p>
            <w:pPr>
              <w:jc w:val="right"/>
              <w:ind w:right="57"/>
              <w:spacing w:after="0"/>
              <w:rPr>
                <w:sz w:val="20"/>
                <w:szCs w:val="20"/>
                <w:color w:val="auto"/>
              </w:rPr>
            </w:pPr>
            <w:r>
              <w:rPr>
                <w:rFonts w:ascii="Arial" w:cs="Arial" w:eastAsia="Arial" w:hAnsi="Arial"/>
                <w:sz w:val="13"/>
                <w:szCs w:val="13"/>
                <w:color w:val="3B3C43"/>
              </w:rPr>
              <w:t>1,545,000</w:t>
            </w:r>
          </w:p>
        </w:tc>
        <w:tc>
          <w:tcPr>
            <w:tcW w:w="1240" w:type="dxa"/>
            <w:vAlign w:val="bottom"/>
          </w:tcPr>
          <w:p>
            <w:pPr>
              <w:jc w:val="right"/>
              <w:ind w:right="77"/>
              <w:spacing w:after="0"/>
              <w:rPr>
                <w:sz w:val="20"/>
                <w:szCs w:val="20"/>
                <w:color w:val="auto"/>
              </w:rPr>
            </w:pPr>
            <w:r>
              <w:rPr>
                <w:rFonts w:ascii="Arial" w:cs="Arial" w:eastAsia="Arial" w:hAnsi="Arial"/>
                <w:sz w:val="13"/>
                <w:szCs w:val="13"/>
                <w:color w:val="3B3C43"/>
              </w:rPr>
              <w:t>587,020</w:t>
            </w:r>
          </w:p>
        </w:tc>
        <w:tc>
          <w:tcPr>
            <w:tcW w:w="1160" w:type="dxa"/>
            <w:vAlign w:val="bottom"/>
          </w:tcPr>
          <w:p>
            <w:pPr>
              <w:jc w:val="right"/>
              <w:spacing w:after="0"/>
              <w:rPr>
                <w:sz w:val="20"/>
                <w:szCs w:val="20"/>
                <w:color w:val="auto"/>
              </w:rPr>
            </w:pPr>
            <w:r>
              <w:rPr>
                <w:rFonts w:ascii="Arial" w:cs="Arial" w:eastAsia="Arial" w:hAnsi="Arial"/>
                <w:sz w:val="13"/>
                <w:szCs w:val="13"/>
                <w:color w:val="3B3C43"/>
              </w:rPr>
              <w:t>-</w:t>
            </w:r>
          </w:p>
        </w:tc>
        <w:tc>
          <w:tcPr>
            <w:tcW w:w="1200" w:type="dxa"/>
            <w:vAlign w:val="bottom"/>
          </w:tcPr>
          <w:p>
            <w:pPr>
              <w:jc w:val="right"/>
              <w:spacing w:after="0"/>
              <w:rPr>
                <w:sz w:val="20"/>
                <w:szCs w:val="20"/>
                <w:color w:val="auto"/>
              </w:rPr>
            </w:pPr>
            <w:r>
              <w:rPr>
                <w:rFonts w:ascii="Arial" w:cs="Arial" w:eastAsia="Arial" w:hAnsi="Arial"/>
                <w:sz w:val="13"/>
                <w:szCs w:val="13"/>
                <w:color w:val="3B3C43"/>
              </w:rPr>
              <w:t>10,141</w:t>
            </w:r>
          </w:p>
        </w:tc>
        <w:tc>
          <w:tcPr>
            <w:tcW w:w="1460" w:type="dxa"/>
            <w:vAlign w:val="bottom"/>
          </w:tcPr>
          <w:p>
            <w:pPr>
              <w:spacing w:after="0"/>
              <w:rPr>
                <w:sz w:val="16"/>
                <w:szCs w:val="16"/>
                <w:color w:val="auto"/>
              </w:rPr>
            </w:pPr>
          </w:p>
        </w:tc>
        <w:tc>
          <w:tcPr>
            <w:tcW w:w="1240" w:type="dxa"/>
            <w:vAlign w:val="bottom"/>
          </w:tcPr>
          <w:p>
            <w:pPr>
              <w:jc w:val="right"/>
              <w:ind w:right="157"/>
              <w:spacing w:after="0"/>
              <w:rPr>
                <w:sz w:val="20"/>
                <w:szCs w:val="20"/>
                <w:color w:val="auto"/>
              </w:rPr>
            </w:pPr>
            <w:r>
              <w:rPr>
                <w:rFonts w:ascii="Arial" w:cs="Arial" w:eastAsia="Arial" w:hAnsi="Arial"/>
                <w:sz w:val="13"/>
                <w:szCs w:val="13"/>
                <w:color w:val="3B3C43"/>
              </w:rPr>
              <w:t>50,000</w:t>
            </w:r>
          </w:p>
        </w:tc>
        <w:tc>
          <w:tcPr>
            <w:tcW w:w="820" w:type="dxa"/>
            <w:vAlign w:val="bottom"/>
          </w:tcPr>
          <w:p>
            <w:pPr>
              <w:jc w:val="right"/>
              <w:spacing w:after="0"/>
              <w:rPr>
                <w:sz w:val="20"/>
                <w:szCs w:val="20"/>
                <w:color w:val="auto"/>
              </w:rPr>
            </w:pPr>
            <w:r>
              <w:rPr>
                <w:rFonts w:ascii="Arial" w:cs="Arial" w:eastAsia="Arial" w:hAnsi="Arial"/>
                <w:sz w:val="13"/>
                <w:szCs w:val="13"/>
                <w:color w:val="3B3C43"/>
              </w:rPr>
              <w:t>2,192,161</w:t>
            </w:r>
          </w:p>
        </w:tc>
        <w:tc>
          <w:tcPr>
            <w:tcW w:w="20" w:type="dxa"/>
            <w:vAlign w:val="bottom"/>
          </w:tcPr>
          <w:p>
            <w:pPr>
              <w:spacing w:after="0"/>
              <w:rPr>
                <w:sz w:val="16"/>
                <w:szCs w:val="16"/>
                <w:color w:val="auto"/>
              </w:rPr>
            </w:pPr>
          </w:p>
        </w:tc>
      </w:tr>
      <w:tr>
        <w:trPr>
          <w:trHeight w:val="43"/>
        </w:trPr>
        <w:tc>
          <w:tcPr>
            <w:tcW w:w="2280" w:type="dxa"/>
            <w:vAlign w:val="bottom"/>
            <w:tcBorders>
              <w:bottom w:val="single" w:sz="8" w:color="E1E2E0"/>
            </w:tcBorders>
          </w:tcPr>
          <w:p>
            <w:pPr>
              <w:spacing w:after="0"/>
              <w:rPr>
                <w:sz w:val="3"/>
                <w:szCs w:val="3"/>
                <w:color w:val="auto"/>
              </w:rPr>
            </w:pPr>
          </w:p>
        </w:tc>
        <w:tc>
          <w:tcPr>
            <w:tcW w:w="1840" w:type="dxa"/>
            <w:vAlign w:val="bottom"/>
            <w:tcBorders>
              <w:bottom w:val="single" w:sz="8" w:color="E1E2E0"/>
            </w:tcBorders>
          </w:tcPr>
          <w:p>
            <w:pPr>
              <w:spacing w:after="0"/>
              <w:rPr>
                <w:sz w:val="3"/>
                <w:szCs w:val="3"/>
                <w:color w:val="auto"/>
              </w:rPr>
            </w:pPr>
          </w:p>
        </w:tc>
        <w:tc>
          <w:tcPr>
            <w:tcW w:w="1240" w:type="dxa"/>
            <w:vAlign w:val="bottom"/>
            <w:tcBorders>
              <w:bottom w:val="single" w:sz="8" w:color="E1E2E0"/>
            </w:tcBorders>
          </w:tcPr>
          <w:p>
            <w:pPr>
              <w:spacing w:after="0"/>
              <w:rPr>
                <w:sz w:val="3"/>
                <w:szCs w:val="3"/>
                <w:color w:val="auto"/>
              </w:rPr>
            </w:pPr>
          </w:p>
        </w:tc>
        <w:tc>
          <w:tcPr>
            <w:tcW w:w="1160" w:type="dxa"/>
            <w:vAlign w:val="bottom"/>
            <w:tcBorders>
              <w:bottom w:val="single" w:sz="8" w:color="E1E2E0"/>
            </w:tcBorders>
          </w:tcPr>
          <w:p>
            <w:pPr>
              <w:spacing w:after="0"/>
              <w:rPr>
                <w:sz w:val="3"/>
                <w:szCs w:val="3"/>
                <w:color w:val="auto"/>
              </w:rPr>
            </w:pPr>
          </w:p>
        </w:tc>
        <w:tc>
          <w:tcPr>
            <w:tcW w:w="1200" w:type="dxa"/>
            <w:vAlign w:val="bottom"/>
            <w:tcBorders>
              <w:bottom w:val="single" w:sz="8" w:color="E1E2E0"/>
            </w:tcBorders>
          </w:tcPr>
          <w:p>
            <w:pPr>
              <w:spacing w:after="0"/>
              <w:rPr>
                <w:sz w:val="3"/>
                <w:szCs w:val="3"/>
                <w:color w:val="auto"/>
              </w:rPr>
            </w:pPr>
          </w:p>
        </w:tc>
        <w:tc>
          <w:tcPr>
            <w:tcW w:w="1460" w:type="dxa"/>
            <w:vAlign w:val="bottom"/>
            <w:tcBorders>
              <w:bottom w:val="single" w:sz="8" w:color="E1E2E0"/>
            </w:tcBorders>
          </w:tcPr>
          <w:p>
            <w:pPr>
              <w:spacing w:after="0"/>
              <w:rPr>
                <w:sz w:val="3"/>
                <w:szCs w:val="3"/>
                <w:color w:val="auto"/>
              </w:rPr>
            </w:pPr>
          </w:p>
        </w:tc>
        <w:tc>
          <w:tcPr>
            <w:tcW w:w="1240" w:type="dxa"/>
            <w:vAlign w:val="bottom"/>
            <w:tcBorders>
              <w:bottom w:val="single" w:sz="8" w:color="E1E2E0"/>
            </w:tcBorders>
          </w:tcPr>
          <w:p>
            <w:pPr>
              <w:spacing w:after="0"/>
              <w:rPr>
                <w:sz w:val="3"/>
                <w:szCs w:val="3"/>
                <w:color w:val="auto"/>
              </w:rPr>
            </w:pPr>
          </w:p>
        </w:tc>
        <w:tc>
          <w:tcPr>
            <w:tcW w:w="820" w:type="dxa"/>
            <w:vAlign w:val="bottom"/>
            <w:tcBorders>
              <w:bottom w:val="single" w:sz="8" w:color="E1E2E0"/>
            </w:tcBorders>
          </w:tcPr>
          <w:p>
            <w:pPr>
              <w:spacing w:after="0"/>
              <w:rPr>
                <w:sz w:val="3"/>
                <w:szCs w:val="3"/>
                <w:color w:val="auto"/>
              </w:rPr>
            </w:pPr>
          </w:p>
        </w:tc>
        <w:tc>
          <w:tcPr>
            <w:tcW w:w="20" w:type="dxa"/>
            <w:vAlign w:val="bottom"/>
            <w:tcBorders>
              <w:bottom w:val="single" w:sz="8" w:color="E1E2E0"/>
            </w:tcBorders>
          </w:tcPr>
          <w:p>
            <w:pPr>
              <w:spacing w:after="0"/>
              <w:rPr>
                <w:sz w:val="3"/>
                <w:szCs w:val="3"/>
                <w:color w:val="auto"/>
              </w:rPr>
            </w:pPr>
          </w:p>
        </w:tc>
      </w:tr>
      <w:tr>
        <w:trPr>
          <w:trHeight w:val="176"/>
        </w:trPr>
        <w:tc>
          <w:tcPr>
            <w:tcW w:w="2280" w:type="dxa"/>
            <w:vAlign w:val="bottom"/>
            <w:tcBorders>
              <w:bottom w:val="single" w:sz="8" w:color="E1E2E0"/>
            </w:tcBorders>
          </w:tcPr>
          <w:p>
            <w:pPr>
              <w:ind w:left="60"/>
              <w:spacing w:after="0"/>
              <w:rPr>
                <w:sz w:val="20"/>
                <w:szCs w:val="20"/>
                <w:color w:val="auto"/>
              </w:rPr>
            </w:pPr>
            <w:r>
              <w:rPr>
                <w:rFonts w:ascii="Arial" w:cs="Arial" w:eastAsia="Arial" w:hAnsi="Arial"/>
                <w:sz w:val="13"/>
                <w:szCs w:val="13"/>
                <w:b w:val="1"/>
                <w:bCs w:val="1"/>
                <w:color w:val="3B3C43"/>
              </w:rPr>
              <w:t>Barry Glickman</w:t>
            </w:r>
          </w:p>
        </w:tc>
        <w:tc>
          <w:tcPr>
            <w:tcW w:w="1840" w:type="dxa"/>
            <w:vAlign w:val="bottom"/>
            <w:tcBorders>
              <w:bottom w:val="single" w:sz="8" w:color="E1E2E0"/>
            </w:tcBorders>
          </w:tcPr>
          <w:p>
            <w:pPr>
              <w:jc w:val="right"/>
              <w:ind w:right="57"/>
              <w:spacing w:after="0"/>
              <w:rPr>
                <w:sz w:val="20"/>
                <w:szCs w:val="20"/>
                <w:color w:val="auto"/>
              </w:rPr>
            </w:pPr>
            <w:r>
              <w:rPr>
                <w:rFonts w:ascii="Arial" w:cs="Arial" w:eastAsia="Arial" w:hAnsi="Arial"/>
                <w:sz w:val="13"/>
                <w:szCs w:val="13"/>
                <w:color w:val="3B3C43"/>
              </w:rPr>
              <w:t>1,608,000</w:t>
            </w:r>
          </w:p>
        </w:tc>
        <w:tc>
          <w:tcPr>
            <w:tcW w:w="1240" w:type="dxa"/>
            <w:vAlign w:val="bottom"/>
            <w:tcBorders>
              <w:bottom w:val="single" w:sz="8" w:color="E1E2E0"/>
            </w:tcBorders>
          </w:tcPr>
          <w:p>
            <w:pPr>
              <w:jc w:val="right"/>
              <w:ind w:right="77"/>
              <w:spacing w:after="0"/>
              <w:rPr>
                <w:sz w:val="20"/>
                <w:szCs w:val="20"/>
                <w:color w:val="auto"/>
              </w:rPr>
            </w:pPr>
            <w:r>
              <w:rPr>
                <w:rFonts w:ascii="Arial" w:cs="Arial" w:eastAsia="Arial" w:hAnsi="Arial"/>
                <w:sz w:val="13"/>
                <w:szCs w:val="13"/>
                <w:color w:val="3B3C43"/>
              </w:rPr>
              <w:t>536,000</w:t>
            </w:r>
          </w:p>
        </w:tc>
        <w:tc>
          <w:tcPr>
            <w:tcW w:w="116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w:t>
            </w:r>
          </w:p>
        </w:tc>
        <w:tc>
          <w:tcPr>
            <w:tcW w:w="120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27,088</w:t>
            </w:r>
          </w:p>
        </w:tc>
        <w:tc>
          <w:tcPr>
            <w:tcW w:w="1460" w:type="dxa"/>
            <w:vAlign w:val="bottom"/>
            <w:tcBorders>
              <w:bottom w:val="single" w:sz="8" w:color="E1E2E0"/>
            </w:tcBorders>
          </w:tcPr>
          <w:p>
            <w:pPr>
              <w:jc w:val="right"/>
              <w:ind w:right="137"/>
              <w:spacing w:after="0"/>
              <w:rPr>
                <w:sz w:val="20"/>
                <w:szCs w:val="20"/>
                <w:color w:val="auto"/>
              </w:rPr>
            </w:pPr>
            <w:r>
              <w:rPr>
                <w:rFonts w:ascii="Arial" w:cs="Arial" w:eastAsia="Arial" w:hAnsi="Arial"/>
                <w:sz w:val="13"/>
                <w:szCs w:val="13"/>
                <w:color w:val="3B3C43"/>
              </w:rPr>
              <w:t>1,878</w:t>
            </w:r>
          </w:p>
        </w:tc>
        <w:tc>
          <w:tcPr>
            <w:tcW w:w="1240" w:type="dxa"/>
            <w:vAlign w:val="bottom"/>
            <w:tcBorders>
              <w:bottom w:val="single" w:sz="8" w:color="E1E2E0"/>
            </w:tcBorders>
          </w:tcPr>
          <w:p>
            <w:pPr>
              <w:jc w:val="right"/>
              <w:ind w:right="157"/>
              <w:spacing w:after="0"/>
              <w:rPr>
                <w:sz w:val="20"/>
                <w:szCs w:val="20"/>
                <w:color w:val="auto"/>
              </w:rPr>
            </w:pPr>
            <w:r>
              <w:rPr>
                <w:rFonts w:ascii="Arial" w:cs="Arial" w:eastAsia="Arial" w:hAnsi="Arial"/>
                <w:sz w:val="13"/>
                <w:szCs w:val="13"/>
                <w:color w:val="3B3C43"/>
              </w:rPr>
              <w:t>50,000</w:t>
            </w:r>
          </w:p>
        </w:tc>
        <w:tc>
          <w:tcPr>
            <w:tcW w:w="820" w:type="dxa"/>
            <w:vAlign w:val="bottom"/>
            <w:tcBorders>
              <w:bottom w:val="single" w:sz="8" w:color="E1E2E0"/>
            </w:tcBorders>
          </w:tcPr>
          <w:p>
            <w:pPr>
              <w:jc w:val="right"/>
              <w:spacing w:after="0"/>
              <w:rPr>
                <w:sz w:val="20"/>
                <w:szCs w:val="20"/>
                <w:color w:val="auto"/>
              </w:rPr>
            </w:pPr>
            <w:r>
              <w:rPr>
                <w:rFonts w:ascii="Arial" w:cs="Arial" w:eastAsia="Arial" w:hAnsi="Arial"/>
                <w:sz w:val="13"/>
                <w:szCs w:val="13"/>
                <w:color w:val="3B3C43"/>
              </w:rPr>
              <w:t>2,222,966</w:t>
            </w:r>
          </w:p>
        </w:tc>
        <w:tc>
          <w:tcPr>
            <w:tcW w:w="20" w:type="dxa"/>
            <w:vAlign w:val="bottom"/>
            <w:tcBorders>
              <w:bottom w:val="single" w:sz="8" w:color="E1E2E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-711200</wp:posOffset>
            </wp:positionV>
            <wp:extent cx="8890" cy="7118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711835"/>
                    </a:xfrm>
                    <a:prstGeom prst="rect">
                      <a:avLst/>
                    </a:prstGeom>
                    <a:noFill/>
                  </pic:spPr>
                </pic:pic>
              </a:graphicData>
            </a:graphic>
          </wp:anchor>
        </w:drawing>
      </w:r>
    </w:p>
    <w:p>
      <w:pPr>
        <w:spacing w:after="0" w:line="147" w:lineRule="exact"/>
        <w:rPr>
          <w:sz w:val="20"/>
          <w:szCs w:val="20"/>
          <w:color w:val="auto"/>
        </w:rPr>
      </w:pPr>
    </w:p>
    <w:p>
      <w:pPr>
        <w:ind w:left="280" w:hanging="272"/>
        <w:spacing w:after="0"/>
        <w:tabs>
          <w:tab w:leader="none" w:pos="280" w:val="left"/>
        </w:tabs>
        <w:numPr>
          <w:ilvl w:val="0"/>
          <w:numId w:val="118"/>
        </w:numPr>
        <w:rPr>
          <w:rFonts w:ascii="Arial" w:cs="Arial" w:eastAsia="Arial" w:hAnsi="Arial"/>
          <w:sz w:val="14"/>
          <w:szCs w:val="14"/>
          <w:color w:val="3B3C43"/>
        </w:rPr>
      </w:pPr>
      <w:r>
        <w:rPr>
          <w:rFonts w:ascii="Arial" w:cs="Arial" w:eastAsia="Arial" w:hAnsi="Arial"/>
          <w:sz w:val="14"/>
          <w:szCs w:val="14"/>
          <w:color w:val="3B3C43"/>
        </w:rPr>
        <w:t>Severance payment equal to 18 months base salary and target annual cash incentive.</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8"/>
        </w:numPr>
        <w:rPr>
          <w:rFonts w:ascii="Arial" w:cs="Arial" w:eastAsia="Arial" w:hAnsi="Arial"/>
          <w:sz w:val="14"/>
          <w:szCs w:val="14"/>
          <w:color w:val="3B3C43"/>
        </w:rPr>
      </w:pPr>
      <w:r>
        <w:rPr>
          <w:rFonts w:ascii="Arial" w:cs="Arial" w:eastAsia="Arial" w:hAnsi="Arial"/>
          <w:sz w:val="14"/>
          <w:szCs w:val="14"/>
          <w:color w:val="3B3C43"/>
        </w:rPr>
        <w:t>Pro-rated target annual cash incentive for the year of termination.</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8"/>
        </w:numPr>
        <w:rPr>
          <w:rFonts w:ascii="Arial" w:cs="Arial" w:eastAsia="Arial" w:hAnsi="Arial"/>
          <w:sz w:val="14"/>
          <w:szCs w:val="14"/>
          <w:color w:val="3B3C43"/>
        </w:rPr>
      </w:pPr>
      <w:r>
        <w:rPr>
          <w:rFonts w:ascii="Arial" w:cs="Arial" w:eastAsia="Arial" w:hAnsi="Arial"/>
          <w:sz w:val="14"/>
          <w:szCs w:val="14"/>
          <w:color w:val="3B3C43"/>
        </w:rPr>
        <w:t>18 months of medical and dental benefits continuation.</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8"/>
        </w:numPr>
        <w:rPr>
          <w:rFonts w:ascii="Arial" w:cs="Arial" w:eastAsia="Arial" w:hAnsi="Arial"/>
          <w:sz w:val="14"/>
          <w:szCs w:val="14"/>
          <w:color w:val="3B3C43"/>
        </w:rPr>
      </w:pPr>
      <w:r>
        <w:rPr>
          <w:rFonts w:ascii="Arial" w:cs="Arial" w:eastAsia="Arial" w:hAnsi="Arial"/>
          <w:sz w:val="14"/>
          <w:szCs w:val="14"/>
          <w:color w:val="3B3C43"/>
        </w:rPr>
        <w:t>Financial planning and tax preparation assistance for the year of termination.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115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Payments Made in the Event of a Qualifying Termination upon a Change-in-Control</w:t>
      </w:r>
    </w:p>
    <w:p>
      <w:pPr>
        <w:spacing w:after="0" w:line="25"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3B3C43"/>
        </w:rPr>
        <w:t>Under the terms of our NEOs’ executive severance agreements, our NEOs are entitled to receive severance benefits if they experience a Qualifying Termination within 24 months following a change-in-control event. A “Qualifying Termination” is an involuntary termination of the NEO’s employment by the Company for reasons other than cause, disability, or death or a voluntary resignation for good reason, in each case during the 24-month period following a change-in-control event.</w:t>
      </w:r>
    </w:p>
    <w:p>
      <w:pPr>
        <w:spacing w:after="0" w:line="17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B3C43"/>
        </w:rPr>
        <w:t>The amounts shown in the table below are calculated using the assumption that each NEO incurred a Qualifying Termination upon a change-in-control event that was effective as of December 31, 2020. As a result, such amounts are based on amounts earned through such time and are only estimates of amounts that would be paid out to the NEOs in the event of such a termination. The actual amounts that would be paid if such a termination were to occur can only be determined at the time of such NEO’s actual termination. Ms. MacGregor and Mr. Uccelletti are excluded because they left the Company prior to December 31, 2020.</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3B3C43"/>
        </w:rPr>
        <w:t>Executive Benefits and Payments for a Qualifying Termination upon Change-in-Control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B3C43"/>
        </w:rPr>
        <w:t>Occurring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7200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20" w:type="dxa"/>
            <w:vAlign w:val="bottom"/>
            <w:shd w:val="clear" w:color="auto" w:fill="4A1F67"/>
          </w:tcPr>
          <w:p>
            <w:pPr>
              <w:spacing w:after="0"/>
              <w:rPr>
                <w:sz w:val="17"/>
                <w:szCs w:val="17"/>
                <w:color w:val="auto"/>
              </w:rPr>
            </w:pPr>
          </w:p>
        </w:tc>
        <w:tc>
          <w:tcPr>
            <w:tcW w:w="1380" w:type="dxa"/>
            <w:vAlign w:val="bottom"/>
            <w:shd w:val="clear" w:color="auto" w:fill="4A1F67"/>
          </w:tcPr>
          <w:p>
            <w:pPr>
              <w:spacing w:after="0"/>
              <w:rPr>
                <w:sz w:val="17"/>
                <w:szCs w:val="17"/>
                <w:color w:val="auto"/>
              </w:rPr>
            </w:pPr>
          </w:p>
        </w:tc>
        <w:tc>
          <w:tcPr>
            <w:tcW w:w="2240" w:type="dxa"/>
            <w:vAlign w:val="bottom"/>
            <w:gridSpan w:val="2"/>
            <w:shd w:val="clear" w:color="auto" w:fill="4A1F67"/>
          </w:tcPr>
          <w:p>
            <w:pPr>
              <w:jc w:val="right"/>
              <w:ind w:right="677"/>
              <w:spacing w:after="0"/>
              <w:rPr>
                <w:sz w:val="20"/>
                <w:szCs w:val="20"/>
                <w:color w:val="auto"/>
              </w:rPr>
            </w:pPr>
            <w:r>
              <w:rPr>
                <w:rFonts w:ascii="Arial" w:cs="Arial" w:eastAsia="Arial" w:hAnsi="Arial"/>
                <w:sz w:val="13"/>
                <w:szCs w:val="13"/>
                <w:b w:val="1"/>
                <w:bCs w:val="1"/>
                <w:color w:val="FFFFFF"/>
              </w:rPr>
              <w:t>Compensation</w:t>
            </w:r>
          </w:p>
        </w:tc>
        <w:tc>
          <w:tcPr>
            <w:tcW w:w="860" w:type="dxa"/>
            <w:vAlign w:val="bottom"/>
            <w:shd w:val="clear" w:color="auto" w:fill="4A1F67"/>
          </w:tcPr>
          <w:p>
            <w:pPr>
              <w:spacing w:after="0"/>
              <w:rPr>
                <w:sz w:val="17"/>
                <w:szCs w:val="17"/>
                <w:color w:val="auto"/>
              </w:rPr>
            </w:pPr>
          </w:p>
        </w:tc>
        <w:tc>
          <w:tcPr>
            <w:tcW w:w="920" w:type="dxa"/>
            <w:vAlign w:val="bottom"/>
            <w:shd w:val="clear" w:color="auto" w:fill="4A1F67"/>
          </w:tcPr>
          <w:p>
            <w:pPr>
              <w:spacing w:after="0"/>
              <w:rPr>
                <w:sz w:val="17"/>
                <w:szCs w:val="17"/>
                <w:color w:val="auto"/>
              </w:rPr>
            </w:pPr>
          </w:p>
        </w:tc>
        <w:tc>
          <w:tcPr>
            <w:tcW w:w="2120" w:type="dxa"/>
            <w:vAlign w:val="bottom"/>
            <w:gridSpan w:val="2"/>
            <w:shd w:val="clear" w:color="auto" w:fill="4A1F67"/>
          </w:tcPr>
          <w:p>
            <w:pPr>
              <w:jc w:val="right"/>
              <w:ind w:right="357"/>
              <w:spacing w:after="0"/>
              <w:rPr>
                <w:sz w:val="20"/>
                <w:szCs w:val="20"/>
                <w:color w:val="auto"/>
              </w:rPr>
            </w:pPr>
            <w:r>
              <w:rPr>
                <w:rFonts w:ascii="Arial" w:cs="Arial" w:eastAsia="Arial" w:hAnsi="Arial"/>
                <w:sz w:val="13"/>
                <w:szCs w:val="13"/>
                <w:b w:val="1"/>
                <w:bCs w:val="1"/>
                <w:color w:val="FFFFFF"/>
              </w:rPr>
              <w:t>Benefits and Perquisites</w:t>
            </w:r>
          </w:p>
        </w:tc>
        <w:tc>
          <w:tcPr>
            <w:tcW w:w="880" w:type="dxa"/>
            <w:vAlign w:val="bottom"/>
            <w:shd w:val="clear" w:color="auto" w:fill="4A1F67"/>
          </w:tcPr>
          <w:p>
            <w:pPr>
              <w:spacing w:after="0"/>
              <w:rPr>
                <w:sz w:val="17"/>
                <w:szCs w:val="17"/>
                <w:color w:val="auto"/>
              </w:rPr>
            </w:pPr>
          </w:p>
        </w:tc>
        <w:tc>
          <w:tcPr>
            <w:tcW w:w="820" w:type="dxa"/>
            <w:vAlign w:val="bottom"/>
            <w:shd w:val="clear" w:color="auto" w:fill="4A1F67"/>
          </w:tcPr>
          <w:p>
            <w:pPr>
              <w:spacing w:after="0"/>
              <w:rPr>
                <w:sz w:val="17"/>
                <w:szCs w:val="17"/>
                <w:color w:val="auto"/>
              </w:rPr>
            </w:pPr>
          </w:p>
        </w:tc>
      </w:tr>
      <w:tr>
        <w:trPr>
          <w:trHeight w:val="170"/>
        </w:trPr>
        <w:tc>
          <w:tcPr>
            <w:tcW w:w="2020" w:type="dxa"/>
            <w:vAlign w:val="bottom"/>
            <w:shd w:val="clear" w:color="auto" w:fill="4A1F67"/>
          </w:tcPr>
          <w:p>
            <w:pPr>
              <w:spacing w:after="0"/>
              <w:rPr>
                <w:sz w:val="14"/>
                <w:szCs w:val="14"/>
                <w:color w:val="auto"/>
              </w:rPr>
            </w:pPr>
          </w:p>
        </w:tc>
        <w:tc>
          <w:tcPr>
            <w:tcW w:w="1380" w:type="dxa"/>
            <w:vAlign w:val="bottom"/>
            <w:shd w:val="clear" w:color="auto" w:fill="4A1F67"/>
          </w:tcPr>
          <w:p>
            <w:pPr>
              <w:spacing w:after="0"/>
              <w:rPr>
                <w:sz w:val="14"/>
                <w:szCs w:val="14"/>
                <w:color w:val="auto"/>
              </w:rPr>
            </w:pPr>
          </w:p>
        </w:tc>
        <w:tc>
          <w:tcPr>
            <w:tcW w:w="1020" w:type="dxa"/>
            <w:vAlign w:val="bottom"/>
            <w:shd w:val="clear" w:color="auto" w:fill="4A1F67"/>
          </w:tcPr>
          <w:p>
            <w:pPr>
              <w:spacing w:after="0"/>
              <w:rPr>
                <w:sz w:val="14"/>
                <w:szCs w:val="14"/>
                <w:color w:val="auto"/>
              </w:rPr>
            </w:pPr>
          </w:p>
        </w:tc>
        <w:tc>
          <w:tcPr>
            <w:tcW w:w="1220" w:type="dxa"/>
            <w:vAlign w:val="bottom"/>
            <w:shd w:val="clear" w:color="auto" w:fill="4A1F67"/>
          </w:tcPr>
          <w:p>
            <w:pPr>
              <w:spacing w:after="0"/>
              <w:rPr>
                <w:sz w:val="14"/>
                <w:szCs w:val="14"/>
                <w:color w:val="auto"/>
              </w:rPr>
            </w:pPr>
          </w:p>
        </w:tc>
        <w:tc>
          <w:tcPr>
            <w:tcW w:w="860" w:type="dxa"/>
            <w:vAlign w:val="bottom"/>
            <w:shd w:val="clear" w:color="auto" w:fill="4A1F67"/>
          </w:tcPr>
          <w:p>
            <w:pPr>
              <w:spacing w:after="0"/>
              <w:rPr>
                <w:sz w:val="14"/>
                <w:szCs w:val="14"/>
                <w:color w:val="auto"/>
              </w:rPr>
            </w:pPr>
          </w:p>
        </w:tc>
        <w:tc>
          <w:tcPr>
            <w:tcW w:w="92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Medical,</w:t>
            </w:r>
          </w:p>
        </w:tc>
        <w:tc>
          <w:tcPr>
            <w:tcW w:w="1080" w:type="dxa"/>
            <w:vAlign w:val="bottom"/>
            <w:shd w:val="clear" w:color="auto" w:fill="4A1F67"/>
          </w:tcPr>
          <w:p>
            <w:pPr>
              <w:spacing w:after="0"/>
              <w:rPr>
                <w:sz w:val="14"/>
                <w:szCs w:val="14"/>
                <w:color w:val="auto"/>
              </w:rPr>
            </w:pPr>
          </w:p>
        </w:tc>
        <w:tc>
          <w:tcPr>
            <w:tcW w:w="1040" w:type="dxa"/>
            <w:vAlign w:val="bottom"/>
            <w:shd w:val="clear" w:color="auto" w:fill="4A1F67"/>
          </w:tcPr>
          <w:p>
            <w:pPr>
              <w:spacing w:after="0"/>
              <w:rPr>
                <w:sz w:val="14"/>
                <w:szCs w:val="14"/>
                <w:color w:val="auto"/>
              </w:rPr>
            </w:pPr>
          </w:p>
        </w:tc>
        <w:tc>
          <w:tcPr>
            <w:tcW w:w="880" w:type="dxa"/>
            <w:vAlign w:val="bottom"/>
            <w:shd w:val="clear" w:color="auto" w:fill="4A1F67"/>
          </w:tcPr>
          <w:p>
            <w:pPr>
              <w:spacing w:after="0"/>
              <w:rPr>
                <w:sz w:val="14"/>
                <w:szCs w:val="14"/>
                <w:color w:val="auto"/>
              </w:rPr>
            </w:pPr>
          </w:p>
        </w:tc>
        <w:tc>
          <w:tcPr>
            <w:tcW w:w="820" w:type="dxa"/>
            <w:vAlign w:val="bottom"/>
            <w:shd w:val="clear" w:color="auto" w:fill="4A1F67"/>
          </w:tcPr>
          <w:p>
            <w:pPr>
              <w:spacing w:after="0"/>
              <w:rPr>
                <w:sz w:val="14"/>
                <w:szCs w:val="14"/>
                <w:color w:val="auto"/>
              </w:rPr>
            </w:pPr>
          </w:p>
        </w:tc>
      </w:tr>
      <w:tr>
        <w:trPr>
          <w:trHeight w:val="135"/>
        </w:trPr>
        <w:tc>
          <w:tcPr>
            <w:tcW w:w="2020" w:type="dxa"/>
            <w:vAlign w:val="bottom"/>
            <w:shd w:val="clear" w:color="auto" w:fill="4A1F67"/>
          </w:tcPr>
          <w:p>
            <w:pPr>
              <w:spacing w:after="0"/>
              <w:rPr>
                <w:sz w:val="11"/>
                <w:szCs w:val="11"/>
                <w:color w:val="auto"/>
              </w:rPr>
            </w:pPr>
          </w:p>
        </w:tc>
        <w:tc>
          <w:tcPr>
            <w:tcW w:w="1380" w:type="dxa"/>
            <w:vAlign w:val="bottom"/>
            <w:shd w:val="clear" w:color="auto" w:fill="4A1F67"/>
          </w:tcPr>
          <w:p>
            <w:pPr>
              <w:spacing w:after="0"/>
              <w:rPr>
                <w:sz w:val="11"/>
                <w:szCs w:val="11"/>
                <w:color w:val="auto"/>
              </w:rPr>
            </w:pPr>
          </w:p>
        </w:tc>
        <w:tc>
          <w:tcPr>
            <w:tcW w:w="10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Pro-rated</w:t>
            </w:r>
          </w:p>
        </w:tc>
        <w:tc>
          <w:tcPr>
            <w:tcW w:w="1220" w:type="dxa"/>
            <w:vAlign w:val="bottom"/>
            <w:shd w:val="clear" w:color="auto" w:fill="4A1F67"/>
          </w:tcPr>
          <w:p>
            <w:pPr>
              <w:jc w:val="right"/>
              <w:ind w:right="117"/>
              <w:spacing w:after="0" w:line="135" w:lineRule="exact"/>
              <w:rPr>
                <w:sz w:val="20"/>
                <w:szCs w:val="20"/>
                <w:color w:val="auto"/>
              </w:rPr>
            </w:pPr>
            <w:r>
              <w:rPr>
                <w:rFonts w:ascii="Arial" w:cs="Arial" w:eastAsia="Arial" w:hAnsi="Arial"/>
                <w:sz w:val="13"/>
                <w:szCs w:val="13"/>
                <w:b w:val="1"/>
                <w:bCs w:val="1"/>
                <w:color w:val="FFFFFF"/>
              </w:rPr>
              <w:t>Equity</w:t>
            </w:r>
          </w:p>
        </w:tc>
        <w:tc>
          <w:tcPr>
            <w:tcW w:w="860" w:type="dxa"/>
            <w:vAlign w:val="bottom"/>
            <w:shd w:val="clear" w:color="auto" w:fill="4A1F67"/>
          </w:tcPr>
          <w:p>
            <w:pPr>
              <w:spacing w:after="0"/>
              <w:rPr>
                <w:sz w:val="11"/>
                <w:szCs w:val="11"/>
                <w:color w:val="auto"/>
              </w:rPr>
            </w:pPr>
          </w:p>
        </w:tc>
        <w:tc>
          <w:tcPr>
            <w:tcW w:w="9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Dental, Life</w:t>
            </w:r>
          </w:p>
        </w:tc>
        <w:tc>
          <w:tcPr>
            <w:tcW w:w="1080" w:type="dxa"/>
            <w:vAlign w:val="bottom"/>
            <w:shd w:val="clear" w:color="auto" w:fill="4A1F67"/>
          </w:tcPr>
          <w:p>
            <w:pPr>
              <w:spacing w:after="0"/>
              <w:rPr>
                <w:sz w:val="11"/>
                <w:szCs w:val="11"/>
                <w:color w:val="auto"/>
              </w:rPr>
            </w:pPr>
          </w:p>
        </w:tc>
        <w:tc>
          <w:tcPr>
            <w:tcW w:w="1040" w:type="dxa"/>
            <w:vAlign w:val="bottom"/>
            <w:shd w:val="clear" w:color="auto" w:fill="4A1F67"/>
          </w:tcPr>
          <w:p>
            <w:pPr>
              <w:spacing w:after="0"/>
              <w:rPr>
                <w:sz w:val="11"/>
                <w:szCs w:val="11"/>
                <w:color w:val="auto"/>
              </w:rPr>
            </w:pPr>
          </w:p>
        </w:tc>
        <w:tc>
          <w:tcPr>
            <w:tcW w:w="880" w:type="dxa"/>
            <w:vAlign w:val="bottom"/>
            <w:shd w:val="clear" w:color="auto" w:fill="4A1F67"/>
          </w:tcPr>
          <w:p>
            <w:pPr>
              <w:jc w:val="right"/>
              <w:ind w:right="57"/>
              <w:spacing w:after="0" w:line="135" w:lineRule="exact"/>
              <w:rPr>
                <w:sz w:val="20"/>
                <w:szCs w:val="20"/>
                <w:color w:val="auto"/>
              </w:rPr>
            </w:pPr>
            <w:r>
              <w:rPr>
                <w:rFonts w:ascii="Arial" w:cs="Arial" w:eastAsia="Arial" w:hAnsi="Arial"/>
                <w:sz w:val="13"/>
                <w:szCs w:val="13"/>
                <w:b w:val="1"/>
                <w:bCs w:val="1"/>
                <w:color w:val="FFFFFF"/>
              </w:rPr>
              <w:t>Value of</w:t>
            </w:r>
          </w:p>
        </w:tc>
        <w:tc>
          <w:tcPr>
            <w:tcW w:w="820" w:type="dxa"/>
            <w:vAlign w:val="bottom"/>
            <w:shd w:val="clear" w:color="auto" w:fill="4A1F67"/>
          </w:tcPr>
          <w:p>
            <w:pPr>
              <w:spacing w:after="0"/>
              <w:rPr>
                <w:sz w:val="11"/>
                <w:szCs w:val="11"/>
                <w:color w:val="auto"/>
              </w:rPr>
            </w:pPr>
          </w:p>
        </w:tc>
      </w:tr>
      <w:tr>
        <w:trPr>
          <w:trHeight w:val="135"/>
        </w:trPr>
        <w:tc>
          <w:tcPr>
            <w:tcW w:w="2020" w:type="dxa"/>
            <w:vAlign w:val="bottom"/>
            <w:shd w:val="clear" w:color="auto" w:fill="4A1F67"/>
          </w:tcPr>
          <w:p>
            <w:pPr>
              <w:spacing w:after="0"/>
              <w:rPr>
                <w:sz w:val="11"/>
                <w:szCs w:val="11"/>
                <w:color w:val="auto"/>
              </w:rPr>
            </w:pPr>
          </w:p>
        </w:tc>
        <w:tc>
          <w:tcPr>
            <w:tcW w:w="1380" w:type="dxa"/>
            <w:vAlign w:val="bottom"/>
            <w:shd w:val="clear" w:color="auto" w:fill="4A1F67"/>
          </w:tcPr>
          <w:p>
            <w:pPr>
              <w:spacing w:after="0"/>
              <w:rPr>
                <w:sz w:val="11"/>
                <w:szCs w:val="11"/>
                <w:color w:val="auto"/>
              </w:rPr>
            </w:pPr>
          </w:p>
        </w:tc>
        <w:tc>
          <w:tcPr>
            <w:tcW w:w="10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Target Annual</w:t>
            </w:r>
          </w:p>
        </w:tc>
        <w:tc>
          <w:tcPr>
            <w:tcW w:w="1220" w:type="dxa"/>
            <w:vAlign w:val="bottom"/>
            <w:shd w:val="clear" w:color="auto" w:fill="4A1F67"/>
          </w:tcPr>
          <w:p>
            <w:pPr>
              <w:jc w:val="right"/>
              <w:ind w:right="117"/>
              <w:spacing w:after="0" w:line="135" w:lineRule="exact"/>
              <w:rPr>
                <w:sz w:val="20"/>
                <w:szCs w:val="20"/>
                <w:color w:val="auto"/>
              </w:rPr>
            </w:pPr>
            <w:r>
              <w:rPr>
                <w:rFonts w:ascii="Arial" w:cs="Arial" w:eastAsia="Arial" w:hAnsi="Arial"/>
                <w:sz w:val="13"/>
                <w:szCs w:val="13"/>
                <w:b w:val="1"/>
                <w:bCs w:val="1"/>
                <w:color w:val="FFFFFF"/>
              </w:rPr>
              <w:t>Award and</w:t>
            </w:r>
          </w:p>
        </w:tc>
        <w:tc>
          <w:tcPr>
            <w:tcW w:w="860" w:type="dxa"/>
            <w:vAlign w:val="bottom"/>
            <w:shd w:val="clear" w:color="auto" w:fill="4A1F67"/>
          </w:tcPr>
          <w:p>
            <w:pPr>
              <w:jc w:val="right"/>
              <w:ind w:right="77"/>
              <w:spacing w:after="0" w:line="135" w:lineRule="exact"/>
              <w:rPr>
                <w:sz w:val="20"/>
                <w:szCs w:val="20"/>
                <w:color w:val="auto"/>
              </w:rPr>
            </w:pPr>
            <w:r>
              <w:rPr>
                <w:rFonts w:ascii="Arial" w:cs="Arial" w:eastAsia="Arial" w:hAnsi="Arial"/>
                <w:sz w:val="13"/>
                <w:szCs w:val="13"/>
                <w:b w:val="1"/>
                <w:bCs w:val="1"/>
                <w:color w:val="FFFFFF"/>
              </w:rPr>
              <w:t>Non-</w:t>
            </w:r>
          </w:p>
        </w:tc>
        <w:tc>
          <w:tcPr>
            <w:tcW w:w="9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Insurance,</w:t>
            </w:r>
          </w:p>
        </w:tc>
        <w:tc>
          <w:tcPr>
            <w:tcW w:w="108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Financial</w:t>
            </w:r>
          </w:p>
        </w:tc>
        <w:tc>
          <w:tcPr>
            <w:tcW w:w="1040" w:type="dxa"/>
            <w:vAlign w:val="bottom"/>
            <w:shd w:val="clear" w:color="auto" w:fill="4A1F67"/>
          </w:tcPr>
          <w:p>
            <w:pPr>
              <w:spacing w:after="0"/>
              <w:rPr>
                <w:sz w:val="11"/>
                <w:szCs w:val="11"/>
                <w:color w:val="auto"/>
              </w:rPr>
            </w:pPr>
          </w:p>
        </w:tc>
        <w:tc>
          <w:tcPr>
            <w:tcW w:w="880" w:type="dxa"/>
            <w:vAlign w:val="bottom"/>
            <w:shd w:val="clear" w:color="auto" w:fill="4A1F67"/>
          </w:tcPr>
          <w:p>
            <w:pPr>
              <w:jc w:val="right"/>
              <w:ind w:right="57"/>
              <w:spacing w:after="0" w:line="135" w:lineRule="exact"/>
              <w:rPr>
                <w:sz w:val="20"/>
                <w:szCs w:val="20"/>
                <w:color w:val="auto"/>
              </w:rPr>
            </w:pPr>
            <w:r>
              <w:rPr>
                <w:rFonts w:ascii="Arial" w:cs="Arial" w:eastAsia="Arial" w:hAnsi="Arial"/>
                <w:sz w:val="13"/>
                <w:szCs w:val="13"/>
                <w:b w:val="1"/>
                <w:bCs w:val="1"/>
                <w:color w:val="FFFFFF"/>
              </w:rPr>
              <w:t>Additional</w:t>
            </w:r>
          </w:p>
        </w:tc>
        <w:tc>
          <w:tcPr>
            <w:tcW w:w="820" w:type="dxa"/>
            <w:vAlign w:val="bottom"/>
            <w:shd w:val="clear" w:color="auto" w:fill="4A1F67"/>
          </w:tcPr>
          <w:p>
            <w:pPr>
              <w:spacing w:after="0"/>
              <w:rPr>
                <w:sz w:val="11"/>
                <w:szCs w:val="11"/>
                <w:color w:val="auto"/>
              </w:rPr>
            </w:pPr>
          </w:p>
        </w:tc>
      </w:tr>
      <w:tr>
        <w:trPr>
          <w:trHeight w:val="135"/>
        </w:trPr>
        <w:tc>
          <w:tcPr>
            <w:tcW w:w="2020" w:type="dxa"/>
            <w:vAlign w:val="bottom"/>
            <w:shd w:val="clear" w:color="auto" w:fill="4A1F67"/>
          </w:tcPr>
          <w:p>
            <w:pPr>
              <w:spacing w:after="0"/>
              <w:rPr>
                <w:sz w:val="11"/>
                <w:szCs w:val="11"/>
                <w:color w:val="auto"/>
              </w:rPr>
            </w:pPr>
          </w:p>
        </w:tc>
        <w:tc>
          <w:tcPr>
            <w:tcW w:w="138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Severance</w:t>
            </w:r>
          </w:p>
        </w:tc>
        <w:tc>
          <w:tcPr>
            <w:tcW w:w="10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Cash Incentive</w:t>
            </w:r>
          </w:p>
        </w:tc>
        <w:tc>
          <w:tcPr>
            <w:tcW w:w="1220" w:type="dxa"/>
            <w:vAlign w:val="bottom"/>
            <w:shd w:val="clear" w:color="auto" w:fill="4A1F67"/>
          </w:tcPr>
          <w:p>
            <w:pPr>
              <w:jc w:val="right"/>
              <w:ind w:right="117"/>
              <w:spacing w:after="0" w:line="135" w:lineRule="exact"/>
              <w:rPr>
                <w:sz w:val="20"/>
                <w:szCs w:val="20"/>
                <w:color w:val="auto"/>
              </w:rPr>
            </w:pPr>
            <w:r>
              <w:rPr>
                <w:rFonts w:ascii="Arial" w:cs="Arial" w:eastAsia="Arial" w:hAnsi="Arial"/>
                <w:sz w:val="13"/>
                <w:szCs w:val="13"/>
                <w:b w:val="1"/>
                <w:bCs w:val="1"/>
                <w:color w:val="FFFFFF"/>
              </w:rPr>
              <w:t>Long-Term</w:t>
            </w:r>
          </w:p>
        </w:tc>
        <w:tc>
          <w:tcPr>
            <w:tcW w:w="860" w:type="dxa"/>
            <w:vAlign w:val="bottom"/>
            <w:shd w:val="clear" w:color="auto" w:fill="4A1F67"/>
          </w:tcPr>
          <w:p>
            <w:pPr>
              <w:jc w:val="right"/>
              <w:ind w:right="77"/>
              <w:spacing w:after="0" w:line="135" w:lineRule="exact"/>
              <w:rPr>
                <w:sz w:val="20"/>
                <w:szCs w:val="20"/>
                <w:color w:val="auto"/>
              </w:rPr>
            </w:pPr>
            <w:r>
              <w:rPr>
                <w:rFonts w:ascii="Arial" w:cs="Arial" w:eastAsia="Arial" w:hAnsi="Arial"/>
                <w:sz w:val="13"/>
                <w:szCs w:val="13"/>
                <w:b w:val="1"/>
                <w:bCs w:val="1"/>
                <w:color w:val="FFFFFF"/>
              </w:rPr>
              <w:t>Compete</w:t>
            </w:r>
          </w:p>
        </w:tc>
        <w:tc>
          <w:tcPr>
            <w:tcW w:w="92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and</w:t>
            </w:r>
          </w:p>
        </w:tc>
        <w:tc>
          <w:tcPr>
            <w:tcW w:w="1080" w:type="dxa"/>
            <w:vAlign w:val="bottom"/>
            <w:shd w:val="clear" w:color="auto" w:fill="4A1F67"/>
          </w:tcPr>
          <w:p>
            <w:pPr>
              <w:jc w:val="right"/>
              <w:spacing w:after="0" w:line="135" w:lineRule="exact"/>
              <w:rPr>
                <w:sz w:val="20"/>
                <w:szCs w:val="20"/>
                <w:color w:val="auto"/>
              </w:rPr>
            </w:pPr>
            <w:r>
              <w:rPr>
                <w:rFonts w:ascii="Arial" w:cs="Arial" w:eastAsia="Arial" w:hAnsi="Arial"/>
                <w:sz w:val="13"/>
                <w:szCs w:val="13"/>
                <w:b w:val="1"/>
                <w:bCs w:val="1"/>
                <w:color w:val="FFFFFF"/>
              </w:rPr>
              <w:t>Planning and</w:t>
            </w:r>
          </w:p>
        </w:tc>
        <w:tc>
          <w:tcPr>
            <w:tcW w:w="1040" w:type="dxa"/>
            <w:vAlign w:val="bottom"/>
            <w:shd w:val="clear" w:color="auto" w:fill="4A1F67"/>
          </w:tcPr>
          <w:p>
            <w:pPr>
              <w:jc w:val="right"/>
              <w:ind w:right="77"/>
              <w:spacing w:after="0" w:line="135" w:lineRule="exact"/>
              <w:rPr>
                <w:sz w:val="20"/>
                <w:szCs w:val="20"/>
                <w:color w:val="auto"/>
              </w:rPr>
            </w:pPr>
            <w:r>
              <w:rPr>
                <w:rFonts w:ascii="Arial" w:cs="Arial" w:eastAsia="Arial" w:hAnsi="Arial"/>
                <w:sz w:val="13"/>
                <w:szCs w:val="13"/>
                <w:b w:val="1"/>
                <w:bCs w:val="1"/>
                <w:color w:val="FFFFFF"/>
              </w:rPr>
              <w:t>Outplacement</w:t>
            </w:r>
          </w:p>
        </w:tc>
        <w:tc>
          <w:tcPr>
            <w:tcW w:w="880" w:type="dxa"/>
            <w:vAlign w:val="bottom"/>
            <w:shd w:val="clear" w:color="auto" w:fill="4A1F67"/>
          </w:tcPr>
          <w:p>
            <w:pPr>
              <w:jc w:val="right"/>
              <w:ind w:right="57"/>
              <w:spacing w:after="0" w:line="135" w:lineRule="exact"/>
              <w:rPr>
                <w:sz w:val="20"/>
                <w:szCs w:val="20"/>
                <w:color w:val="auto"/>
              </w:rPr>
            </w:pPr>
            <w:r>
              <w:rPr>
                <w:rFonts w:ascii="Arial" w:cs="Arial" w:eastAsia="Arial" w:hAnsi="Arial"/>
                <w:sz w:val="13"/>
                <w:szCs w:val="13"/>
                <w:b w:val="1"/>
                <w:bCs w:val="1"/>
                <w:color w:val="FFFFFF"/>
              </w:rPr>
              <w:t>Pension</w:t>
            </w:r>
          </w:p>
        </w:tc>
        <w:tc>
          <w:tcPr>
            <w:tcW w:w="820" w:type="dxa"/>
            <w:vAlign w:val="bottom"/>
            <w:shd w:val="clear" w:color="auto" w:fill="4A1F67"/>
          </w:tcPr>
          <w:p>
            <w:pPr>
              <w:spacing w:after="0"/>
              <w:rPr>
                <w:sz w:val="11"/>
                <w:szCs w:val="11"/>
                <w:color w:val="auto"/>
              </w:rPr>
            </w:pPr>
          </w:p>
        </w:tc>
      </w:tr>
      <w:tr>
        <w:trPr>
          <w:trHeight w:val="131"/>
        </w:trPr>
        <w:tc>
          <w:tcPr>
            <w:tcW w:w="2020" w:type="dxa"/>
            <w:vAlign w:val="bottom"/>
            <w:shd w:val="clear" w:color="auto" w:fill="4A1F67"/>
          </w:tcPr>
          <w:p>
            <w:pPr>
              <w:spacing w:after="0"/>
              <w:rPr>
                <w:sz w:val="11"/>
                <w:szCs w:val="11"/>
                <w:color w:val="auto"/>
              </w:rPr>
            </w:pPr>
          </w:p>
        </w:tc>
        <w:tc>
          <w:tcPr>
            <w:tcW w:w="138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Payment</w:t>
            </w:r>
          </w:p>
        </w:tc>
        <w:tc>
          <w:tcPr>
            <w:tcW w:w="102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or Agreed</w:t>
            </w:r>
          </w:p>
        </w:tc>
        <w:tc>
          <w:tcPr>
            <w:tcW w:w="1220" w:type="dxa"/>
            <w:vAlign w:val="bottom"/>
            <w:shd w:val="clear" w:color="auto" w:fill="4A1F67"/>
          </w:tcPr>
          <w:p>
            <w:pPr>
              <w:jc w:val="right"/>
              <w:ind w:right="117"/>
              <w:spacing w:after="0" w:line="131" w:lineRule="exact"/>
              <w:rPr>
                <w:sz w:val="20"/>
                <w:szCs w:val="20"/>
                <w:color w:val="auto"/>
              </w:rPr>
            </w:pPr>
            <w:r>
              <w:rPr>
                <w:rFonts w:ascii="Arial" w:cs="Arial" w:eastAsia="Arial" w:hAnsi="Arial"/>
                <w:sz w:val="13"/>
                <w:szCs w:val="13"/>
                <w:b w:val="1"/>
                <w:bCs w:val="1"/>
                <w:color w:val="FFFFFF"/>
              </w:rPr>
              <w:t>Incentive</w:t>
            </w:r>
          </w:p>
        </w:tc>
        <w:tc>
          <w:tcPr>
            <w:tcW w:w="860" w:type="dxa"/>
            <w:vAlign w:val="bottom"/>
            <w:shd w:val="clear" w:color="auto" w:fill="4A1F67"/>
          </w:tcPr>
          <w:p>
            <w:pPr>
              <w:jc w:val="right"/>
              <w:ind w:right="77"/>
              <w:spacing w:after="0" w:line="131" w:lineRule="exact"/>
              <w:rPr>
                <w:sz w:val="20"/>
                <w:szCs w:val="20"/>
                <w:color w:val="auto"/>
              </w:rPr>
            </w:pPr>
            <w:r>
              <w:rPr>
                <w:rFonts w:ascii="Arial" w:cs="Arial" w:eastAsia="Arial" w:hAnsi="Arial"/>
                <w:sz w:val="13"/>
                <w:szCs w:val="13"/>
                <w:b w:val="1"/>
                <w:bCs w:val="1"/>
                <w:color w:val="FFFFFF"/>
              </w:rPr>
              <w:t>Payments</w:t>
            </w:r>
          </w:p>
        </w:tc>
        <w:tc>
          <w:tcPr>
            <w:tcW w:w="92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Disability</w:t>
            </w:r>
          </w:p>
        </w:tc>
        <w:tc>
          <w:tcPr>
            <w:tcW w:w="108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Tax Preparation</w:t>
            </w:r>
          </w:p>
        </w:tc>
        <w:tc>
          <w:tcPr>
            <w:tcW w:w="1040" w:type="dxa"/>
            <w:vAlign w:val="bottom"/>
            <w:shd w:val="clear" w:color="auto" w:fill="4A1F67"/>
          </w:tcPr>
          <w:p>
            <w:pPr>
              <w:jc w:val="right"/>
              <w:ind w:right="77"/>
              <w:spacing w:after="0" w:line="131" w:lineRule="exact"/>
              <w:rPr>
                <w:sz w:val="20"/>
                <w:szCs w:val="20"/>
                <w:color w:val="auto"/>
              </w:rPr>
            </w:pPr>
            <w:r>
              <w:rPr>
                <w:rFonts w:ascii="Arial" w:cs="Arial" w:eastAsia="Arial" w:hAnsi="Arial"/>
                <w:sz w:val="13"/>
                <w:szCs w:val="13"/>
                <w:b w:val="1"/>
                <w:bCs w:val="1"/>
                <w:color w:val="FFFFFF"/>
              </w:rPr>
              <w:t>Services</w:t>
            </w:r>
          </w:p>
        </w:tc>
        <w:tc>
          <w:tcPr>
            <w:tcW w:w="880" w:type="dxa"/>
            <w:vAlign w:val="bottom"/>
            <w:shd w:val="clear" w:color="auto" w:fill="4A1F67"/>
          </w:tcPr>
          <w:p>
            <w:pPr>
              <w:jc w:val="right"/>
              <w:ind w:right="57"/>
              <w:spacing w:after="0" w:line="131" w:lineRule="exact"/>
              <w:rPr>
                <w:sz w:val="20"/>
                <w:szCs w:val="20"/>
                <w:color w:val="auto"/>
              </w:rPr>
            </w:pPr>
            <w:r>
              <w:rPr>
                <w:rFonts w:ascii="Arial" w:cs="Arial" w:eastAsia="Arial" w:hAnsi="Arial"/>
                <w:sz w:val="13"/>
                <w:szCs w:val="13"/>
                <w:b w:val="1"/>
                <w:bCs w:val="1"/>
                <w:color w:val="FFFFFF"/>
              </w:rPr>
              <w:t>Service</w:t>
            </w:r>
          </w:p>
        </w:tc>
        <w:tc>
          <w:tcPr>
            <w:tcW w:w="820" w:type="dxa"/>
            <w:vAlign w:val="bottom"/>
            <w:shd w:val="clear" w:color="auto" w:fill="4A1F67"/>
          </w:tcPr>
          <w:p>
            <w:pPr>
              <w:jc w:val="right"/>
              <w:spacing w:after="0" w:line="131" w:lineRule="exact"/>
              <w:rPr>
                <w:sz w:val="20"/>
                <w:szCs w:val="20"/>
                <w:color w:val="auto"/>
              </w:rPr>
            </w:pPr>
            <w:r>
              <w:rPr>
                <w:rFonts w:ascii="Arial" w:cs="Arial" w:eastAsia="Arial" w:hAnsi="Arial"/>
                <w:sz w:val="13"/>
                <w:szCs w:val="13"/>
                <w:b w:val="1"/>
                <w:bCs w:val="1"/>
                <w:color w:val="FFFFFF"/>
              </w:rPr>
              <w:t>Total</w:t>
            </w:r>
          </w:p>
        </w:tc>
      </w:tr>
      <w:tr>
        <w:trPr>
          <w:trHeight w:val="215"/>
        </w:trPr>
        <w:tc>
          <w:tcPr>
            <w:tcW w:w="2020" w:type="dxa"/>
            <w:vAlign w:val="bottom"/>
            <w:shd w:val="clear" w:color="auto" w:fill="4A1F67"/>
          </w:tcPr>
          <w:p>
            <w:pPr>
              <w:ind w:left="60"/>
              <w:spacing w:after="0"/>
              <w:rPr>
                <w:sz w:val="20"/>
                <w:szCs w:val="20"/>
                <w:color w:val="auto"/>
              </w:rPr>
            </w:pPr>
            <w:r>
              <w:rPr>
                <w:rFonts w:ascii="Arial" w:cs="Arial" w:eastAsia="Arial" w:hAnsi="Arial"/>
                <w:sz w:val="13"/>
                <w:szCs w:val="13"/>
                <w:b w:val="1"/>
                <w:bCs w:val="1"/>
                <w:color w:val="FFFFFF"/>
              </w:rPr>
              <w:t>Name</w:t>
            </w:r>
          </w:p>
        </w:tc>
        <w:tc>
          <w:tcPr>
            <w:tcW w:w="1380" w:type="dxa"/>
            <w:vAlign w:val="bottom"/>
            <w:shd w:val="clear" w:color="auto" w:fill="4A1F67"/>
          </w:tcPr>
          <w:p>
            <w:pPr>
              <w:jc w:val="right"/>
              <w:spacing w:after="0" w:line="21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1</w:t>
            </w:r>
          </w:p>
        </w:tc>
        <w:tc>
          <w:tcPr>
            <w:tcW w:w="1020" w:type="dxa"/>
            <w:vAlign w:val="bottom"/>
            <w:shd w:val="clear" w:color="auto" w:fill="4A1F67"/>
          </w:tcPr>
          <w:p>
            <w:pPr>
              <w:jc w:val="right"/>
              <w:spacing w:after="0" w:line="215" w:lineRule="exact"/>
              <w:rPr>
                <w:sz w:val="20"/>
                <w:szCs w:val="20"/>
                <w:color w:val="auto"/>
              </w:rPr>
            </w:pPr>
            <w:r>
              <w:rPr>
                <w:rFonts w:ascii="Arial" w:cs="Arial" w:eastAsia="Arial" w:hAnsi="Arial"/>
                <w:sz w:val="13"/>
                <w:szCs w:val="13"/>
                <w:b w:val="1"/>
                <w:bCs w:val="1"/>
                <w:color w:val="FFFFFF"/>
              </w:rPr>
              <w:t>Bonus ($)</w:t>
            </w:r>
            <w:r>
              <w:rPr>
                <w:rFonts w:ascii="Arial" w:cs="Arial" w:eastAsia="Arial" w:hAnsi="Arial"/>
                <w:sz w:val="20"/>
                <w:szCs w:val="20"/>
                <w:b w:val="1"/>
                <w:bCs w:val="1"/>
                <w:color w:val="FFFFFF"/>
                <w:vertAlign w:val="superscript"/>
              </w:rPr>
              <w:t>2</w:t>
            </w:r>
          </w:p>
        </w:tc>
        <w:tc>
          <w:tcPr>
            <w:tcW w:w="1220" w:type="dxa"/>
            <w:vAlign w:val="bottom"/>
            <w:shd w:val="clear" w:color="auto" w:fill="4A1F67"/>
          </w:tcPr>
          <w:p>
            <w:pPr>
              <w:jc w:val="right"/>
              <w:ind w:right="97"/>
              <w:spacing w:after="0" w:line="215" w:lineRule="exact"/>
              <w:rPr>
                <w:sz w:val="20"/>
                <w:szCs w:val="20"/>
                <w:color w:val="auto"/>
              </w:rPr>
            </w:pPr>
            <w:r>
              <w:rPr>
                <w:rFonts w:ascii="Arial" w:cs="Arial" w:eastAsia="Arial" w:hAnsi="Arial"/>
                <w:sz w:val="13"/>
                <w:szCs w:val="13"/>
                <w:b w:val="1"/>
                <w:bCs w:val="1"/>
                <w:color w:val="FFFFFF"/>
                <w:w w:val="99"/>
              </w:rPr>
              <w:t>Acceleration ($)</w:t>
            </w:r>
            <w:r>
              <w:rPr>
                <w:rFonts w:ascii="Arial" w:cs="Arial" w:eastAsia="Arial" w:hAnsi="Arial"/>
                <w:sz w:val="20"/>
                <w:szCs w:val="20"/>
                <w:b w:val="1"/>
                <w:bCs w:val="1"/>
                <w:color w:val="FFFFFF"/>
                <w:w w:val="99"/>
                <w:vertAlign w:val="superscript"/>
              </w:rPr>
              <w:t>3</w:t>
            </w:r>
          </w:p>
        </w:tc>
        <w:tc>
          <w:tcPr>
            <w:tcW w:w="860" w:type="dxa"/>
            <w:vAlign w:val="bottom"/>
            <w:shd w:val="clear" w:color="auto" w:fill="4A1F67"/>
          </w:tcPr>
          <w:p>
            <w:pPr>
              <w:jc w:val="right"/>
              <w:ind w:right="77"/>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4A1F67"/>
          </w:tcPr>
          <w:p>
            <w:pPr>
              <w:jc w:val="right"/>
              <w:spacing w:after="0" w:line="215" w:lineRule="exact"/>
              <w:rPr>
                <w:sz w:val="20"/>
                <w:szCs w:val="20"/>
                <w:color w:val="auto"/>
              </w:rPr>
            </w:pPr>
            <w:r>
              <w:rPr>
                <w:rFonts w:ascii="Arial" w:cs="Arial" w:eastAsia="Arial" w:hAnsi="Arial"/>
                <w:sz w:val="13"/>
                <w:szCs w:val="13"/>
                <w:b w:val="1"/>
                <w:bCs w:val="1"/>
                <w:color w:val="FFFFFF"/>
              </w:rPr>
              <w:t>Benefits ($)</w:t>
            </w:r>
            <w:r>
              <w:rPr>
                <w:rFonts w:ascii="Arial" w:cs="Arial" w:eastAsia="Arial" w:hAnsi="Arial"/>
                <w:sz w:val="20"/>
                <w:szCs w:val="20"/>
                <w:b w:val="1"/>
                <w:bCs w:val="1"/>
                <w:color w:val="FFFFFF"/>
                <w:vertAlign w:val="superscript"/>
              </w:rPr>
              <w:t>4</w:t>
            </w:r>
          </w:p>
        </w:tc>
        <w:tc>
          <w:tcPr>
            <w:tcW w:w="108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Assistance ($)</w:t>
            </w:r>
          </w:p>
        </w:tc>
        <w:tc>
          <w:tcPr>
            <w:tcW w:w="1040" w:type="dxa"/>
            <w:vAlign w:val="bottom"/>
            <w:shd w:val="clear" w:color="auto" w:fill="4A1F67"/>
          </w:tcPr>
          <w:p>
            <w:pPr>
              <w:jc w:val="right"/>
              <w:ind w:right="77"/>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4A1F67"/>
          </w:tcPr>
          <w:p>
            <w:pPr>
              <w:jc w:val="right"/>
              <w:ind w:right="57"/>
              <w:spacing w:after="0" w:line="215"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20"/>
                <w:szCs w:val="20"/>
                <w:b w:val="1"/>
                <w:bCs w:val="1"/>
                <w:color w:val="FFFFFF"/>
                <w:vertAlign w:val="superscript"/>
              </w:rPr>
              <w:t>5</w:t>
            </w:r>
          </w:p>
        </w:tc>
        <w:tc>
          <w:tcPr>
            <w:tcW w:w="820" w:type="dxa"/>
            <w:vAlign w:val="bottom"/>
            <w:shd w:val="clear" w:color="auto" w:fill="4A1F67"/>
          </w:tcPr>
          <w:p>
            <w:pPr>
              <w:jc w:val="right"/>
              <w:spacing w:after="0"/>
              <w:rPr>
                <w:sz w:val="20"/>
                <w:szCs w:val="20"/>
                <w:color w:val="auto"/>
              </w:rPr>
            </w:pPr>
            <w:r>
              <w:rPr>
                <w:rFonts w:ascii="Arial" w:cs="Arial" w:eastAsia="Arial" w:hAnsi="Arial"/>
                <w:sz w:val="13"/>
                <w:szCs w:val="13"/>
                <w:b w:val="1"/>
                <w:bCs w:val="1"/>
                <w:color w:val="FFFFFF"/>
              </w:rPr>
              <w:t>($)</w:t>
            </w:r>
          </w:p>
        </w:tc>
      </w:tr>
      <w:tr>
        <w:trPr>
          <w:trHeight w:val="213"/>
        </w:trPr>
        <w:tc>
          <w:tcPr>
            <w:tcW w:w="2020" w:type="dxa"/>
            <w:vAlign w:val="bottom"/>
          </w:tcPr>
          <w:p>
            <w:pPr>
              <w:ind w:left="60"/>
              <w:spacing w:after="0"/>
              <w:rPr>
                <w:sz w:val="20"/>
                <w:szCs w:val="20"/>
                <w:color w:val="auto"/>
              </w:rPr>
            </w:pPr>
            <w:r>
              <w:rPr>
                <w:rFonts w:ascii="Arial" w:cs="Arial" w:eastAsia="Arial" w:hAnsi="Arial"/>
                <w:sz w:val="13"/>
                <w:szCs w:val="13"/>
                <w:b w:val="1"/>
                <w:bCs w:val="1"/>
                <w:color w:val="3B3C43"/>
              </w:rPr>
              <w:t>Douglas J. Pferdehirt</w:t>
            </w:r>
          </w:p>
        </w:tc>
        <w:tc>
          <w:tcPr>
            <w:tcW w:w="1380" w:type="dxa"/>
            <w:vAlign w:val="bottom"/>
          </w:tcPr>
          <w:p>
            <w:pPr>
              <w:jc w:val="right"/>
              <w:spacing w:after="0"/>
              <w:rPr>
                <w:sz w:val="20"/>
                <w:szCs w:val="20"/>
                <w:color w:val="auto"/>
              </w:rPr>
            </w:pPr>
            <w:r>
              <w:rPr>
                <w:rFonts w:ascii="Arial" w:cs="Arial" w:eastAsia="Arial" w:hAnsi="Arial"/>
                <w:sz w:val="13"/>
                <w:szCs w:val="13"/>
                <w:color w:val="3B3C43"/>
              </w:rPr>
              <w:t>8,713,800</w:t>
            </w:r>
          </w:p>
        </w:tc>
        <w:tc>
          <w:tcPr>
            <w:tcW w:w="1020" w:type="dxa"/>
            <w:vAlign w:val="bottom"/>
          </w:tcPr>
          <w:p>
            <w:pPr>
              <w:jc w:val="right"/>
              <w:spacing w:after="0"/>
              <w:rPr>
                <w:sz w:val="20"/>
                <w:szCs w:val="20"/>
                <w:color w:val="auto"/>
              </w:rPr>
            </w:pPr>
            <w:r>
              <w:rPr>
                <w:rFonts w:ascii="Arial" w:cs="Arial" w:eastAsia="Arial" w:hAnsi="Arial"/>
                <w:sz w:val="13"/>
                <w:szCs w:val="13"/>
                <w:color w:val="3B3C43"/>
              </w:rPr>
              <w:t>1,668,600</w:t>
            </w:r>
          </w:p>
        </w:tc>
        <w:tc>
          <w:tcPr>
            <w:tcW w:w="1220" w:type="dxa"/>
            <w:vAlign w:val="bottom"/>
          </w:tcPr>
          <w:p>
            <w:pPr>
              <w:jc w:val="right"/>
              <w:ind w:right="97"/>
              <w:spacing w:after="0"/>
              <w:rPr>
                <w:sz w:val="20"/>
                <w:szCs w:val="20"/>
                <w:color w:val="auto"/>
              </w:rPr>
            </w:pPr>
            <w:r>
              <w:rPr>
                <w:rFonts w:ascii="Arial" w:cs="Arial" w:eastAsia="Arial" w:hAnsi="Arial"/>
                <w:sz w:val="13"/>
                <w:szCs w:val="13"/>
                <w:color w:val="3B3C43"/>
              </w:rPr>
              <w:t>15,450,884</w:t>
            </w:r>
          </w:p>
        </w:tc>
        <w:tc>
          <w:tcPr>
            <w:tcW w:w="860" w:type="dxa"/>
            <w:vAlign w:val="bottom"/>
          </w:tcPr>
          <w:p>
            <w:pPr>
              <w:jc w:val="right"/>
              <w:ind w:right="77"/>
              <w:spacing w:after="0"/>
              <w:rPr>
                <w:sz w:val="20"/>
                <w:szCs w:val="20"/>
                <w:color w:val="auto"/>
              </w:rPr>
            </w:pPr>
            <w:r>
              <w:rPr>
                <w:rFonts w:ascii="Arial" w:cs="Arial" w:eastAsia="Arial" w:hAnsi="Arial"/>
                <w:sz w:val="13"/>
                <w:szCs w:val="13"/>
                <w:color w:val="3B3C43"/>
              </w:rPr>
              <w:t>–</w:t>
            </w:r>
          </w:p>
        </w:tc>
        <w:tc>
          <w:tcPr>
            <w:tcW w:w="920" w:type="dxa"/>
            <w:vAlign w:val="bottom"/>
          </w:tcPr>
          <w:p>
            <w:pPr>
              <w:jc w:val="right"/>
              <w:spacing w:after="0"/>
              <w:rPr>
                <w:sz w:val="20"/>
                <w:szCs w:val="20"/>
                <w:color w:val="auto"/>
              </w:rPr>
            </w:pPr>
            <w:r>
              <w:rPr>
                <w:rFonts w:ascii="Arial" w:cs="Arial" w:eastAsia="Arial" w:hAnsi="Arial"/>
                <w:sz w:val="13"/>
                <w:szCs w:val="13"/>
                <w:color w:val="3B3C43"/>
              </w:rPr>
              <w:t>60,110</w:t>
            </w:r>
          </w:p>
        </w:tc>
        <w:tc>
          <w:tcPr>
            <w:tcW w:w="1080" w:type="dxa"/>
            <w:vAlign w:val="bottom"/>
          </w:tcPr>
          <w:p>
            <w:pPr>
              <w:jc w:val="right"/>
              <w:spacing w:after="0"/>
              <w:rPr>
                <w:sz w:val="20"/>
                <w:szCs w:val="20"/>
                <w:color w:val="auto"/>
              </w:rPr>
            </w:pPr>
            <w:r>
              <w:rPr>
                <w:rFonts w:ascii="Arial" w:cs="Arial" w:eastAsia="Arial" w:hAnsi="Arial"/>
                <w:sz w:val="13"/>
                <w:szCs w:val="13"/>
                <w:color w:val="3B3C43"/>
              </w:rPr>
              <w:t>23,205</w:t>
            </w:r>
          </w:p>
        </w:tc>
        <w:tc>
          <w:tcPr>
            <w:tcW w:w="1040" w:type="dxa"/>
            <w:vAlign w:val="bottom"/>
          </w:tcPr>
          <w:p>
            <w:pPr>
              <w:jc w:val="right"/>
              <w:ind w:right="77"/>
              <w:spacing w:after="0"/>
              <w:rPr>
                <w:sz w:val="20"/>
                <w:szCs w:val="20"/>
                <w:color w:val="auto"/>
              </w:rPr>
            </w:pPr>
            <w:r>
              <w:rPr>
                <w:rFonts w:ascii="Arial" w:cs="Arial" w:eastAsia="Arial" w:hAnsi="Arial"/>
                <w:sz w:val="13"/>
                <w:szCs w:val="13"/>
                <w:color w:val="3B3C43"/>
              </w:rPr>
              <w:t>50,000</w:t>
            </w:r>
          </w:p>
        </w:tc>
        <w:tc>
          <w:tcPr>
            <w:tcW w:w="880" w:type="dxa"/>
            <w:vAlign w:val="bottom"/>
          </w:tcPr>
          <w:p>
            <w:pPr>
              <w:jc w:val="right"/>
              <w:ind w:right="57"/>
              <w:spacing w:after="0"/>
              <w:rPr>
                <w:sz w:val="20"/>
                <w:szCs w:val="20"/>
                <w:color w:val="auto"/>
              </w:rPr>
            </w:pPr>
            <w:r>
              <w:rPr>
                <w:rFonts w:ascii="Arial" w:cs="Arial" w:eastAsia="Arial" w:hAnsi="Arial"/>
                <w:sz w:val="13"/>
                <w:szCs w:val="13"/>
                <w:color w:val="3B3C43"/>
              </w:rPr>
              <w:t>–</w:t>
            </w:r>
          </w:p>
        </w:tc>
        <w:tc>
          <w:tcPr>
            <w:tcW w:w="820" w:type="dxa"/>
            <w:vAlign w:val="bottom"/>
          </w:tcPr>
          <w:p>
            <w:pPr>
              <w:jc w:val="right"/>
              <w:spacing w:after="0"/>
              <w:rPr>
                <w:sz w:val="20"/>
                <w:szCs w:val="20"/>
                <w:color w:val="auto"/>
              </w:rPr>
            </w:pPr>
            <w:r>
              <w:rPr>
                <w:rFonts w:ascii="Arial" w:cs="Arial" w:eastAsia="Arial" w:hAnsi="Arial"/>
                <w:sz w:val="13"/>
                <w:szCs w:val="13"/>
                <w:color w:val="3B3C43"/>
              </w:rPr>
              <w:t>25,966,599</w:t>
            </w:r>
          </w:p>
        </w:tc>
      </w:tr>
      <w:tr>
        <w:trPr>
          <w:trHeight w:val="43"/>
        </w:trPr>
        <w:tc>
          <w:tcPr>
            <w:tcW w:w="2020" w:type="dxa"/>
            <w:vAlign w:val="bottom"/>
            <w:tcBorders>
              <w:bottom w:val="single" w:sz="8" w:color="E1E2E0"/>
            </w:tcBorders>
          </w:tcPr>
          <w:p>
            <w:pPr>
              <w:spacing w:after="0"/>
              <w:rPr>
                <w:sz w:val="3"/>
                <w:szCs w:val="3"/>
                <w:color w:val="auto"/>
              </w:rPr>
            </w:pPr>
          </w:p>
        </w:tc>
        <w:tc>
          <w:tcPr>
            <w:tcW w:w="1380" w:type="dxa"/>
            <w:vAlign w:val="bottom"/>
            <w:tcBorders>
              <w:bottom w:val="single" w:sz="8" w:color="E1E2E0"/>
            </w:tcBorders>
          </w:tcPr>
          <w:p>
            <w:pPr>
              <w:spacing w:after="0"/>
              <w:rPr>
                <w:sz w:val="3"/>
                <w:szCs w:val="3"/>
                <w:color w:val="auto"/>
              </w:rPr>
            </w:pPr>
          </w:p>
        </w:tc>
        <w:tc>
          <w:tcPr>
            <w:tcW w:w="1020" w:type="dxa"/>
            <w:vAlign w:val="bottom"/>
            <w:tcBorders>
              <w:bottom w:val="single" w:sz="8" w:color="E1E2E0"/>
            </w:tcBorders>
          </w:tcPr>
          <w:p>
            <w:pPr>
              <w:spacing w:after="0"/>
              <w:rPr>
                <w:sz w:val="3"/>
                <w:szCs w:val="3"/>
                <w:color w:val="auto"/>
              </w:rPr>
            </w:pPr>
          </w:p>
        </w:tc>
        <w:tc>
          <w:tcPr>
            <w:tcW w:w="1220" w:type="dxa"/>
            <w:vAlign w:val="bottom"/>
            <w:tcBorders>
              <w:bottom w:val="single" w:sz="8" w:color="E1E2E0"/>
            </w:tcBorders>
          </w:tcPr>
          <w:p>
            <w:pPr>
              <w:spacing w:after="0"/>
              <w:rPr>
                <w:sz w:val="3"/>
                <w:szCs w:val="3"/>
                <w:color w:val="auto"/>
              </w:rPr>
            </w:pPr>
          </w:p>
        </w:tc>
        <w:tc>
          <w:tcPr>
            <w:tcW w:w="860" w:type="dxa"/>
            <w:vAlign w:val="bottom"/>
            <w:tcBorders>
              <w:bottom w:val="single" w:sz="8" w:color="E1E2E0"/>
            </w:tcBorders>
          </w:tcPr>
          <w:p>
            <w:pPr>
              <w:spacing w:after="0"/>
              <w:rPr>
                <w:sz w:val="3"/>
                <w:szCs w:val="3"/>
                <w:color w:val="auto"/>
              </w:rPr>
            </w:pPr>
          </w:p>
        </w:tc>
        <w:tc>
          <w:tcPr>
            <w:tcW w:w="920" w:type="dxa"/>
            <w:vAlign w:val="bottom"/>
            <w:tcBorders>
              <w:bottom w:val="single" w:sz="8" w:color="E1E2E0"/>
            </w:tcBorders>
          </w:tcPr>
          <w:p>
            <w:pPr>
              <w:spacing w:after="0"/>
              <w:rPr>
                <w:sz w:val="3"/>
                <w:szCs w:val="3"/>
                <w:color w:val="auto"/>
              </w:rPr>
            </w:pPr>
          </w:p>
        </w:tc>
        <w:tc>
          <w:tcPr>
            <w:tcW w:w="1080" w:type="dxa"/>
            <w:vAlign w:val="bottom"/>
            <w:tcBorders>
              <w:bottom w:val="single" w:sz="8" w:color="E1E2E0"/>
            </w:tcBorders>
          </w:tcPr>
          <w:p>
            <w:pPr>
              <w:spacing w:after="0"/>
              <w:rPr>
                <w:sz w:val="3"/>
                <w:szCs w:val="3"/>
                <w:color w:val="auto"/>
              </w:rPr>
            </w:pPr>
          </w:p>
        </w:tc>
        <w:tc>
          <w:tcPr>
            <w:tcW w:w="1040" w:type="dxa"/>
            <w:vAlign w:val="bottom"/>
            <w:tcBorders>
              <w:bottom w:val="single" w:sz="8" w:color="E1E2E0"/>
            </w:tcBorders>
          </w:tcPr>
          <w:p>
            <w:pPr>
              <w:spacing w:after="0"/>
              <w:rPr>
                <w:sz w:val="3"/>
                <w:szCs w:val="3"/>
                <w:color w:val="auto"/>
              </w:rPr>
            </w:pPr>
          </w:p>
        </w:tc>
        <w:tc>
          <w:tcPr>
            <w:tcW w:w="880" w:type="dxa"/>
            <w:vAlign w:val="bottom"/>
            <w:tcBorders>
              <w:bottom w:val="single" w:sz="8" w:color="E1E2E0"/>
            </w:tcBorders>
          </w:tcPr>
          <w:p>
            <w:pPr>
              <w:spacing w:after="0"/>
              <w:rPr>
                <w:sz w:val="3"/>
                <w:szCs w:val="3"/>
                <w:color w:val="auto"/>
              </w:rPr>
            </w:pPr>
          </w:p>
        </w:tc>
        <w:tc>
          <w:tcPr>
            <w:tcW w:w="820" w:type="dxa"/>
            <w:vAlign w:val="bottom"/>
            <w:tcBorders>
              <w:bottom w:val="single" w:sz="8" w:color="E1E2E0"/>
            </w:tcBorders>
          </w:tcPr>
          <w:p>
            <w:pPr>
              <w:spacing w:after="0"/>
              <w:rPr>
                <w:sz w:val="3"/>
                <w:szCs w:val="3"/>
                <w:color w:val="auto"/>
              </w:rPr>
            </w:pPr>
          </w:p>
        </w:tc>
      </w:tr>
      <w:tr>
        <w:trPr>
          <w:trHeight w:val="194"/>
        </w:trPr>
        <w:tc>
          <w:tcPr>
            <w:tcW w:w="2020" w:type="dxa"/>
            <w:vAlign w:val="bottom"/>
          </w:tcPr>
          <w:p>
            <w:pPr>
              <w:ind w:left="60"/>
              <w:spacing w:after="0"/>
              <w:rPr>
                <w:sz w:val="20"/>
                <w:szCs w:val="20"/>
                <w:color w:val="auto"/>
              </w:rPr>
            </w:pPr>
            <w:r>
              <w:rPr>
                <w:rFonts w:ascii="Arial" w:cs="Arial" w:eastAsia="Arial" w:hAnsi="Arial"/>
                <w:sz w:val="13"/>
                <w:szCs w:val="13"/>
                <w:b w:val="1"/>
                <w:bCs w:val="1"/>
                <w:color w:val="3B3C43"/>
              </w:rPr>
              <w:t>Maryann T. Mannen</w:t>
            </w:r>
          </w:p>
        </w:tc>
        <w:tc>
          <w:tcPr>
            <w:tcW w:w="1380" w:type="dxa"/>
            <w:vAlign w:val="bottom"/>
          </w:tcPr>
          <w:p>
            <w:pPr>
              <w:jc w:val="right"/>
              <w:spacing w:after="0"/>
              <w:rPr>
                <w:sz w:val="20"/>
                <w:szCs w:val="20"/>
                <w:color w:val="auto"/>
              </w:rPr>
            </w:pPr>
            <w:r>
              <w:rPr>
                <w:rFonts w:ascii="Arial" w:cs="Arial" w:eastAsia="Arial" w:hAnsi="Arial"/>
                <w:sz w:val="13"/>
                <w:szCs w:val="13"/>
                <w:color w:val="3B3C43"/>
              </w:rPr>
              <w:t>4,818,000</w:t>
            </w:r>
          </w:p>
        </w:tc>
        <w:tc>
          <w:tcPr>
            <w:tcW w:w="1020" w:type="dxa"/>
            <w:vAlign w:val="bottom"/>
          </w:tcPr>
          <w:p>
            <w:pPr>
              <w:jc w:val="right"/>
              <w:spacing w:after="0"/>
              <w:rPr>
                <w:sz w:val="20"/>
                <w:szCs w:val="20"/>
                <w:color w:val="auto"/>
              </w:rPr>
            </w:pPr>
            <w:r>
              <w:rPr>
                <w:rFonts w:ascii="Arial" w:cs="Arial" w:eastAsia="Arial" w:hAnsi="Arial"/>
                <w:sz w:val="13"/>
                <w:szCs w:val="13"/>
                <w:color w:val="3B3C43"/>
              </w:rPr>
              <w:t>803,000</w:t>
            </w:r>
          </w:p>
        </w:tc>
        <w:tc>
          <w:tcPr>
            <w:tcW w:w="1220" w:type="dxa"/>
            <w:vAlign w:val="bottom"/>
          </w:tcPr>
          <w:p>
            <w:pPr>
              <w:jc w:val="right"/>
              <w:ind w:right="97"/>
              <w:spacing w:after="0"/>
              <w:rPr>
                <w:sz w:val="20"/>
                <w:szCs w:val="20"/>
                <w:color w:val="auto"/>
              </w:rPr>
            </w:pPr>
            <w:r>
              <w:rPr>
                <w:rFonts w:ascii="Arial" w:cs="Arial" w:eastAsia="Arial" w:hAnsi="Arial"/>
                <w:sz w:val="13"/>
                <w:szCs w:val="13"/>
                <w:color w:val="3B3C43"/>
              </w:rPr>
              <w:t>5,017,203</w:t>
            </w:r>
          </w:p>
        </w:tc>
        <w:tc>
          <w:tcPr>
            <w:tcW w:w="860" w:type="dxa"/>
            <w:vAlign w:val="bottom"/>
          </w:tcPr>
          <w:p>
            <w:pPr>
              <w:jc w:val="right"/>
              <w:ind w:right="77"/>
              <w:spacing w:after="0"/>
              <w:rPr>
                <w:sz w:val="20"/>
                <w:szCs w:val="20"/>
                <w:color w:val="auto"/>
              </w:rPr>
            </w:pPr>
            <w:r>
              <w:rPr>
                <w:rFonts w:ascii="Arial" w:cs="Arial" w:eastAsia="Arial" w:hAnsi="Arial"/>
                <w:sz w:val="13"/>
                <w:szCs w:val="13"/>
                <w:color w:val="3B3C43"/>
              </w:rPr>
              <w:t>–</w:t>
            </w:r>
          </w:p>
        </w:tc>
        <w:tc>
          <w:tcPr>
            <w:tcW w:w="920" w:type="dxa"/>
            <w:vAlign w:val="bottom"/>
          </w:tcPr>
          <w:p>
            <w:pPr>
              <w:jc w:val="right"/>
              <w:spacing w:after="0"/>
              <w:rPr>
                <w:sz w:val="20"/>
                <w:szCs w:val="20"/>
                <w:color w:val="auto"/>
              </w:rPr>
            </w:pPr>
            <w:r>
              <w:rPr>
                <w:rFonts w:ascii="Arial" w:cs="Arial" w:eastAsia="Arial" w:hAnsi="Arial"/>
                <w:sz w:val="13"/>
                <w:szCs w:val="13"/>
                <w:color w:val="3B3C43"/>
              </w:rPr>
              <w:t>36,388</w:t>
            </w:r>
          </w:p>
        </w:tc>
        <w:tc>
          <w:tcPr>
            <w:tcW w:w="1080" w:type="dxa"/>
            <w:vAlign w:val="bottom"/>
          </w:tcPr>
          <w:p>
            <w:pPr>
              <w:jc w:val="right"/>
              <w:spacing w:after="0"/>
              <w:rPr>
                <w:sz w:val="20"/>
                <w:szCs w:val="20"/>
                <w:color w:val="auto"/>
              </w:rPr>
            </w:pPr>
            <w:r>
              <w:rPr>
                <w:rFonts w:ascii="Arial" w:cs="Arial" w:eastAsia="Arial" w:hAnsi="Arial"/>
                <w:sz w:val="13"/>
                <w:szCs w:val="13"/>
                <w:color w:val="3B3C43"/>
              </w:rPr>
              <w:t>22,783</w:t>
            </w:r>
          </w:p>
        </w:tc>
        <w:tc>
          <w:tcPr>
            <w:tcW w:w="1040" w:type="dxa"/>
            <w:vAlign w:val="bottom"/>
          </w:tcPr>
          <w:p>
            <w:pPr>
              <w:jc w:val="right"/>
              <w:ind w:right="77"/>
              <w:spacing w:after="0"/>
              <w:rPr>
                <w:sz w:val="20"/>
                <w:szCs w:val="20"/>
                <w:color w:val="auto"/>
              </w:rPr>
            </w:pPr>
            <w:r>
              <w:rPr>
                <w:rFonts w:ascii="Arial" w:cs="Arial" w:eastAsia="Arial" w:hAnsi="Arial"/>
                <w:sz w:val="13"/>
                <w:szCs w:val="13"/>
                <w:color w:val="3B3C43"/>
              </w:rPr>
              <w:t>50,000</w:t>
            </w:r>
          </w:p>
        </w:tc>
        <w:tc>
          <w:tcPr>
            <w:tcW w:w="880" w:type="dxa"/>
            <w:vAlign w:val="bottom"/>
          </w:tcPr>
          <w:p>
            <w:pPr>
              <w:jc w:val="right"/>
              <w:ind w:right="57"/>
              <w:spacing w:after="0"/>
              <w:rPr>
                <w:sz w:val="20"/>
                <w:szCs w:val="20"/>
                <w:color w:val="auto"/>
              </w:rPr>
            </w:pPr>
            <w:r>
              <w:rPr>
                <w:rFonts w:ascii="Arial" w:cs="Arial" w:eastAsia="Arial" w:hAnsi="Arial"/>
                <w:sz w:val="13"/>
                <w:szCs w:val="13"/>
                <w:color w:val="3B3C43"/>
              </w:rPr>
              <w:t>1,942,097</w:t>
            </w:r>
          </w:p>
        </w:tc>
        <w:tc>
          <w:tcPr>
            <w:tcW w:w="820" w:type="dxa"/>
            <w:vAlign w:val="bottom"/>
          </w:tcPr>
          <w:p>
            <w:pPr>
              <w:jc w:val="right"/>
              <w:spacing w:after="0"/>
              <w:rPr>
                <w:sz w:val="20"/>
                <w:szCs w:val="20"/>
                <w:color w:val="auto"/>
              </w:rPr>
            </w:pPr>
            <w:r>
              <w:rPr>
                <w:rFonts w:ascii="Arial" w:cs="Arial" w:eastAsia="Arial" w:hAnsi="Arial"/>
                <w:sz w:val="13"/>
                <w:szCs w:val="13"/>
                <w:color w:val="3B3C43"/>
              </w:rPr>
              <w:t>12,689,471</w:t>
            </w:r>
          </w:p>
        </w:tc>
      </w:tr>
      <w:tr>
        <w:trPr>
          <w:trHeight w:val="43"/>
        </w:trPr>
        <w:tc>
          <w:tcPr>
            <w:tcW w:w="2020" w:type="dxa"/>
            <w:vAlign w:val="bottom"/>
            <w:tcBorders>
              <w:bottom w:val="single" w:sz="8" w:color="E1E2E0"/>
            </w:tcBorders>
          </w:tcPr>
          <w:p>
            <w:pPr>
              <w:spacing w:after="0"/>
              <w:rPr>
                <w:sz w:val="3"/>
                <w:szCs w:val="3"/>
                <w:color w:val="auto"/>
              </w:rPr>
            </w:pPr>
          </w:p>
        </w:tc>
        <w:tc>
          <w:tcPr>
            <w:tcW w:w="1380" w:type="dxa"/>
            <w:vAlign w:val="bottom"/>
            <w:tcBorders>
              <w:bottom w:val="single" w:sz="8" w:color="E1E2E0"/>
            </w:tcBorders>
          </w:tcPr>
          <w:p>
            <w:pPr>
              <w:spacing w:after="0"/>
              <w:rPr>
                <w:sz w:val="3"/>
                <w:szCs w:val="3"/>
                <w:color w:val="auto"/>
              </w:rPr>
            </w:pPr>
          </w:p>
        </w:tc>
        <w:tc>
          <w:tcPr>
            <w:tcW w:w="1020" w:type="dxa"/>
            <w:vAlign w:val="bottom"/>
            <w:tcBorders>
              <w:bottom w:val="single" w:sz="8" w:color="E1E2E0"/>
            </w:tcBorders>
          </w:tcPr>
          <w:p>
            <w:pPr>
              <w:spacing w:after="0"/>
              <w:rPr>
                <w:sz w:val="3"/>
                <w:szCs w:val="3"/>
                <w:color w:val="auto"/>
              </w:rPr>
            </w:pPr>
          </w:p>
        </w:tc>
        <w:tc>
          <w:tcPr>
            <w:tcW w:w="1220" w:type="dxa"/>
            <w:vAlign w:val="bottom"/>
            <w:tcBorders>
              <w:bottom w:val="single" w:sz="8" w:color="E1E2E0"/>
            </w:tcBorders>
          </w:tcPr>
          <w:p>
            <w:pPr>
              <w:spacing w:after="0"/>
              <w:rPr>
                <w:sz w:val="3"/>
                <w:szCs w:val="3"/>
                <w:color w:val="auto"/>
              </w:rPr>
            </w:pPr>
          </w:p>
        </w:tc>
        <w:tc>
          <w:tcPr>
            <w:tcW w:w="860" w:type="dxa"/>
            <w:vAlign w:val="bottom"/>
            <w:tcBorders>
              <w:bottom w:val="single" w:sz="8" w:color="E1E2E0"/>
            </w:tcBorders>
          </w:tcPr>
          <w:p>
            <w:pPr>
              <w:spacing w:after="0"/>
              <w:rPr>
                <w:sz w:val="3"/>
                <w:szCs w:val="3"/>
                <w:color w:val="auto"/>
              </w:rPr>
            </w:pPr>
          </w:p>
        </w:tc>
        <w:tc>
          <w:tcPr>
            <w:tcW w:w="920" w:type="dxa"/>
            <w:vAlign w:val="bottom"/>
            <w:tcBorders>
              <w:bottom w:val="single" w:sz="8" w:color="E1E2E0"/>
            </w:tcBorders>
          </w:tcPr>
          <w:p>
            <w:pPr>
              <w:spacing w:after="0"/>
              <w:rPr>
                <w:sz w:val="3"/>
                <w:szCs w:val="3"/>
                <w:color w:val="auto"/>
              </w:rPr>
            </w:pPr>
          </w:p>
        </w:tc>
        <w:tc>
          <w:tcPr>
            <w:tcW w:w="1080" w:type="dxa"/>
            <w:vAlign w:val="bottom"/>
            <w:tcBorders>
              <w:bottom w:val="single" w:sz="8" w:color="E1E2E0"/>
            </w:tcBorders>
          </w:tcPr>
          <w:p>
            <w:pPr>
              <w:spacing w:after="0"/>
              <w:rPr>
                <w:sz w:val="3"/>
                <w:szCs w:val="3"/>
                <w:color w:val="auto"/>
              </w:rPr>
            </w:pPr>
          </w:p>
        </w:tc>
        <w:tc>
          <w:tcPr>
            <w:tcW w:w="1040" w:type="dxa"/>
            <w:vAlign w:val="bottom"/>
            <w:tcBorders>
              <w:bottom w:val="single" w:sz="8" w:color="E1E2E0"/>
            </w:tcBorders>
          </w:tcPr>
          <w:p>
            <w:pPr>
              <w:spacing w:after="0"/>
              <w:rPr>
                <w:sz w:val="3"/>
                <w:szCs w:val="3"/>
                <w:color w:val="auto"/>
              </w:rPr>
            </w:pPr>
          </w:p>
        </w:tc>
        <w:tc>
          <w:tcPr>
            <w:tcW w:w="880" w:type="dxa"/>
            <w:vAlign w:val="bottom"/>
            <w:tcBorders>
              <w:bottom w:val="single" w:sz="8" w:color="E1E2E0"/>
            </w:tcBorders>
          </w:tcPr>
          <w:p>
            <w:pPr>
              <w:spacing w:after="0"/>
              <w:rPr>
                <w:sz w:val="3"/>
                <w:szCs w:val="3"/>
                <w:color w:val="auto"/>
              </w:rPr>
            </w:pPr>
          </w:p>
        </w:tc>
        <w:tc>
          <w:tcPr>
            <w:tcW w:w="820" w:type="dxa"/>
            <w:vAlign w:val="bottom"/>
            <w:tcBorders>
              <w:bottom w:val="single" w:sz="8" w:color="E1E2E0"/>
            </w:tcBorders>
          </w:tcPr>
          <w:p>
            <w:pPr>
              <w:spacing w:after="0"/>
              <w:rPr>
                <w:sz w:val="3"/>
                <w:szCs w:val="3"/>
                <w:color w:val="auto"/>
              </w:rPr>
            </w:pPr>
          </w:p>
        </w:tc>
      </w:tr>
      <w:tr>
        <w:trPr>
          <w:trHeight w:val="194"/>
        </w:trPr>
        <w:tc>
          <w:tcPr>
            <w:tcW w:w="2020" w:type="dxa"/>
            <w:vAlign w:val="bottom"/>
          </w:tcPr>
          <w:p>
            <w:pPr>
              <w:ind w:left="60"/>
              <w:spacing w:after="0"/>
              <w:rPr>
                <w:sz w:val="20"/>
                <w:szCs w:val="20"/>
                <w:color w:val="auto"/>
              </w:rPr>
            </w:pPr>
            <w:r>
              <w:rPr>
                <w:rFonts w:ascii="Arial" w:cs="Arial" w:eastAsia="Arial" w:hAnsi="Arial"/>
                <w:sz w:val="13"/>
                <w:szCs w:val="13"/>
                <w:b w:val="1"/>
                <w:bCs w:val="1"/>
                <w:color w:val="3B3C43"/>
              </w:rPr>
              <w:t>Justin Rounce</w:t>
            </w:r>
          </w:p>
        </w:tc>
        <w:tc>
          <w:tcPr>
            <w:tcW w:w="1380" w:type="dxa"/>
            <w:vAlign w:val="bottom"/>
          </w:tcPr>
          <w:p>
            <w:pPr>
              <w:jc w:val="right"/>
              <w:spacing w:after="0"/>
              <w:rPr>
                <w:sz w:val="20"/>
                <w:szCs w:val="20"/>
                <w:color w:val="auto"/>
              </w:rPr>
            </w:pPr>
            <w:r>
              <w:rPr>
                <w:rFonts w:ascii="Arial" w:cs="Arial" w:eastAsia="Arial" w:hAnsi="Arial"/>
                <w:sz w:val="13"/>
                <w:szCs w:val="13"/>
                <w:color w:val="3B3C43"/>
              </w:rPr>
              <w:t>2,400,000</w:t>
            </w:r>
          </w:p>
        </w:tc>
        <w:tc>
          <w:tcPr>
            <w:tcW w:w="1020" w:type="dxa"/>
            <w:vAlign w:val="bottom"/>
          </w:tcPr>
          <w:p>
            <w:pPr>
              <w:jc w:val="right"/>
              <w:spacing w:after="0"/>
              <w:rPr>
                <w:sz w:val="20"/>
                <w:szCs w:val="20"/>
                <w:color w:val="auto"/>
              </w:rPr>
            </w:pPr>
            <w:r>
              <w:rPr>
                <w:rFonts w:ascii="Arial" w:cs="Arial" w:eastAsia="Arial" w:hAnsi="Arial"/>
                <w:sz w:val="13"/>
                <w:szCs w:val="13"/>
                <w:color w:val="3B3C43"/>
              </w:rPr>
              <w:t>600,000</w:t>
            </w:r>
          </w:p>
        </w:tc>
        <w:tc>
          <w:tcPr>
            <w:tcW w:w="1220" w:type="dxa"/>
            <w:vAlign w:val="bottom"/>
          </w:tcPr>
          <w:p>
            <w:pPr>
              <w:jc w:val="right"/>
              <w:ind w:right="97"/>
              <w:spacing w:after="0"/>
              <w:rPr>
                <w:sz w:val="20"/>
                <w:szCs w:val="20"/>
                <w:color w:val="auto"/>
              </w:rPr>
            </w:pPr>
            <w:r>
              <w:rPr>
                <w:rFonts w:ascii="Arial" w:cs="Arial" w:eastAsia="Arial" w:hAnsi="Arial"/>
                <w:sz w:val="13"/>
                <w:szCs w:val="13"/>
                <w:color w:val="3B3C43"/>
              </w:rPr>
              <w:t>2,466,484</w:t>
            </w:r>
          </w:p>
        </w:tc>
        <w:tc>
          <w:tcPr>
            <w:tcW w:w="860" w:type="dxa"/>
            <w:vAlign w:val="bottom"/>
          </w:tcPr>
          <w:p>
            <w:pPr>
              <w:jc w:val="right"/>
              <w:ind w:right="77"/>
              <w:spacing w:after="0"/>
              <w:rPr>
                <w:sz w:val="20"/>
                <w:szCs w:val="20"/>
                <w:color w:val="auto"/>
              </w:rPr>
            </w:pPr>
            <w:r>
              <w:rPr>
                <w:rFonts w:ascii="Arial" w:cs="Arial" w:eastAsia="Arial" w:hAnsi="Arial"/>
                <w:sz w:val="13"/>
                <w:szCs w:val="13"/>
                <w:color w:val="3B3C43"/>
              </w:rPr>
              <w:t>–</w:t>
            </w:r>
          </w:p>
        </w:tc>
        <w:tc>
          <w:tcPr>
            <w:tcW w:w="920" w:type="dxa"/>
            <w:vAlign w:val="bottom"/>
          </w:tcPr>
          <w:p>
            <w:pPr>
              <w:jc w:val="right"/>
              <w:spacing w:after="0"/>
              <w:rPr>
                <w:sz w:val="20"/>
                <w:szCs w:val="20"/>
                <w:color w:val="auto"/>
              </w:rPr>
            </w:pPr>
            <w:r>
              <w:rPr>
                <w:rFonts w:ascii="Arial" w:cs="Arial" w:eastAsia="Arial" w:hAnsi="Arial"/>
                <w:sz w:val="13"/>
                <w:szCs w:val="13"/>
                <w:color w:val="3B3C43"/>
              </w:rPr>
              <w:t>39,478</w:t>
            </w:r>
          </w:p>
        </w:tc>
        <w:tc>
          <w:tcPr>
            <w:tcW w:w="1080" w:type="dxa"/>
            <w:vAlign w:val="bottom"/>
          </w:tcPr>
          <w:p>
            <w:pPr>
              <w:jc w:val="right"/>
              <w:spacing w:after="0"/>
              <w:rPr>
                <w:sz w:val="20"/>
                <w:szCs w:val="20"/>
                <w:color w:val="auto"/>
              </w:rPr>
            </w:pPr>
            <w:r>
              <w:rPr>
                <w:rFonts w:ascii="Arial" w:cs="Arial" w:eastAsia="Arial" w:hAnsi="Arial"/>
                <w:sz w:val="13"/>
                <w:szCs w:val="13"/>
                <w:color w:val="3B3C43"/>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3B3C43"/>
              </w:rPr>
              <w:t>50,000</w:t>
            </w:r>
          </w:p>
        </w:tc>
        <w:tc>
          <w:tcPr>
            <w:tcW w:w="880" w:type="dxa"/>
            <w:vAlign w:val="bottom"/>
          </w:tcPr>
          <w:p>
            <w:pPr>
              <w:jc w:val="right"/>
              <w:ind w:right="57"/>
              <w:spacing w:after="0"/>
              <w:rPr>
                <w:sz w:val="20"/>
                <w:szCs w:val="20"/>
                <w:color w:val="auto"/>
              </w:rPr>
            </w:pPr>
            <w:r>
              <w:rPr>
                <w:rFonts w:ascii="Arial" w:cs="Arial" w:eastAsia="Arial" w:hAnsi="Arial"/>
                <w:sz w:val="13"/>
                <w:szCs w:val="13"/>
                <w:color w:val="3B3C43"/>
              </w:rPr>
              <w:t>–</w:t>
            </w:r>
          </w:p>
        </w:tc>
        <w:tc>
          <w:tcPr>
            <w:tcW w:w="820" w:type="dxa"/>
            <w:vAlign w:val="bottom"/>
          </w:tcPr>
          <w:p>
            <w:pPr>
              <w:jc w:val="right"/>
              <w:spacing w:after="0"/>
              <w:rPr>
                <w:sz w:val="20"/>
                <w:szCs w:val="20"/>
                <w:color w:val="auto"/>
              </w:rPr>
            </w:pPr>
            <w:r>
              <w:rPr>
                <w:rFonts w:ascii="Arial" w:cs="Arial" w:eastAsia="Arial" w:hAnsi="Arial"/>
                <w:sz w:val="13"/>
                <w:szCs w:val="13"/>
                <w:color w:val="3B3C43"/>
              </w:rPr>
              <w:t>5,555,962</w:t>
            </w:r>
          </w:p>
        </w:tc>
      </w:tr>
      <w:tr>
        <w:trPr>
          <w:trHeight w:val="43"/>
        </w:trPr>
        <w:tc>
          <w:tcPr>
            <w:tcW w:w="2020" w:type="dxa"/>
            <w:vAlign w:val="bottom"/>
            <w:tcBorders>
              <w:bottom w:val="single" w:sz="8" w:color="E1E2E0"/>
            </w:tcBorders>
          </w:tcPr>
          <w:p>
            <w:pPr>
              <w:spacing w:after="0"/>
              <w:rPr>
                <w:sz w:val="3"/>
                <w:szCs w:val="3"/>
                <w:color w:val="auto"/>
              </w:rPr>
            </w:pPr>
          </w:p>
        </w:tc>
        <w:tc>
          <w:tcPr>
            <w:tcW w:w="1380" w:type="dxa"/>
            <w:vAlign w:val="bottom"/>
            <w:tcBorders>
              <w:bottom w:val="single" w:sz="8" w:color="E1E2E0"/>
            </w:tcBorders>
          </w:tcPr>
          <w:p>
            <w:pPr>
              <w:spacing w:after="0"/>
              <w:rPr>
                <w:sz w:val="3"/>
                <w:szCs w:val="3"/>
                <w:color w:val="auto"/>
              </w:rPr>
            </w:pPr>
          </w:p>
        </w:tc>
        <w:tc>
          <w:tcPr>
            <w:tcW w:w="1020" w:type="dxa"/>
            <w:vAlign w:val="bottom"/>
            <w:tcBorders>
              <w:bottom w:val="single" w:sz="8" w:color="E1E2E0"/>
            </w:tcBorders>
          </w:tcPr>
          <w:p>
            <w:pPr>
              <w:spacing w:after="0"/>
              <w:rPr>
                <w:sz w:val="3"/>
                <w:szCs w:val="3"/>
                <w:color w:val="auto"/>
              </w:rPr>
            </w:pPr>
          </w:p>
        </w:tc>
        <w:tc>
          <w:tcPr>
            <w:tcW w:w="1220" w:type="dxa"/>
            <w:vAlign w:val="bottom"/>
            <w:tcBorders>
              <w:bottom w:val="single" w:sz="8" w:color="E1E2E0"/>
            </w:tcBorders>
          </w:tcPr>
          <w:p>
            <w:pPr>
              <w:spacing w:after="0"/>
              <w:rPr>
                <w:sz w:val="3"/>
                <w:szCs w:val="3"/>
                <w:color w:val="auto"/>
              </w:rPr>
            </w:pPr>
          </w:p>
        </w:tc>
        <w:tc>
          <w:tcPr>
            <w:tcW w:w="860" w:type="dxa"/>
            <w:vAlign w:val="bottom"/>
            <w:tcBorders>
              <w:bottom w:val="single" w:sz="8" w:color="E1E2E0"/>
            </w:tcBorders>
          </w:tcPr>
          <w:p>
            <w:pPr>
              <w:spacing w:after="0"/>
              <w:rPr>
                <w:sz w:val="3"/>
                <w:szCs w:val="3"/>
                <w:color w:val="auto"/>
              </w:rPr>
            </w:pPr>
          </w:p>
        </w:tc>
        <w:tc>
          <w:tcPr>
            <w:tcW w:w="920" w:type="dxa"/>
            <w:vAlign w:val="bottom"/>
            <w:tcBorders>
              <w:bottom w:val="single" w:sz="8" w:color="E1E2E0"/>
            </w:tcBorders>
          </w:tcPr>
          <w:p>
            <w:pPr>
              <w:spacing w:after="0"/>
              <w:rPr>
                <w:sz w:val="3"/>
                <w:szCs w:val="3"/>
                <w:color w:val="auto"/>
              </w:rPr>
            </w:pPr>
          </w:p>
        </w:tc>
        <w:tc>
          <w:tcPr>
            <w:tcW w:w="1080" w:type="dxa"/>
            <w:vAlign w:val="bottom"/>
            <w:tcBorders>
              <w:bottom w:val="single" w:sz="8" w:color="E1E2E0"/>
            </w:tcBorders>
          </w:tcPr>
          <w:p>
            <w:pPr>
              <w:spacing w:after="0"/>
              <w:rPr>
                <w:sz w:val="3"/>
                <w:szCs w:val="3"/>
                <w:color w:val="auto"/>
              </w:rPr>
            </w:pPr>
          </w:p>
        </w:tc>
        <w:tc>
          <w:tcPr>
            <w:tcW w:w="1040" w:type="dxa"/>
            <w:vAlign w:val="bottom"/>
            <w:tcBorders>
              <w:bottom w:val="single" w:sz="8" w:color="E1E2E0"/>
            </w:tcBorders>
          </w:tcPr>
          <w:p>
            <w:pPr>
              <w:spacing w:after="0"/>
              <w:rPr>
                <w:sz w:val="3"/>
                <w:szCs w:val="3"/>
                <w:color w:val="auto"/>
              </w:rPr>
            </w:pPr>
          </w:p>
        </w:tc>
        <w:tc>
          <w:tcPr>
            <w:tcW w:w="880" w:type="dxa"/>
            <w:vAlign w:val="bottom"/>
            <w:tcBorders>
              <w:bottom w:val="single" w:sz="8" w:color="E1E2E0"/>
            </w:tcBorders>
          </w:tcPr>
          <w:p>
            <w:pPr>
              <w:spacing w:after="0"/>
              <w:rPr>
                <w:sz w:val="3"/>
                <w:szCs w:val="3"/>
                <w:color w:val="auto"/>
              </w:rPr>
            </w:pPr>
          </w:p>
        </w:tc>
        <w:tc>
          <w:tcPr>
            <w:tcW w:w="820" w:type="dxa"/>
            <w:vAlign w:val="bottom"/>
            <w:tcBorders>
              <w:bottom w:val="single" w:sz="8" w:color="E1E2E0"/>
            </w:tcBorders>
          </w:tcPr>
          <w:p>
            <w:pPr>
              <w:spacing w:after="0"/>
              <w:rPr>
                <w:sz w:val="3"/>
                <w:szCs w:val="3"/>
                <w:color w:val="auto"/>
              </w:rPr>
            </w:pPr>
          </w:p>
        </w:tc>
      </w:tr>
      <w:tr>
        <w:trPr>
          <w:trHeight w:val="248"/>
        </w:trPr>
        <w:tc>
          <w:tcPr>
            <w:tcW w:w="2020" w:type="dxa"/>
            <w:vAlign w:val="bottom"/>
          </w:tcPr>
          <w:p>
            <w:pPr>
              <w:ind w:left="60"/>
              <w:spacing w:after="0"/>
              <w:rPr>
                <w:sz w:val="20"/>
                <w:szCs w:val="20"/>
                <w:color w:val="auto"/>
              </w:rPr>
            </w:pPr>
            <w:r>
              <w:rPr>
                <w:rFonts w:ascii="Arial" w:cs="Arial" w:eastAsia="Arial" w:hAnsi="Arial"/>
                <w:sz w:val="13"/>
                <w:szCs w:val="13"/>
                <w:b w:val="1"/>
                <w:bCs w:val="1"/>
                <w:color w:val="3B3C43"/>
              </w:rPr>
              <w:t>Arnaud Pieton</w:t>
            </w:r>
          </w:p>
        </w:tc>
        <w:tc>
          <w:tcPr>
            <w:tcW w:w="1380" w:type="dxa"/>
            <w:vAlign w:val="bottom"/>
          </w:tcPr>
          <w:p>
            <w:pPr>
              <w:jc w:val="right"/>
              <w:spacing w:after="0"/>
              <w:rPr>
                <w:sz w:val="20"/>
                <w:szCs w:val="20"/>
                <w:color w:val="auto"/>
              </w:rPr>
            </w:pPr>
            <w:r>
              <w:rPr>
                <w:rFonts w:ascii="Arial" w:cs="Arial" w:eastAsia="Arial" w:hAnsi="Arial"/>
                <w:sz w:val="13"/>
                <w:szCs w:val="13"/>
                <w:color w:val="3B3C43"/>
              </w:rPr>
              <w:t>2,060,000</w:t>
            </w:r>
          </w:p>
        </w:tc>
        <w:tc>
          <w:tcPr>
            <w:tcW w:w="1020" w:type="dxa"/>
            <w:vAlign w:val="bottom"/>
          </w:tcPr>
          <w:p>
            <w:pPr>
              <w:jc w:val="right"/>
              <w:spacing w:after="0"/>
              <w:rPr>
                <w:sz w:val="20"/>
                <w:szCs w:val="20"/>
                <w:color w:val="auto"/>
              </w:rPr>
            </w:pPr>
            <w:r>
              <w:rPr>
                <w:rFonts w:ascii="Arial" w:cs="Arial" w:eastAsia="Arial" w:hAnsi="Arial"/>
                <w:sz w:val="13"/>
                <w:szCs w:val="13"/>
                <w:color w:val="3B3C43"/>
              </w:rPr>
              <w:t>587,020</w:t>
            </w:r>
          </w:p>
        </w:tc>
        <w:tc>
          <w:tcPr>
            <w:tcW w:w="1220" w:type="dxa"/>
            <w:vAlign w:val="bottom"/>
          </w:tcPr>
          <w:p>
            <w:pPr>
              <w:jc w:val="right"/>
              <w:ind w:right="97"/>
              <w:spacing w:after="0"/>
              <w:rPr>
                <w:sz w:val="20"/>
                <w:szCs w:val="20"/>
                <w:color w:val="auto"/>
              </w:rPr>
            </w:pPr>
            <w:r>
              <w:rPr>
                <w:rFonts w:ascii="Arial" w:cs="Arial" w:eastAsia="Arial" w:hAnsi="Arial"/>
                <w:sz w:val="13"/>
                <w:szCs w:val="13"/>
                <w:color w:val="3B3C43"/>
              </w:rPr>
              <w:t>2,004,691</w:t>
            </w:r>
          </w:p>
        </w:tc>
        <w:tc>
          <w:tcPr>
            <w:tcW w:w="860" w:type="dxa"/>
            <w:vAlign w:val="bottom"/>
          </w:tcPr>
          <w:p>
            <w:pPr>
              <w:jc w:val="right"/>
              <w:ind w:right="77"/>
              <w:spacing w:after="0"/>
              <w:rPr>
                <w:sz w:val="20"/>
                <w:szCs w:val="20"/>
                <w:color w:val="auto"/>
              </w:rPr>
            </w:pPr>
            <w:r>
              <w:rPr>
                <w:rFonts w:ascii="Arial" w:cs="Arial" w:eastAsia="Arial" w:hAnsi="Arial"/>
                <w:sz w:val="13"/>
                <w:szCs w:val="13"/>
                <w:color w:val="3B3C43"/>
              </w:rPr>
              <w:t>–</w:t>
            </w:r>
          </w:p>
        </w:tc>
        <w:tc>
          <w:tcPr>
            <w:tcW w:w="920" w:type="dxa"/>
            <w:vAlign w:val="bottom"/>
          </w:tcPr>
          <w:p>
            <w:pPr>
              <w:jc w:val="right"/>
              <w:spacing w:after="0"/>
              <w:rPr>
                <w:sz w:val="20"/>
                <w:szCs w:val="20"/>
                <w:color w:val="auto"/>
              </w:rPr>
            </w:pPr>
            <w:r>
              <w:rPr>
                <w:rFonts w:ascii="Arial" w:cs="Arial" w:eastAsia="Arial" w:hAnsi="Arial"/>
                <w:sz w:val="13"/>
                <w:szCs w:val="13"/>
                <w:color w:val="3B3C43"/>
              </w:rPr>
              <w:t>13,522</w:t>
            </w:r>
          </w:p>
        </w:tc>
        <w:tc>
          <w:tcPr>
            <w:tcW w:w="1080" w:type="dxa"/>
            <w:vAlign w:val="bottom"/>
          </w:tcPr>
          <w:p>
            <w:pPr>
              <w:spacing w:after="0"/>
              <w:rPr>
                <w:sz w:val="21"/>
                <w:szCs w:val="21"/>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3B3C43"/>
              </w:rPr>
              <w:t>50,000</w:t>
            </w:r>
          </w:p>
        </w:tc>
        <w:tc>
          <w:tcPr>
            <w:tcW w:w="880" w:type="dxa"/>
            <w:vAlign w:val="bottom"/>
          </w:tcPr>
          <w:p>
            <w:pPr>
              <w:jc w:val="right"/>
              <w:ind w:right="57"/>
              <w:spacing w:after="0"/>
              <w:rPr>
                <w:sz w:val="20"/>
                <w:szCs w:val="20"/>
                <w:color w:val="auto"/>
              </w:rPr>
            </w:pPr>
            <w:r>
              <w:rPr>
                <w:rFonts w:ascii="Arial" w:cs="Arial" w:eastAsia="Arial" w:hAnsi="Arial"/>
                <w:sz w:val="13"/>
                <w:szCs w:val="13"/>
                <w:color w:val="3B3C43"/>
              </w:rPr>
              <w:t>–</w:t>
            </w:r>
          </w:p>
        </w:tc>
        <w:tc>
          <w:tcPr>
            <w:tcW w:w="820" w:type="dxa"/>
            <w:vAlign w:val="bottom"/>
          </w:tcPr>
          <w:p>
            <w:pPr>
              <w:jc w:val="right"/>
              <w:spacing w:after="0"/>
              <w:rPr>
                <w:sz w:val="20"/>
                <w:szCs w:val="20"/>
                <w:color w:val="auto"/>
              </w:rPr>
            </w:pPr>
            <w:r>
              <w:rPr>
                <w:rFonts w:ascii="Arial" w:cs="Arial" w:eastAsia="Arial" w:hAnsi="Arial"/>
                <w:sz w:val="13"/>
                <w:szCs w:val="13"/>
                <w:color w:val="3B3C43"/>
              </w:rPr>
              <w:t>4,715,233</w:t>
            </w:r>
          </w:p>
        </w:tc>
      </w:tr>
      <w:tr>
        <w:trPr>
          <w:trHeight w:val="97"/>
        </w:trPr>
        <w:tc>
          <w:tcPr>
            <w:tcW w:w="2020" w:type="dxa"/>
            <w:vAlign w:val="bottom"/>
            <w:tcBorders>
              <w:bottom w:val="single" w:sz="8" w:color="E1E2E0"/>
            </w:tcBorders>
          </w:tcPr>
          <w:p>
            <w:pPr>
              <w:spacing w:after="0"/>
              <w:rPr>
                <w:sz w:val="8"/>
                <w:szCs w:val="8"/>
                <w:color w:val="auto"/>
              </w:rPr>
            </w:pPr>
          </w:p>
        </w:tc>
        <w:tc>
          <w:tcPr>
            <w:tcW w:w="1380" w:type="dxa"/>
            <w:vAlign w:val="bottom"/>
            <w:tcBorders>
              <w:bottom w:val="single" w:sz="8" w:color="E1E2E0"/>
            </w:tcBorders>
          </w:tcPr>
          <w:p>
            <w:pPr>
              <w:spacing w:after="0"/>
              <w:rPr>
                <w:sz w:val="8"/>
                <w:szCs w:val="8"/>
                <w:color w:val="auto"/>
              </w:rPr>
            </w:pPr>
          </w:p>
        </w:tc>
        <w:tc>
          <w:tcPr>
            <w:tcW w:w="1020" w:type="dxa"/>
            <w:vAlign w:val="bottom"/>
            <w:tcBorders>
              <w:bottom w:val="single" w:sz="8" w:color="E1E2E0"/>
            </w:tcBorders>
          </w:tcPr>
          <w:p>
            <w:pPr>
              <w:spacing w:after="0"/>
              <w:rPr>
                <w:sz w:val="8"/>
                <w:szCs w:val="8"/>
                <w:color w:val="auto"/>
              </w:rPr>
            </w:pPr>
          </w:p>
        </w:tc>
        <w:tc>
          <w:tcPr>
            <w:tcW w:w="1220" w:type="dxa"/>
            <w:vAlign w:val="bottom"/>
            <w:tcBorders>
              <w:bottom w:val="single" w:sz="8" w:color="E1E2E0"/>
            </w:tcBorders>
          </w:tcPr>
          <w:p>
            <w:pPr>
              <w:spacing w:after="0"/>
              <w:rPr>
                <w:sz w:val="8"/>
                <w:szCs w:val="8"/>
                <w:color w:val="auto"/>
              </w:rPr>
            </w:pPr>
          </w:p>
        </w:tc>
        <w:tc>
          <w:tcPr>
            <w:tcW w:w="860" w:type="dxa"/>
            <w:vAlign w:val="bottom"/>
            <w:tcBorders>
              <w:bottom w:val="single" w:sz="8" w:color="E1E2E0"/>
            </w:tcBorders>
          </w:tcPr>
          <w:p>
            <w:pPr>
              <w:spacing w:after="0"/>
              <w:rPr>
                <w:sz w:val="8"/>
                <w:szCs w:val="8"/>
                <w:color w:val="auto"/>
              </w:rPr>
            </w:pPr>
          </w:p>
        </w:tc>
        <w:tc>
          <w:tcPr>
            <w:tcW w:w="920" w:type="dxa"/>
            <w:vAlign w:val="bottom"/>
            <w:tcBorders>
              <w:bottom w:val="single" w:sz="8" w:color="E1E2E0"/>
            </w:tcBorders>
          </w:tcPr>
          <w:p>
            <w:pPr>
              <w:spacing w:after="0"/>
              <w:rPr>
                <w:sz w:val="8"/>
                <w:szCs w:val="8"/>
                <w:color w:val="auto"/>
              </w:rPr>
            </w:pPr>
          </w:p>
        </w:tc>
        <w:tc>
          <w:tcPr>
            <w:tcW w:w="1080" w:type="dxa"/>
            <w:vAlign w:val="bottom"/>
            <w:tcBorders>
              <w:bottom w:val="single" w:sz="8" w:color="E1E2E0"/>
            </w:tcBorders>
          </w:tcPr>
          <w:p>
            <w:pPr>
              <w:spacing w:after="0"/>
              <w:rPr>
                <w:sz w:val="8"/>
                <w:szCs w:val="8"/>
                <w:color w:val="auto"/>
              </w:rPr>
            </w:pPr>
          </w:p>
        </w:tc>
        <w:tc>
          <w:tcPr>
            <w:tcW w:w="1040" w:type="dxa"/>
            <w:vAlign w:val="bottom"/>
            <w:tcBorders>
              <w:bottom w:val="single" w:sz="8" w:color="E1E2E0"/>
            </w:tcBorders>
          </w:tcPr>
          <w:p>
            <w:pPr>
              <w:spacing w:after="0"/>
              <w:rPr>
                <w:sz w:val="8"/>
                <w:szCs w:val="8"/>
                <w:color w:val="auto"/>
              </w:rPr>
            </w:pPr>
          </w:p>
        </w:tc>
        <w:tc>
          <w:tcPr>
            <w:tcW w:w="880" w:type="dxa"/>
            <w:vAlign w:val="bottom"/>
            <w:tcBorders>
              <w:bottom w:val="single" w:sz="8" w:color="E1E2E0"/>
            </w:tcBorders>
          </w:tcPr>
          <w:p>
            <w:pPr>
              <w:spacing w:after="0"/>
              <w:rPr>
                <w:sz w:val="8"/>
                <w:szCs w:val="8"/>
                <w:color w:val="auto"/>
              </w:rPr>
            </w:pPr>
          </w:p>
        </w:tc>
        <w:tc>
          <w:tcPr>
            <w:tcW w:w="820" w:type="dxa"/>
            <w:vAlign w:val="bottom"/>
            <w:tcBorders>
              <w:bottom w:val="single" w:sz="8" w:color="E1E2E0"/>
            </w:tcBorders>
          </w:tcPr>
          <w:p>
            <w:pPr>
              <w:spacing w:after="0"/>
              <w:rPr>
                <w:sz w:val="8"/>
                <w:szCs w:val="8"/>
                <w:color w:val="auto"/>
              </w:rPr>
            </w:pPr>
          </w:p>
        </w:tc>
      </w:tr>
      <w:tr>
        <w:trPr>
          <w:trHeight w:val="194"/>
        </w:trPr>
        <w:tc>
          <w:tcPr>
            <w:tcW w:w="2020" w:type="dxa"/>
            <w:vAlign w:val="bottom"/>
          </w:tcPr>
          <w:p>
            <w:pPr>
              <w:ind w:left="60"/>
              <w:spacing w:after="0"/>
              <w:rPr>
                <w:sz w:val="20"/>
                <w:szCs w:val="20"/>
                <w:color w:val="auto"/>
              </w:rPr>
            </w:pPr>
            <w:r>
              <w:rPr>
                <w:rFonts w:ascii="Arial" w:cs="Arial" w:eastAsia="Arial" w:hAnsi="Arial"/>
                <w:sz w:val="13"/>
                <w:szCs w:val="13"/>
                <w:b w:val="1"/>
                <w:bCs w:val="1"/>
                <w:color w:val="3B3C43"/>
              </w:rPr>
              <w:t>Barry Glickman</w:t>
            </w:r>
          </w:p>
        </w:tc>
        <w:tc>
          <w:tcPr>
            <w:tcW w:w="1380" w:type="dxa"/>
            <w:vAlign w:val="bottom"/>
          </w:tcPr>
          <w:p>
            <w:pPr>
              <w:jc w:val="right"/>
              <w:spacing w:after="0"/>
              <w:rPr>
                <w:sz w:val="20"/>
                <w:szCs w:val="20"/>
                <w:color w:val="auto"/>
              </w:rPr>
            </w:pPr>
            <w:r>
              <w:rPr>
                <w:rFonts w:ascii="Arial" w:cs="Arial" w:eastAsia="Arial" w:hAnsi="Arial"/>
                <w:sz w:val="13"/>
                <w:szCs w:val="13"/>
                <w:color w:val="3B3C43"/>
              </w:rPr>
              <w:t>2,144,000</w:t>
            </w:r>
          </w:p>
        </w:tc>
        <w:tc>
          <w:tcPr>
            <w:tcW w:w="1020" w:type="dxa"/>
            <w:vAlign w:val="bottom"/>
          </w:tcPr>
          <w:p>
            <w:pPr>
              <w:jc w:val="right"/>
              <w:spacing w:after="0"/>
              <w:rPr>
                <w:sz w:val="20"/>
                <w:szCs w:val="20"/>
                <w:color w:val="auto"/>
              </w:rPr>
            </w:pPr>
            <w:r>
              <w:rPr>
                <w:rFonts w:ascii="Arial" w:cs="Arial" w:eastAsia="Arial" w:hAnsi="Arial"/>
                <w:sz w:val="13"/>
                <w:szCs w:val="13"/>
                <w:color w:val="3B3C43"/>
              </w:rPr>
              <w:t>536,000</w:t>
            </w:r>
          </w:p>
        </w:tc>
        <w:tc>
          <w:tcPr>
            <w:tcW w:w="1220" w:type="dxa"/>
            <w:vAlign w:val="bottom"/>
          </w:tcPr>
          <w:p>
            <w:pPr>
              <w:jc w:val="right"/>
              <w:ind w:right="97"/>
              <w:spacing w:after="0"/>
              <w:rPr>
                <w:sz w:val="20"/>
                <w:szCs w:val="20"/>
                <w:color w:val="auto"/>
              </w:rPr>
            </w:pPr>
            <w:r>
              <w:rPr>
                <w:rFonts w:ascii="Arial" w:cs="Arial" w:eastAsia="Arial" w:hAnsi="Arial"/>
                <w:sz w:val="13"/>
                <w:szCs w:val="13"/>
                <w:color w:val="3B3C43"/>
              </w:rPr>
              <w:t>2,091,557</w:t>
            </w:r>
          </w:p>
        </w:tc>
        <w:tc>
          <w:tcPr>
            <w:tcW w:w="860" w:type="dxa"/>
            <w:vAlign w:val="bottom"/>
          </w:tcPr>
          <w:p>
            <w:pPr>
              <w:jc w:val="right"/>
              <w:ind w:right="77"/>
              <w:spacing w:after="0"/>
              <w:rPr>
                <w:sz w:val="20"/>
                <w:szCs w:val="20"/>
                <w:color w:val="auto"/>
              </w:rPr>
            </w:pPr>
            <w:r>
              <w:rPr>
                <w:rFonts w:ascii="Arial" w:cs="Arial" w:eastAsia="Arial" w:hAnsi="Arial"/>
                <w:sz w:val="13"/>
                <w:szCs w:val="13"/>
                <w:color w:val="3B3C43"/>
              </w:rPr>
              <w:t>–</w:t>
            </w:r>
          </w:p>
        </w:tc>
        <w:tc>
          <w:tcPr>
            <w:tcW w:w="920" w:type="dxa"/>
            <w:vAlign w:val="bottom"/>
          </w:tcPr>
          <w:p>
            <w:pPr>
              <w:jc w:val="right"/>
              <w:spacing w:after="0"/>
              <w:rPr>
                <w:sz w:val="20"/>
                <w:szCs w:val="20"/>
                <w:color w:val="auto"/>
              </w:rPr>
            </w:pPr>
            <w:r>
              <w:rPr>
                <w:rFonts w:ascii="Arial" w:cs="Arial" w:eastAsia="Arial" w:hAnsi="Arial"/>
                <w:sz w:val="13"/>
                <w:szCs w:val="13"/>
                <w:color w:val="3B3C43"/>
              </w:rPr>
              <w:t>36,118</w:t>
            </w:r>
          </w:p>
        </w:tc>
        <w:tc>
          <w:tcPr>
            <w:tcW w:w="1080" w:type="dxa"/>
            <w:vAlign w:val="bottom"/>
          </w:tcPr>
          <w:p>
            <w:pPr>
              <w:jc w:val="right"/>
              <w:spacing w:after="0"/>
              <w:rPr>
                <w:sz w:val="20"/>
                <w:szCs w:val="20"/>
                <w:color w:val="auto"/>
              </w:rPr>
            </w:pPr>
            <w:r>
              <w:rPr>
                <w:rFonts w:ascii="Arial" w:cs="Arial" w:eastAsia="Arial" w:hAnsi="Arial"/>
                <w:sz w:val="13"/>
                <w:szCs w:val="13"/>
                <w:color w:val="3B3C43"/>
              </w:rPr>
              <w:t>1,878</w:t>
            </w:r>
          </w:p>
        </w:tc>
        <w:tc>
          <w:tcPr>
            <w:tcW w:w="1040" w:type="dxa"/>
            <w:vAlign w:val="bottom"/>
          </w:tcPr>
          <w:p>
            <w:pPr>
              <w:jc w:val="right"/>
              <w:ind w:right="77"/>
              <w:spacing w:after="0"/>
              <w:rPr>
                <w:sz w:val="20"/>
                <w:szCs w:val="20"/>
                <w:color w:val="auto"/>
              </w:rPr>
            </w:pPr>
            <w:r>
              <w:rPr>
                <w:rFonts w:ascii="Arial" w:cs="Arial" w:eastAsia="Arial" w:hAnsi="Arial"/>
                <w:sz w:val="13"/>
                <w:szCs w:val="13"/>
                <w:color w:val="3B3C43"/>
              </w:rPr>
              <w:t>50,000</w:t>
            </w:r>
          </w:p>
        </w:tc>
        <w:tc>
          <w:tcPr>
            <w:tcW w:w="880" w:type="dxa"/>
            <w:vAlign w:val="bottom"/>
          </w:tcPr>
          <w:p>
            <w:pPr>
              <w:jc w:val="right"/>
              <w:ind w:right="57"/>
              <w:spacing w:after="0"/>
              <w:rPr>
                <w:sz w:val="20"/>
                <w:szCs w:val="20"/>
                <w:color w:val="auto"/>
              </w:rPr>
            </w:pPr>
            <w:r>
              <w:rPr>
                <w:rFonts w:ascii="Arial" w:cs="Arial" w:eastAsia="Arial" w:hAnsi="Arial"/>
                <w:sz w:val="13"/>
                <w:szCs w:val="13"/>
                <w:color w:val="3B3C43"/>
              </w:rPr>
              <w:t>–</w:t>
            </w:r>
          </w:p>
        </w:tc>
        <w:tc>
          <w:tcPr>
            <w:tcW w:w="820" w:type="dxa"/>
            <w:vAlign w:val="bottom"/>
          </w:tcPr>
          <w:p>
            <w:pPr>
              <w:jc w:val="right"/>
              <w:spacing w:after="0"/>
              <w:rPr>
                <w:sz w:val="20"/>
                <w:szCs w:val="20"/>
                <w:color w:val="auto"/>
              </w:rPr>
            </w:pPr>
            <w:r>
              <w:rPr>
                <w:rFonts w:ascii="Arial" w:cs="Arial" w:eastAsia="Arial" w:hAnsi="Arial"/>
                <w:sz w:val="13"/>
                <w:szCs w:val="13"/>
                <w:color w:val="3B3C43"/>
              </w:rPr>
              <w:t>4,859,553</w:t>
            </w:r>
          </w:p>
        </w:tc>
      </w:tr>
      <w:tr>
        <w:trPr>
          <w:trHeight w:val="43"/>
        </w:trPr>
        <w:tc>
          <w:tcPr>
            <w:tcW w:w="2020" w:type="dxa"/>
            <w:vAlign w:val="bottom"/>
            <w:tcBorders>
              <w:bottom w:val="single" w:sz="8" w:color="E1E2E0"/>
            </w:tcBorders>
          </w:tcPr>
          <w:p>
            <w:pPr>
              <w:spacing w:after="0"/>
              <w:rPr>
                <w:sz w:val="3"/>
                <w:szCs w:val="3"/>
                <w:color w:val="auto"/>
              </w:rPr>
            </w:pPr>
          </w:p>
        </w:tc>
        <w:tc>
          <w:tcPr>
            <w:tcW w:w="1380" w:type="dxa"/>
            <w:vAlign w:val="bottom"/>
            <w:tcBorders>
              <w:bottom w:val="single" w:sz="8" w:color="E1E2E0"/>
            </w:tcBorders>
          </w:tcPr>
          <w:p>
            <w:pPr>
              <w:spacing w:after="0"/>
              <w:rPr>
                <w:sz w:val="3"/>
                <w:szCs w:val="3"/>
                <w:color w:val="auto"/>
              </w:rPr>
            </w:pPr>
          </w:p>
        </w:tc>
        <w:tc>
          <w:tcPr>
            <w:tcW w:w="1020" w:type="dxa"/>
            <w:vAlign w:val="bottom"/>
            <w:tcBorders>
              <w:bottom w:val="single" w:sz="8" w:color="E1E2E0"/>
            </w:tcBorders>
          </w:tcPr>
          <w:p>
            <w:pPr>
              <w:spacing w:after="0"/>
              <w:rPr>
                <w:sz w:val="3"/>
                <w:szCs w:val="3"/>
                <w:color w:val="auto"/>
              </w:rPr>
            </w:pPr>
          </w:p>
        </w:tc>
        <w:tc>
          <w:tcPr>
            <w:tcW w:w="1220" w:type="dxa"/>
            <w:vAlign w:val="bottom"/>
            <w:tcBorders>
              <w:bottom w:val="single" w:sz="8" w:color="E1E2E0"/>
            </w:tcBorders>
          </w:tcPr>
          <w:p>
            <w:pPr>
              <w:spacing w:after="0"/>
              <w:rPr>
                <w:sz w:val="3"/>
                <w:szCs w:val="3"/>
                <w:color w:val="auto"/>
              </w:rPr>
            </w:pPr>
          </w:p>
        </w:tc>
        <w:tc>
          <w:tcPr>
            <w:tcW w:w="860" w:type="dxa"/>
            <w:vAlign w:val="bottom"/>
            <w:tcBorders>
              <w:bottom w:val="single" w:sz="8" w:color="E1E2E0"/>
            </w:tcBorders>
          </w:tcPr>
          <w:p>
            <w:pPr>
              <w:spacing w:after="0"/>
              <w:rPr>
                <w:sz w:val="3"/>
                <w:szCs w:val="3"/>
                <w:color w:val="auto"/>
              </w:rPr>
            </w:pPr>
          </w:p>
        </w:tc>
        <w:tc>
          <w:tcPr>
            <w:tcW w:w="920" w:type="dxa"/>
            <w:vAlign w:val="bottom"/>
            <w:tcBorders>
              <w:bottom w:val="single" w:sz="8" w:color="E1E2E0"/>
            </w:tcBorders>
          </w:tcPr>
          <w:p>
            <w:pPr>
              <w:spacing w:after="0"/>
              <w:rPr>
                <w:sz w:val="3"/>
                <w:szCs w:val="3"/>
                <w:color w:val="auto"/>
              </w:rPr>
            </w:pPr>
          </w:p>
        </w:tc>
        <w:tc>
          <w:tcPr>
            <w:tcW w:w="1080" w:type="dxa"/>
            <w:vAlign w:val="bottom"/>
            <w:tcBorders>
              <w:bottom w:val="single" w:sz="8" w:color="E1E2E0"/>
            </w:tcBorders>
          </w:tcPr>
          <w:p>
            <w:pPr>
              <w:spacing w:after="0"/>
              <w:rPr>
                <w:sz w:val="3"/>
                <w:szCs w:val="3"/>
                <w:color w:val="auto"/>
              </w:rPr>
            </w:pPr>
          </w:p>
        </w:tc>
        <w:tc>
          <w:tcPr>
            <w:tcW w:w="1040" w:type="dxa"/>
            <w:vAlign w:val="bottom"/>
            <w:tcBorders>
              <w:bottom w:val="single" w:sz="8" w:color="E1E2E0"/>
            </w:tcBorders>
          </w:tcPr>
          <w:p>
            <w:pPr>
              <w:spacing w:after="0"/>
              <w:rPr>
                <w:sz w:val="3"/>
                <w:szCs w:val="3"/>
                <w:color w:val="auto"/>
              </w:rPr>
            </w:pPr>
          </w:p>
        </w:tc>
        <w:tc>
          <w:tcPr>
            <w:tcW w:w="880" w:type="dxa"/>
            <w:vAlign w:val="bottom"/>
            <w:tcBorders>
              <w:bottom w:val="single" w:sz="8" w:color="E1E2E0"/>
            </w:tcBorders>
          </w:tcPr>
          <w:p>
            <w:pPr>
              <w:spacing w:after="0"/>
              <w:rPr>
                <w:sz w:val="3"/>
                <w:szCs w:val="3"/>
                <w:color w:val="auto"/>
              </w:rPr>
            </w:pPr>
          </w:p>
        </w:tc>
        <w:tc>
          <w:tcPr>
            <w:tcW w:w="820" w:type="dxa"/>
            <w:vAlign w:val="bottom"/>
            <w:tcBorders>
              <w:bottom w:val="single" w:sz="8" w:color="E1E2E0"/>
            </w:tcBorders>
          </w:tcPr>
          <w:p>
            <w:pPr>
              <w:spacing w:after="0"/>
              <w:rPr>
                <w:sz w:val="3"/>
                <w:szCs w:val="3"/>
                <w:color w:val="auto"/>
              </w:rPr>
            </w:pPr>
          </w:p>
        </w:tc>
      </w:tr>
    </w:tbl>
    <w:p>
      <w:pPr>
        <w:spacing w:after="0" w:line="248" w:lineRule="exact"/>
        <w:rPr>
          <w:sz w:val="20"/>
          <w:szCs w:val="20"/>
          <w:color w:val="auto"/>
        </w:rPr>
      </w:pPr>
    </w:p>
    <w:p>
      <w:pPr>
        <w:ind w:left="280" w:right="160" w:hanging="272"/>
        <w:spacing w:after="0" w:line="258" w:lineRule="auto"/>
        <w:tabs>
          <w:tab w:leader="none" w:pos="280" w:val="left"/>
        </w:tabs>
        <w:numPr>
          <w:ilvl w:val="0"/>
          <w:numId w:val="119"/>
        </w:numPr>
        <w:rPr>
          <w:rFonts w:ascii="Arial" w:cs="Arial" w:eastAsia="Arial" w:hAnsi="Arial"/>
          <w:sz w:val="14"/>
          <w:szCs w:val="14"/>
          <w:color w:val="3B3C43"/>
        </w:rPr>
      </w:pPr>
      <w:r>
        <w:rPr>
          <w:rFonts w:ascii="Arial" w:cs="Arial" w:eastAsia="Arial" w:hAnsi="Arial"/>
          <w:sz w:val="14"/>
          <w:szCs w:val="14"/>
          <w:color w:val="3B3C43"/>
        </w:rPr>
        <w:t>The amount represents three times base salary and target annual cash incentive for Mr. Pferdehirt and Ms. Mannen, and two times base salary and annual cash incentive for Messrs. Rounce, Pieton, and Glickman.</w:t>
      </w:r>
    </w:p>
    <w:p>
      <w:pPr>
        <w:spacing w:after="0" w:line="72" w:lineRule="exact"/>
        <w:rPr>
          <w:rFonts w:ascii="Arial" w:cs="Arial" w:eastAsia="Arial" w:hAnsi="Arial"/>
          <w:sz w:val="14"/>
          <w:szCs w:val="14"/>
          <w:color w:val="3B3C43"/>
        </w:rPr>
      </w:pPr>
    </w:p>
    <w:p>
      <w:pPr>
        <w:ind w:left="280" w:hanging="272"/>
        <w:spacing w:after="0"/>
        <w:tabs>
          <w:tab w:leader="none" w:pos="280" w:val="left"/>
        </w:tabs>
        <w:numPr>
          <w:ilvl w:val="0"/>
          <w:numId w:val="119"/>
        </w:numPr>
        <w:rPr>
          <w:rFonts w:ascii="Arial" w:cs="Arial" w:eastAsia="Arial" w:hAnsi="Arial"/>
          <w:sz w:val="14"/>
          <w:szCs w:val="14"/>
          <w:color w:val="3B3C43"/>
        </w:rPr>
      </w:pPr>
      <w:r>
        <w:rPr>
          <w:rFonts w:ascii="Arial" w:cs="Arial" w:eastAsia="Arial" w:hAnsi="Arial"/>
          <w:sz w:val="14"/>
          <w:szCs w:val="14"/>
          <w:color w:val="3B3C43"/>
        </w:rPr>
        <w:t>Pro-rated target annual cash incentive for the year of termination.</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9"/>
        </w:numPr>
        <w:rPr>
          <w:rFonts w:ascii="Arial" w:cs="Arial" w:eastAsia="Arial" w:hAnsi="Arial"/>
          <w:sz w:val="14"/>
          <w:szCs w:val="14"/>
          <w:color w:val="3B3C43"/>
        </w:rPr>
      </w:pPr>
      <w:r>
        <w:rPr>
          <w:rFonts w:ascii="Arial" w:cs="Arial" w:eastAsia="Arial" w:hAnsi="Arial"/>
          <w:sz w:val="14"/>
          <w:szCs w:val="14"/>
          <w:color w:val="3B3C43"/>
        </w:rPr>
        <w:t>Assumes PSUs are paid at target.</w:t>
      </w:r>
    </w:p>
    <w:p>
      <w:pPr>
        <w:spacing w:after="0" w:line="95" w:lineRule="exact"/>
        <w:rPr>
          <w:rFonts w:ascii="Arial" w:cs="Arial" w:eastAsia="Arial" w:hAnsi="Arial"/>
          <w:sz w:val="14"/>
          <w:szCs w:val="14"/>
          <w:color w:val="3B3C43"/>
        </w:rPr>
      </w:pPr>
    </w:p>
    <w:p>
      <w:pPr>
        <w:ind w:left="280" w:hanging="272"/>
        <w:spacing w:after="0"/>
        <w:tabs>
          <w:tab w:leader="none" w:pos="280" w:val="left"/>
        </w:tabs>
        <w:numPr>
          <w:ilvl w:val="0"/>
          <w:numId w:val="119"/>
        </w:numPr>
        <w:rPr>
          <w:rFonts w:ascii="Arial" w:cs="Arial" w:eastAsia="Arial" w:hAnsi="Arial"/>
          <w:sz w:val="14"/>
          <w:szCs w:val="14"/>
          <w:color w:val="3B3C43"/>
        </w:rPr>
      </w:pPr>
      <w:r>
        <w:rPr>
          <w:rFonts w:ascii="Arial" w:cs="Arial" w:eastAsia="Arial" w:hAnsi="Arial"/>
          <w:sz w:val="14"/>
          <w:szCs w:val="14"/>
          <w:color w:val="3B3C43"/>
        </w:rPr>
        <w:t>Three years of benefits continuation for Mr. Pferdehirt and Ms. Mannen and two years of benefits continuation for Messrs. Rounce, Pieton, and Glickman.</w:t>
      </w:r>
    </w:p>
    <w:p>
      <w:pPr>
        <w:spacing w:after="0" w:line="95" w:lineRule="exact"/>
        <w:rPr>
          <w:rFonts w:ascii="Arial" w:cs="Arial" w:eastAsia="Arial" w:hAnsi="Arial"/>
          <w:sz w:val="14"/>
          <w:szCs w:val="14"/>
          <w:color w:val="3B3C43"/>
        </w:rPr>
      </w:pPr>
    </w:p>
    <w:p>
      <w:pPr>
        <w:ind w:left="280" w:right="160" w:hanging="272"/>
        <w:spacing w:after="0" w:line="258" w:lineRule="auto"/>
        <w:tabs>
          <w:tab w:leader="none" w:pos="280" w:val="left"/>
        </w:tabs>
        <w:numPr>
          <w:ilvl w:val="0"/>
          <w:numId w:val="119"/>
        </w:numPr>
        <w:rPr>
          <w:rFonts w:ascii="Arial" w:cs="Arial" w:eastAsia="Arial" w:hAnsi="Arial"/>
          <w:sz w:val="14"/>
          <w:szCs w:val="14"/>
          <w:color w:val="3B3C43"/>
        </w:rPr>
      </w:pPr>
      <w:r>
        <w:rPr>
          <w:rFonts w:ascii="Arial" w:cs="Arial" w:eastAsia="Arial" w:hAnsi="Arial"/>
          <w:sz w:val="14"/>
          <w:szCs w:val="14"/>
          <w:color w:val="3B3C43"/>
        </w:rPr>
        <w:t>For Ms. Mannen, the amount represents the value of three additional years of age and service credits under the U.S. Non-Qualified Pension Plan provided by the terms of her change-in-control agreement.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116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CEO Pay Ratio</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B3C43"/>
        </w:rPr>
        <w:t>Pursuant to Section 953(b) of the Dodd-Frank Act and Item 402(u) of Regulation S-K as promulgated by the SEC, we are providing the following information about the ratio of the total annual compensation of our CEO to the total annual compensation of our median employee for our last completed fiscal year, 2020.</w:t>
      </w:r>
    </w:p>
    <w:p>
      <w:pPr>
        <w:spacing w:after="0" w:line="17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3B3C43"/>
        </w:rPr>
        <w:t>For 2020, the annual total compensation of our CEO for purposes of determining the pay ratio was $12,920,601, and the annual total compensation of our median employee was $69,891. As a result, for 2020, the ratio of the annual total compensation of our CEO to the total annual compensation of our median employee was approximately 185:1. We identified the median employee in 2018, pursuant to the SEC guidelines referenced above. There were no significant changes to our employee population distribution in 2019 and 2020 and no significant changes to our pay policies and practices. As such, we kept the same median employee for the second year of three as permitted under Item 402(u) of Regulation S-K.</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In 2018, we identified our median employee from our employee population as of December 31, 2018, which consisted of approximately 36,720 individuals globally, with 6,107 employees being in the United States. As permitted under the SEC’s 5% “de minimis exemption,” we excluded employees in Algeria (44), Cameroon (11), China (251), Ghana (83), Kazakhstan (46), Mozambique (9), Poland (197), Saudi Arabia (65), Tunisia (6), Venezuela (96), Vietnam (71), and United Arab Emirates (2). After these exclusions, our employee population used in determining our median employee was 35,839 employees.</w:t>
      </w:r>
    </w:p>
    <w:p>
      <w:pPr>
        <w:spacing w:after="0" w:line="17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3B3C43"/>
        </w:rPr>
        <w:t>In identifying the median employee, we first identified a median base salary using full-year 2018 salaries actually earned. This population was further refined into the most represented job classifications. We then excluded certain employees who, based on our employee population and compensation practices, we assumed would not be representative of our median employee. From this subset we computed the total annual compensation of each employee, and the median employee was selected from that group.</w:t>
      </w:r>
    </w:p>
    <w:p>
      <w:pPr>
        <w:spacing w:after="0" w:line="175" w:lineRule="exact"/>
        <w:rPr>
          <w:sz w:val="20"/>
          <w:szCs w:val="20"/>
          <w:color w:val="auto"/>
        </w:rPr>
      </w:pPr>
    </w:p>
    <w:p>
      <w:pPr>
        <w:jc w:val="both"/>
        <w:ind w:right="140"/>
        <w:spacing w:after="0" w:line="250" w:lineRule="auto"/>
        <w:rPr>
          <w:sz w:val="20"/>
          <w:szCs w:val="20"/>
          <w:color w:val="auto"/>
        </w:rPr>
      </w:pPr>
      <w:r>
        <w:rPr>
          <w:rFonts w:ascii="Arial" w:cs="Arial" w:eastAsia="Arial" w:hAnsi="Arial"/>
          <w:sz w:val="16"/>
          <w:szCs w:val="16"/>
          <w:color w:val="3B3C43"/>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ratios reported by other companies are likely not comparable to the pay ratio reported above, as other companies have different employee populations and compensation practices and likely utilize different methodologies, exclusions, estimates, and assumptions in calculating their own pay ratios.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117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67"/>
          <w:szCs w:val="67"/>
          <w:color w:val="4B1F68"/>
        </w:rPr>
        <w:t>Compensation</w:t>
      </w:r>
    </w:p>
    <w:p>
      <w:pPr>
        <w:spacing w:after="0" w:line="1" w:lineRule="exact"/>
        <w:rPr>
          <w:sz w:val="20"/>
          <w:szCs w:val="20"/>
          <w:color w:val="auto"/>
        </w:rPr>
      </w:pPr>
    </w:p>
    <w:p>
      <w:pPr>
        <w:spacing w:after="0"/>
        <w:rPr>
          <w:sz w:val="20"/>
          <w:szCs w:val="20"/>
          <w:color w:val="auto"/>
        </w:rPr>
      </w:pPr>
      <w:r>
        <w:rPr>
          <w:rFonts w:ascii="Arial" w:cs="Arial" w:eastAsia="Arial" w:hAnsi="Arial"/>
          <w:sz w:val="67"/>
          <w:szCs w:val="67"/>
          <w:color w:val="4B1F68"/>
        </w:rPr>
        <w:t>Committee Report</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B3C43"/>
        </w:rPr>
        <w:t>The Compensation Committee has reviewed and discussed with management the Compensation Discussion and Analysis of the Company. Based on its review and discussions, the committee recommended to the Board of Directors that the Compensation Discussion and Analysis be included in this Proxy Statement and incorporated by reference into our Annual Report on Form 10-K for the year ended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3B3C43"/>
        </w:rPr>
        <w:t>Submitted by the Compensation Committee of the Board of Directors: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3B3C43"/>
        </w:rPr>
        <w:t>James M. Ringler, Chair</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color w:val="3B3C43"/>
        </w:rPr>
        <w:t>John O’Leary, Chair-elect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color w:val="3B3C43"/>
        </w:rPr>
        <w:t>Claire S. Farley</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color w:val="3B3C43"/>
        </w:rPr>
        <w:t>John Yearwood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118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315" w:right="65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67"/>
          <w:szCs w:val="67"/>
          <w:color w:val="4B1F68"/>
        </w:rPr>
        <w:t>Audit Committee Report</w:t>
      </w:r>
    </w:p>
    <w:p>
      <w:pPr>
        <w:spacing w:after="0" w:line="17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3B3C43"/>
        </w:rPr>
        <w:t>Management is responsible for the preparation of our financial statements and our financial reporting processes, including the systems of internal controls and disclosure controls and procedures. PwC, our independent registered public accounting firm, is responsible for performing an independent audit of our financial statements in accordance with generally accepted auditing standards and issuing a report thereon. The Audit Committee’s responsibility is to monitor and oversee these processes.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3B3C43"/>
        </w:rPr>
        <w:t>The Audit Committee of the Board of Directors has:</w:t>
      </w:r>
    </w:p>
    <w:p>
      <w:pPr>
        <w:spacing w:after="0" w:line="194" w:lineRule="exact"/>
        <w:rPr>
          <w:sz w:val="20"/>
          <w:szCs w:val="20"/>
          <w:color w:val="auto"/>
        </w:rPr>
      </w:pPr>
    </w:p>
    <w:p>
      <w:pPr>
        <w:ind w:left="500" w:hanging="317"/>
        <w:spacing w:after="0" w:line="260" w:lineRule="auto"/>
        <w:tabs>
          <w:tab w:leader="none" w:pos="500" w:val="left"/>
        </w:tabs>
        <w:numPr>
          <w:ilvl w:val="0"/>
          <w:numId w:val="120"/>
        </w:numPr>
        <w:rPr>
          <w:rFonts w:ascii="Arial" w:cs="Arial" w:eastAsia="Arial" w:hAnsi="Arial"/>
          <w:sz w:val="16"/>
          <w:szCs w:val="16"/>
          <w:color w:val="4B1F68"/>
        </w:rPr>
      </w:pPr>
      <w:r>
        <w:rPr>
          <w:rFonts w:ascii="Arial" w:cs="Arial" w:eastAsia="Arial" w:hAnsi="Arial"/>
          <w:sz w:val="16"/>
          <w:szCs w:val="16"/>
          <w:color w:val="3B3C43"/>
        </w:rPr>
        <w:t>reviewed and discussed with management and PwC the audited financial statements for the year ended December 31, 2020, and PwC’s evaluation of our internal control over financial reporting;</w:t>
      </w:r>
    </w:p>
    <w:p>
      <w:pPr>
        <w:spacing w:after="0" w:line="168" w:lineRule="exact"/>
        <w:rPr>
          <w:rFonts w:ascii="Arial" w:cs="Arial" w:eastAsia="Arial" w:hAnsi="Arial"/>
          <w:sz w:val="16"/>
          <w:szCs w:val="16"/>
          <w:color w:val="4B1F68"/>
        </w:rPr>
      </w:pPr>
    </w:p>
    <w:p>
      <w:pPr>
        <w:ind w:left="500" w:right="320" w:hanging="317"/>
        <w:spacing w:after="0" w:line="260" w:lineRule="auto"/>
        <w:tabs>
          <w:tab w:leader="none" w:pos="500" w:val="left"/>
        </w:tabs>
        <w:numPr>
          <w:ilvl w:val="0"/>
          <w:numId w:val="120"/>
        </w:numPr>
        <w:rPr>
          <w:rFonts w:ascii="Arial" w:cs="Arial" w:eastAsia="Arial" w:hAnsi="Arial"/>
          <w:sz w:val="16"/>
          <w:szCs w:val="16"/>
          <w:color w:val="4B1F68"/>
        </w:rPr>
      </w:pPr>
      <w:r>
        <w:rPr>
          <w:rFonts w:ascii="Arial" w:cs="Arial" w:eastAsia="Arial" w:hAnsi="Arial"/>
          <w:sz w:val="16"/>
          <w:szCs w:val="16"/>
          <w:color w:val="3B3C43"/>
        </w:rPr>
        <w:t>discussed with PwC the matters required to be discussed by the applicable requirements of the Public Company Accounting Oversight Board (the “</w:t>
      </w:r>
      <w:r>
        <w:rPr>
          <w:rFonts w:ascii="Arial" w:cs="Arial" w:eastAsia="Arial" w:hAnsi="Arial"/>
          <w:sz w:val="16"/>
          <w:szCs w:val="16"/>
          <w:b w:val="1"/>
          <w:bCs w:val="1"/>
          <w:color w:val="3B3C43"/>
        </w:rPr>
        <w:t>PCAOB</w:t>
      </w:r>
      <w:r>
        <w:rPr>
          <w:rFonts w:ascii="Arial" w:cs="Arial" w:eastAsia="Arial" w:hAnsi="Arial"/>
          <w:sz w:val="16"/>
          <w:szCs w:val="16"/>
          <w:color w:val="3B3C43"/>
        </w:rPr>
        <w:t>”) and the U.S. Securities and Exchange Commission; and</w:t>
      </w:r>
    </w:p>
    <w:p>
      <w:pPr>
        <w:spacing w:after="0" w:line="168" w:lineRule="exact"/>
        <w:rPr>
          <w:rFonts w:ascii="Arial" w:cs="Arial" w:eastAsia="Arial" w:hAnsi="Arial"/>
          <w:sz w:val="16"/>
          <w:szCs w:val="16"/>
          <w:color w:val="4B1F68"/>
        </w:rPr>
      </w:pPr>
    </w:p>
    <w:p>
      <w:pPr>
        <w:ind w:left="500" w:right="560" w:hanging="317"/>
        <w:spacing w:after="0" w:line="260" w:lineRule="auto"/>
        <w:tabs>
          <w:tab w:leader="none" w:pos="500" w:val="left"/>
        </w:tabs>
        <w:numPr>
          <w:ilvl w:val="0"/>
          <w:numId w:val="120"/>
        </w:numPr>
        <w:rPr>
          <w:rFonts w:ascii="Arial" w:cs="Arial" w:eastAsia="Arial" w:hAnsi="Arial"/>
          <w:sz w:val="16"/>
          <w:szCs w:val="16"/>
          <w:color w:val="4B1F68"/>
        </w:rPr>
      </w:pPr>
      <w:r>
        <w:rPr>
          <w:rFonts w:ascii="Arial" w:cs="Arial" w:eastAsia="Arial" w:hAnsi="Arial"/>
          <w:sz w:val="16"/>
          <w:szCs w:val="16"/>
          <w:color w:val="3B3C43"/>
        </w:rPr>
        <w:t>received the written disclosures from PwC required by applicable requirements of the PCAOB regarding PwC’s communications with the Audit Committee concerning independence and discussed with PwC its independence from the Company.</w:t>
      </w:r>
    </w:p>
    <w:p>
      <w:pPr>
        <w:spacing w:after="0" w:line="168"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3B3C43"/>
        </w:rPr>
        <w:t>In reliance upon the review and discussions referred to above, the Audit Committee recommended to the Board of Directors that the audited financial statements be included in our Annual Report on Form 10-K for the year ended December 31,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3B3C43"/>
        </w:rPr>
        <w:t>Submitted by the Audit Committee of the Board of Directors: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3B3C43"/>
        </w:rPr>
        <w:t>Kay G. Priestly, Chair</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color w:val="3B3C43"/>
        </w:rPr>
        <w:t>Eleazar de Carvalho Filho</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color w:val="3B3C43"/>
        </w:rPr>
        <w:t>Sophie Zurquiyah</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119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4860"/>
        <w:spacing w:after="0" w:line="257" w:lineRule="auto"/>
        <w:rPr>
          <w:sz w:val="20"/>
          <w:szCs w:val="20"/>
          <w:color w:val="auto"/>
        </w:rPr>
      </w:pPr>
      <w:r>
        <w:rPr>
          <w:rFonts w:ascii="Arial" w:cs="Arial" w:eastAsia="Arial" w:hAnsi="Arial"/>
          <w:sz w:val="66"/>
          <w:szCs w:val="66"/>
          <w:color w:val="4B1F68"/>
        </w:rPr>
        <w:t>Proposals 1(a)-1(i) — Election of Directors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am I voting on?</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3B3C43"/>
        </w:rPr>
        <w:t xml:space="preserve">Upon the recommendation of the ESG Committee, the Board has nominated the candidates below for election at the Annual Meeting. The matrix below indicates the key qualifications and attributes of each of our director nominees, as well as additional demographic information. Detailed biographies for each of our director nominees are in the section </w:t>
      </w:r>
      <w:r>
        <w:rPr>
          <w:rFonts w:ascii="Arial" w:cs="Arial" w:eastAsia="Arial" w:hAnsi="Arial"/>
          <w:sz w:val="16"/>
          <w:szCs w:val="16"/>
          <w:i w:val="1"/>
          <w:iCs w:val="1"/>
          <w:color w:val="3B3C43"/>
        </w:rPr>
        <w:t>“</w:t>
      </w:r>
      <w:r>
        <w:rPr>
          <w:rFonts w:ascii="Arial" w:cs="Arial" w:eastAsia="Arial" w:hAnsi="Arial"/>
          <w:sz w:val="14"/>
          <w:szCs w:val="14"/>
          <w:i w:val="1"/>
          <w:iCs w:val="1"/>
          <w:color w:val="3B3C43"/>
        </w:rPr>
        <w:t>Director Nominees”</w:t>
      </w:r>
      <w:r>
        <w:rPr>
          <w:rFonts w:ascii="Arial" w:cs="Arial" w:eastAsia="Arial" w:hAnsi="Arial"/>
          <w:sz w:val="16"/>
          <w:szCs w:val="16"/>
          <w:color w:val="3B3C43"/>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1576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Skills, Experience and Attributes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445"/>
        </w:trPr>
        <w:tc>
          <w:tcPr>
            <w:tcW w:w="4840" w:type="dxa"/>
            <w:vAlign w:val="bottom"/>
          </w:tcPr>
          <w:p>
            <w:pPr>
              <w:ind w:left="60"/>
              <w:spacing w:after="0"/>
              <w:rPr>
                <w:sz w:val="20"/>
                <w:szCs w:val="20"/>
                <w:color w:val="auto"/>
              </w:rPr>
            </w:pPr>
            <w:r>
              <w:rPr>
                <w:rFonts w:ascii="Arial" w:cs="Arial" w:eastAsia="Arial" w:hAnsi="Arial"/>
                <w:sz w:val="14"/>
                <w:szCs w:val="14"/>
                <w:color w:val="3B3C43"/>
              </w:rPr>
              <w:t>Public Company Perspective</w:t>
            </w:r>
          </w:p>
        </w:tc>
        <w:tc>
          <w:tcPr>
            <w:tcW w:w="900" w:type="dxa"/>
            <w:vAlign w:val="bottom"/>
            <w:tcBorders>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580" w:type="dxa"/>
            <w:vAlign w:val="bottom"/>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0" w:type="dxa"/>
            <w:vAlign w:val="bottom"/>
          </w:tcPr>
          <w:p>
            <w:pPr>
              <w:spacing w:after="0"/>
              <w:rPr>
                <w:sz w:val="1"/>
                <w:szCs w:val="1"/>
                <w:color w:val="auto"/>
              </w:rPr>
            </w:pPr>
          </w:p>
        </w:tc>
      </w:tr>
      <w:tr>
        <w:trPr>
          <w:trHeight w:val="439"/>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Executive/Board Experience</w:t>
            </w:r>
          </w:p>
        </w:tc>
        <w:tc>
          <w:tcPr>
            <w:tcW w:w="90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5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0" w:type="dxa"/>
            <w:vAlign w:val="bottom"/>
          </w:tcPr>
          <w:p>
            <w:pPr>
              <w:spacing w:after="0"/>
              <w:rPr>
                <w:sz w:val="1"/>
                <w:szCs w:val="1"/>
                <w:color w:val="auto"/>
              </w:rPr>
            </w:pPr>
          </w:p>
        </w:tc>
      </w:tr>
      <w:tr>
        <w:trPr>
          <w:trHeight w:val="439"/>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Oil &amp; Gas Industry</w:t>
            </w:r>
          </w:p>
        </w:tc>
        <w:tc>
          <w:tcPr>
            <w:tcW w:w="90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5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spacing w:after="0"/>
              <w:rPr>
                <w:sz w:val="24"/>
                <w:szCs w:val="24"/>
                <w:color w:val="auto"/>
              </w:rPr>
            </w:pP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0" w:type="dxa"/>
            <w:vAlign w:val="bottom"/>
          </w:tcPr>
          <w:p>
            <w:pPr>
              <w:spacing w:after="0"/>
              <w:rPr>
                <w:sz w:val="1"/>
                <w:szCs w:val="1"/>
                <w:color w:val="auto"/>
              </w:rPr>
            </w:pPr>
          </w:p>
        </w:tc>
      </w:tr>
      <w:tr>
        <w:trPr>
          <w:trHeight w:val="439"/>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International Experience/Geographic Diversity</w:t>
            </w:r>
          </w:p>
        </w:tc>
        <w:tc>
          <w:tcPr>
            <w:tcW w:w="90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5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0" w:type="dxa"/>
            <w:vAlign w:val="bottom"/>
          </w:tcPr>
          <w:p>
            <w:pPr>
              <w:spacing w:after="0"/>
              <w:rPr>
                <w:sz w:val="1"/>
                <w:szCs w:val="1"/>
                <w:color w:val="auto"/>
              </w:rPr>
            </w:pPr>
          </w:p>
        </w:tc>
      </w:tr>
      <w:tr>
        <w:trPr>
          <w:trHeight w:val="439"/>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Strategy, M&amp;A, Risk Management</w:t>
            </w:r>
          </w:p>
        </w:tc>
        <w:tc>
          <w:tcPr>
            <w:tcW w:w="90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5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0" w:type="dxa"/>
            <w:vAlign w:val="bottom"/>
          </w:tcPr>
          <w:p>
            <w:pPr>
              <w:spacing w:after="0"/>
              <w:rPr>
                <w:sz w:val="1"/>
                <w:szCs w:val="1"/>
                <w:color w:val="auto"/>
              </w:rPr>
            </w:pPr>
          </w:p>
        </w:tc>
      </w:tr>
      <w:tr>
        <w:trPr>
          <w:trHeight w:val="439"/>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Governance/Legal</w:t>
            </w:r>
          </w:p>
        </w:tc>
        <w:tc>
          <w:tcPr>
            <w:tcW w:w="90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5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0" w:type="dxa"/>
            <w:vAlign w:val="bottom"/>
          </w:tcPr>
          <w:p>
            <w:pPr>
              <w:spacing w:after="0"/>
              <w:rPr>
                <w:sz w:val="1"/>
                <w:szCs w:val="1"/>
                <w:color w:val="auto"/>
              </w:rPr>
            </w:pPr>
          </w:p>
        </w:tc>
      </w:tr>
      <w:tr>
        <w:trPr>
          <w:trHeight w:val="439"/>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Executive Compensation</w:t>
            </w:r>
          </w:p>
        </w:tc>
        <w:tc>
          <w:tcPr>
            <w:tcW w:w="900" w:type="dxa"/>
            <w:vAlign w:val="bottom"/>
            <w:tcBorders>
              <w:top w:val="single" w:sz="8" w:color="E1E2E0"/>
              <w:bottom w:val="single" w:sz="8" w:color="E1E1DF"/>
            </w:tcBorders>
            <w:shd w:val="clear" w:color="auto" w:fill="E1E1DF"/>
          </w:tcPr>
          <w:p>
            <w:pPr>
              <w:spacing w:after="0"/>
              <w:rPr>
                <w:sz w:val="24"/>
                <w:szCs w:val="24"/>
                <w:color w:val="auto"/>
              </w:rPr>
            </w:pPr>
          </w:p>
        </w:tc>
        <w:tc>
          <w:tcPr>
            <w:tcW w:w="680" w:type="dxa"/>
            <w:vAlign w:val="bottom"/>
            <w:tcBorders>
              <w:top w:val="single" w:sz="8" w:color="E1E2E0"/>
            </w:tcBorders>
          </w:tcPr>
          <w:p>
            <w:pPr>
              <w:spacing w:after="0"/>
              <w:rPr>
                <w:sz w:val="24"/>
                <w:szCs w:val="24"/>
                <w:color w:val="auto"/>
              </w:rPr>
            </w:pPr>
          </w:p>
        </w:tc>
        <w:tc>
          <w:tcPr>
            <w:tcW w:w="6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580" w:type="dxa"/>
            <w:vAlign w:val="bottom"/>
            <w:tcBorders>
              <w:top w:val="single" w:sz="8" w:color="E1E2E0"/>
            </w:tcBorders>
          </w:tcPr>
          <w:p>
            <w:pPr>
              <w:spacing w:after="0"/>
              <w:rPr>
                <w:sz w:val="24"/>
                <w:szCs w:val="24"/>
                <w:color w:val="auto"/>
              </w:rPr>
            </w:pP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0" w:type="dxa"/>
            <w:vAlign w:val="bottom"/>
          </w:tcPr>
          <w:p>
            <w:pPr>
              <w:spacing w:after="0"/>
              <w:rPr>
                <w:sz w:val="1"/>
                <w:szCs w:val="1"/>
                <w:color w:val="auto"/>
              </w:rPr>
            </w:pPr>
          </w:p>
        </w:tc>
      </w:tr>
      <w:tr>
        <w:trPr>
          <w:trHeight w:val="439"/>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Sustainability/Emerging Technologies</w:t>
            </w:r>
          </w:p>
        </w:tc>
        <w:tc>
          <w:tcPr>
            <w:tcW w:w="90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spacing w:after="0"/>
              <w:rPr>
                <w:sz w:val="24"/>
                <w:szCs w:val="24"/>
                <w:color w:val="auto"/>
              </w:rPr>
            </w:pPr>
          </w:p>
        </w:tc>
        <w:tc>
          <w:tcPr>
            <w:tcW w:w="680" w:type="dxa"/>
            <w:vAlign w:val="bottom"/>
            <w:tcBorders>
              <w:top w:val="single" w:sz="8" w:color="E1E2E0"/>
              <w:bottom w:val="single" w:sz="8" w:color="E1E1DF"/>
            </w:tcBorders>
            <w:shd w:val="clear" w:color="auto" w:fill="E1E1DF"/>
          </w:tcPr>
          <w:p>
            <w:pPr>
              <w:spacing w:after="0"/>
              <w:rPr>
                <w:sz w:val="24"/>
                <w:szCs w:val="24"/>
                <w:color w:val="auto"/>
              </w:rPr>
            </w:pP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5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spacing w:after="0"/>
              <w:rPr>
                <w:sz w:val="24"/>
                <w:szCs w:val="24"/>
                <w:color w:val="auto"/>
              </w:rPr>
            </w:pP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0" w:type="dxa"/>
            <w:vAlign w:val="bottom"/>
          </w:tcPr>
          <w:p>
            <w:pPr>
              <w:spacing w:after="0"/>
              <w:rPr>
                <w:sz w:val="1"/>
                <w:szCs w:val="1"/>
                <w:color w:val="auto"/>
              </w:rPr>
            </w:pPr>
          </w:p>
        </w:tc>
      </w:tr>
      <w:tr>
        <w:trPr>
          <w:trHeight w:val="439"/>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Finance/Accounting Expertise</w:t>
            </w:r>
          </w:p>
        </w:tc>
        <w:tc>
          <w:tcPr>
            <w:tcW w:w="900" w:type="dxa"/>
            <w:vAlign w:val="bottom"/>
            <w:tcBorders>
              <w:top w:val="single" w:sz="8" w:color="E1E2E0"/>
              <w:bottom w:val="single" w:sz="8" w:color="E1E1DF"/>
            </w:tcBorders>
            <w:shd w:val="clear" w:color="auto" w:fill="E1E1DF"/>
          </w:tcPr>
          <w:p>
            <w:pPr>
              <w:spacing w:after="0"/>
              <w:rPr>
                <w:sz w:val="24"/>
                <w:szCs w:val="24"/>
                <w:color w:val="auto"/>
              </w:rPr>
            </w:pP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spacing w:after="0"/>
              <w:rPr>
                <w:sz w:val="24"/>
                <w:szCs w:val="24"/>
                <w:color w:val="auto"/>
              </w:rPr>
            </w:pPr>
          </w:p>
        </w:tc>
        <w:tc>
          <w:tcPr>
            <w:tcW w:w="780" w:type="dxa"/>
            <w:vAlign w:val="bottom"/>
            <w:tcBorders>
              <w:top w:val="single" w:sz="8" w:color="E1E2E0"/>
              <w:bottom w:val="single" w:sz="8" w:color="E1E1DF"/>
            </w:tcBorders>
            <w:shd w:val="clear" w:color="auto" w:fill="E1E1DF"/>
          </w:tcPr>
          <w:p>
            <w:pPr>
              <w:spacing w:after="0"/>
              <w:rPr>
                <w:sz w:val="24"/>
                <w:szCs w:val="24"/>
                <w:color w:val="auto"/>
              </w:rPr>
            </w:pPr>
          </w:p>
        </w:tc>
        <w:tc>
          <w:tcPr>
            <w:tcW w:w="580" w:type="dxa"/>
            <w:vAlign w:val="bottom"/>
            <w:tcBorders>
              <w:top w:val="single" w:sz="8" w:color="E1E2E0"/>
            </w:tcBorders>
          </w:tcPr>
          <w:p>
            <w:pPr>
              <w:spacing w:after="0"/>
              <w:rPr>
                <w:sz w:val="24"/>
                <w:szCs w:val="24"/>
                <w:color w:val="auto"/>
              </w:rPr>
            </w:pP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0" w:type="dxa"/>
            <w:vAlign w:val="bottom"/>
          </w:tcPr>
          <w:p>
            <w:pPr>
              <w:spacing w:after="0"/>
              <w:rPr>
                <w:sz w:val="1"/>
                <w:szCs w:val="1"/>
                <w:color w:val="auto"/>
              </w:rPr>
            </w:pPr>
          </w:p>
        </w:tc>
      </w:tr>
      <w:tr>
        <w:trPr>
          <w:trHeight w:val="439"/>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Independent Director</w:t>
            </w:r>
          </w:p>
        </w:tc>
        <w:tc>
          <w:tcPr>
            <w:tcW w:w="900" w:type="dxa"/>
            <w:vAlign w:val="bottom"/>
            <w:tcBorders>
              <w:top w:val="single" w:sz="8" w:color="E1E2E0"/>
              <w:bottom w:val="single" w:sz="8" w:color="E1E1DF"/>
            </w:tcBorders>
            <w:shd w:val="clear" w:color="auto" w:fill="E1E1DF"/>
          </w:tcPr>
          <w:p>
            <w:pPr>
              <w:spacing w:after="0"/>
              <w:rPr>
                <w:sz w:val="24"/>
                <w:szCs w:val="24"/>
                <w:color w:val="auto"/>
              </w:rPr>
            </w:pP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5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0" w:type="dxa"/>
            <w:vAlign w:val="bottom"/>
          </w:tcPr>
          <w:p>
            <w:pPr>
              <w:spacing w:after="0"/>
              <w:rPr>
                <w:sz w:val="1"/>
                <w:szCs w:val="1"/>
                <w:color w:val="auto"/>
              </w:rPr>
            </w:pPr>
          </w:p>
        </w:tc>
      </w:tr>
      <w:tr>
        <w:trPr>
          <w:trHeight w:val="243"/>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Other Public Company Boards</w:t>
            </w:r>
          </w:p>
        </w:tc>
        <w:tc>
          <w:tcPr>
            <w:tcW w:w="90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0</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14"/>
                <w:szCs w:val="14"/>
                <w:color w:val="3B3C43"/>
              </w:rPr>
              <w:t>4</w:t>
            </w:r>
          </w:p>
        </w:tc>
        <w:tc>
          <w:tcPr>
            <w:tcW w:w="6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1</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14"/>
                <w:szCs w:val="14"/>
                <w:color w:val="3B3C43"/>
              </w:rPr>
              <w:t>1</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0</w:t>
            </w:r>
          </w:p>
        </w:tc>
        <w:tc>
          <w:tcPr>
            <w:tcW w:w="580" w:type="dxa"/>
            <w:vAlign w:val="bottom"/>
            <w:tcBorders>
              <w:top w:val="single" w:sz="8" w:color="E1E2E0"/>
            </w:tcBorders>
          </w:tcPr>
          <w:p>
            <w:pPr>
              <w:jc w:val="center"/>
              <w:spacing w:after="0"/>
              <w:rPr>
                <w:sz w:val="20"/>
                <w:szCs w:val="20"/>
                <w:color w:val="auto"/>
              </w:rPr>
            </w:pPr>
            <w:r>
              <w:rPr>
                <w:rFonts w:ascii="Arial" w:cs="Arial" w:eastAsia="Arial" w:hAnsi="Arial"/>
                <w:sz w:val="14"/>
                <w:szCs w:val="14"/>
                <w:color w:val="3B3C43"/>
              </w:rPr>
              <w:t>2</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2</w:t>
            </w: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14"/>
                <w:szCs w:val="14"/>
                <w:color w:val="3B3C43"/>
              </w:rPr>
              <w:t>1</w:t>
            </w:r>
          </w:p>
        </w:tc>
        <w:tc>
          <w:tcPr>
            <w:tcW w:w="66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2</w:t>
            </w:r>
          </w:p>
        </w:tc>
        <w:tc>
          <w:tcPr>
            <w:tcW w:w="0" w:type="dxa"/>
            <w:vAlign w:val="bottom"/>
          </w:tcPr>
          <w:p>
            <w:pPr>
              <w:spacing w:after="0"/>
              <w:rPr>
                <w:sz w:val="1"/>
                <w:szCs w:val="1"/>
                <w:color w:val="auto"/>
              </w:rPr>
            </w:pPr>
          </w:p>
        </w:tc>
      </w:tr>
      <w:tr>
        <w:trPr>
          <w:trHeight w:val="277"/>
        </w:trPr>
        <w:tc>
          <w:tcPr>
            <w:tcW w:w="4840" w:type="dxa"/>
            <w:vAlign w:val="bottom"/>
            <w:tcBorders>
              <w:bottom w:val="single" w:sz="8" w:color="4A1F67"/>
            </w:tcBorders>
            <w:shd w:val="clear" w:color="auto" w:fill="4A1F67"/>
          </w:tcPr>
          <w:p>
            <w:pPr>
              <w:ind w:left="60"/>
              <w:spacing w:after="0"/>
              <w:rPr>
                <w:sz w:val="20"/>
                <w:szCs w:val="20"/>
                <w:color w:val="auto"/>
              </w:rPr>
            </w:pPr>
            <w:r>
              <w:rPr>
                <w:rFonts w:ascii="Arial" w:cs="Arial" w:eastAsia="Arial" w:hAnsi="Arial"/>
                <w:sz w:val="16"/>
                <w:szCs w:val="16"/>
                <w:b w:val="1"/>
                <w:bCs w:val="1"/>
                <w:color w:val="FFFFFF"/>
              </w:rPr>
              <w:t>Committee Membership</w:t>
            </w:r>
          </w:p>
        </w:tc>
        <w:tc>
          <w:tcPr>
            <w:tcW w:w="900" w:type="dxa"/>
            <w:vAlign w:val="bottom"/>
            <w:tcBorders>
              <w:bottom w:val="single" w:sz="8" w:color="4A1F67"/>
            </w:tcBorders>
            <w:shd w:val="clear" w:color="auto" w:fill="4A1F67"/>
          </w:tcPr>
          <w:p>
            <w:pPr>
              <w:spacing w:after="0"/>
              <w:rPr>
                <w:sz w:val="24"/>
                <w:szCs w:val="24"/>
                <w:color w:val="auto"/>
              </w:rPr>
            </w:pPr>
          </w:p>
        </w:tc>
        <w:tc>
          <w:tcPr>
            <w:tcW w:w="680" w:type="dxa"/>
            <w:vAlign w:val="bottom"/>
            <w:tcBorders>
              <w:bottom w:val="single" w:sz="8" w:color="4A1F67"/>
            </w:tcBorders>
            <w:shd w:val="clear" w:color="auto" w:fill="4A1F67"/>
          </w:tcPr>
          <w:p>
            <w:pPr>
              <w:spacing w:after="0"/>
              <w:rPr>
                <w:sz w:val="24"/>
                <w:szCs w:val="24"/>
                <w:color w:val="auto"/>
              </w:rPr>
            </w:pPr>
          </w:p>
        </w:tc>
        <w:tc>
          <w:tcPr>
            <w:tcW w:w="680" w:type="dxa"/>
            <w:vAlign w:val="bottom"/>
            <w:tcBorders>
              <w:bottom w:val="single" w:sz="8" w:color="4A1F67"/>
            </w:tcBorders>
            <w:shd w:val="clear" w:color="auto" w:fill="4A1F67"/>
          </w:tcPr>
          <w:p>
            <w:pPr>
              <w:spacing w:after="0"/>
              <w:rPr>
                <w:sz w:val="24"/>
                <w:szCs w:val="24"/>
                <w:color w:val="auto"/>
              </w:rPr>
            </w:pPr>
          </w:p>
        </w:tc>
        <w:tc>
          <w:tcPr>
            <w:tcW w:w="680" w:type="dxa"/>
            <w:vAlign w:val="bottom"/>
            <w:tcBorders>
              <w:bottom w:val="single" w:sz="8" w:color="4A1F67"/>
            </w:tcBorders>
            <w:shd w:val="clear" w:color="auto" w:fill="4A1F67"/>
          </w:tcPr>
          <w:p>
            <w:pPr>
              <w:spacing w:after="0"/>
              <w:rPr>
                <w:sz w:val="24"/>
                <w:szCs w:val="24"/>
                <w:color w:val="auto"/>
              </w:rPr>
            </w:pPr>
          </w:p>
        </w:tc>
        <w:tc>
          <w:tcPr>
            <w:tcW w:w="780" w:type="dxa"/>
            <w:vAlign w:val="bottom"/>
            <w:tcBorders>
              <w:bottom w:val="single" w:sz="8" w:color="4A1F67"/>
            </w:tcBorders>
            <w:shd w:val="clear" w:color="auto" w:fill="4A1F67"/>
          </w:tcPr>
          <w:p>
            <w:pPr>
              <w:spacing w:after="0"/>
              <w:rPr>
                <w:sz w:val="24"/>
                <w:szCs w:val="24"/>
                <w:color w:val="auto"/>
              </w:rPr>
            </w:pPr>
          </w:p>
        </w:tc>
        <w:tc>
          <w:tcPr>
            <w:tcW w:w="580" w:type="dxa"/>
            <w:vAlign w:val="bottom"/>
            <w:tcBorders>
              <w:bottom w:val="single" w:sz="8" w:color="4A1F67"/>
            </w:tcBorders>
            <w:shd w:val="clear" w:color="auto" w:fill="4A1F67"/>
          </w:tcPr>
          <w:p>
            <w:pPr>
              <w:spacing w:after="0"/>
              <w:rPr>
                <w:sz w:val="24"/>
                <w:szCs w:val="24"/>
                <w:color w:val="auto"/>
              </w:rPr>
            </w:pPr>
          </w:p>
        </w:tc>
        <w:tc>
          <w:tcPr>
            <w:tcW w:w="780" w:type="dxa"/>
            <w:vAlign w:val="bottom"/>
            <w:tcBorders>
              <w:bottom w:val="single" w:sz="8" w:color="4A1F67"/>
            </w:tcBorders>
            <w:shd w:val="clear" w:color="auto" w:fill="4A1F67"/>
          </w:tcPr>
          <w:p>
            <w:pPr>
              <w:spacing w:after="0"/>
              <w:rPr>
                <w:sz w:val="24"/>
                <w:szCs w:val="24"/>
                <w:color w:val="auto"/>
              </w:rPr>
            </w:pPr>
          </w:p>
        </w:tc>
        <w:tc>
          <w:tcPr>
            <w:tcW w:w="660" w:type="dxa"/>
            <w:vAlign w:val="bottom"/>
            <w:tcBorders>
              <w:bottom w:val="single" w:sz="8" w:color="4A1F67"/>
            </w:tcBorders>
            <w:shd w:val="clear" w:color="auto" w:fill="4A1F67"/>
          </w:tcPr>
          <w:p>
            <w:pPr>
              <w:spacing w:after="0"/>
              <w:rPr>
                <w:sz w:val="24"/>
                <w:szCs w:val="24"/>
                <w:color w:val="auto"/>
              </w:rPr>
            </w:pPr>
          </w:p>
        </w:tc>
        <w:tc>
          <w:tcPr>
            <w:tcW w:w="660" w:type="dxa"/>
            <w:vAlign w:val="bottom"/>
            <w:tcBorders>
              <w:bottom w:val="single" w:sz="8" w:color="4A1F67"/>
            </w:tcBorders>
            <w:shd w:val="clear" w:color="auto" w:fill="4A1F67"/>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840" w:type="dxa"/>
            <w:vAlign w:val="bottom"/>
            <w:tcBorders>
              <w:bottom w:val="single" w:sz="8" w:color="E1E2E0"/>
            </w:tcBorders>
          </w:tcPr>
          <w:p>
            <w:pPr>
              <w:ind w:left="60"/>
              <w:spacing w:after="0"/>
              <w:rPr>
                <w:sz w:val="20"/>
                <w:szCs w:val="20"/>
                <w:color w:val="auto"/>
              </w:rPr>
            </w:pPr>
            <w:r>
              <w:rPr>
                <w:rFonts w:ascii="Arial" w:cs="Arial" w:eastAsia="Arial" w:hAnsi="Arial"/>
                <w:sz w:val="14"/>
                <w:szCs w:val="14"/>
                <w:color w:val="3B3C43"/>
              </w:rPr>
              <w:t>Audit</w:t>
            </w:r>
            <w:r>
              <w:rPr>
                <w:rFonts w:ascii="Arial" w:cs="Arial" w:eastAsia="Arial" w:hAnsi="Arial"/>
                <w:sz w:val="23"/>
                <w:szCs w:val="23"/>
                <w:color w:val="3B3C43"/>
                <w:vertAlign w:val="superscript"/>
              </w:rPr>
              <w:t>1</w:t>
            </w:r>
          </w:p>
        </w:tc>
        <w:tc>
          <w:tcPr>
            <w:tcW w:w="900" w:type="dxa"/>
            <w:vAlign w:val="bottom"/>
            <w:tcBorders>
              <w:bottom w:val="single" w:sz="8" w:color="E1E2E0"/>
            </w:tcBorders>
            <w:shd w:val="clear" w:color="auto" w:fill="E1E1DF"/>
          </w:tcPr>
          <w:p>
            <w:pPr>
              <w:spacing w:after="0"/>
              <w:rPr>
                <w:sz w:val="24"/>
                <w:szCs w:val="24"/>
                <w:color w:val="auto"/>
              </w:rPr>
            </w:pPr>
          </w:p>
        </w:tc>
        <w:tc>
          <w:tcPr>
            <w:tcW w:w="680" w:type="dxa"/>
            <w:vAlign w:val="bottom"/>
            <w:tcBorders>
              <w:bottom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Borders>
              <w:bottom w:val="single" w:sz="8" w:color="E1E2E0"/>
            </w:tcBorders>
            <w:shd w:val="clear" w:color="auto" w:fill="E1E1DF"/>
          </w:tcPr>
          <w:p>
            <w:pPr>
              <w:spacing w:after="0"/>
              <w:rPr>
                <w:sz w:val="24"/>
                <w:szCs w:val="24"/>
                <w:color w:val="auto"/>
              </w:rPr>
            </w:pPr>
          </w:p>
        </w:tc>
        <w:tc>
          <w:tcPr>
            <w:tcW w:w="680" w:type="dxa"/>
            <w:vAlign w:val="bottom"/>
            <w:tcBorders>
              <w:bottom w:val="single" w:sz="8" w:color="E1E2E0"/>
            </w:tcBorders>
          </w:tcPr>
          <w:p>
            <w:pPr>
              <w:spacing w:after="0"/>
              <w:rPr>
                <w:sz w:val="24"/>
                <w:szCs w:val="24"/>
                <w:color w:val="auto"/>
              </w:rPr>
            </w:pPr>
          </w:p>
        </w:tc>
        <w:tc>
          <w:tcPr>
            <w:tcW w:w="780" w:type="dxa"/>
            <w:vAlign w:val="bottom"/>
            <w:tcBorders>
              <w:bottom w:val="single" w:sz="8" w:color="E1E2E0"/>
            </w:tcBorders>
            <w:shd w:val="clear" w:color="auto" w:fill="E1E1DF"/>
          </w:tcPr>
          <w:p>
            <w:pPr>
              <w:spacing w:after="0"/>
              <w:rPr>
                <w:sz w:val="24"/>
                <w:szCs w:val="24"/>
                <w:color w:val="auto"/>
              </w:rPr>
            </w:pPr>
          </w:p>
        </w:tc>
        <w:tc>
          <w:tcPr>
            <w:tcW w:w="580" w:type="dxa"/>
            <w:vAlign w:val="bottom"/>
            <w:tcBorders>
              <w:bottom w:val="single" w:sz="8" w:color="E1E2E0"/>
            </w:tcBorders>
          </w:tcPr>
          <w:p>
            <w:pPr>
              <w:spacing w:after="0"/>
              <w:rPr>
                <w:sz w:val="24"/>
                <w:szCs w:val="24"/>
                <w:color w:val="auto"/>
              </w:rPr>
            </w:pPr>
          </w:p>
        </w:tc>
        <w:tc>
          <w:tcPr>
            <w:tcW w:w="780" w:type="dxa"/>
            <w:vAlign w:val="bottom"/>
            <w:tcBorders>
              <w:bottom w:val="single" w:sz="8" w:color="E1E2E0"/>
            </w:tcBorders>
            <w:shd w:val="clear" w:color="auto" w:fill="E1E1DF"/>
          </w:tcPr>
          <w:p>
            <w:pPr>
              <w:jc w:val="center"/>
              <w:spacing w:after="0"/>
              <w:rPr>
                <w:sz w:val="20"/>
                <w:szCs w:val="20"/>
                <w:color w:val="auto"/>
              </w:rPr>
            </w:pPr>
            <w:r>
              <w:rPr>
                <w:rFonts w:ascii="Arial" w:cs="Arial" w:eastAsia="Arial" w:hAnsi="Arial"/>
                <w:sz w:val="14"/>
                <w:szCs w:val="14"/>
                <w:color w:val="3B3C43"/>
              </w:rPr>
              <w:t>Chair</w:t>
            </w:r>
          </w:p>
        </w:tc>
        <w:tc>
          <w:tcPr>
            <w:tcW w:w="660" w:type="dxa"/>
            <w:vAlign w:val="bottom"/>
            <w:tcBorders>
              <w:bottom w:val="single" w:sz="8" w:color="E1E2E0"/>
            </w:tcBorders>
          </w:tcPr>
          <w:p>
            <w:pPr>
              <w:spacing w:after="0"/>
              <w:rPr>
                <w:sz w:val="24"/>
                <w:szCs w:val="24"/>
                <w:color w:val="auto"/>
              </w:rPr>
            </w:pPr>
          </w:p>
        </w:tc>
        <w:tc>
          <w:tcPr>
            <w:tcW w:w="660" w:type="dxa"/>
            <w:vAlign w:val="bottom"/>
            <w:tcBorders>
              <w:bottom w:val="single" w:sz="8" w:color="E1E2E0"/>
            </w:tcBorders>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0" w:type="dxa"/>
            <w:vAlign w:val="bottom"/>
          </w:tcPr>
          <w:p>
            <w:pPr>
              <w:spacing w:after="0"/>
              <w:rPr>
                <w:sz w:val="1"/>
                <w:szCs w:val="1"/>
                <w:color w:val="auto"/>
              </w:rPr>
            </w:pPr>
          </w:p>
        </w:tc>
      </w:tr>
      <w:tr>
        <w:trPr>
          <w:trHeight w:val="221"/>
        </w:trPr>
        <w:tc>
          <w:tcPr>
            <w:tcW w:w="4840" w:type="dxa"/>
            <w:vAlign w:val="bottom"/>
            <w:vMerge w:val="restart"/>
          </w:tcPr>
          <w:p>
            <w:pPr>
              <w:ind w:left="60"/>
              <w:spacing w:after="0"/>
              <w:rPr>
                <w:sz w:val="20"/>
                <w:szCs w:val="20"/>
                <w:color w:val="auto"/>
              </w:rPr>
            </w:pPr>
            <w:r>
              <w:rPr>
                <w:rFonts w:ascii="Arial" w:cs="Arial" w:eastAsia="Arial" w:hAnsi="Arial"/>
                <w:sz w:val="14"/>
                <w:szCs w:val="14"/>
                <w:color w:val="3B3C43"/>
              </w:rPr>
              <w:t>Compensation</w:t>
            </w:r>
          </w:p>
        </w:tc>
        <w:tc>
          <w:tcPr>
            <w:tcW w:w="900" w:type="dxa"/>
            <w:vAlign w:val="bottom"/>
            <w:shd w:val="clear" w:color="auto" w:fill="E1E1DF"/>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vMerge w:val="restart"/>
            <w:shd w:val="clear" w:color="auto" w:fill="E1E1DF"/>
          </w:tcPr>
          <w:p>
            <w:pPr>
              <w:jc w:val="center"/>
              <w:spacing w:after="0"/>
              <w:rPr>
                <w:sz w:val="20"/>
                <w:szCs w:val="20"/>
                <w:color w:val="auto"/>
              </w:rPr>
            </w:pPr>
            <w:r>
              <w:rPr>
                <w:rFonts w:ascii="Arial" w:cs="Arial" w:eastAsia="Arial" w:hAnsi="Arial"/>
                <w:sz w:val="29"/>
                <w:szCs w:val="29"/>
                <w:color w:val="3B3C43"/>
                <w:w w:val="98"/>
              </w:rPr>
              <w:t>•</w:t>
            </w:r>
          </w:p>
        </w:tc>
        <w:tc>
          <w:tcPr>
            <w:tcW w:w="680" w:type="dxa"/>
            <w:vAlign w:val="bottom"/>
          </w:tcPr>
          <w:p>
            <w:pPr>
              <w:spacing w:after="0"/>
              <w:rPr>
                <w:sz w:val="19"/>
                <w:szCs w:val="19"/>
                <w:color w:val="auto"/>
              </w:rPr>
            </w:pPr>
          </w:p>
        </w:tc>
        <w:tc>
          <w:tcPr>
            <w:tcW w:w="780" w:type="dxa"/>
            <w:vAlign w:val="bottom"/>
            <w:shd w:val="clear" w:color="auto" w:fill="E1E1DF"/>
          </w:tcPr>
          <w:p>
            <w:pPr>
              <w:jc w:val="center"/>
              <w:spacing w:after="0"/>
              <w:rPr>
                <w:sz w:val="20"/>
                <w:szCs w:val="20"/>
                <w:color w:val="auto"/>
              </w:rPr>
            </w:pPr>
            <w:r>
              <w:rPr>
                <w:rFonts w:ascii="Arial" w:cs="Arial" w:eastAsia="Arial" w:hAnsi="Arial"/>
                <w:sz w:val="14"/>
                <w:szCs w:val="14"/>
                <w:color w:val="3B3C43"/>
                <w:w w:val="99"/>
              </w:rPr>
              <w:t>Chair-</w:t>
            </w:r>
          </w:p>
        </w:tc>
        <w:tc>
          <w:tcPr>
            <w:tcW w:w="580" w:type="dxa"/>
            <w:vAlign w:val="bottom"/>
          </w:tcPr>
          <w:p>
            <w:pPr>
              <w:spacing w:after="0"/>
              <w:rPr>
                <w:sz w:val="19"/>
                <w:szCs w:val="19"/>
                <w:color w:val="auto"/>
              </w:rPr>
            </w:pPr>
          </w:p>
        </w:tc>
        <w:tc>
          <w:tcPr>
            <w:tcW w:w="780" w:type="dxa"/>
            <w:vAlign w:val="bottom"/>
            <w:shd w:val="clear" w:color="auto" w:fill="E1E1DF"/>
          </w:tcPr>
          <w:p>
            <w:pPr>
              <w:spacing w:after="0"/>
              <w:rPr>
                <w:sz w:val="19"/>
                <w:szCs w:val="19"/>
                <w:color w:val="auto"/>
              </w:rPr>
            </w:pPr>
          </w:p>
        </w:tc>
        <w:tc>
          <w:tcPr>
            <w:tcW w:w="660" w:type="dxa"/>
            <w:vAlign w:val="bottom"/>
            <w:vMerge w:val="restart"/>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shd w:val="clear" w:color="auto" w:fill="E1E1D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vMerge w:val="continue"/>
          </w:tcPr>
          <w:p>
            <w:pPr>
              <w:spacing w:after="0"/>
              <w:rPr>
                <w:sz w:val="19"/>
                <w:szCs w:val="19"/>
                <w:color w:val="auto"/>
              </w:rPr>
            </w:pPr>
          </w:p>
        </w:tc>
        <w:tc>
          <w:tcPr>
            <w:tcW w:w="900" w:type="dxa"/>
            <w:vAlign w:val="bottom"/>
            <w:tcBorders>
              <w:bottom w:val="single" w:sz="8" w:color="E1E1DF"/>
            </w:tcBorders>
            <w:shd w:val="clear" w:color="auto" w:fill="E1E1DF"/>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bottom w:val="single" w:sz="8" w:color="E1E1DF"/>
            </w:tcBorders>
            <w:vMerge w:val="continue"/>
            <w:shd w:val="clear" w:color="auto" w:fill="E1E1DF"/>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Borders>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elect</w:t>
            </w:r>
          </w:p>
        </w:tc>
        <w:tc>
          <w:tcPr>
            <w:tcW w:w="580" w:type="dxa"/>
            <w:vAlign w:val="bottom"/>
          </w:tcPr>
          <w:p>
            <w:pPr>
              <w:spacing w:after="0"/>
              <w:rPr>
                <w:sz w:val="19"/>
                <w:szCs w:val="19"/>
                <w:color w:val="auto"/>
              </w:rPr>
            </w:pPr>
          </w:p>
        </w:tc>
        <w:tc>
          <w:tcPr>
            <w:tcW w:w="780" w:type="dxa"/>
            <w:vAlign w:val="bottom"/>
            <w:tcBorders>
              <w:bottom w:val="single" w:sz="8" w:color="E1E1DF"/>
            </w:tcBorders>
            <w:shd w:val="clear" w:color="auto" w:fill="E1E1DF"/>
          </w:tcPr>
          <w:p>
            <w:pPr>
              <w:spacing w:after="0"/>
              <w:rPr>
                <w:sz w:val="19"/>
                <w:szCs w:val="19"/>
                <w:color w:val="auto"/>
              </w:rPr>
            </w:pPr>
          </w:p>
        </w:tc>
        <w:tc>
          <w:tcPr>
            <w:tcW w:w="660" w:type="dxa"/>
            <w:vAlign w:val="bottom"/>
            <w:vMerge w:val="continue"/>
          </w:tcPr>
          <w:p>
            <w:pPr>
              <w:spacing w:after="0"/>
              <w:rPr>
                <w:sz w:val="19"/>
                <w:szCs w:val="19"/>
                <w:color w:val="auto"/>
              </w:rPr>
            </w:pPr>
          </w:p>
        </w:tc>
        <w:tc>
          <w:tcPr>
            <w:tcW w:w="660" w:type="dxa"/>
            <w:vAlign w:val="bottom"/>
            <w:tcBorders>
              <w:bottom w:val="single" w:sz="8" w:color="E1E1DF"/>
            </w:tcBorders>
            <w:shd w:val="clear" w:color="auto" w:fill="E1E1D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ESG</w:t>
            </w:r>
          </w:p>
        </w:tc>
        <w:tc>
          <w:tcPr>
            <w:tcW w:w="900" w:type="dxa"/>
            <w:vAlign w:val="bottom"/>
            <w:tcBorders>
              <w:top w:val="single" w:sz="8" w:color="E1E2E0"/>
              <w:bottom w:val="single" w:sz="8" w:color="E1E1DF"/>
            </w:tcBorders>
            <w:shd w:val="clear" w:color="auto" w:fill="E1E1DF"/>
          </w:tcPr>
          <w:p>
            <w:pPr>
              <w:spacing w:after="0"/>
              <w:rPr>
                <w:sz w:val="24"/>
                <w:szCs w:val="24"/>
                <w:color w:val="auto"/>
              </w:rPr>
            </w:pPr>
          </w:p>
        </w:tc>
        <w:tc>
          <w:tcPr>
            <w:tcW w:w="680" w:type="dxa"/>
            <w:vAlign w:val="bottom"/>
            <w:tcBorders>
              <w:top w:val="single" w:sz="8" w:color="E1E2E0"/>
            </w:tcBorders>
          </w:tcPr>
          <w:p>
            <w:pPr>
              <w:spacing w:after="0"/>
              <w:rPr>
                <w:sz w:val="24"/>
                <w:szCs w:val="24"/>
                <w:color w:val="auto"/>
              </w:rPr>
            </w:pPr>
          </w:p>
        </w:tc>
        <w:tc>
          <w:tcPr>
            <w:tcW w:w="680" w:type="dxa"/>
            <w:vAlign w:val="bottom"/>
            <w:tcBorders>
              <w:top w:val="single" w:sz="8" w:color="E1E2E0"/>
              <w:bottom w:val="single" w:sz="8" w:color="E1E1DF"/>
            </w:tcBorders>
            <w:shd w:val="clear" w:color="auto" w:fill="E1E1DF"/>
          </w:tcPr>
          <w:p>
            <w:pPr>
              <w:spacing w:after="0"/>
              <w:rPr>
                <w:sz w:val="24"/>
                <w:szCs w:val="24"/>
                <w:color w:val="auto"/>
              </w:rPr>
            </w:pP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14"/>
                <w:szCs w:val="14"/>
                <w:color w:val="3B3C43"/>
              </w:rPr>
              <w:t>Chair</w:t>
            </w:r>
          </w:p>
        </w:tc>
        <w:tc>
          <w:tcPr>
            <w:tcW w:w="780" w:type="dxa"/>
            <w:vAlign w:val="bottom"/>
            <w:tcBorders>
              <w:top w:val="single" w:sz="8" w:color="E1E2E0"/>
              <w:bottom w:val="single" w:sz="8" w:color="E1E1DF"/>
            </w:tcBorders>
            <w:shd w:val="clear" w:color="auto" w:fill="E1E1DF"/>
          </w:tcPr>
          <w:p>
            <w:pPr>
              <w:spacing w:after="0"/>
              <w:rPr>
                <w:sz w:val="24"/>
                <w:szCs w:val="24"/>
                <w:color w:val="auto"/>
              </w:rPr>
            </w:pPr>
          </w:p>
        </w:tc>
        <w:tc>
          <w:tcPr>
            <w:tcW w:w="58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780" w:type="dxa"/>
            <w:vAlign w:val="bottom"/>
            <w:tcBorders>
              <w:top w:val="single" w:sz="8" w:color="E1E2E0"/>
              <w:bottom w:val="single" w:sz="8" w:color="E1E1DF"/>
            </w:tcBorders>
            <w:shd w:val="clear" w:color="auto" w:fill="E1E1DF"/>
          </w:tcPr>
          <w:p>
            <w:pPr>
              <w:spacing w:after="0"/>
              <w:rPr>
                <w:sz w:val="24"/>
                <w:szCs w:val="24"/>
                <w:color w:val="auto"/>
              </w:rPr>
            </w:pP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29"/>
                <w:szCs w:val="29"/>
                <w:color w:val="3B3C43"/>
                <w:w w:val="98"/>
              </w:rPr>
              <w:t>•</w:t>
            </w:r>
          </w:p>
        </w:tc>
        <w:tc>
          <w:tcPr>
            <w:tcW w:w="660" w:type="dxa"/>
            <w:vAlign w:val="bottom"/>
            <w:tcBorders>
              <w:top w:val="single" w:sz="8" w:color="E1E2E0"/>
              <w:bottom w:val="single" w:sz="8" w:color="E1E1DF"/>
            </w:tcBorders>
            <w:shd w:val="clear" w:color="auto" w:fill="E1E1D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4A1F67"/>
            </w:tcBorders>
            <w:shd w:val="clear" w:color="auto" w:fill="4A1F67"/>
          </w:tcPr>
          <w:p>
            <w:pPr>
              <w:ind w:left="60"/>
              <w:spacing w:after="0"/>
              <w:rPr>
                <w:sz w:val="20"/>
                <w:szCs w:val="20"/>
                <w:color w:val="auto"/>
              </w:rPr>
            </w:pPr>
            <w:r>
              <w:rPr>
                <w:rFonts w:ascii="Arial" w:cs="Arial" w:eastAsia="Arial" w:hAnsi="Arial"/>
                <w:sz w:val="16"/>
                <w:szCs w:val="16"/>
                <w:b w:val="1"/>
                <w:bCs w:val="1"/>
                <w:color w:val="FFFFFF"/>
              </w:rPr>
              <w:t>Demographic Background</w:t>
            </w:r>
          </w:p>
        </w:tc>
        <w:tc>
          <w:tcPr>
            <w:tcW w:w="900" w:type="dxa"/>
            <w:vAlign w:val="bottom"/>
            <w:tcBorders>
              <w:bottom w:val="single" w:sz="8" w:color="4A1F67"/>
            </w:tcBorders>
            <w:shd w:val="clear" w:color="auto" w:fill="4A1F67"/>
          </w:tcPr>
          <w:p>
            <w:pPr>
              <w:spacing w:after="0"/>
              <w:rPr>
                <w:sz w:val="24"/>
                <w:szCs w:val="24"/>
                <w:color w:val="auto"/>
              </w:rPr>
            </w:pPr>
          </w:p>
        </w:tc>
        <w:tc>
          <w:tcPr>
            <w:tcW w:w="680" w:type="dxa"/>
            <w:vAlign w:val="bottom"/>
            <w:tcBorders>
              <w:bottom w:val="single" w:sz="8" w:color="4A1F67"/>
            </w:tcBorders>
            <w:shd w:val="clear" w:color="auto" w:fill="4A1F67"/>
          </w:tcPr>
          <w:p>
            <w:pPr>
              <w:spacing w:after="0"/>
              <w:rPr>
                <w:sz w:val="24"/>
                <w:szCs w:val="24"/>
                <w:color w:val="auto"/>
              </w:rPr>
            </w:pPr>
          </w:p>
        </w:tc>
        <w:tc>
          <w:tcPr>
            <w:tcW w:w="680" w:type="dxa"/>
            <w:vAlign w:val="bottom"/>
            <w:tcBorders>
              <w:bottom w:val="single" w:sz="8" w:color="4A1F67"/>
            </w:tcBorders>
            <w:shd w:val="clear" w:color="auto" w:fill="4A1F67"/>
          </w:tcPr>
          <w:p>
            <w:pPr>
              <w:spacing w:after="0"/>
              <w:rPr>
                <w:sz w:val="24"/>
                <w:szCs w:val="24"/>
                <w:color w:val="auto"/>
              </w:rPr>
            </w:pPr>
          </w:p>
        </w:tc>
        <w:tc>
          <w:tcPr>
            <w:tcW w:w="680" w:type="dxa"/>
            <w:vAlign w:val="bottom"/>
            <w:tcBorders>
              <w:bottom w:val="single" w:sz="8" w:color="4A1F67"/>
            </w:tcBorders>
            <w:shd w:val="clear" w:color="auto" w:fill="4A1F67"/>
          </w:tcPr>
          <w:p>
            <w:pPr>
              <w:spacing w:after="0"/>
              <w:rPr>
                <w:sz w:val="24"/>
                <w:szCs w:val="24"/>
                <w:color w:val="auto"/>
              </w:rPr>
            </w:pPr>
          </w:p>
        </w:tc>
        <w:tc>
          <w:tcPr>
            <w:tcW w:w="780" w:type="dxa"/>
            <w:vAlign w:val="bottom"/>
            <w:tcBorders>
              <w:bottom w:val="single" w:sz="8" w:color="4A1F67"/>
            </w:tcBorders>
            <w:shd w:val="clear" w:color="auto" w:fill="4A1F67"/>
          </w:tcPr>
          <w:p>
            <w:pPr>
              <w:spacing w:after="0"/>
              <w:rPr>
                <w:sz w:val="24"/>
                <w:szCs w:val="24"/>
                <w:color w:val="auto"/>
              </w:rPr>
            </w:pPr>
          </w:p>
        </w:tc>
        <w:tc>
          <w:tcPr>
            <w:tcW w:w="580" w:type="dxa"/>
            <w:vAlign w:val="bottom"/>
            <w:tcBorders>
              <w:bottom w:val="single" w:sz="8" w:color="4A1F67"/>
            </w:tcBorders>
            <w:shd w:val="clear" w:color="auto" w:fill="4A1F67"/>
          </w:tcPr>
          <w:p>
            <w:pPr>
              <w:spacing w:after="0"/>
              <w:rPr>
                <w:sz w:val="24"/>
                <w:szCs w:val="24"/>
                <w:color w:val="auto"/>
              </w:rPr>
            </w:pPr>
          </w:p>
        </w:tc>
        <w:tc>
          <w:tcPr>
            <w:tcW w:w="780" w:type="dxa"/>
            <w:vAlign w:val="bottom"/>
            <w:tcBorders>
              <w:bottom w:val="single" w:sz="8" w:color="4A1F67"/>
            </w:tcBorders>
            <w:shd w:val="clear" w:color="auto" w:fill="4A1F67"/>
          </w:tcPr>
          <w:p>
            <w:pPr>
              <w:spacing w:after="0"/>
              <w:rPr>
                <w:sz w:val="24"/>
                <w:szCs w:val="24"/>
                <w:color w:val="auto"/>
              </w:rPr>
            </w:pPr>
          </w:p>
        </w:tc>
        <w:tc>
          <w:tcPr>
            <w:tcW w:w="660" w:type="dxa"/>
            <w:vAlign w:val="bottom"/>
            <w:tcBorders>
              <w:bottom w:val="single" w:sz="8" w:color="4A1F67"/>
            </w:tcBorders>
            <w:shd w:val="clear" w:color="auto" w:fill="4A1F67"/>
          </w:tcPr>
          <w:p>
            <w:pPr>
              <w:spacing w:after="0"/>
              <w:rPr>
                <w:sz w:val="24"/>
                <w:szCs w:val="24"/>
                <w:color w:val="auto"/>
              </w:rPr>
            </w:pPr>
          </w:p>
        </w:tc>
        <w:tc>
          <w:tcPr>
            <w:tcW w:w="660" w:type="dxa"/>
            <w:vAlign w:val="bottom"/>
            <w:tcBorders>
              <w:bottom w:val="single" w:sz="8" w:color="4A1F67"/>
            </w:tcBorders>
            <w:shd w:val="clear" w:color="auto" w:fill="4A1F67"/>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40" w:type="dxa"/>
            <w:vAlign w:val="bottom"/>
          </w:tcPr>
          <w:p>
            <w:pPr>
              <w:ind w:left="60"/>
              <w:spacing w:after="0"/>
              <w:rPr>
                <w:sz w:val="20"/>
                <w:szCs w:val="20"/>
                <w:color w:val="auto"/>
              </w:rPr>
            </w:pPr>
            <w:r>
              <w:rPr>
                <w:rFonts w:ascii="Arial" w:cs="Arial" w:eastAsia="Arial" w:hAnsi="Arial"/>
                <w:sz w:val="14"/>
                <w:szCs w:val="14"/>
                <w:color w:val="3B3C43"/>
              </w:rPr>
              <w:t>Age (Years)</w:t>
            </w:r>
          </w:p>
        </w:tc>
        <w:tc>
          <w:tcPr>
            <w:tcW w:w="900" w:type="dxa"/>
            <w:vAlign w:val="bottom"/>
            <w:tcBorders>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57</w:t>
            </w:r>
          </w:p>
        </w:tc>
        <w:tc>
          <w:tcPr>
            <w:tcW w:w="680" w:type="dxa"/>
            <w:vAlign w:val="bottom"/>
          </w:tcPr>
          <w:p>
            <w:pPr>
              <w:jc w:val="center"/>
              <w:spacing w:after="0"/>
              <w:rPr>
                <w:sz w:val="20"/>
                <w:szCs w:val="20"/>
                <w:color w:val="auto"/>
              </w:rPr>
            </w:pPr>
            <w:r>
              <w:rPr>
                <w:rFonts w:ascii="Arial" w:cs="Arial" w:eastAsia="Arial" w:hAnsi="Arial"/>
                <w:sz w:val="14"/>
                <w:szCs w:val="14"/>
                <w:color w:val="3B3C43"/>
              </w:rPr>
              <w:t>63</w:t>
            </w:r>
          </w:p>
        </w:tc>
        <w:tc>
          <w:tcPr>
            <w:tcW w:w="680" w:type="dxa"/>
            <w:vAlign w:val="bottom"/>
            <w:tcBorders>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62</w:t>
            </w:r>
          </w:p>
        </w:tc>
        <w:tc>
          <w:tcPr>
            <w:tcW w:w="680" w:type="dxa"/>
            <w:vAlign w:val="bottom"/>
          </w:tcPr>
          <w:p>
            <w:pPr>
              <w:jc w:val="center"/>
              <w:spacing w:after="0"/>
              <w:rPr>
                <w:sz w:val="20"/>
                <w:szCs w:val="20"/>
                <w:color w:val="auto"/>
              </w:rPr>
            </w:pPr>
            <w:r>
              <w:rPr>
                <w:rFonts w:ascii="Arial" w:cs="Arial" w:eastAsia="Arial" w:hAnsi="Arial"/>
                <w:sz w:val="14"/>
                <w:szCs w:val="14"/>
                <w:color w:val="3B3C43"/>
              </w:rPr>
              <w:t>71</w:t>
            </w:r>
          </w:p>
        </w:tc>
        <w:tc>
          <w:tcPr>
            <w:tcW w:w="780" w:type="dxa"/>
            <w:vAlign w:val="bottom"/>
            <w:tcBorders>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65</w:t>
            </w:r>
          </w:p>
        </w:tc>
        <w:tc>
          <w:tcPr>
            <w:tcW w:w="580" w:type="dxa"/>
            <w:vAlign w:val="bottom"/>
          </w:tcPr>
          <w:p>
            <w:pPr>
              <w:jc w:val="center"/>
              <w:spacing w:after="0"/>
              <w:rPr>
                <w:sz w:val="20"/>
                <w:szCs w:val="20"/>
                <w:color w:val="auto"/>
              </w:rPr>
            </w:pPr>
            <w:r>
              <w:rPr>
                <w:rFonts w:ascii="Arial" w:cs="Arial" w:eastAsia="Arial" w:hAnsi="Arial"/>
                <w:sz w:val="14"/>
                <w:szCs w:val="14"/>
                <w:color w:val="3B3C43"/>
              </w:rPr>
              <w:t>62</w:t>
            </w:r>
          </w:p>
        </w:tc>
        <w:tc>
          <w:tcPr>
            <w:tcW w:w="780" w:type="dxa"/>
            <w:vAlign w:val="bottom"/>
            <w:tcBorders>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65</w:t>
            </w:r>
          </w:p>
        </w:tc>
        <w:tc>
          <w:tcPr>
            <w:tcW w:w="660" w:type="dxa"/>
            <w:vAlign w:val="bottom"/>
          </w:tcPr>
          <w:p>
            <w:pPr>
              <w:jc w:val="center"/>
              <w:spacing w:after="0"/>
              <w:rPr>
                <w:sz w:val="20"/>
                <w:szCs w:val="20"/>
                <w:color w:val="auto"/>
              </w:rPr>
            </w:pPr>
            <w:r>
              <w:rPr>
                <w:rFonts w:ascii="Arial" w:cs="Arial" w:eastAsia="Arial" w:hAnsi="Arial"/>
                <w:sz w:val="14"/>
                <w:szCs w:val="14"/>
                <w:color w:val="3B3C43"/>
              </w:rPr>
              <w:t>61</w:t>
            </w:r>
          </w:p>
        </w:tc>
        <w:tc>
          <w:tcPr>
            <w:tcW w:w="660" w:type="dxa"/>
            <w:vAlign w:val="bottom"/>
            <w:tcBorders>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54</w:t>
            </w:r>
          </w:p>
        </w:tc>
        <w:tc>
          <w:tcPr>
            <w:tcW w:w="0" w:type="dxa"/>
            <w:vAlign w:val="bottom"/>
          </w:tcPr>
          <w:p>
            <w:pPr>
              <w:spacing w:after="0"/>
              <w:rPr>
                <w:sz w:val="1"/>
                <w:szCs w:val="1"/>
                <w:color w:val="auto"/>
              </w:rPr>
            </w:pPr>
          </w:p>
        </w:tc>
      </w:tr>
      <w:tr>
        <w:trPr>
          <w:trHeight w:val="264"/>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Board Tenure (Years)</w:t>
            </w:r>
          </w:p>
        </w:tc>
        <w:tc>
          <w:tcPr>
            <w:tcW w:w="90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4</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14"/>
                <w:szCs w:val="14"/>
                <w:color w:val="3B3C43"/>
              </w:rPr>
              <w:t>4</w:t>
            </w:r>
          </w:p>
        </w:tc>
        <w:tc>
          <w:tcPr>
            <w:tcW w:w="6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4</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14"/>
                <w:szCs w:val="14"/>
                <w:color w:val="3B3C43"/>
              </w:rPr>
              <w:t>4</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4</w:t>
            </w:r>
          </w:p>
        </w:tc>
        <w:tc>
          <w:tcPr>
            <w:tcW w:w="580" w:type="dxa"/>
            <w:vAlign w:val="bottom"/>
            <w:tcBorders>
              <w:top w:val="single" w:sz="8" w:color="E1E2E0"/>
            </w:tcBorders>
          </w:tcPr>
          <w:p>
            <w:pPr>
              <w:jc w:val="center"/>
              <w:spacing w:after="0"/>
              <w:rPr>
                <w:sz w:val="20"/>
                <w:szCs w:val="20"/>
                <w:color w:val="auto"/>
              </w:rPr>
            </w:pPr>
            <w:r>
              <w:rPr>
                <w:rFonts w:ascii="Arial" w:cs="Arial" w:eastAsia="Arial" w:hAnsi="Arial"/>
                <w:sz w:val="14"/>
                <w:szCs w:val="14"/>
                <w:color w:val="3B3C43"/>
              </w:rPr>
              <w:t>&lt;1</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4</w:t>
            </w:r>
          </w:p>
        </w:tc>
        <w:tc>
          <w:tcPr>
            <w:tcW w:w="660" w:type="dxa"/>
            <w:vAlign w:val="bottom"/>
            <w:tcBorders>
              <w:top w:val="single" w:sz="8" w:color="E1E2E0"/>
            </w:tcBorders>
          </w:tcPr>
          <w:p>
            <w:pPr>
              <w:jc w:val="center"/>
              <w:spacing w:after="0"/>
              <w:rPr>
                <w:sz w:val="20"/>
                <w:szCs w:val="20"/>
                <w:color w:val="auto"/>
              </w:rPr>
            </w:pPr>
            <w:r>
              <w:rPr>
                <w:rFonts w:ascii="Arial" w:cs="Arial" w:eastAsia="Arial" w:hAnsi="Arial"/>
                <w:sz w:val="14"/>
                <w:szCs w:val="14"/>
                <w:color w:val="3B3C43"/>
              </w:rPr>
              <w:t>2</w:t>
            </w:r>
          </w:p>
        </w:tc>
        <w:tc>
          <w:tcPr>
            <w:tcW w:w="66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&lt;1</w:t>
            </w:r>
          </w:p>
        </w:tc>
        <w:tc>
          <w:tcPr>
            <w:tcW w:w="0" w:type="dxa"/>
            <w:vAlign w:val="bottom"/>
          </w:tcPr>
          <w:p>
            <w:pPr>
              <w:spacing w:after="0"/>
              <w:rPr>
                <w:sz w:val="1"/>
                <w:szCs w:val="1"/>
                <w:color w:val="auto"/>
              </w:rPr>
            </w:pPr>
          </w:p>
        </w:tc>
      </w:tr>
      <w:tr>
        <w:trPr>
          <w:trHeight w:val="243"/>
        </w:trPr>
        <w:tc>
          <w:tcPr>
            <w:tcW w:w="4840" w:type="dxa"/>
            <w:vAlign w:val="bottom"/>
            <w:tcBorders>
              <w:top w:val="single" w:sz="8" w:color="E1E2E0"/>
            </w:tcBorders>
          </w:tcPr>
          <w:p>
            <w:pPr>
              <w:ind w:left="60"/>
              <w:spacing w:after="0"/>
              <w:rPr>
                <w:sz w:val="20"/>
                <w:szCs w:val="20"/>
                <w:color w:val="auto"/>
              </w:rPr>
            </w:pPr>
            <w:r>
              <w:rPr>
                <w:rFonts w:ascii="Arial" w:cs="Arial" w:eastAsia="Arial" w:hAnsi="Arial"/>
                <w:sz w:val="14"/>
                <w:szCs w:val="14"/>
                <w:color w:val="3B3C43"/>
              </w:rPr>
              <w:t>Gender Diversity (Female or Male)</w:t>
            </w:r>
          </w:p>
        </w:tc>
        <w:tc>
          <w:tcPr>
            <w:tcW w:w="900" w:type="dxa"/>
            <w:vAlign w:val="bottom"/>
            <w:tcBorders>
              <w:top w:val="single" w:sz="8" w:color="E1E2E0"/>
              <w:bottom w:val="single" w:sz="8" w:color="E1E1DF"/>
            </w:tcBorders>
            <w:shd w:val="clear" w:color="auto" w:fill="E1E1DF"/>
          </w:tcPr>
          <w:p>
            <w:pPr>
              <w:ind w:left="400"/>
              <w:spacing w:after="0"/>
              <w:rPr>
                <w:sz w:val="20"/>
                <w:szCs w:val="20"/>
                <w:color w:val="auto"/>
              </w:rPr>
            </w:pPr>
            <w:r>
              <w:rPr>
                <w:rFonts w:ascii="Arial" w:cs="Arial" w:eastAsia="Arial" w:hAnsi="Arial"/>
                <w:sz w:val="14"/>
                <w:szCs w:val="14"/>
                <w:color w:val="3B3C43"/>
              </w:rPr>
              <w:t>M</w:t>
            </w:r>
          </w:p>
        </w:tc>
        <w:tc>
          <w:tcPr>
            <w:tcW w:w="680" w:type="dxa"/>
            <w:vAlign w:val="bottom"/>
            <w:tcBorders>
              <w:top w:val="single" w:sz="8" w:color="E1E2E0"/>
            </w:tcBorders>
          </w:tcPr>
          <w:p>
            <w:pPr>
              <w:ind w:left="280"/>
              <w:spacing w:after="0"/>
              <w:rPr>
                <w:sz w:val="20"/>
                <w:szCs w:val="20"/>
                <w:color w:val="auto"/>
              </w:rPr>
            </w:pPr>
            <w:r>
              <w:rPr>
                <w:rFonts w:ascii="Arial" w:cs="Arial" w:eastAsia="Arial" w:hAnsi="Arial"/>
                <w:sz w:val="14"/>
                <w:szCs w:val="14"/>
                <w:color w:val="3B3C43"/>
              </w:rPr>
              <w:t>M</w:t>
            </w:r>
          </w:p>
        </w:tc>
        <w:tc>
          <w:tcPr>
            <w:tcW w:w="680" w:type="dxa"/>
            <w:vAlign w:val="bottom"/>
            <w:tcBorders>
              <w:top w:val="single" w:sz="8" w:color="E1E2E0"/>
              <w:bottom w:val="single" w:sz="8" w:color="E1E1DF"/>
            </w:tcBorders>
            <w:shd w:val="clear" w:color="auto" w:fill="E1E1DF"/>
          </w:tcPr>
          <w:p>
            <w:pPr>
              <w:ind w:left="300"/>
              <w:spacing w:after="0"/>
              <w:rPr>
                <w:sz w:val="20"/>
                <w:szCs w:val="20"/>
                <w:color w:val="auto"/>
              </w:rPr>
            </w:pPr>
            <w:r>
              <w:rPr>
                <w:rFonts w:ascii="Arial" w:cs="Arial" w:eastAsia="Arial" w:hAnsi="Arial"/>
                <w:sz w:val="14"/>
                <w:szCs w:val="14"/>
                <w:color w:val="3B3C43"/>
              </w:rPr>
              <w:t>F</w:t>
            </w:r>
          </w:p>
        </w:tc>
        <w:tc>
          <w:tcPr>
            <w:tcW w:w="680" w:type="dxa"/>
            <w:vAlign w:val="bottom"/>
            <w:tcBorders>
              <w:top w:val="single" w:sz="8" w:color="E1E2E0"/>
            </w:tcBorders>
          </w:tcPr>
          <w:p>
            <w:pPr>
              <w:jc w:val="center"/>
              <w:spacing w:after="0"/>
              <w:rPr>
                <w:sz w:val="20"/>
                <w:szCs w:val="20"/>
                <w:color w:val="auto"/>
              </w:rPr>
            </w:pPr>
            <w:r>
              <w:rPr>
                <w:rFonts w:ascii="Arial" w:cs="Arial" w:eastAsia="Arial" w:hAnsi="Arial"/>
                <w:sz w:val="14"/>
                <w:szCs w:val="14"/>
                <w:color w:val="3B3C43"/>
              </w:rPr>
              <w:t>M</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rPr>
              <w:t>M</w:t>
            </w:r>
          </w:p>
        </w:tc>
        <w:tc>
          <w:tcPr>
            <w:tcW w:w="580" w:type="dxa"/>
            <w:vAlign w:val="bottom"/>
            <w:tcBorders>
              <w:top w:val="single" w:sz="8" w:color="E1E2E0"/>
            </w:tcBorders>
          </w:tcPr>
          <w:p>
            <w:pPr>
              <w:ind w:left="240"/>
              <w:spacing w:after="0"/>
              <w:rPr>
                <w:sz w:val="20"/>
                <w:szCs w:val="20"/>
                <w:color w:val="auto"/>
              </w:rPr>
            </w:pPr>
            <w:r>
              <w:rPr>
                <w:rFonts w:ascii="Arial" w:cs="Arial" w:eastAsia="Arial" w:hAnsi="Arial"/>
                <w:sz w:val="14"/>
                <w:szCs w:val="14"/>
                <w:color w:val="3B3C43"/>
              </w:rPr>
              <w:t>F</w:t>
            </w:r>
          </w:p>
        </w:tc>
        <w:tc>
          <w:tcPr>
            <w:tcW w:w="780" w:type="dxa"/>
            <w:vAlign w:val="bottom"/>
            <w:tcBorders>
              <w:top w:val="single" w:sz="8" w:color="E1E2E0"/>
              <w:bottom w:val="single" w:sz="8" w:color="E1E1DF"/>
            </w:tcBorders>
            <w:shd w:val="clear" w:color="auto" w:fill="E1E1DF"/>
          </w:tcPr>
          <w:p>
            <w:pPr>
              <w:jc w:val="center"/>
              <w:spacing w:after="0"/>
              <w:rPr>
                <w:sz w:val="20"/>
                <w:szCs w:val="20"/>
                <w:color w:val="auto"/>
              </w:rPr>
            </w:pPr>
            <w:r>
              <w:rPr>
                <w:rFonts w:ascii="Arial" w:cs="Arial" w:eastAsia="Arial" w:hAnsi="Arial"/>
                <w:sz w:val="14"/>
                <w:szCs w:val="14"/>
                <w:color w:val="3B3C43"/>
                <w:w w:val="92"/>
              </w:rPr>
              <w:t>F</w:t>
            </w:r>
          </w:p>
        </w:tc>
        <w:tc>
          <w:tcPr>
            <w:tcW w:w="660" w:type="dxa"/>
            <w:vAlign w:val="bottom"/>
            <w:tcBorders>
              <w:top w:val="single" w:sz="8" w:color="E1E2E0"/>
            </w:tcBorders>
          </w:tcPr>
          <w:p>
            <w:pPr>
              <w:ind w:left="260"/>
              <w:spacing w:after="0"/>
              <w:rPr>
                <w:sz w:val="20"/>
                <w:szCs w:val="20"/>
                <w:color w:val="auto"/>
              </w:rPr>
            </w:pPr>
            <w:r>
              <w:rPr>
                <w:rFonts w:ascii="Arial" w:cs="Arial" w:eastAsia="Arial" w:hAnsi="Arial"/>
                <w:sz w:val="14"/>
                <w:szCs w:val="14"/>
                <w:color w:val="3B3C43"/>
              </w:rPr>
              <w:t>M</w:t>
            </w:r>
          </w:p>
        </w:tc>
        <w:tc>
          <w:tcPr>
            <w:tcW w:w="660" w:type="dxa"/>
            <w:vAlign w:val="bottom"/>
            <w:tcBorders>
              <w:top w:val="single" w:sz="8" w:color="E1E2E0"/>
              <w:bottom w:val="single" w:sz="8" w:color="E1E1DF"/>
            </w:tcBorders>
            <w:shd w:val="clear" w:color="auto" w:fill="E1E1DF"/>
          </w:tcPr>
          <w:p>
            <w:pPr>
              <w:ind w:left="280"/>
              <w:spacing w:after="0"/>
              <w:rPr>
                <w:sz w:val="20"/>
                <w:szCs w:val="20"/>
                <w:color w:val="auto"/>
              </w:rPr>
            </w:pPr>
            <w:r>
              <w:rPr>
                <w:rFonts w:ascii="Arial" w:cs="Arial" w:eastAsia="Arial" w:hAnsi="Arial"/>
                <w:sz w:val="14"/>
                <w:szCs w:val="14"/>
                <w:color w:val="3B3C43"/>
              </w:rPr>
              <w:t>F</w:t>
            </w:r>
          </w:p>
        </w:tc>
        <w:tc>
          <w:tcPr>
            <w:tcW w:w="0" w:type="dxa"/>
            <w:vAlign w:val="bottom"/>
          </w:tcPr>
          <w:p>
            <w:pPr>
              <w:spacing w:after="0"/>
              <w:rPr>
                <w:sz w:val="1"/>
                <w:szCs w:val="1"/>
                <w:color w:val="auto"/>
              </w:rPr>
            </w:pPr>
          </w:p>
        </w:tc>
      </w:tr>
      <w:tr>
        <w:trPr>
          <w:trHeight w:val="20"/>
        </w:trPr>
        <w:tc>
          <w:tcPr>
            <w:tcW w:w="4840" w:type="dxa"/>
            <w:vAlign w:val="bottom"/>
            <w:shd w:val="clear" w:color="auto" w:fill="E1E2E0"/>
          </w:tcPr>
          <w:p>
            <w:pPr>
              <w:spacing w:after="0" w:line="20" w:lineRule="exact"/>
              <w:rPr>
                <w:sz w:val="1"/>
                <w:szCs w:val="1"/>
                <w:color w:val="auto"/>
              </w:rPr>
            </w:pPr>
          </w:p>
        </w:tc>
        <w:tc>
          <w:tcPr>
            <w:tcW w:w="900" w:type="dxa"/>
            <w:vAlign w:val="bottom"/>
            <w:shd w:val="clear" w:color="auto" w:fill="E1E2E0"/>
          </w:tcPr>
          <w:p>
            <w:pPr>
              <w:spacing w:after="0" w:line="20" w:lineRule="exact"/>
              <w:rPr>
                <w:sz w:val="1"/>
                <w:szCs w:val="1"/>
                <w:color w:val="auto"/>
              </w:rPr>
            </w:pPr>
          </w:p>
        </w:tc>
        <w:tc>
          <w:tcPr>
            <w:tcW w:w="680" w:type="dxa"/>
            <w:vAlign w:val="bottom"/>
            <w:shd w:val="clear" w:color="auto" w:fill="E1E2E0"/>
          </w:tcPr>
          <w:p>
            <w:pPr>
              <w:spacing w:after="0" w:line="20" w:lineRule="exact"/>
              <w:rPr>
                <w:sz w:val="1"/>
                <w:szCs w:val="1"/>
                <w:color w:val="auto"/>
              </w:rPr>
            </w:pPr>
          </w:p>
        </w:tc>
        <w:tc>
          <w:tcPr>
            <w:tcW w:w="680" w:type="dxa"/>
            <w:vAlign w:val="bottom"/>
            <w:shd w:val="clear" w:color="auto" w:fill="E1E2E0"/>
          </w:tcPr>
          <w:p>
            <w:pPr>
              <w:spacing w:after="0" w:line="20" w:lineRule="exact"/>
              <w:rPr>
                <w:sz w:val="1"/>
                <w:szCs w:val="1"/>
                <w:color w:val="auto"/>
              </w:rPr>
            </w:pPr>
          </w:p>
        </w:tc>
        <w:tc>
          <w:tcPr>
            <w:tcW w:w="680" w:type="dxa"/>
            <w:vAlign w:val="bottom"/>
            <w:shd w:val="clear" w:color="auto" w:fill="E1E2E0"/>
          </w:tcPr>
          <w:p>
            <w:pPr>
              <w:spacing w:after="0" w:line="20" w:lineRule="exact"/>
              <w:rPr>
                <w:sz w:val="1"/>
                <w:szCs w:val="1"/>
                <w:color w:val="auto"/>
              </w:rPr>
            </w:pPr>
          </w:p>
        </w:tc>
        <w:tc>
          <w:tcPr>
            <w:tcW w:w="780" w:type="dxa"/>
            <w:vAlign w:val="bottom"/>
            <w:shd w:val="clear" w:color="auto" w:fill="E1E2E0"/>
          </w:tcPr>
          <w:p>
            <w:pPr>
              <w:spacing w:after="0" w:line="20" w:lineRule="exact"/>
              <w:rPr>
                <w:sz w:val="1"/>
                <w:szCs w:val="1"/>
                <w:color w:val="auto"/>
              </w:rPr>
            </w:pPr>
          </w:p>
        </w:tc>
        <w:tc>
          <w:tcPr>
            <w:tcW w:w="580" w:type="dxa"/>
            <w:vAlign w:val="bottom"/>
            <w:shd w:val="clear" w:color="auto" w:fill="E1E2E0"/>
          </w:tcPr>
          <w:p>
            <w:pPr>
              <w:spacing w:after="0" w:line="20" w:lineRule="exact"/>
              <w:rPr>
                <w:sz w:val="1"/>
                <w:szCs w:val="1"/>
                <w:color w:val="auto"/>
              </w:rPr>
            </w:pPr>
          </w:p>
        </w:tc>
        <w:tc>
          <w:tcPr>
            <w:tcW w:w="780" w:type="dxa"/>
            <w:vAlign w:val="bottom"/>
            <w:shd w:val="clear" w:color="auto" w:fill="E1E2E0"/>
          </w:tcPr>
          <w:p>
            <w:pPr>
              <w:spacing w:after="0" w:line="20" w:lineRule="exact"/>
              <w:rPr>
                <w:sz w:val="1"/>
                <w:szCs w:val="1"/>
                <w:color w:val="auto"/>
              </w:rPr>
            </w:pPr>
          </w:p>
        </w:tc>
        <w:tc>
          <w:tcPr>
            <w:tcW w:w="660" w:type="dxa"/>
            <w:vAlign w:val="bottom"/>
            <w:shd w:val="clear" w:color="auto" w:fill="E1E2E0"/>
          </w:tcPr>
          <w:p>
            <w:pPr>
              <w:spacing w:after="0" w:line="20" w:lineRule="exact"/>
              <w:rPr>
                <w:sz w:val="1"/>
                <w:szCs w:val="1"/>
                <w:color w:val="auto"/>
              </w:rPr>
            </w:pPr>
          </w:p>
        </w:tc>
        <w:tc>
          <w:tcPr>
            <w:tcW w:w="660" w:type="dxa"/>
            <w:vAlign w:val="bottom"/>
            <w:shd w:val="clear" w:color="auto" w:fill="E1E2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80" w:hanging="272"/>
        <w:spacing w:after="0"/>
        <w:tabs>
          <w:tab w:leader="none" w:pos="280" w:val="left"/>
        </w:tabs>
        <w:numPr>
          <w:ilvl w:val="0"/>
          <w:numId w:val="121"/>
        </w:numPr>
        <w:rPr>
          <w:rFonts w:ascii="Arial" w:cs="Arial" w:eastAsia="Arial" w:hAnsi="Arial"/>
          <w:sz w:val="14"/>
          <w:szCs w:val="14"/>
          <w:color w:val="3B3C43"/>
        </w:rPr>
      </w:pPr>
      <w:r>
        <w:rPr>
          <w:rFonts w:ascii="Arial" w:cs="Arial" w:eastAsia="Arial" w:hAnsi="Arial"/>
          <w:sz w:val="14"/>
          <w:szCs w:val="14"/>
          <w:color w:val="3B3C43"/>
        </w:rPr>
        <w:t>All members of the Audit Committee are “audit committee financial experts” as defined by the applicable rules of the SEC.</w:t>
      </w:r>
    </w:p>
    <w:p>
      <w:pPr>
        <w:spacing w:after="0" w:line="95" w:lineRule="exact"/>
        <w:rPr>
          <w:rFonts w:ascii="Arial" w:cs="Arial" w:eastAsia="Arial" w:hAnsi="Arial"/>
          <w:sz w:val="14"/>
          <w:szCs w:val="14"/>
          <w:color w:val="3B3C43"/>
        </w:rPr>
      </w:pPr>
    </w:p>
    <w:p>
      <w:pPr>
        <w:ind w:left="280" w:right="280" w:hanging="272"/>
        <w:spacing w:after="0" w:line="258" w:lineRule="auto"/>
        <w:tabs>
          <w:tab w:leader="none" w:pos="280" w:val="left"/>
        </w:tabs>
        <w:numPr>
          <w:ilvl w:val="0"/>
          <w:numId w:val="121"/>
        </w:numPr>
        <w:rPr>
          <w:rFonts w:ascii="Arial" w:cs="Arial" w:eastAsia="Arial" w:hAnsi="Arial"/>
          <w:sz w:val="14"/>
          <w:szCs w:val="14"/>
          <w:color w:val="3B3C43"/>
        </w:rPr>
      </w:pPr>
      <w:r>
        <w:rPr>
          <w:rFonts w:ascii="Arial" w:cs="Arial" w:eastAsia="Arial" w:hAnsi="Arial"/>
          <w:sz w:val="14"/>
          <w:szCs w:val="14"/>
          <w:color w:val="3B3C43"/>
        </w:rPr>
        <w:t>Mr. Ringler, the Company’s current Compensation Committee Chair, will not stand for re-election at the Annual Meeting. Mr. O’Leary will be appointed as the Company’s Compensation Committee Chair, contingent upon his re-election, effective May 20, 2021.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120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3B3C43"/>
        </w:rPr>
        <w:t>Our Board has implemented a mandatory retirement age of 72, as set forth in the Company’s Governance Guidelines, and pursuant to such policy, Mr.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B3C43"/>
        </w:rPr>
        <w:t>Ringler has not been nominated for re-election at the Annual Meeting.</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3B3C43"/>
        </w:rPr>
        <w:t>Each of the director nominees has consented to serving as a nominee, being named in this Proxy Statement, and serving on the Board, if elected. Each director nominee elected at the Annual Meeting will serve for a one-year term expiring at the 2022 Annual Meeting or until the earliest to occur of (i) his or her successor is elected and qualified, or (ii) his or her earlier death, retirement, resignation, or removal in accordance with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429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How does the Board recommend that I vote?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Board recommends that you vote “FOR” the election of each director nominee.</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121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315" w:right="59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color w:val="4B1F68"/>
        </w:rPr>
        <w:t>Director Nominees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Our Board comprises a diverse group of leaders in their respective fields. Each director is individually qualified and has made, and continues to make, unique and substantial contributions to our Board. The Board and its ESG Committee believe the skills, experience, perspective, and diversity of the director nominees provide the Company with business acumen and a range of perspectives to engage each other and management to address effectively the Company’s evolving strategy, risk-mitigation and other needs, and represent the best interests of the Company’s shareholders.</w:t>
      </w:r>
    </w:p>
    <w:p>
      <w:pPr>
        <w:spacing w:after="0" w:line="175"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3B3C43"/>
        </w:rPr>
        <w:t>The biographies below describe the skills, qualities, and experience of the nominees that led the Board and the ESG Committee to determine that it is appropriate to nominate these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105410</wp:posOffset>
            </wp:positionV>
            <wp:extent cx="5932170" cy="11747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32170" cy="1174750"/>
                    </a:xfrm>
                    <a:prstGeom prst="rect">
                      <a:avLst/>
                    </a:prstGeom>
                    <a:noFill/>
                  </pic:spPr>
                </pic:pic>
              </a:graphicData>
            </a:graphic>
          </wp:anchor>
        </w:drawing>
      </w:r>
    </w:p>
    <w:p>
      <w:pPr>
        <w:spacing w:after="0" w:line="254"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Douglas J. Pferdehirt</w:t>
      </w:r>
    </w:p>
    <w:p>
      <w:pPr>
        <w:spacing w:after="0" w:line="81"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Chairman and CEO</w:t>
      </w:r>
    </w:p>
    <w:p>
      <w:pPr>
        <w:spacing w:after="0" w:line="77"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Age: </w:t>
      </w:r>
      <w:r>
        <w:rPr>
          <w:rFonts w:ascii="Arial" w:cs="Arial" w:eastAsia="Arial" w:hAnsi="Arial"/>
          <w:sz w:val="16"/>
          <w:szCs w:val="16"/>
          <w:color w:val="3B3C43"/>
        </w:rPr>
        <w:t>57</w:t>
      </w:r>
    </w:p>
    <w:p>
      <w:pPr>
        <w:spacing w:after="0" w:line="10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Director Since: </w:t>
      </w:r>
      <w:r>
        <w:rPr>
          <w:rFonts w:ascii="Arial" w:cs="Arial" w:eastAsia="Arial" w:hAnsi="Arial"/>
          <w:sz w:val="16"/>
          <w:szCs w:val="16"/>
          <w:color w:val="3B3C43"/>
        </w:rPr>
        <w:t>2017</w:t>
      </w:r>
    </w:p>
    <w:p>
      <w:pPr>
        <w:spacing w:after="0" w:line="10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Legacy Director Since: </w:t>
      </w:r>
      <w:r>
        <w:rPr>
          <w:rFonts w:ascii="Arial" w:cs="Arial" w:eastAsia="Arial" w:hAnsi="Arial"/>
          <w:sz w:val="16"/>
          <w:szCs w:val="16"/>
          <w:color w:val="3B3C43"/>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3068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30689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Career Highlights</w:t>
      </w:r>
    </w:p>
    <w:p>
      <w:pPr>
        <w:spacing w:after="0" w:line="120" w:lineRule="exact"/>
        <w:rPr>
          <w:sz w:val="20"/>
          <w:szCs w:val="20"/>
          <w:color w:val="auto"/>
        </w:rPr>
      </w:pPr>
    </w:p>
    <w:p>
      <w:pPr>
        <w:ind w:left="320" w:hanging="168"/>
        <w:spacing w:after="0"/>
        <w:tabs>
          <w:tab w:leader="none" w:pos="320" w:val="left"/>
        </w:tabs>
        <w:numPr>
          <w:ilvl w:val="0"/>
          <w:numId w:val="122"/>
        </w:numPr>
        <w:rPr>
          <w:rFonts w:ascii="Arial" w:cs="Arial" w:eastAsia="Arial" w:hAnsi="Arial"/>
          <w:sz w:val="13"/>
          <w:szCs w:val="13"/>
          <w:color w:val="4B1F68"/>
        </w:rPr>
      </w:pPr>
      <w:r>
        <w:rPr>
          <w:rFonts w:ascii="Arial" w:cs="Arial" w:eastAsia="Arial" w:hAnsi="Arial"/>
          <w:sz w:val="16"/>
          <w:szCs w:val="16"/>
          <w:color w:val="3B3C43"/>
        </w:rPr>
        <w:t>Mr. Pferdehirt has served as our CEO since the merger of FMC Technologies, Inc. and Technip S.A. and as our Chairman since May 1, 2019.</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22"/>
        </w:numPr>
        <w:rPr>
          <w:rFonts w:ascii="Arial" w:cs="Arial" w:eastAsia="Arial" w:hAnsi="Arial"/>
          <w:sz w:val="13"/>
          <w:szCs w:val="13"/>
          <w:color w:val="4B1F68"/>
        </w:rPr>
      </w:pPr>
      <w:r>
        <w:rPr>
          <w:rFonts w:ascii="Arial" w:cs="Arial" w:eastAsia="Arial" w:hAnsi="Arial"/>
          <w:sz w:val="16"/>
          <w:szCs w:val="16"/>
          <w:color w:val="3B3C43"/>
        </w:rPr>
        <w:t>He was previously President and Chief Executive Officer of FMC Technologies.</w:t>
      </w:r>
    </w:p>
    <w:p>
      <w:pPr>
        <w:spacing w:after="0" w:line="99" w:lineRule="exact"/>
        <w:rPr>
          <w:rFonts w:ascii="Arial" w:cs="Arial" w:eastAsia="Arial" w:hAnsi="Arial"/>
          <w:sz w:val="13"/>
          <w:szCs w:val="13"/>
          <w:color w:val="4B1F68"/>
        </w:rPr>
      </w:pPr>
    </w:p>
    <w:p>
      <w:pPr>
        <w:ind w:left="320" w:right="260" w:hanging="168"/>
        <w:spacing w:after="0" w:line="253" w:lineRule="auto"/>
        <w:tabs>
          <w:tab w:leader="none" w:pos="327" w:val="left"/>
        </w:tabs>
        <w:numPr>
          <w:ilvl w:val="0"/>
          <w:numId w:val="122"/>
        </w:numPr>
        <w:rPr>
          <w:rFonts w:ascii="Arial" w:cs="Arial" w:eastAsia="Arial" w:hAnsi="Arial"/>
          <w:sz w:val="13"/>
          <w:szCs w:val="13"/>
          <w:color w:val="4B1F68"/>
        </w:rPr>
      </w:pPr>
      <w:r>
        <w:rPr>
          <w:rFonts w:ascii="Arial" w:cs="Arial" w:eastAsia="Arial" w:hAnsi="Arial"/>
          <w:sz w:val="16"/>
          <w:szCs w:val="16"/>
          <w:color w:val="3B3C43"/>
        </w:rPr>
        <w:t>Prior to joining FMC Technologies in 2012, he spent 26 years at Schlumberger Limited in a succession of executive leadership positions, including Executive Vice President of Corporate Development and Communications, President of Schlumberger’s Reservoir Production Group, Vice President of Investor Relations and Communications, President of North and South America, and Vice President of Oilfield Services U.S. Gulf of Mexico.</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Key Skills &amp; Qualifications</w:t>
      </w:r>
    </w:p>
    <w:p>
      <w:pPr>
        <w:spacing w:after="0" w:line="106" w:lineRule="exact"/>
        <w:rPr>
          <w:sz w:val="20"/>
          <w:szCs w:val="20"/>
          <w:color w:val="auto"/>
        </w:rPr>
      </w:pPr>
    </w:p>
    <w:p>
      <w:pPr>
        <w:ind w:left="320" w:hanging="168"/>
        <w:spacing w:after="0"/>
        <w:tabs>
          <w:tab w:leader="none" w:pos="320" w:val="left"/>
        </w:tabs>
        <w:numPr>
          <w:ilvl w:val="0"/>
          <w:numId w:val="123"/>
        </w:numPr>
        <w:rPr>
          <w:rFonts w:ascii="Arial" w:cs="Arial" w:eastAsia="Arial" w:hAnsi="Arial"/>
          <w:sz w:val="13"/>
          <w:szCs w:val="13"/>
          <w:color w:val="4B1F68"/>
        </w:rPr>
      </w:pPr>
      <w:r>
        <w:rPr>
          <w:rFonts w:ascii="Arial" w:cs="Arial" w:eastAsia="Arial" w:hAnsi="Arial"/>
          <w:sz w:val="16"/>
          <w:szCs w:val="16"/>
          <w:color w:val="3B3C43"/>
        </w:rPr>
        <w:t>Strong executive leadership skills, including experience as Chief Executive Officer of FMC Technologies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23"/>
        </w:numPr>
        <w:rPr>
          <w:rFonts w:ascii="Arial" w:cs="Arial" w:eastAsia="Arial" w:hAnsi="Arial"/>
          <w:sz w:val="13"/>
          <w:szCs w:val="13"/>
          <w:color w:val="4B1F68"/>
        </w:rPr>
      </w:pPr>
      <w:r>
        <w:rPr>
          <w:rFonts w:ascii="Arial" w:cs="Arial" w:eastAsia="Arial" w:hAnsi="Arial"/>
          <w:sz w:val="16"/>
          <w:szCs w:val="16"/>
          <w:color w:val="3B3C43"/>
        </w:rPr>
        <w:t>Deep knowledge of the Company’s strategy, markets, technology, and operations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23"/>
        </w:numPr>
        <w:rPr>
          <w:rFonts w:ascii="Arial" w:cs="Arial" w:eastAsia="Arial" w:hAnsi="Arial"/>
          <w:sz w:val="13"/>
          <w:szCs w:val="13"/>
          <w:color w:val="3B3C43"/>
        </w:rPr>
      </w:pPr>
      <w:r>
        <w:rPr>
          <w:rFonts w:ascii="Arial" w:cs="Arial" w:eastAsia="Arial" w:hAnsi="Arial"/>
          <w:sz w:val="16"/>
          <w:szCs w:val="16"/>
          <w:color w:val="3B3C43"/>
        </w:rPr>
        <w:t>Extensive oil industry experience</w:t>
      </w:r>
    </w:p>
    <w:p>
      <w:pPr>
        <w:spacing w:after="0" w:line="86" w:lineRule="exact"/>
        <w:rPr>
          <w:rFonts w:ascii="Arial" w:cs="Arial" w:eastAsia="Arial" w:hAnsi="Arial"/>
          <w:sz w:val="13"/>
          <w:szCs w:val="13"/>
          <w:color w:val="3B3C43"/>
        </w:rPr>
      </w:pPr>
    </w:p>
    <w:p>
      <w:pPr>
        <w:ind w:left="320" w:hanging="168"/>
        <w:spacing w:after="0"/>
        <w:tabs>
          <w:tab w:leader="none" w:pos="320" w:val="left"/>
        </w:tabs>
        <w:numPr>
          <w:ilvl w:val="0"/>
          <w:numId w:val="123"/>
        </w:numPr>
        <w:rPr>
          <w:rFonts w:ascii="Arial" w:cs="Arial" w:eastAsia="Arial" w:hAnsi="Arial"/>
          <w:sz w:val="13"/>
          <w:szCs w:val="13"/>
          <w:color w:val="4B1F68"/>
        </w:rPr>
      </w:pPr>
      <w:r>
        <w:rPr>
          <w:rFonts w:ascii="Arial" w:cs="Arial" w:eastAsia="Arial" w:hAnsi="Arial"/>
          <w:sz w:val="16"/>
          <w:szCs w:val="16"/>
          <w:color w:val="3B3C43"/>
        </w:rPr>
        <w:t>Financial, risk management, strategy, and M&amp;A expertise</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23"/>
        </w:numPr>
        <w:rPr>
          <w:rFonts w:ascii="Arial" w:cs="Arial" w:eastAsia="Arial" w:hAnsi="Arial"/>
          <w:sz w:val="13"/>
          <w:szCs w:val="13"/>
          <w:color w:val="4B1F68"/>
        </w:rPr>
      </w:pPr>
      <w:r>
        <w:rPr>
          <w:rFonts w:ascii="Arial" w:cs="Arial" w:eastAsia="Arial" w:hAnsi="Arial"/>
          <w:sz w:val="16"/>
          <w:szCs w:val="16"/>
          <w:color w:val="3B3C43"/>
        </w:rPr>
        <w:t>Commitment to our quality, health, safety, environment, and social responsibility</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23"/>
        </w:numPr>
        <w:rPr>
          <w:rFonts w:ascii="Arial" w:cs="Arial" w:eastAsia="Arial" w:hAnsi="Arial"/>
          <w:sz w:val="13"/>
          <w:szCs w:val="13"/>
          <w:color w:val="4B1F68"/>
        </w:rPr>
      </w:pPr>
      <w:r>
        <w:rPr>
          <w:rFonts w:ascii="Arial" w:cs="Arial" w:eastAsia="Arial" w:hAnsi="Arial"/>
          <w:sz w:val="16"/>
          <w:szCs w:val="16"/>
          <w:color w:val="3B3C43"/>
        </w:rPr>
        <w:t>Thorough understanding of the different cultural, political, and regulatory requirements in countries where the Company has a significant presence</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23"/>
        </w:numPr>
        <w:rPr>
          <w:rFonts w:ascii="Arial" w:cs="Arial" w:eastAsia="Arial" w:hAnsi="Arial"/>
          <w:sz w:val="13"/>
          <w:szCs w:val="13"/>
          <w:color w:val="3B3C43"/>
        </w:rPr>
      </w:pPr>
      <w:r>
        <w:rPr>
          <w:rFonts w:ascii="Arial" w:cs="Arial" w:eastAsia="Arial" w:hAnsi="Arial"/>
          <w:sz w:val="16"/>
          <w:szCs w:val="16"/>
          <w:color w:val="3B3C43"/>
        </w:rPr>
        <w:t>Valuable link between the Company’s management and the Board that aids the Board in performing its oversight role</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Other Public Company Directorships</w:t>
      </w:r>
    </w:p>
    <w:p>
      <w:pPr>
        <w:spacing w:after="0" w:line="120" w:lineRule="exact"/>
        <w:rPr>
          <w:sz w:val="20"/>
          <w:szCs w:val="20"/>
          <w:color w:val="auto"/>
        </w:rPr>
      </w:pPr>
    </w:p>
    <w:p>
      <w:pPr>
        <w:ind w:left="320" w:hanging="168"/>
        <w:spacing w:after="0"/>
        <w:tabs>
          <w:tab w:leader="none" w:pos="320" w:val="left"/>
        </w:tabs>
        <w:numPr>
          <w:ilvl w:val="0"/>
          <w:numId w:val="124"/>
        </w:numPr>
        <w:rPr>
          <w:rFonts w:ascii="Arial" w:cs="Arial" w:eastAsia="Arial" w:hAnsi="Arial"/>
          <w:sz w:val="13"/>
          <w:szCs w:val="13"/>
          <w:color w:val="4B1F68"/>
        </w:rPr>
      </w:pPr>
      <w:r>
        <w:rPr>
          <w:rFonts w:ascii="Arial" w:cs="Arial" w:eastAsia="Arial" w:hAnsi="Arial"/>
          <w:sz w:val="16"/>
          <w:szCs w:val="16"/>
          <w:color w:val="3B3C43"/>
        </w:rPr>
        <w:t>Current: None</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24"/>
        </w:numPr>
        <w:rPr>
          <w:rFonts w:ascii="Arial" w:cs="Arial" w:eastAsia="Arial" w:hAnsi="Arial"/>
          <w:sz w:val="13"/>
          <w:szCs w:val="13"/>
          <w:color w:val="4B1F68"/>
        </w:rPr>
      </w:pPr>
      <w:r>
        <w:rPr>
          <w:rFonts w:ascii="Arial" w:cs="Arial" w:eastAsia="Arial" w:hAnsi="Arial"/>
          <w:sz w:val="16"/>
          <w:szCs w:val="16"/>
          <w:color w:val="3B3C43"/>
        </w:rPr>
        <w:t>Formerly Held in Past Five Years: FMC Technologies, Inc.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122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1658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Eleazar de Carvalho Filho</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Independent</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3B3C43"/>
        </w:rPr>
        <w:t>Ag</w:t>
      </w:r>
      <w:r>
        <w:rPr>
          <w:rFonts w:ascii="Arial" w:cs="Arial" w:eastAsia="Arial" w:hAnsi="Arial"/>
          <w:sz w:val="16"/>
          <w:szCs w:val="16"/>
          <w:b w:val="1"/>
          <w:bCs w:val="1"/>
          <w:color w:val="3B3C43"/>
        </w:rPr>
        <w:t>e:</w:t>
      </w:r>
      <w:r>
        <w:rPr>
          <w:rFonts w:ascii="Arial" w:cs="Arial" w:eastAsia="Arial" w:hAnsi="Arial"/>
          <w:sz w:val="20"/>
          <w:szCs w:val="20"/>
          <w:b w:val="1"/>
          <w:bCs w:val="1"/>
          <w:color w:val="3B3C43"/>
        </w:rPr>
        <w:t xml:space="preserve"> </w:t>
      </w:r>
      <w:r>
        <w:rPr>
          <w:rFonts w:ascii="Arial" w:cs="Arial" w:eastAsia="Arial" w:hAnsi="Arial"/>
          <w:sz w:val="16"/>
          <w:szCs w:val="16"/>
          <w:color w:val="3B3C43"/>
        </w:rPr>
        <w:t>63</w:t>
      </w:r>
    </w:p>
    <w:p>
      <w:pPr>
        <w:spacing w:after="0" w:line="5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Director Since: </w:t>
      </w:r>
      <w:r>
        <w:rPr>
          <w:rFonts w:ascii="Arial" w:cs="Arial" w:eastAsia="Arial" w:hAnsi="Arial"/>
          <w:sz w:val="16"/>
          <w:szCs w:val="16"/>
          <w:color w:val="3B3C43"/>
        </w:rPr>
        <w:t>2017</w:t>
      </w:r>
    </w:p>
    <w:p>
      <w:pPr>
        <w:spacing w:after="0" w:line="59"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Legacy Director Since: </w:t>
      </w:r>
      <w:r>
        <w:rPr>
          <w:rFonts w:ascii="Arial" w:cs="Arial" w:eastAsia="Arial" w:hAnsi="Arial"/>
          <w:sz w:val="16"/>
          <w:szCs w:val="16"/>
          <w:color w:val="3B3C43"/>
        </w:rPr>
        <w:t>2010</w:t>
      </w:r>
    </w:p>
    <w:p>
      <w:pPr>
        <w:spacing w:after="0" w:line="5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Commit</w:t>
      </w:r>
      <w:r>
        <w:rPr>
          <w:rFonts w:ascii="Arial" w:cs="Arial" w:eastAsia="Arial" w:hAnsi="Arial"/>
          <w:sz w:val="19"/>
          <w:szCs w:val="19"/>
          <w:b w:val="1"/>
          <w:bCs w:val="1"/>
          <w:color w:val="3B3C43"/>
        </w:rPr>
        <w:t>tees:</w:t>
      </w:r>
      <w:r>
        <w:rPr>
          <w:rFonts w:ascii="Arial" w:cs="Arial" w:eastAsia="Arial" w:hAnsi="Arial"/>
          <w:sz w:val="16"/>
          <w:szCs w:val="16"/>
          <w:b w:val="1"/>
          <w:bCs w:val="1"/>
          <w:color w:val="3B3C43"/>
        </w:rPr>
        <w:t xml:space="preserve"> </w:t>
      </w:r>
      <w:r>
        <w:rPr>
          <w:rFonts w:ascii="Arial" w:cs="Arial" w:eastAsia="Arial" w:hAnsi="Arial"/>
          <w:sz w:val="19"/>
          <w:szCs w:val="19"/>
          <w:color w:val="3B3C43"/>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31889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3188970"/>
                    </a:xfrm>
                    <a:prstGeom prst="rect">
                      <a:avLst/>
                    </a:prstGeom>
                    <a:noFill/>
                  </pic:spPr>
                </pic:pic>
              </a:graphicData>
            </a:graphic>
          </wp:anchor>
        </w:drawing>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Career Highlights</w:t>
      </w:r>
    </w:p>
    <w:p>
      <w:pPr>
        <w:spacing w:after="0" w:line="120" w:lineRule="exact"/>
        <w:rPr>
          <w:sz w:val="20"/>
          <w:szCs w:val="20"/>
          <w:color w:val="auto"/>
        </w:rPr>
      </w:pPr>
    </w:p>
    <w:p>
      <w:pPr>
        <w:ind w:left="320" w:hanging="168"/>
        <w:spacing w:after="0" w:line="260" w:lineRule="auto"/>
        <w:tabs>
          <w:tab w:leader="none" w:pos="318" w:val="left"/>
        </w:tabs>
        <w:numPr>
          <w:ilvl w:val="0"/>
          <w:numId w:val="125"/>
        </w:numPr>
        <w:rPr>
          <w:rFonts w:ascii="Arial" w:cs="Arial" w:eastAsia="Arial" w:hAnsi="Arial"/>
          <w:sz w:val="13"/>
          <w:szCs w:val="13"/>
          <w:color w:val="4B1F68"/>
        </w:rPr>
      </w:pPr>
      <w:r>
        <w:rPr>
          <w:rFonts w:ascii="Arial" w:cs="Arial" w:eastAsia="Arial" w:hAnsi="Arial"/>
          <w:sz w:val="16"/>
          <w:szCs w:val="16"/>
          <w:color w:val="3B3C43"/>
        </w:rPr>
        <w:t>Mr. Carvalho Filho has been a Founding Partner of Virtus BR Partners Assessoria Corporativa Ltda. since May 2009 and is also a Founding Partner of Sinfonia Consultoria Financeira e Participações Ltda. since August 2012, both of which are financial advisory and consulting firms.</w:t>
      </w:r>
    </w:p>
    <w:p>
      <w:pPr>
        <w:spacing w:after="0" w:line="60" w:lineRule="exact"/>
        <w:rPr>
          <w:rFonts w:ascii="Arial" w:cs="Arial" w:eastAsia="Arial" w:hAnsi="Arial"/>
          <w:sz w:val="13"/>
          <w:szCs w:val="13"/>
          <w:color w:val="4B1F68"/>
        </w:rPr>
      </w:pPr>
    </w:p>
    <w:p>
      <w:pPr>
        <w:ind w:left="320" w:right="360" w:hanging="168"/>
        <w:spacing w:after="0" w:line="260" w:lineRule="auto"/>
        <w:tabs>
          <w:tab w:leader="none" w:pos="317" w:val="left"/>
        </w:tabs>
        <w:numPr>
          <w:ilvl w:val="0"/>
          <w:numId w:val="125"/>
        </w:numPr>
        <w:rPr>
          <w:rFonts w:ascii="Arial" w:cs="Arial" w:eastAsia="Arial" w:hAnsi="Arial"/>
          <w:sz w:val="13"/>
          <w:szCs w:val="13"/>
          <w:color w:val="4B1F68"/>
        </w:rPr>
      </w:pPr>
      <w:r>
        <w:rPr>
          <w:rFonts w:ascii="Arial" w:cs="Arial" w:eastAsia="Arial" w:hAnsi="Arial"/>
          <w:sz w:val="16"/>
          <w:szCs w:val="16"/>
          <w:color w:val="3B3C43"/>
        </w:rPr>
        <w:t>He served as Chief Executive Officer and Managing Partner of Unibanco Investment Bank, a Brazilian investment bank, from April 2008 to March 2009.</w:t>
      </w:r>
    </w:p>
    <w:p>
      <w:pPr>
        <w:spacing w:after="0" w:line="73" w:lineRule="exact"/>
        <w:rPr>
          <w:rFonts w:ascii="Arial" w:cs="Arial" w:eastAsia="Arial" w:hAnsi="Arial"/>
          <w:sz w:val="13"/>
          <w:szCs w:val="13"/>
          <w:color w:val="4B1F68"/>
        </w:rPr>
      </w:pPr>
    </w:p>
    <w:p>
      <w:pPr>
        <w:ind w:left="320" w:hanging="168"/>
        <w:spacing w:after="0"/>
        <w:tabs>
          <w:tab w:leader="none" w:pos="320" w:val="left"/>
        </w:tabs>
        <w:numPr>
          <w:ilvl w:val="0"/>
          <w:numId w:val="125"/>
        </w:numPr>
        <w:rPr>
          <w:rFonts w:ascii="Arial" w:cs="Arial" w:eastAsia="Arial" w:hAnsi="Arial"/>
          <w:sz w:val="13"/>
          <w:szCs w:val="13"/>
          <w:color w:val="4B1F68"/>
        </w:rPr>
      </w:pPr>
      <w:r>
        <w:rPr>
          <w:rFonts w:ascii="Arial" w:cs="Arial" w:eastAsia="Arial" w:hAnsi="Arial"/>
          <w:sz w:val="16"/>
          <w:szCs w:val="16"/>
          <w:color w:val="3B3C43"/>
        </w:rPr>
        <w:t>Mr. Carvalho Filho was a consultant for BHP Billiton Metais SA, a global natural resources company, from 2006 to 2011.</w:t>
      </w:r>
    </w:p>
    <w:p>
      <w:pPr>
        <w:spacing w:after="0" w:line="99" w:lineRule="exact"/>
        <w:rPr>
          <w:rFonts w:ascii="Arial" w:cs="Arial" w:eastAsia="Arial" w:hAnsi="Arial"/>
          <w:sz w:val="13"/>
          <w:szCs w:val="13"/>
          <w:color w:val="4B1F68"/>
        </w:rPr>
      </w:pPr>
    </w:p>
    <w:p>
      <w:pPr>
        <w:ind w:left="320" w:right="320" w:hanging="168"/>
        <w:spacing w:after="0" w:line="260" w:lineRule="auto"/>
        <w:tabs>
          <w:tab w:leader="none" w:pos="318" w:val="left"/>
        </w:tabs>
        <w:numPr>
          <w:ilvl w:val="0"/>
          <w:numId w:val="125"/>
        </w:numPr>
        <w:rPr>
          <w:rFonts w:ascii="Arial" w:cs="Arial" w:eastAsia="Arial" w:hAnsi="Arial"/>
          <w:sz w:val="13"/>
          <w:szCs w:val="13"/>
          <w:color w:val="4B1F68"/>
        </w:rPr>
      </w:pPr>
      <w:r>
        <w:rPr>
          <w:rFonts w:ascii="Arial" w:cs="Arial" w:eastAsia="Arial" w:hAnsi="Arial"/>
          <w:sz w:val="16"/>
          <w:szCs w:val="16"/>
          <w:color w:val="3B3C43"/>
        </w:rPr>
        <w:t>He was a Founding Partner of Iposeira Capital Ltda., established in 2003, as well as STK Capital Gestora de Recursos Ltda., established in 2010, which are independent advisory and asset management companies.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Key Skills &amp; Qualifications</w:t>
      </w:r>
    </w:p>
    <w:p>
      <w:pPr>
        <w:spacing w:after="0" w:line="120" w:lineRule="exact"/>
        <w:rPr>
          <w:sz w:val="20"/>
          <w:szCs w:val="20"/>
          <w:color w:val="auto"/>
        </w:rPr>
      </w:pPr>
    </w:p>
    <w:p>
      <w:pPr>
        <w:ind w:left="320" w:hanging="168"/>
        <w:spacing w:after="0"/>
        <w:tabs>
          <w:tab w:leader="none" w:pos="320" w:val="left"/>
        </w:tabs>
        <w:numPr>
          <w:ilvl w:val="0"/>
          <w:numId w:val="126"/>
        </w:numPr>
        <w:rPr>
          <w:rFonts w:ascii="Arial" w:cs="Arial" w:eastAsia="Arial" w:hAnsi="Arial"/>
          <w:sz w:val="13"/>
          <w:szCs w:val="13"/>
          <w:color w:val="4B1F68"/>
        </w:rPr>
      </w:pPr>
      <w:r>
        <w:rPr>
          <w:rFonts w:ascii="Arial" w:cs="Arial" w:eastAsia="Arial" w:hAnsi="Arial"/>
          <w:sz w:val="16"/>
          <w:szCs w:val="16"/>
          <w:color w:val="3B3C43"/>
        </w:rPr>
        <w:t>Executive management experience, including as chief executive officer and founding/managing partner of international investment organizations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26"/>
        </w:numPr>
        <w:rPr>
          <w:rFonts w:ascii="Arial" w:cs="Arial" w:eastAsia="Arial" w:hAnsi="Arial"/>
          <w:sz w:val="13"/>
          <w:szCs w:val="13"/>
          <w:color w:val="4B1F68"/>
        </w:rPr>
      </w:pPr>
      <w:r>
        <w:rPr>
          <w:rFonts w:ascii="Arial" w:cs="Arial" w:eastAsia="Arial" w:hAnsi="Arial"/>
          <w:sz w:val="16"/>
          <w:szCs w:val="16"/>
          <w:color w:val="3B3C43"/>
        </w:rPr>
        <w:t>Financial, strategy, risk management, and M&amp;A expertise</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26"/>
        </w:numPr>
        <w:rPr>
          <w:rFonts w:ascii="Arial" w:cs="Arial" w:eastAsia="Arial" w:hAnsi="Arial"/>
          <w:sz w:val="13"/>
          <w:szCs w:val="13"/>
          <w:color w:val="4B1F68"/>
        </w:rPr>
      </w:pPr>
      <w:r>
        <w:rPr>
          <w:rFonts w:ascii="Arial" w:cs="Arial" w:eastAsia="Arial" w:hAnsi="Arial"/>
          <w:sz w:val="16"/>
          <w:szCs w:val="16"/>
          <w:color w:val="3B3C43"/>
        </w:rPr>
        <w:t>Commitment to our quality, health, safety, environment, and social responsibility</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26"/>
        </w:numPr>
        <w:rPr>
          <w:rFonts w:ascii="Arial" w:cs="Arial" w:eastAsia="Arial" w:hAnsi="Arial"/>
          <w:sz w:val="13"/>
          <w:szCs w:val="13"/>
          <w:color w:val="4B1F68"/>
        </w:rPr>
      </w:pPr>
      <w:r>
        <w:rPr>
          <w:rFonts w:ascii="Arial" w:cs="Arial" w:eastAsia="Arial" w:hAnsi="Arial"/>
          <w:sz w:val="16"/>
          <w:szCs w:val="16"/>
          <w:color w:val="3B3C43"/>
        </w:rPr>
        <w:t>International investment experience</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26"/>
        </w:numPr>
        <w:rPr>
          <w:rFonts w:ascii="Arial" w:cs="Arial" w:eastAsia="Arial" w:hAnsi="Arial"/>
          <w:sz w:val="13"/>
          <w:szCs w:val="13"/>
          <w:color w:val="4B1F68"/>
        </w:rPr>
      </w:pPr>
      <w:r>
        <w:rPr>
          <w:rFonts w:ascii="Arial" w:cs="Arial" w:eastAsia="Arial" w:hAnsi="Arial"/>
          <w:sz w:val="16"/>
          <w:szCs w:val="16"/>
          <w:color w:val="3B3C43"/>
        </w:rPr>
        <w:t>Experience as a board member of public and private companies with international operations</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26"/>
        </w:numPr>
        <w:rPr>
          <w:rFonts w:ascii="Arial" w:cs="Arial" w:eastAsia="Arial" w:hAnsi="Arial"/>
          <w:sz w:val="13"/>
          <w:szCs w:val="13"/>
          <w:color w:val="4B1F68"/>
        </w:rPr>
      </w:pPr>
      <w:r>
        <w:rPr>
          <w:rFonts w:ascii="Arial" w:cs="Arial" w:eastAsia="Arial" w:hAnsi="Arial"/>
          <w:sz w:val="16"/>
          <w:szCs w:val="16"/>
          <w:color w:val="3B3C43"/>
        </w:rPr>
        <w:t>Contribution to the Board in a way that enhances perspective through diversity in geographic origin and experience</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Other Public Company Directorships</w:t>
      </w:r>
    </w:p>
    <w:p>
      <w:pPr>
        <w:spacing w:after="0" w:line="120" w:lineRule="exact"/>
        <w:rPr>
          <w:sz w:val="20"/>
          <w:szCs w:val="20"/>
          <w:color w:val="auto"/>
        </w:rPr>
      </w:pPr>
    </w:p>
    <w:p>
      <w:pPr>
        <w:ind w:left="320" w:hanging="168"/>
        <w:spacing w:after="0"/>
        <w:tabs>
          <w:tab w:leader="none" w:pos="320" w:val="left"/>
        </w:tabs>
        <w:numPr>
          <w:ilvl w:val="0"/>
          <w:numId w:val="127"/>
        </w:numPr>
        <w:rPr>
          <w:rFonts w:ascii="Arial" w:cs="Arial" w:eastAsia="Arial" w:hAnsi="Arial"/>
          <w:sz w:val="13"/>
          <w:szCs w:val="13"/>
          <w:color w:val="4B1F68"/>
        </w:rPr>
      </w:pPr>
      <w:r>
        <w:rPr>
          <w:rFonts w:ascii="Arial" w:cs="Arial" w:eastAsia="Arial" w:hAnsi="Arial"/>
          <w:sz w:val="16"/>
          <w:szCs w:val="16"/>
          <w:color w:val="3B3C43"/>
        </w:rPr>
        <w:t>Current: Brookfield Renewable Corporation, Oi S.A., Companhia Brasileira de Distribuicão (Grupo Pão de Açúcar), and its affiliate, Cnova N.V.</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27"/>
        </w:numPr>
        <w:rPr>
          <w:rFonts w:ascii="Arial" w:cs="Arial" w:eastAsia="Arial" w:hAnsi="Arial"/>
          <w:sz w:val="13"/>
          <w:szCs w:val="13"/>
          <w:color w:val="4B1F68"/>
        </w:rPr>
      </w:pPr>
      <w:r>
        <w:rPr>
          <w:rFonts w:ascii="Arial" w:cs="Arial" w:eastAsia="Arial" w:hAnsi="Arial"/>
          <w:sz w:val="16"/>
          <w:szCs w:val="16"/>
          <w:color w:val="3B3C43"/>
        </w:rPr>
        <w:t>Formerly Held in Past Five Years: FMC Technologies, Inc. and Brookfield Renewable Partners L.P.</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123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315" w:right="51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1747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1747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Claire S. Farley</w:t>
      </w:r>
    </w:p>
    <w:p>
      <w:pPr>
        <w:spacing w:after="0" w:line="54"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Lead Independent Director</w:t>
      </w:r>
    </w:p>
    <w:p>
      <w:pPr>
        <w:spacing w:after="0" w:line="77"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Age: </w:t>
      </w:r>
      <w:r>
        <w:rPr>
          <w:rFonts w:ascii="Arial" w:cs="Arial" w:eastAsia="Arial" w:hAnsi="Arial"/>
          <w:sz w:val="16"/>
          <w:szCs w:val="16"/>
          <w:color w:val="3B3C43"/>
        </w:rPr>
        <w:t>62</w:t>
      </w:r>
    </w:p>
    <w:p>
      <w:pPr>
        <w:spacing w:after="0" w:line="73"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Director Since: </w:t>
      </w:r>
      <w:r>
        <w:rPr>
          <w:rFonts w:ascii="Arial" w:cs="Arial" w:eastAsia="Arial" w:hAnsi="Arial"/>
          <w:sz w:val="16"/>
          <w:szCs w:val="16"/>
          <w:color w:val="3B3C43"/>
        </w:rPr>
        <w:t>2017</w:t>
      </w:r>
    </w:p>
    <w:p>
      <w:pPr>
        <w:spacing w:after="0" w:line="73"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Legacy Director Since: </w:t>
      </w:r>
      <w:r>
        <w:rPr>
          <w:rFonts w:ascii="Arial" w:cs="Arial" w:eastAsia="Arial" w:hAnsi="Arial"/>
          <w:sz w:val="16"/>
          <w:szCs w:val="16"/>
          <w:color w:val="3B3C43"/>
        </w:rPr>
        <w:t>2009</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Committees: </w:t>
      </w:r>
      <w:r>
        <w:rPr>
          <w:rFonts w:ascii="Arial" w:cs="Arial" w:eastAsia="Arial" w:hAnsi="Arial"/>
          <w:sz w:val="16"/>
          <w:szCs w:val="16"/>
          <w:color w:val="3B3C43"/>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34290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3429000"/>
                    </a:xfrm>
                    <a:prstGeom prst="rect">
                      <a:avLst/>
                    </a:prstGeom>
                    <a:noFill/>
                  </pic:spPr>
                </pic:pic>
              </a:graphicData>
            </a:graphic>
          </wp:anchor>
        </w:drawing>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Career Highlights</w:t>
      </w:r>
    </w:p>
    <w:p>
      <w:pPr>
        <w:spacing w:after="0" w:line="120" w:lineRule="exact"/>
        <w:rPr>
          <w:sz w:val="20"/>
          <w:szCs w:val="20"/>
          <w:color w:val="auto"/>
        </w:rPr>
      </w:pPr>
    </w:p>
    <w:p>
      <w:pPr>
        <w:ind w:left="320" w:hanging="168"/>
        <w:spacing w:after="0"/>
        <w:tabs>
          <w:tab w:leader="none" w:pos="320" w:val="left"/>
        </w:tabs>
        <w:numPr>
          <w:ilvl w:val="0"/>
          <w:numId w:val="128"/>
        </w:numPr>
        <w:rPr>
          <w:rFonts w:ascii="Arial" w:cs="Arial" w:eastAsia="Arial" w:hAnsi="Arial"/>
          <w:sz w:val="13"/>
          <w:szCs w:val="13"/>
          <w:color w:val="4B1F68"/>
        </w:rPr>
      </w:pPr>
      <w:r>
        <w:rPr>
          <w:rFonts w:ascii="Arial" w:cs="Arial" w:eastAsia="Arial" w:hAnsi="Arial"/>
          <w:sz w:val="16"/>
          <w:szCs w:val="16"/>
          <w:color w:val="3B3C43"/>
        </w:rPr>
        <w:t>Ms. Farley has been a Senior Advisor of KKR, a global investment firm, since 2015.</w:t>
      </w:r>
    </w:p>
    <w:p>
      <w:pPr>
        <w:spacing w:after="0" w:line="86" w:lineRule="exact"/>
        <w:rPr>
          <w:rFonts w:ascii="Arial" w:cs="Arial" w:eastAsia="Arial" w:hAnsi="Arial"/>
          <w:sz w:val="13"/>
          <w:szCs w:val="13"/>
          <w:color w:val="4B1F68"/>
        </w:rPr>
      </w:pPr>
    </w:p>
    <w:p>
      <w:pPr>
        <w:ind w:left="320" w:right="700" w:hanging="168"/>
        <w:spacing w:after="0" w:line="260" w:lineRule="auto"/>
        <w:tabs>
          <w:tab w:leader="none" w:pos="318" w:val="left"/>
        </w:tabs>
        <w:numPr>
          <w:ilvl w:val="0"/>
          <w:numId w:val="128"/>
        </w:numPr>
        <w:rPr>
          <w:rFonts w:ascii="Arial" w:cs="Arial" w:eastAsia="Arial" w:hAnsi="Arial"/>
          <w:sz w:val="13"/>
          <w:szCs w:val="13"/>
          <w:color w:val="4B1F68"/>
        </w:rPr>
      </w:pPr>
      <w:r>
        <w:rPr>
          <w:rFonts w:ascii="Arial" w:cs="Arial" w:eastAsia="Arial" w:hAnsi="Arial"/>
          <w:sz w:val="16"/>
          <w:szCs w:val="16"/>
          <w:color w:val="3B3C43"/>
        </w:rPr>
        <w:t>She began her affiliation with KKR in September 2010 as a co-founder of RPM Energy, LLC, a privately owned oil and gas exploration and development company, which partnered with KKR.</w:t>
      </w:r>
    </w:p>
    <w:p>
      <w:pPr>
        <w:spacing w:after="0" w:line="73" w:lineRule="exact"/>
        <w:rPr>
          <w:rFonts w:ascii="Arial" w:cs="Arial" w:eastAsia="Arial" w:hAnsi="Arial"/>
          <w:sz w:val="13"/>
          <w:szCs w:val="13"/>
          <w:color w:val="4B1F68"/>
        </w:rPr>
      </w:pPr>
    </w:p>
    <w:p>
      <w:pPr>
        <w:ind w:left="320" w:hanging="168"/>
        <w:spacing w:after="0" w:line="260" w:lineRule="auto"/>
        <w:tabs>
          <w:tab w:leader="none" w:pos="318" w:val="left"/>
        </w:tabs>
        <w:numPr>
          <w:ilvl w:val="0"/>
          <w:numId w:val="128"/>
        </w:numPr>
        <w:rPr>
          <w:rFonts w:ascii="Arial" w:cs="Arial" w:eastAsia="Arial" w:hAnsi="Arial"/>
          <w:sz w:val="13"/>
          <w:szCs w:val="13"/>
          <w:color w:val="4B1F68"/>
        </w:rPr>
      </w:pPr>
      <w:r>
        <w:rPr>
          <w:rFonts w:ascii="Arial" w:cs="Arial" w:eastAsia="Arial" w:hAnsi="Arial"/>
          <w:sz w:val="16"/>
          <w:szCs w:val="16"/>
          <w:color w:val="3B3C43"/>
        </w:rPr>
        <w:t>Prior to founding RPM Energy, Ms. Farley was an Advisory Director at Jefferies Randall &amp; Dewey, a global oil and gas industry advisor, and was Co-President of Jefferies Randall &amp; Dewey from February 2005 to July 2008.</w:t>
      </w:r>
    </w:p>
    <w:p>
      <w:pPr>
        <w:spacing w:after="0" w:line="73" w:lineRule="exact"/>
        <w:rPr>
          <w:rFonts w:ascii="Arial" w:cs="Arial" w:eastAsia="Arial" w:hAnsi="Arial"/>
          <w:sz w:val="13"/>
          <w:szCs w:val="13"/>
          <w:color w:val="4B1F68"/>
        </w:rPr>
      </w:pPr>
    </w:p>
    <w:p>
      <w:pPr>
        <w:ind w:left="320" w:right="20" w:hanging="168"/>
        <w:spacing w:after="0" w:line="260" w:lineRule="auto"/>
        <w:tabs>
          <w:tab w:leader="none" w:pos="318" w:val="left"/>
        </w:tabs>
        <w:numPr>
          <w:ilvl w:val="0"/>
          <w:numId w:val="128"/>
        </w:numPr>
        <w:rPr>
          <w:rFonts w:ascii="Arial" w:cs="Arial" w:eastAsia="Arial" w:hAnsi="Arial"/>
          <w:sz w:val="13"/>
          <w:szCs w:val="13"/>
          <w:color w:val="4B1F68"/>
        </w:rPr>
      </w:pPr>
      <w:r>
        <w:rPr>
          <w:rFonts w:ascii="Arial" w:cs="Arial" w:eastAsia="Arial" w:hAnsi="Arial"/>
          <w:sz w:val="16"/>
          <w:szCs w:val="16"/>
          <w:color w:val="3B3C43"/>
        </w:rPr>
        <w:t>Prior to that, Ms. Farley served as Chief Executive Officer of Randall &amp; Dewey, an oil and gas asset transaction advisory firm, from September 2002 until February 2005, when Randall and Dewey became the Oil and Gas Investment Banking Group of Jefferies &amp; Company.</w:t>
      </w:r>
    </w:p>
    <w:p>
      <w:pPr>
        <w:spacing w:after="0" w:line="60" w:lineRule="exact"/>
        <w:rPr>
          <w:rFonts w:ascii="Arial" w:cs="Arial" w:eastAsia="Arial" w:hAnsi="Arial"/>
          <w:sz w:val="13"/>
          <w:szCs w:val="13"/>
          <w:color w:val="4B1F68"/>
        </w:rPr>
      </w:pPr>
    </w:p>
    <w:p>
      <w:pPr>
        <w:ind w:left="320" w:right="540" w:hanging="168"/>
        <w:spacing w:after="0" w:line="260" w:lineRule="auto"/>
        <w:tabs>
          <w:tab w:leader="none" w:pos="318" w:val="left"/>
        </w:tabs>
        <w:numPr>
          <w:ilvl w:val="0"/>
          <w:numId w:val="128"/>
        </w:numPr>
        <w:rPr>
          <w:rFonts w:ascii="Arial" w:cs="Arial" w:eastAsia="Arial" w:hAnsi="Arial"/>
          <w:sz w:val="13"/>
          <w:szCs w:val="13"/>
          <w:color w:val="4B1F68"/>
        </w:rPr>
      </w:pPr>
      <w:r>
        <w:rPr>
          <w:rFonts w:ascii="Arial" w:cs="Arial" w:eastAsia="Arial" w:hAnsi="Arial"/>
          <w:sz w:val="16"/>
          <w:szCs w:val="16"/>
          <w:color w:val="3B3C43"/>
        </w:rPr>
        <w:t>Ms. Farley has extensive oil and gas exploration expertise, holding several positions within Texaco from 1981 to 1999, including President of Worldwide Exploration and New Ventures, President of North American Production, and Chief Executive Officer of Hydro-Texaco, Inc.</w:t>
      </w:r>
    </w:p>
    <w:p>
      <w:pPr>
        <w:spacing w:after="0" w:line="73" w:lineRule="exact"/>
        <w:rPr>
          <w:rFonts w:ascii="Arial" w:cs="Arial" w:eastAsia="Arial" w:hAnsi="Arial"/>
          <w:sz w:val="13"/>
          <w:szCs w:val="13"/>
          <w:color w:val="4B1F68"/>
        </w:rPr>
      </w:pPr>
    </w:p>
    <w:p>
      <w:pPr>
        <w:ind w:left="320" w:right="80" w:hanging="168"/>
        <w:spacing w:after="0" w:line="260" w:lineRule="auto"/>
        <w:tabs>
          <w:tab w:leader="none" w:pos="318" w:val="left"/>
        </w:tabs>
        <w:numPr>
          <w:ilvl w:val="0"/>
          <w:numId w:val="128"/>
        </w:numPr>
        <w:rPr>
          <w:rFonts w:ascii="Arial" w:cs="Arial" w:eastAsia="Arial" w:hAnsi="Arial"/>
          <w:sz w:val="13"/>
          <w:szCs w:val="13"/>
          <w:color w:val="4B1F68"/>
        </w:rPr>
      </w:pPr>
      <w:r>
        <w:rPr>
          <w:rFonts w:ascii="Arial" w:cs="Arial" w:eastAsia="Arial" w:hAnsi="Arial"/>
          <w:sz w:val="16"/>
          <w:szCs w:val="16"/>
          <w:color w:val="3B3C43"/>
        </w:rPr>
        <w:t>Ms. Farley also served as Chief Executive Officer of Intelligent Diagnostics Corporation from October 1999 to January 2001 and Trade-Ranger Inc. from January 2001 to May 2002.</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Key Skills &amp; Qualifications</w:t>
      </w:r>
    </w:p>
    <w:p>
      <w:pPr>
        <w:spacing w:after="0" w:line="106" w:lineRule="exact"/>
        <w:rPr>
          <w:sz w:val="20"/>
          <w:szCs w:val="20"/>
          <w:color w:val="auto"/>
        </w:rPr>
      </w:pPr>
    </w:p>
    <w:p>
      <w:pPr>
        <w:ind w:left="320" w:hanging="168"/>
        <w:spacing w:after="0"/>
        <w:tabs>
          <w:tab w:leader="none" w:pos="320" w:val="left"/>
        </w:tabs>
        <w:numPr>
          <w:ilvl w:val="0"/>
          <w:numId w:val="129"/>
        </w:numPr>
        <w:rPr>
          <w:rFonts w:ascii="Arial" w:cs="Arial" w:eastAsia="Arial" w:hAnsi="Arial"/>
          <w:sz w:val="13"/>
          <w:szCs w:val="13"/>
          <w:color w:val="4B1F68"/>
        </w:rPr>
      </w:pPr>
      <w:r>
        <w:rPr>
          <w:rFonts w:ascii="Arial" w:cs="Arial" w:eastAsia="Arial" w:hAnsi="Arial"/>
          <w:sz w:val="16"/>
          <w:szCs w:val="16"/>
          <w:color w:val="3B3C43"/>
        </w:rPr>
        <w:t>Executive management experience, including as chief executive officer of several major organizations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29"/>
        </w:numPr>
        <w:rPr>
          <w:rFonts w:ascii="Arial" w:cs="Arial" w:eastAsia="Arial" w:hAnsi="Arial"/>
          <w:sz w:val="13"/>
          <w:szCs w:val="13"/>
          <w:color w:val="4B1F68"/>
        </w:rPr>
      </w:pPr>
      <w:r>
        <w:rPr>
          <w:rFonts w:ascii="Arial" w:cs="Arial" w:eastAsia="Arial" w:hAnsi="Arial"/>
          <w:sz w:val="16"/>
          <w:szCs w:val="16"/>
          <w:color w:val="3B3C43"/>
        </w:rPr>
        <w:t>Oil and gas exploration and production experience</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29"/>
        </w:numPr>
        <w:rPr>
          <w:rFonts w:ascii="Arial" w:cs="Arial" w:eastAsia="Arial" w:hAnsi="Arial"/>
          <w:sz w:val="13"/>
          <w:szCs w:val="13"/>
          <w:color w:val="4B1F68"/>
        </w:rPr>
      </w:pPr>
      <w:r>
        <w:rPr>
          <w:rFonts w:ascii="Arial" w:cs="Arial" w:eastAsia="Arial" w:hAnsi="Arial"/>
          <w:sz w:val="16"/>
          <w:szCs w:val="16"/>
          <w:color w:val="3B3C43"/>
        </w:rPr>
        <w:t>Financial, strategy, and M&amp;A expertise</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29"/>
        </w:numPr>
        <w:rPr>
          <w:rFonts w:ascii="Arial" w:cs="Arial" w:eastAsia="Arial" w:hAnsi="Arial"/>
          <w:sz w:val="13"/>
          <w:szCs w:val="13"/>
          <w:color w:val="4B1F68"/>
        </w:rPr>
      </w:pPr>
      <w:r>
        <w:rPr>
          <w:rFonts w:ascii="Arial" w:cs="Arial" w:eastAsia="Arial" w:hAnsi="Arial"/>
          <w:sz w:val="16"/>
          <w:szCs w:val="16"/>
          <w:color w:val="3B3C43"/>
        </w:rPr>
        <w:t>Experience as a board member of public and private companies with international operations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Other Public Company Directorships</w:t>
      </w:r>
    </w:p>
    <w:p>
      <w:pPr>
        <w:spacing w:after="0" w:line="120" w:lineRule="exact"/>
        <w:rPr>
          <w:sz w:val="20"/>
          <w:szCs w:val="20"/>
          <w:color w:val="auto"/>
        </w:rPr>
      </w:pPr>
    </w:p>
    <w:p>
      <w:pPr>
        <w:ind w:left="320" w:hanging="168"/>
        <w:spacing w:after="0"/>
        <w:tabs>
          <w:tab w:leader="none" w:pos="320" w:val="left"/>
        </w:tabs>
        <w:numPr>
          <w:ilvl w:val="0"/>
          <w:numId w:val="130"/>
        </w:numPr>
        <w:rPr>
          <w:rFonts w:ascii="Arial" w:cs="Arial" w:eastAsia="Arial" w:hAnsi="Arial"/>
          <w:sz w:val="13"/>
          <w:szCs w:val="13"/>
          <w:color w:val="4B1F68"/>
        </w:rPr>
      </w:pPr>
      <w:r>
        <w:rPr>
          <w:rFonts w:ascii="Arial" w:cs="Arial" w:eastAsia="Arial" w:hAnsi="Arial"/>
          <w:sz w:val="16"/>
          <w:szCs w:val="16"/>
          <w:color w:val="3B3C43"/>
        </w:rPr>
        <w:t>Current: LyondellBasell Industries N.V.</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30"/>
        </w:numPr>
        <w:rPr>
          <w:rFonts w:ascii="Arial" w:cs="Arial" w:eastAsia="Arial" w:hAnsi="Arial"/>
          <w:sz w:val="13"/>
          <w:szCs w:val="13"/>
          <w:color w:val="4B1F68"/>
        </w:rPr>
      </w:pPr>
      <w:r>
        <w:rPr>
          <w:rFonts w:ascii="Arial" w:cs="Arial" w:eastAsia="Arial" w:hAnsi="Arial"/>
          <w:sz w:val="16"/>
          <w:szCs w:val="16"/>
          <w:color w:val="3B3C43"/>
        </w:rPr>
        <w:t>Formerly Held in Past Five Years: FMC Technologies, Inc., Encana Corporation, Anadarko Petroleum Corporation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124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315" w:right="67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274955</wp:posOffset>
            </wp:positionV>
            <wp:extent cx="5932170" cy="11569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32170" cy="11569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Peter Mellbye</w:t>
      </w:r>
    </w:p>
    <w:p>
      <w:pPr>
        <w:spacing w:after="0" w:line="54"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Independent</w:t>
      </w:r>
    </w:p>
    <w:p>
      <w:pPr>
        <w:spacing w:after="0" w:line="77"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Age: </w:t>
      </w:r>
      <w:r>
        <w:rPr>
          <w:rFonts w:ascii="Arial" w:cs="Arial" w:eastAsia="Arial" w:hAnsi="Arial"/>
          <w:sz w:val="16"/>
          <w:szCs w:val="16"/>
          <w:color w:val="3B3C43"/>
        </w:rPr>
        <w:t>71</w:t>
      </w:r>
    </w:p>
    <w:p>
      <w:pPr>
        <w:spacing w:after="0" w:line="73"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Director Since</w:t>
      </w:r>
      <w:r>
        <w:rPr>
          <w:rFonts w:ascii="Arial" w:cs="Arial" w:eastAsia="Arial" w:hAnsi="Arial"/>
          <w:sz w:val="16"/>
          <w:szCs w:val="16"/>
          <w:color w:val="3B3C43"/>
        </w:rPr>
        <w:t>: 2017</w:t>
      </w:r>
    </w:p>
    <w:p>
      <w:pPr>
        <w:spacing w:after="0" w:line="73"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Legacy Director Since: </w:t>
      </w:r>
      <w:r>
        <w:rPr>
          <w:rFonts w:ascii="Arial" w:cs="Arial" w:eastAsia="Arial" w:hAnsi="Arial"/>
          <w:sz w:val="16"/>
          <w:szCs w:val="16"/>
          <w:color w:val="3B3C43"/>
        </w:rPr>
        <w:t>2013</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6"/>
          <w:szCs w:val="16"/>
          <w:color w:val="3B3C43"/>
        </w:rPr>
        <w:t>: ESG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32492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3249295"/>
                    </a:xfrm>
                    <a:prstGeom prst="rect">
                      <a:avLst/>
                    </a:prstGeom>
                    <a:noFill/>
                  </pic:spPr>
                </pic:pic>
              </a:graphicData>
            </a:graphic>
          </wp:anchor>
        </w:drawing>
      </w:r>
    </w:p>
    <w:p>
      <w:pPr>
        <w:spacing w:after="0" w:line="3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Career Highlights</w:t>
      </w:r>
    </w:p>
    <w:p>
      <w:pPr>
        <w:spacing w:after="0" w:line="106" w:lineRule="exact"/>
        <w:rPr>
          <w:sz w:val="20"/>
          <w:szCs w:val="20"/>
          <w:color w:val="auto"/>
        </w:rPr>
      </w:pPr>
    </w:p>
    <w:p>
      <w:pPr>
        <w:ind w:left="320" w:right="40" w:hanging="168"/>
        <w:spacing w:after="0" w:line="260" w:lineRule="auto"/>
        <w:tabs>
          <w:tab w:leader="none" w:pos="318" w:val="left"/>
        </w:tabs>
        <w:numPr>
          <w:ilvl w:val="0"/>
          <w:numId w:val="131"/>
        </w:numPr>
        <w:rPr>
          <w:rFonts w:ascii="Arial" w:cs="Arial" w:eastAsia="Arial" w:hAnsi="Arial"/>
          <w:sz w:val="13"/>
          <w:szCs w:val="13"/>
          <w:color w:val="4B1F68"/>
        </w:rPr>
      </w:pPr>
      <w:r>
        <w:rPr>
          <w:rFonts w:ascii="Arial" w:cs="Arial" w:eastAsia="Arial" w:hAnsi="Arial"/>
          <w:sz w:val="16"/>
          <w:szCs w:val="16"/>
          <w:color w:val="3B3C43"/>
        </w:rPr>
        <w:t>Mr. Mellbye served as Executive Vice President, Development &amp; Production, International, of Statoil ASA, an international oil and gas company, from January 2011 until his retirement in September 2012.</w:t>
      </w:r>
    </w:p>
    <w:p>
      <w:pPr>
        <w:spacing w:after="0" w:line="73" w:lineRule="exact"/>
        <w:rPr>
          <w:rFonts w:ascii="Arial" w:cs="Arial" w:eastAsia="Arial" w:hAnsi="Arial"/>
          <w:sz w:val="13"/>
          <w:szCs w:val="13"/>
          <w:color w:val="4B1F68"/>
        </w:rPr>
      </w:pPr>
    </w:p>
    <w:p>
      <w:pPr>
        <w:ind w:left="320" w:hanging="168"/>
        <w:spacing w:after="0"/>
        <w:tabs>
          <w:tab w:leader="none" w:pos="320" w:val="left"/>
        </w:tabs>
        <w:numPr>
          <w:ilvl w:val="0"/>
          <w:numId w:val="131"/>
        </w:numPr>
        <w:rPr>
          <w:rFonts w:ascii="Arial" w:cs="Arial" w:eastAsia="Arial" w:hAnsi="Arial"/>
          <w:sz w:val="13"/>
          <w:szCs w:val="13"/>
          <w:color w:val="4B1F68"/>
        </w:rPr>
      </w:pPr>
      <w:r>
        <w:rPr>
          <w:rFonts w:ascii="Arial" w:cs="Arial" w:eastAsia="Arial" w:hAnsi="Arial"/>
          <w:sz w:val="16"/>
          <w:szCs w:val="16"/>
          <w:color w:val="3B3C43"/>
        </w:rPr>
        <w:t>He was Executive Vice President, Production &amp; International Exploration of Statoil from August 2004 to January 2011.</w:t>
      </w:r>
    </w:p>
    <w:p>
      <w:pPr>
        <w:spacing w:after="0" w:line="99" w:lineRule="exact"/>
        <w:rPr>
          <w:rFonts w:ascii="Arial" w:cs="Arial" w:eastAsia="Arial" w:hAnsi="Arial"/>
          <w:sz w:val="13"/>
          <w:szCs w:val="13"/>
          <w:color w:val="4B1F68"/>
        </w:rPr>
      </w:pPr>
    </w:p>
    <w:p>
      <w:pPr>
        <w:ind w:left="320" w:right="220" w:hanging="168"/>
        <w:spacing w:after="0" w:line="260" w:lineRule="auto"/>
        <w:tabs>
          <w:tab w:leader="none" w:pos="318" w:val="left"/>
        </w:tabs>
        <w:numPr>
          <w:ilvl w:val="0"/>
          <w:numId w:val="131"/>
        </w:numPr>
        <w:rPr>
          <w:rFonts w:ascii="Arial" w:cs="Arial" w:eastAsia="Arial" w:hAnsi="Arial"/>
          <w:sz w:val="13"/>
          <w:szCs w:val="13"/>
          <w:color w:val="4B1F68"/>
        </w:rPr>
      </w:pPr>
      <w:r>
        <w:rPr>
          <w:rFonts w:ascii="Arial" w:cs="Arial" w:eastAsia="Arial" w:hAnsi="Arial"/>
          <w:sz w:val="16"/>
          <w:szCs w:val="16"/>
          <w:color w:val="3B3C43"/>
        </w:rPr>
        <w:t>From 1992 to 2004, Mr. Mellbye was Statoil’s Executive Vice President, Natural Gas, and, from 1990 to 1992, he served as Senior Vice President, Natural Gas.</w:t>
      </w:r>
    </w:p>
    <w:p>
      <w:pPr>
        <w:spacing w:after="0" w:line="60" w:lineRule="exact"/>
        <w:rPr>
          <w:rFonts w:ascii="Arial" w:cs="Arial" w:eastAsia="Arial" w:hAnsi="Arial"/>
          <w:sz w:val="13"/>
          <w:szCs w:val="13"/>
          <w:color w:val="4B1F68"/>
        </w:rPr>
      </w:pPr>
    </w:p>
    <w:p>
      <w:pPr>
        <w:ind w:left="320" w:hanging="168"/>
        <w:spacing w:after="0"/>
        <w:tabs>
          <w:tab w:leader="none" w:pos="320" w:val="left"/>
        </w:tabs>
        <w:numPr>
          <w:ilvl w:val="0"/>
          <w:numId w:val="131"/>
        </w:numPr>
        <w:rPr>
          <w:rFonts w:ascii="Arial" w:cs="Arial" w:eastAsia="Arial" w:hAnsi="Arial"/>
          <w:sz w:val="13"/>
          <w:szCs w:val="13"/>
          <w:color w:val="4B1F68"/>
        </w:rPr>
      </w:pPr>
      <w:r>
        <w:rPr>
          <w:rFonts w:ascii="Arial" w:cs="Arial" w:eastAsia="Arial" w:hAnsi="Arial"/>
          <w:sz w:val="16"/>
          <w:szCs w:val="16"/>
          <w:color w:val="3B3C43"/>
        </w:rPr>
        <w:t>He joined Statoil in 1982 as Vice President, Gas Marketing, a position he held until 1990.</w:t>
      </w:r>
    </w:p>
    <w:p>
      <w:pPr>
        <w:spacing w:after="0" w:line="99" w:lineRule="exact"/>
        <w:rPr>
          <w:rFonts w:ascii="Arial" w:cs="Arial" w:eastAsia="Arial" w:hAnsi="Arial"/>
          <w:sz w:val="13"/>
          <w:szCs w:val="13"/>
          <w:color w:val="4B1F68"/>
        </w:rPr>
      </w:pPr>
    </w:p>
    <w:p>
      <w:pPr>
        <w:ind w:left="320" w:hanging="168"/>
        <w:spacing w:after="0" w:line="260" w:lineRule="auto"/>
        <w:tabs>
          <w:tab w:leader="none" w:pos="318" w:val="left"/>
        </w:tabs>
        <w:numPr>
          <w:ilvl w:val="0"/>
          <w:numId w:val="131"/>
        </w:numPr>
        <w:rPr>
          <w:rFonts w:ascii="Arial" w:cs="Arial" w:eastAsia="Arial" w:hAnsi="Arial"/>
          <w:sz w:val="13"/>
          <w:szCs w:val="13"/>
          <w:color w:val="4B1F68"/>
        </w:rPr>
      </w:pPr>
      <w:r>
        <w:rPr>
          <w:rFonts w:ascii="Arial" w:cs="Arial" w:eastAsia="Arial" w:hAnsi="Arial"/>
          <w:sz w:val="16"/>
          <w:szCs w:val="16"/>
          <w:color w:val="3B3C43"/>
        </w:rPr>
        <w:t>Mr. Mellbye worked in the Norwegian Ministry of Trade and Industry from 1975 to 1979 before joining the Norwegian Trade Council, where he worked from 1979 to 1982.</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Key Skills &amp; Qualifications</w:t>
      </w:r>
    </w:p>
    <w:p>
      <w:pPr>
        <w:spacing w:after="0" w:line="106" w:lineRule="exact"/>
        <w:rPr>
          <w:sz w:val="20"/>
          <w:szCs w:val="20"/>
          <w:color w:val="auto"/>
        </w:rPr>
      </w:pPr>
    </w:p>
    <w:p>
      <w:pPr>
        <w:ind w:left="320" w:hanging="168"/>
        <w:spacing w:after="0"/>
        <w:tabs>
          <w:tab w:leader="none" w:pos="320" w:val="left"/>
        </w:tabs>
        <w:numPr>
          <w:ilvl w:val="0"/>
          <w:numId w:val="132"/>
        </w:numPr>
        <w:rPr>
          <w:rFonts w:ascii="Arial" w:cs="Arial" w:eastAsia="Arial" w:hAnsi="Arial"/>
          <w:sz w:val="13"/>
          <w:szCs w:val="13"/>
          <w:color w:val="4B1F68"/>
        </w:rPr>
      </w:pPr>
      <w:r>
        <w:rPr>
          <w:rFonts w:ascii="Arial" w:cs="Arial" w:eastAsia="Arial" w:hAnsi="Arial"/>
          <w:sz w:val="16"/>
          <w:szCs w:val="16"/>
          <w:color w:val="3B3C43"/>
        </w:rPr>
        <w:t>Experience as a senior officer of a major oil and gas company with international operations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32"/>
        </w:numPr>
        <w:rPr>
          <w:rFonts w:ascii="Arial" w:cs="Arial" w:eastAsia="Arial" w:hAnsi="Arial"/>
          <w:sz w:val="13"/>
          <w:szCs w:val="13"/>
          <w:color w:val="4B1F68"/>
        </w:rPr>
      </w:pPr>
      <w:r>
        <w:rPr>
          <w:rFonts w:ascii="Arial" w:cs="Arial" w:eastAsia="Arial" w:hAnsi="Arial"/>
          <w:sz w:val="16"/>
          <w:szCs w:val="16"/>
          <w:color w:val="3B3C43"/>
        </w:rPr>
        <w:t>Experience as a board member of public and private companies with international operations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32"/>
        </w:numPr>
        <w:rPr>
          <w:rFonts w:ascii="Arial" w:cs="Arial" w:eastAsia="Arial" w:hAnsi="Arial"/>
          <w:sz w:val="13"/>
          <w:szCs w:val="13"/>
          <w:color w:val="4B1F68"/>
        </w:rPr>
      </w:pPr>
      <w:r>
        <w:rPr>
          <w:rFonts w:ascii="Arial" w:cs="Arial" w:eastAsia="Arial" w:hAnsi="Arial"/>
          <w:sz w:val="16"/>
          <w:szCs w:val="16"/>
          <w:color w:val="3B3C43"/>
        </w:rPr>
        <w:t>Sustainability, strategy, governance, risk management, and M&amp;A expertise</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32"/>
        </w:numPr>
        <w:rPr>
          <w:rFonts w:ascii="Arial" w:cs="Arial" w:eastAsia="Arial" w:hAnsi="Arial"/>
          <w:sz w:val="13"/>
          <w:szCs w:val="13"/>
          <w:color w:val="4B1F68"/>
        </w:rPr>
      </w:pPr>
      <w:r>
        <w:rPr>
          <w:rFonts w:ascii="Arial" w:cs="Arial" w:eastAsia="Arial" w:hAnsi="Arial"/>
          <w:sz w:val="16"/>
          <w:szCs w:val="16"/>
          <w:color w:val="3B3C43"/>
        </w:rPr>
        <w:t>Extensive experience working in Norway, a country in which the Company has significant operations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32"/>
        </w:numPr>
        <w:rPr>
          <w:rFonts w:ascii="Arial" w:cs="Arial" w:eastAsia="Arial" w:hAnsi="Arial"/>
          <w:sz w:val="13"/>
          <w:szCs w:val="13"/>
          <w:color w:val="4B1F68"/>
        </w:rPr>
      </w:pPr>
      <w:r>
        <w:rPr>
          <w:rFonts w:ascii="Arial" w:cs="Arial" w:eastAsia="Arial" w:hAnsi="Arial"/>
          <w:sz w:val="16"/>
          <w:szCs w:val="16"/>
          <w:color w:val="3B3C43"/>
        </w:rPr>
        <w:t>Contribution to the Board in a way that enhances perspective through diversity in geographic origin and experience</w:t>
      </w:r>
    </w:p>
    <w:p>
      <w:pPr>
        <w:spacing w:after="0" w:line="79" w:lineRule="exact"/>
        <w:rPr>
          <w:rFonts w:ascii="Arial" w:cs="Arial" w:eastAsia="Arial" w:hAnsi="Arial"/>
          <w:sz w:val="13"/>
          <w:szCs w:val="13"/>
          <w:color w:val="4B1F68"/>
        </w:rPr>
      </w:pPr>
    </w:p>
    <w:p>
      <w:pPr>
        <w:ind w:left="160"/>
        <w:spacing w:after="0"/>
        <w:rPr>
          <w:rFonts w:ascii="Arial" w:cs="Arial" w:eastAsia="Arial" w:hAnsi="Arial"/>
          <w:sz w:val="13"/>
          <w:szCs w:val="13"/>
          <w:color w:val="4B1F68"/>
        </w:rPr>
      </w:pPr>
      <w:r>
        <w:rPr>
          <w:rFonts w:ascii="Arial" w:cs="Arial" w:eastAsia="Arial" w:hAnsi="Arial"/>
          <w:sz w:val="16"/>
          <w:szCs w:val="16"/>
          <w:b w:val="1"/>
          <w:bCs w:val="1"/>
          <w:color w:val="3B3C43"/>
        </w:rPr>
        <w:t>Other Public Company Directorships</w:t>
      </w:r>
    </w:p>
    <w:p>
      <w:pPr>
        <w:spacing w:after="0" w:line="106" w:lineRule="exact"/>
        <w:rPr>
          <w:rFonts w:ascii="Arial" w:cs="Arial" w:eastAsia="Arial" w:hAnsi="Arial"/>
          <w:sz w:val="13"/>
          <w:szCs w:val="13"/>
          <w:color w:val="4B1F68"/>
        </w:rPr>
      </w:pPr>
    </w:p>
    <w:p>
      <w:pPr>
        <w:ind w:left="320" w:hanging="168"/>
        <w:spacing w:after="0"/>
        <w:tabs>
          <w:tab w:leader="none" w:pos="320" w:val="left"/>
        </w:tabs>
        <w:numPr>
          <w:ilvl w:val="0"/>
          <w:numId w:val="132"/>
        </w:numPr>
        <w:rPr>
          <w:rFonts w:ascii="Arial" w:cs="Arial" w:eastAsia="Arial" w:hAnsi="Arial"/>
          <w:sz w:val="13"/>
          <w:szCs w:val="13"/>
          <w:color w:val="4B1F68"/>
        </w:rPr>
      </w:pPr>
      <w:r>
        <w:rPr>
          <w:rFonts w:ascii="Arial" w:cs="Arial" w:eastAsia="Arial" w:hAnsi="Arial"/>
          <w:sz w:val="16"/>
          <w:szCs w:val="16"/>
          <w:color w:val="3B3C43"/>
        </w:rPr>
        <w:t>Current: Otovo AS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32"/>
        </w:numPr>
        <w:rPr>
          <w:rFonts w:ascii="Arial" w:cs="Arial" w:eastAsia="Arial" w:hAnsi="Arial"/>
          <w:sz w:val="13"/>
          <w:szCs w:val="13"/>
          <w:color w:val="4B1F68"/>
        </w:rPr>
      </w:pPr>
      <w:r>
        <w:rPr>
          <w:rFonts w:ascii="Arial" w:cs="Arial" w:eastAsia="Arial" w:hAnsi="Arial"/>
          <w:sz w:val="16"/>
          <w:szCs w:val="16"/>
          <w:color w:val="3B3C43"/>
        </w:rPr>
        <w:t>Formerly Held in the Past Five Years: FMC Technologies, Inc., North Energy ASA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125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315" w:right="59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1747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17475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John O’Leary</w:t>
      </w:r>
    </w:p>
    <w:p>
      <w:pPr>
        <w:spacing w:after="0" w:line="54"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Independent</w:t>
      </w:r>
    </w:p>
    <w:p>
      <w:pPr>
        <w:spacing w:after="0" w:line="77"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Age: </w:t>
      </w:r>
      <w:r>
        <w:rPr>
          <w:rFonts w:ascii="Arial" w:cs="Arial" w:eastAsia="Arial" w:hAnsi="Arial"/>
          <w:sz w:val="16"/>
          <w:szCs w:val="16"/>
          <w:color w:val="3B3C43"/>
        </w:rPr>
        <w:t>65</w:t>
      </w:r>
    </w:p>
    <w:p>
      <w:pPr>
        <w:spacing w:after="0" w:line="73"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Director Since</w:t>
      </w:r>
      <w:r>
        <w:rPr>
          <w:rFonts w:ascii="Arial" w:cs="Arial" w:eastAsia="Arial" w:hAnsi="Arial"/>
          <w:sz w:val="16"/>
          <w:szCs w:val="16"/>
          <w:color w:val="3B3C43"/>
        </w:rPr>
        <w:t>: 2017</w:t>
      </w:r>
    </w:p>
    <w:p>
      <w:pPr>
        <w:spacing w:after="0" w:line="73"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Legacy Director Since: </w:t>
      </w:r>
      <w:r>
        <w:rPr>
          <w:rFonts w:ascii="Arial" w:cs="Arial" w:eastAsia="Arial" w:hAnsi="Arial"/>
          <w:sz w:val="16"/>
          <w:szCs w:val="16"/>
          <w:color w:val="3B3C43"/>
        </w:rPr>
        <w:t>2007</w:t>
      </w:r>
    </w:p>
    <w:p>
      <w:pPr>
        <w:spacing w:after="0" w:line="86"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6"/>
          <w:szCs w:val="16"/>
          <w:color w:val="3B3C43"/>
        </w:rPr>
        <w: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30086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3008630"/>
                    </a:xfrm>
                    <a:prstGeom prst="rect">
                      <a:avLst/>
                    </a:prstGeom>
                    <a:noFill/>
                  </pic:spPr>
                </pic:pic>
              </a:graphicData>
            </a:graphic>
          </wp:anchor>
        </w:drawing>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Career Highlights</w:t>
      </w:r>
    </w:p>
    <w:p>
      <w:pPr>
        <w:spacing w:after="0" w:line="120" w:lineRule="exact"/>
        <w:rPr>
          <w:sz w:val="20"/>
          <w:szCs w:val="20"/>
          <w:color w:val="auto"/>
        </w:rPr>
      </w:pPr>
    </w:p>
    <w:p>
      <w:pPr>
        <w:ind w:left="320" w:hanging="168"/>
        <w:spacing w:after="0" w:line="260" w:lineRule="auto"/>
        <w:tabs>
          <w:tab w:leader="none" w:pos="318" w:val="left"/>
        </w:tabs>
        <w:numPr>
          <w:ilvl w:val="0"/>
          <w:numId w:val="133"/>
        </w:numPr>
        <w:rPr>
          <w:rFonts w:ascii="Arial" w:cs="Arial" w:eastAsia="Arial" w:hAnsi="Arial"/>
          <w:sz w:val="13"/>
          <w:szCs w:val="13"/>
          <w:color w:val="4B1F68"/>
        </w:rPr>
      </w:pPr>
      <w:r>
        <w:rPr>
          <w:rFonts w:ascii="Arial" w:cs="Arial" w:eastAsia="Arial" w:hAnsi="Arial"/>
          <w:sz w:val="16"/>
          <w:szCs w:val="16"/>
          <w:color w:val="3B3C43"/>
        </w:rPr>
        <w:t>Mr. O’Leary has served as Chief Executive Officer of Strand Energy, a Dubai-based company specializing in business development in the oil and gas industry, since January 2007.</w:t>
      </w:r>
    </w:p>
    <w:p>
      <w:pPr>
        <w:spacing w:after="0" w:line="60" w:lineRule="exact"/>
        <w:rPr>
          <w:rFonts w:ascii="Arial" w:cs="Arial" w:eastAsia="Arial" w:hAnsi="Arial"/>
          <w:sz w:val="13"/>
          <w:szCs w:val="13"/>
          <w:color w:val="4B1F68"/>
        </w:rPr>
      </w:pPr>
    </w:p>
    <w:p>
      <w:pPr>
        <w:ind w:left="320" w:hanging="168"/>
        <w:spacing w:after="0"/>
        <w:tabs>
          <w:tab w:leader="none" w:pos="320" w:val="left"/>
        </w:tabs>
        <w:numPr>
          <w:ilvl w:val="0"/>
          <w:numId w:val="133"/>
        </w:numPr>
        <w:rPr>
          <w:rFonts w:ascii="Arial" w:cs="Arial" w:eastAsia="Arial" w:hAnsi="Arial"/>
          <w:sz w:val="13"/>
          <w:szCs w:val="13"/>
          <w:color w:val="4B1F68"/>
        </w:rPr>
      </w:pPr>
      <w:r>
        <w:rPr>
          <w:rFonts w:ascii="Arial" w:cs="Arial" w:eastAsia="Arial" w:hAnsi="Arial"/>
          <w:sz w:val="16"/>
          <w:szCs w:val="16"/>
          <w:color w:val="3B3C43"/>
        </w:rPr>
        <w:t>From 2004 to 2006, he was a partner in Pareto Offshore ASA, a Norwegian consulting firm in the exploration and production sector.</w:t>
      </w:r>
    </w:p>
    <w:p>
      <w:pPr>
        <w:spacing w:after="0" w:line="99" w:lineRule="exact"/>
        <w:rPr>
          <w:rFonts w:ascii="Arial" w:cs="Arial" w:eastAsia="Arial" w:hAnsi="Arial"/>
          <w:sz w:val="13"/>
          <w:szCs w:val="13"/>
          <w:color w:val="4B1F68"/>
        </w:rPr>
      </w:pPr>
    </w:p>
    <w:p>
      <w:pPr>
        <w:ind w:left="320" w:right="180" w:hanging="168"/>
        <w:spacing w:after="0" w:line="260" w:lineRule="auto"/>
        <w:tabs>
          <w:tab w:leader="none" w:pos="318" w:val="left"/>
        </w:tabs>
        <w:numPr>
          <w:ilvl w:val="0"/>
          <w:numId w:val="133"/>
        </w:numPr>
        <w:rPr>
          <w:rFonts w:ascii="Arial" w:cs="Arial" w:eastAsia="Arial" w:hAnsi="Arial"/>
          <w:sz w:val="13"/>
          <w:szCs w:val="13"/>
          <w:color w:val="4B1F68"/>
        </w:rPr>
      </w:pPr>
      <w:r>
        <w:rPr>
          <w:rFonts w:ascii="Arial" w:cs="Arial" w:eastAsia="Arial" w:hAnsi="Arial"/>
          <w:sz w:val="16"/>
          <w:szCs w:val="16"/>
          <w:color w:val="3B3C43"/>
        </w:rPr>
        <w:t>From 1997 to 2004, Mr. O’Leary served in various roles, most recently as President, for Pride International, Inc.,a company specializing in onshore and offshore drilling, which acquired his former company, Forasol-Foramer N.V.</w:t>
      </w:r>
    </w:p>
    <w:p>
      <w:pPr>
        <w:spacing w:after="0" w:line="73" w:lineRule="exact"/>
        <w:rPr>
          <w:rFonts w:ascii="Arial" w:cs="Arial" w:eastAsia="Arial" w:hAnsi="Arial"/>
          <w:sz w:val="13"/>
          <w:szCs w:val="13"/>
          <w:color w:val="4B1F68"/>
        </w:rPr>
      </w:pPr>
    </w:p>
    <w:p>
      <w:pPr>
        <w:ind w:left="320" w:right="600" w:hanging="168"/>
        <w:spacing w:after="0" w:line="260" w:lineRule="auto"/>
        <w:tabs>
          <w:tab w:leader="none" w:pos="318" w:val="left"/>
        </w:tabs>
        <w:numPr>
          <w:ilvl w:val="0"/>
          <w:numId w:val="133"/>
        </w:numPr>
        <w:rPr>
          <w:rFonts w:ascii="Arial" w:cs="Arial" w:eastAsia="Arial" w:hAnsi="Arial"/>
          <w:sz w:val="13"/>
          <w:szCs w:val="13"/>
          <w:color w:val="4B1F68"/>
        </w:rPr>
      </w:pPr>
      <w:r>
        <w:rPr>
          <w:rFonts w:ascii="Arial" w:cs="Arial" w:eastAsia="Arial" w:hAnsi="Arial"/>
          <w:sz w:val="16"/>
          <w:szCs w:val="16"/>
          <w:color w:val="3B3C43"/>
        </w:rPr>
        <w:t>He previously served as Vice Chairman for Marketing for Forasol-Foramer from 1990 to 1998, and, prior to that, served as Development and Partnerships Manager from 1985 to 1989.</w:t>
      </w:r>
    </w:p>
    <w:p>
      <w:pPr>
        <w:spacing w:after="0" w:line="60" w:lineRule="exact"/>
        <w:rPr>
          <w:rFonts w:ascii="Arial" w:cs="Arial" w:eastAsia="Arial" w:hAnsi="Arial"/>
          <w:sz w:val="13"/>
          <w:szCs w:val="13"/>
          <w:color w:val="4B1F68"/>
        </w:rPr>
      </w:pPr>
    </w:p>
    <w:p>
      <w:pPr>
        <w:ind w:left="320" w:hanging="168"/>
        <w:spacing w:after="0"/>
        <w:tabs>
          <w:tab w:leader="none" w:pos="320" w:val="left"/>
        </w:tabs>
        <w:numPr>
          <w:ilvl w:val="0"/>
          <w:numId w:val="133"/>
        </w:numPr>
        <w:rPr>
          <w:rFonts w:ascii="Arial" w:cs="Arial" w:eastAsia="Arial" w:hAnsi="Arial"/>
          <w:sz w:val="13"/>
          <w:szCs w:val="13"/>
          <w:color w:val="4B1F68"/>
        </w:rPr>
      </w:pPr>
      <w:r>
        <w:rPr>
          <w:rFonts w:ascii="Arial" w:cs="Arial" w:eastAsia="Arial" w:hAnsi="Arial"/>
          <w:sz w:val="16"/>
          <w:szCs w:val="16"/>
          <w:color w:val="3B3C43"/>
        </w:rPr>
        <w:t>He began his career as a trader in the Irish National Petroleum Corporation before joining Total S.A. as a drilling engineer in 1980.</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Key Skills &amp; Qualifications</w:t>
      </w:r>
    </w:p>
    <w:p>
      <w:pPr>
        <w:spacing w:after="0" w:line="120" w:lineRule="exact"/>
        <w:rPr>
          <w:sz w:val="20"/>
          <w:szCs w:val="20"/>
          <w:color w:val="auto"/>
        </w:rPr>
      </w:pPr>
    </w:p>
    <w:p>
      <w:pPr>
        <w:ind w:left="320" w:hanging="168"/>
        <w:spacing w:after="0"/>
        <w:tabs>
          <w:tab w:leader="none" w:pos="320" w:val="left"/>
        </w:tabs>
        <w:numPr>
          <w:ilvl w:val="0"/>
          <w:numId w:val="134"/>
        </w:numPr>
        <w:rPr>
          <w:rFonts w:ascii="Arial" w:cs="Arial" w:eastAsia="Arial" w:hAnsi="Arial"/>
          <w:sz w:val="13"/>
          <w:szCs w:val="13"/>
          <w:color w:val="4B1F68"/>
        </w:rPr>
      </w:pPr>
      <w:r>
        <w:rPr>
          <w:rFonts w:ascii="Arial" w:cs="Arial" w:eastAsia="Arial" w:hAnsi="Arial"/>
          <w:sz w:val="16"/>
          <w:szCs w:val="16"/>
          <w:color w:val="3B3C43"/>
        </w:rPr>
        <w:t>Significant industry and leadership experience gained as an executive in international oil and gas companies</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34"/>
        </w:numPr>
        <w:rPr>
          <w:rFonts w:ascii="Arial" w:cs="Arial" w:eastAsia="Arial" w:hAnsi="Arial"/>
          <w:sz w:val="13"/>
          <w:szCs w:val="13"/>
          <w:color w:val="4B1F68"/>
        </w:rPr>
      </w:pPr>
      <w:r>
        <w:rPr>
          <w:rFonts w:ascii="Arial" w:cs="Arial" w:eastAsia="Arial" w:hAnsi="Arial"/>
          <w:sz w:val="16"/>
          <w:szCs w:val="16"/>
          <w:color w:val="3B3C43"/>
        </w:rPr>
        <w:t>Strategy, risk management, and M&amp;A expertise</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34"/>
        </w:numPr>
        <w:rPr>
          <w:rFonts w:ascii="Arial" w:cs="Arial" w:eastAsia="Arial" w:hAnsi="Arial"/>
          <w:sz w:val="13"/>
          <w:szCs w:val="13"/>
          <w:color w:val="4B1F68"/>
        </w:rPr>
      </w:pPr>
      <w:r>
        <w:rPr>
          <w:rFonts w:ascii="Arial" w:cs="Arial" w:eastAsia="Arial" w:hAnsi="Arial"/>
          <w:sz w:val="16"/>
          <w:szCs w:val="16"/>
          <w:color w:val="3B3C43"/>
        </w:rPr>
        <w:t>Experience as a board member of public and private companies with international operations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34"/>
        </w:numPr>
        <w:rPr>
          <w:rFonts w:ascii="Arial" w:cs="Arial" w:eastAsia="Arial" w:hAnsi="Arial"/>
          <w:sz w:val="13"/>
          <w:szCs w:val="13"/>
          <w:color w:val="4B1F68"/>
        </w:rPr>
      </w:pPr>
      <w:r>
        <w:rPr>
          <w:rFonts w:ascii="Arial" w:cs="Arial" w:eastAsia="Arial" w:hAnsi="Arial"/>
          <w:sz w:val="16"/>
          <w:szCs w:val="16"/>
          <w:color w:val="3B3C43"/>
        </w:rPr>
        <w:t>International experience in countries where the Company has a significant presence</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Other Public Company Directorships</w:t>
      </w:r>
    </w:p>
    <w:p>
      <w:pPr>
        <w:spacing w:after="0" w:line="120" w:lineRule="exact"/>
        <w:rPr>
          <w:sz w:val="20"/>
          <w:szCs w:val="20"/>
          <w:color w:val="auto"/>
        </w:rPr>
      </w:pPr>
    </w:p>
    <w:p>
      <w:pPr>
        <w:ind w:left="320" w:hanging="168"/>
        <w:spacing w:after="0"/>
        <w:tabs>
          <w:tab w:leader="none" w:pos="320" w:val="left"/>
        </w:tabs>
        <w:numPr>
          <w:ilvl w:val="0"/>
          <w:numId w:val="135"/>
        </w:numPr>
        <w:rPr>
          <w:rFonts w:ascii="Arial" w:cs="Arial" w:eastAsia="Arial" w:hAnsi="Arial"/>
          <w:sz w:val="13"/>
          <w:szCs w:val="13"/>
          <w:color w:val="4B1F68"/>
        </w:rPr>
      </w:pPr>
      <w:r>
        <w:rPr>
          <w:rFonts w:ascii="Arial" w:cs="Arial" w:eastAsia="Arial" w:hAnsi="Arial"/>
          <w:sz w:val="16"/>
          <w:szCs w:val="16"/>
          <w:color w:val="3B3C43"/>
        </w:rPr>
        <w:t>Current: None</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35"/>
        </w:numPr>
        <w:rPr>
          <w:rFonts w:ascii="Arial" w:cs="Arial" w:eastAsia="Arial" w:hAnsi="Arial"/>
          <w:sz w:val="13"/>
          <w:szCs w:val="13"/>
          <w:color w:val="4B1F68"/>
        </w:rPr>
      </w:pPr>
      <w:r>
        <w:rPr>
          <w:rFonts w:ascii="Arial" w:cs="Arial" w:eastAsia="Arial" w:hAnsi="Arial"/>
          <w:sz w:val="16"/>
          <w:szCs w:val="16"/>
          <w:color w:val="3B3C43"/>
        </w:rPr>
        <w:t>Formerly Held in the Past Five Years: Technip S.A., Vantage Drilling International</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126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356" w:right="6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274955</wp:posOffset>
            </wp:positionV>
            <wp:extent cx="5932170" cy="1148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32170" cy="11487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Margareth Øvrum</w:t>
      </w:r>
    </w:p>
    <w:p>
      <w:pPr>
        <w:spacing w:after="0" w:line="81"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Independent</w:t>
      </w:r>
    </w:p>
    <w:p>
      <w:pPr>
        <w:spacing w:after="0" w:line="77"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Age: </w:t>
      </w:r>
      <w:r>
        <w:rPr>
          <w:rFonts w:ascii="Arial" w:cs="Arial" w:eastAsia="Arial" w:hAnsi="Arial"/>
          <w:sz w:val="16"/>
          <w:szCs w:val="16"/>
          <w:color w:val="3B3C43"/>
        </w:rPr>
        <w:t>62</w:t>
      </w:r>
    </w:p>
    <w:p>
      <w:pPr>
        <w:spacing w:after="0" w:line="10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Director Since</w:t>
      </w:r>
      <w:r>
        <w:rPr>
          <w:rFonts w:ascii="Arial" w:cs="Arial" w:eastAsia="Arial" w:hAnsi="Arial"/>
          <w:sz w:val="16"/>
          <w:szCs w:val="16"/>
          <w:color w:val="3B3C43"/>
        </w:rPr>
        <w:t>: 2020</w:t>
      </w:r>
    </w:p>
    <w:p>
      <w:pPr>
        <w:spacing w:after="0" w:line="10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Committees: </w:t>
      </w:r>
      <w:r>
        <w:rPr>
          <w:rFonts w:ascii="Arial" w:cs="Arial" w:eastAsia="Arial" w:hAnsi="Arial"/>
          <w:sz w:val="16"/>
          <w:szCs w:val="16"/>
          <w:color w:val="3B3C43"/>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36087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36087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Career Highlights</w:t>
      </w:r>
    </w:p>
    <w:p>
      <w:pPr>
        <w:spacing w:after="0" w:line="120" w:lineRule="exact"/>
        <w:rPr>
          <w:sz w:val="20"/>
          <w:szCs w:val="20"/>
          <w:color w:val="auto"/>
        </w:rPr>
      </w:pPr>
    </w:p>
    <w:p>
      <w:pPr>
        <w:ind w:left="320" w:right="260" w:hanging="168"/>
        <w:spacing w:after="0" w:line="260" w:lineRule="auto"/>
        <w:tabs>
          <w:tab w:leader="none" w:pos="318" w:val="left"/>
        </w:tabs>
        <w:numPr>
          <w:ilvl w:val="0"/>
          <w:numId w:val="136"/>
        </w:numPr>
        <w:rPr>
          <w:rFonts w:ascii="Arial" w:cs="Arial" w:eastAsia="Arial" w:hAnsi="Arial"/>
          <w:sz w:val="13"/>
          <w:szCs w:val="13"/>
          <w:color w:val="4B1F68"/>
        </w:rPr>
      </w:pPr>
      <w:r>
        <w:rPr>
          <w:rFonts w:ascii="Arial" w:cs="Arial" w:eastAsia="Arial" w:hAnsi="Arial"/>
          <w:sz w:val="16"/>
          <w:szCs w:val="16"/>
          <w:color w:val="3B3C43"/>
        </w:rPr>
        <w:t>Ms. Øvrum has more than 39 years of experience at Equinor (formerly Statoil), a Norwegian energy company, where she served as Executive Vice President of Equinor ASA, Development and Production Brazil, until her retirement in January 2021.</w:t>
      </w:r>
    </w:p>
    <w:p>
      <w:pPr>
        <w:spacing w:after="0" w:line="60" w:lineRule="exact"/>
        <w:rPr>
          <w:rFonts w:ascii="Arial" w:cs="Arial" w:eastAsia="Arial" w:hAnsi="Arial"/>
          <w:sz w:val="13"/>
          <w:szCs w:val="13"/>
          <w:color w:val="4B1F68"/>
        </w:rPr>
      </w:pPr>
    </w:p>
    <w:p>
      <w:pPr>
        <w:jc w:val="both"/>
        <w:ind w:left="320" w:hanging="168"/>
        <w:spacing w:after="0" w:line="251" w:lineRule="auto"/>
        <w:tabs>
          <w:tab w:leader="none" w:pos="318" w:val="left"/>
        </w:tabs>
        <w:numPr>
          <w:ilvl w:val="0"/>
          <w:numId w:val="136"/>
        </w:numPr>
        <w:rPr>
          <w:rFonts w:ascii="Arial" w:cs="Arial" w:eastAsia="Arial" w:hAnsi="Arial"/>
          <w:sz w:val="13"/>
          <w:szCs w:val="13"/>
          <w:color w:val="4B1F68"/>
        </w:rPr>
      </w:pPr>
      <w:r>
        <w:rPr>
          <w:rFonts w:ascii="Arial" w:cs="Arial" w:eastAsia="Arial" w:hAnsi="Arial"/>
          <w:sz w:val="16"/>
          <w:szCs w:val="16"/>
          <w:color w:val="3B3C43"/>
        </w:rPr>
        <w:t>Ms. Øvrum has held a succession of leadership positions at Equinor, including President, Equinor Brazil, from 2018 to 2020; Executive Vice President of Technology, Projects, and Drilling from 2011 to 2018, Executive Vice President of Technology and New Energy for Statoil Hydro, from 2007 to 2011, Executive Vice President of Technology and Projects, from 2004 to 2007, and Executive Vice President of Health, Safety, and the Environment, during 2004.</w:t>
      </w:r>
    </w:p>
    <w:p>
      <w:pPr>
        <w:spacing w:after="0" w:line="80" w:lineRule="exact"/>
        <w:rPr>
          <w:rFonts w:ascii="Arial" w:cs="Arial" w:eastAsia="Arial" w:hAnsi="Arial"/>
          <w:sz w:val="13"/>
          <w:szCs w:val="13"/>
          <w:color w:val="4B1F68"/>
        </w:rPr>
      </w:pPr>
    </w:p>
    <w:p>
      <w:pPr>
        <w:jc w:val="both"/>
        <w:ind w:left="320" w:right="40" w:hanging="168"/>
        <w:spacing w:after="0" w:line="251" w:lineRule="auto"/>
        <w:tabs>
          <w:tab w:leader="none" w:pos="318" w:val="left"/>
        </w:tabs>
        <w:numPr>
          <w:ilvl w:val="0"/>
          <w:numId w:val="136"/>
        </w:numPr>
        <w:rPr>
          <w:rFonts w:ascii="Arial" w:cs="Arial" w:eastAsia="Arial" w:hAnsi="Arial"/>
          <w:sz w:val="13"/>
          <w:szCs w:val="13"/>
          <w:color w:val="4B1F68"/>
        </w:rPr>
      </w:pPr>
      <w:r>
        <w:rPr>
          <w:rFonts w:ascii="Arial" w:cs="Arial" w:eastAsia="Arial" w:hAnsi="Arial"/>
          <w:sz w:val="16"/>
          <w:szCs w:val="16"/>
          <w:color w:val="3B3C43"/>
        </w:rPr>
        <w:t>She has also held numerous management and operations positions since 1982, including Senior Vice President, Operations Support, Exploration and Production, Norway from 2000 to 2003, Senior Vice President, Operations, Veslefrikk, from 1996 to 1999, Offshore Installation Manager from 1993 to 1996, Production and Maintenance Superintendent from 1991 to 1993, Department Head, Operations Technology from 1989 to 1991, Section Head, Maintenance and Activity Planning from 1988 to 1989, and Strategic Analysis, Production and Maintenance, from 1982 to 1987.</w:t>
      </w:r>
    </w:p>
    <w:p>
      <w:pPr>
        <w:spacing w:after="0" w:line="80" w:lineRule="exact"/>
        <w:rPr>
          <w:rFonts w:ascii="Arial" w:cs="Arial" w:eastAsia="Arial" w:hAnsi="Arial"/>
          <w:sz w:val="13"/>
          <w:szCs w:val="13"/>
          <w:color w:val="4B1F68"/>
        </w:rPr>
      </w:pPr>
    </w:p>
    <w:p>
      <w:pPr>
        <w:ind w:left="320" w:right="60" w:hanging="168"/>
        <w:spacing w:after="0" w:line="260" w:lineRule="auto"/>
        <w:tabs>
          <w:tab w:leader="none" w:pos="318" w:val="left"/>
        </w:tabs>
        <w:numPr>
          <w:ilvl w:val="0"/>
          <w:numId w:val="136"/>
        </w:numPr>
        <w:rPr>
          <w:rFonts w:ascii="Arial" w:cs="Arial" w:eastAsia="Arial" w:hAnsi="Arial"/>
          <w:sz w:val="13"/>
          <w:szCs w:val="13"/>
          <w:color w:val="4B1F68"/>
        </w:rPr>
      </w:pPr>
      <w:r>
        <w:rPr>
          <w:rFonts w:ascii="Arial" w:cs="Arial" w:eastAsia="Arial" w:hAnsi="Arial"/>
          <w:sz w:val="16"/>
          <w:szCs w:val="16"/>
          <w:color w:val="3B3C43"/>
        </w:rPr>
        <w:t>Ms. Øvrum began her career at Equinor in 1982 in Strategic Analysis, and in 1993, became the first female and the youngest platform manager of the company’s Gulfaks field in the North Sea.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Key Skills &amp; Qualifications</w:t>
      </w:r>
    </w:p>
    <w:p>
      <w:pPr>
        <w:spacing w:after="0" w:line="120" w:lineRule="exact"/>
        <w:rPr>
          <w:sz w:val="20"/>
          <w:szCs w:val="20"/>
          <w:color w:val="auto"/>
        </w:rPr>
      </w:pPr>
    </w:p>
    <w:p>
      <w:pPr>
        <w:ind w:left="320" w:hanging="168"/>
        <w:spacing w:after="0"/>
        <w:tabs>
          <w:tab w:leader="none" w:pos="320" w:val="left"/>
        </w:tabs>
        <w:numPr>
          <w:ilvl w:val="0"/>
          <w:numId w:val="137"/>
        </w:numPr>
        <w:rPr>
          <w:rFonts w:ascii="Arial" w:cs="Arial" w:eastAsia="Arial" w:hAnsi="Arial"/>
          <w:sz w:val="13"/>
          <w:szCs w:val="13"/>
          <w:color w:val="4B1F68"/>
        </w:rPr>
      </w:pPr>
      <w:r>
        <w:rPr>
          <w:rFonts w:ascii="Arial" w:cs="Arial" w:eastAsia="Arial" w:hAnsi="Arial"/>
          <w:sz w:val="16"/>
          <w:szCs w:val="16"/>
          <w:color w:val="3B3C43"/>
        </w:rPr>
        <w:t>Significant management and operational experience as an executive of a major oil and gas company with international operations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37"/>
        </w:numPr>
        <w:rPr>
          <w:rFonts w:ascii="Arial" w:cs="Arial" w:eastAsia="Arial" w:hAnsi="Arial"/>
          <w:sz w:val="13"/>
          <w:szCs w:val="13"/>
          <w:color w:val="4B1F68"/>
        </w:rPr>
      </w:pPr>
      <w:r>
        <w:rPr>
          <w:rFonts w:ascii="Arial" w:cs="Arial" w:eastAsia="Arial" w:hAnsi="Arial"/>
          <w:sz w:val="16"/>
          <w:szCs w:val="16"/>
          <w:color w:val="3B3C43"/>
        </w:rPr>
        <w:t>Strategy and operational expertise</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37"/>
        </w:numPr>
        <w:rPr>
          <w:rFonts w:ascii="Arial" w:cs="Arial" w:eastAsia="Arial" w:hAnsi="Arial"/>
          <w:sz w:val="13"/>
          <w:szCs w:val="13"/>
          <w:color w:val="4B1F68"/>
        </w:rPr>
      </w:pPr>
      <w:r>
        <w:rPr>
          <w:rFonts w:ascii="Arial" w:cs="Arial" w:eastAsia="Arial" w:hAnsi="Arial"/>
          <w:sz w:val="16"/>
          <w:szCs w:val="16"/>
          <w:color w:val="3B3C43"/>
        </w:rPr>
        <w:t>Experience as a board member of public and private companies with international operations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37"/>
        </w:numPr>
        <w:rPr>
          <w:rFonts w:ascii="Arial" w:cs="Arial" w:eastAsia="Arial" w:hAnsi="Arial"/>
          <w:sz w:val="13"/>
          <w:szCs w:val="13"/>
          <w:color w:val="4B1F68"/>
        </w:rPr>
      </w:pPr>
      <w:r>
        <w:rPr>
          <w:rFonts w:ascii="Arial" w:cs="Arial" w:eastAsia="Arial" w:hAnsi="Arial"/>
          <w:sz w:val="16"/>
          <w:szCs w:val="16"/>
          <w:color w:val="3B3C43"/>
        </w:rPr>
        <w:t>Extensive experience working in Norway, a country in which the Company has significant operations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37"/>
        </w:numPr>
        <w:rPr>
          <w:rFonts w:ascii="Arial" w:cs="Arial" w:eastAsia="Arial" w:hAnsi="Arial"/>
          <w:sz w:val="13"/>
          <w:szCs w:val="13"/>
          <w:color w:val="4B1F68"/>
        </w:rPr>
      </w:pPr>
      <w:r>
        <w:rPr>
          <w:rFonts w:ascii="Arial" w:cs="Arial" w:eastAsia="Arial" w:hAnsi="Arial"/>
          <w:sz w:val="16"/>
          <w:szCs w:val="16"/>
          <w:color w:val="3B3C43"/>
        </w:rPr>
        <w:t>Contribution to the Board in a way that enhances perspective through diversity in geographic origin and experience</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Other Public Company Directorships</w:t>
      </w:r>
    </w:p>
    <w:p>
      <w:pPr>
        <w:spacing w:after="0" w:line="120" w:lineRule="exact"/>
        <w:rPr>
          <w:sz w:val="20"/>
          <w:szCs w:val="20"/>
          <w:color w:val="auto"/>
        </w:rPr>
      </w:pPr>
    </w:p>
    <w:p>
      <w:pPr>
        <w:ind w:left="320" w:hanging="168"/>
        <w:spacing w:after="0"/>
        <w:tabs>
          <w:tab w:leader="none" w:pos="320" w:val="left"/>
        </w:tabs>
        <w:numPr>
          <w:ilvl w:val="0"/>
          <w:numId w:val="138"/>
        </w:numPr>
        <w:rPr>
          <w:rFonts w:ascii="Arial" w:cs="Arial" w:eastAsia="Arial" w:hAnsi="Arial"/>
          <w:sz w:val="13"/>
          <w:szCs w:val="13"/>
          <w:color w:val="4B1F68"/>
        </w:rPr>
      </w:pPr>
      <w:r>
        <w:rPr>
          <w:rFonts w:ascii="Arial" w:cs="Arial" w:eastAsia="Arial" w:hAnsi="Arial"/>
          <w:sz w:val="16"/>
          <w:szCs w:val="16"/>
          <w:color w:val="3B3C43"/>
        </w:rPr>
        <w:t>Current: FMC Corporation, Harbour Energy plc</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38"/>
        </w:numPr>
        <w:rPr>
          <w:rFonts w:ascii="Arial" w:cs="Arial" w:eastAsia="Arial" w:hAnsi="Arial"/>
          <w:sz w:val="13"/>
          <w:szCs w:val="13"/>
          <w:color w:val="4B1F68"/>
        </w:rPr>
      </w:pPr>
      <w:r>
        <w:rPr>
          <w:rFonts w:ascii="Arial" w:cs="Arial" w:eastAsia="Arial" w:hAnsi="Arial"/>
          <w:sz w:val="16"/>
          <w:szCs w:val="16"/>
          <w:color w:val="3B3C43"/>
        </w:rPr>
        <w:t>Formerly Held in the Past Five Years: Alfa Laval AB, Atlas Copco AB</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127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315" w:right="5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1576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Kay G. Priestly Independent</w:t>
      </w:r>
    </w:p>
    <w:p>
      <w:pPr>
        <w:spacing w:after="0" w:line="81"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3B3C43"/>
        </w:rPr>
        <w:t>Ag</w:t>
      </w:r>
      <w:r>
        <w:rPr>
          <w:rFonts w:ascii="Arial" w:cs="Arial" w:eastAsia="Arial" w:hAnsi="Arial"/>
          <w:sz w:val="16"/>
          <w:szCs w:val="16"/>
          <w:b w:val="1"/>
          <w:bCs w:val="1"/>
          <w:color w:val="3B3C43"/>
        </w:rPr>
        <w:t>e:</w:t>
      </w:r>
      <w:r>
        <w:rPr>
          <w:rFonts w:ascii="Arial" w:cs="Arial" w:eastAsia="Arial" w:hAnsi="Arial"/>
          <w:sz w:val="20"/>
          <w:szCs w:val="20"/>
          <w:b w:val="1"/>
          <w:bCs w:val="1"/>
          <w:color w:val="3B3C43"/>
        </w:rPr>
        <w:t xml:space="preserve"> </w:t>
      </w:r>
      <w:r>
        <w:rPr>
          <w:rFonts w:ascii="Arial" w:cs="Arial" w:eastAsia="Arial" w:hAnsi="Arial"/>
          <w:sz w:val="16"/>
          <w:szCs w:val="16"/>
          <w:color w:val="3B3C43"/>
        </w:rPr>
        <w:t>65</w:t>
      </w:r>
    </w:p>
    <w:p>
      <w:pPr>
        <w:spacing w:after="0" w:line="77"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Director Since</w:t>
      </w:r>
      <w:r>
        <w:rPr>
          <w:rFonts w:ascii="Arial" w:cs="Arial" w:eastAsia="Arial" w:hAnsi="Arial"/>
          <w:sz w:val="16"/>
          <w:szCs w:val="16"/>
          <w:color w:val="3B3C43"/>
        </w:rPr>
        <w:t>: 2017</w:t>
      </w:r>
    </w:p>
    <w:p>
      <w:pPr>
        <w:spacing w:after="0" w:line="10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Legacy Director Since: </w:t>
      </w:r>
      <w:r>
        <w:rPr>
          <w:rFonts w:ascii="Arial" w:cs="Arial" w:eastAsia="Arial" w:hAnsi="Arial"/>
          <w:sz w:val="16"/>
          <w:szCs w:val="16"/>
          <w:color w:val="3B3C43"/>
        </w:rPr>
        <w:t>2015</w:t>
      </w:r>
    </w:p>
    <w:p>
      <w:pPr>
        <w:spacing w:after="0" w:line="10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 xml:space="preserve">Committees: </w:t>
      </w:r>
      <w:r>
        <w:rPr>
          <w:rFonts w:ascii="Arial" w:cs="Arial" w:eastAsia="Arial" w:hAnsi="Arial"/>
          <w:sz w:val="16"/>
          <w:szCs w:val="16"/>
          <w:color w:val="3B3C43"/>
        </w:rPr>
        <w:t>Audit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34290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342900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Career Highlights</w:t>
      </w:r>
    </w:p>
    <w:p>
      <w:pPr>
        <w:spacing w:after="0" w:line="120" w:lineRule="exact"/>
        <w:rPr>
          <w:sz w:val="20"/>
          <w:szCs w:val="20"/>
          <w:color w:val="auto"/>
        </w:rPr>
      </w:pPr>
    </w:p>
    <w:p>
      <w:pPr>
        <w:ind w:left="320" w:hanging="168"/>
        <w:spacing w:after="0" w:line="260" w:lineRule="auto"/>
        <w:tabs>
          <w:tab w:leader="none" w:pos="318" w:val="left"/>
        </w:tabs>
        <w:numPr>
          <w:ilvl w:val="0"/>
          <w:numId w:val="139"/>
        </w:numPr>
        <w:rPr>
          <w:rFonts w:ascii="Arial" w:cs="Arial" w:eastAsia="Arial" w:hAnsi="Arial"/>
          <w:sz w:val="13"/>
          <w:szCs w:val="13"/>
          <w:color w:val="4B1F68"/>
        </w:rPr>
      </w:pPr>
      <w:r>
        <w:rPr>
          <w:rFonts w:ascii="Arial" w:cs="Arial" w:eastAsia="Arial" w:hAnsi="Arial"/>
          <w:sz w:val="16"/>
          <w:szCs w:val="16"/>
          <w:color w:val="3B3C43"/>
        </w:rPr>
        <w:t>Ms. Priestly served as Chief Executive Officer of Turquoise Hill Resources Ltd., an international mining company focused on copper, gold, and coal in the Asia Pacific region, from May 2012 until her retirement in December 2014.</w:t>
      </w:r>
    </w:p>
    <w:p>
      <w:pPr>
        <w:spacing w:after="0" w:line="60" w:lineRule="exact"/>
        <w:rPr>
          <w:rFonts w:ascii="Arial" w:cs="Arial" w:eastAsia="Arial" w:hAnsi="Arial"/>
          <w:sz w:val="13"/>
          <w:szCs w:val="13"/>
          <w:color w:val="4B1F68"/>
        </w:rPr>
      </w:pPr>
    </w:p>
    <w:p>
      <w:pPr>
        <w:ind w:left="320" w:right="80" w:hanging="168"/>
        <w:spacing w:after="0" w:line="260" w:lineRule="auto"/>
        <w:tabs>
          <w:tab w:leader="none" w:pos="317" w:val="left"/>
        </w:tabs>
        <w:numPr>
          <w:ilvl w:val="0"/>
          <w:numId w:val="139"/>
        </w:numPr>
        <w:rPr>
          <w:rFonts w:ascii="Arial" w:cs="Arial" w:eastAsia="Arial" w:hAnsi="Arial"/>
          <w:sz w:val="13"/>
          <w:szCs w:val="13"/>
          <w:color w:val="4B1F68"/>
        </w:rPr>
      </w:pPr>
      <w:r>
        <w:rPr>
          <w:rFonts w:ascii="Arial" w:cs="Arial" w:eastAsia="Arial" w:hAnsi="Arial"/>
          <w:sz w:val="16"/>
          <w:szCs w:val="16"/>
          <w:color w:val="3B3C43"/>
        </w:rPr>
        <w:t>She previously served as Chief Financial Officer of Rio Tinto Copper (a division of the Rio Tinto Group - Rio Tinto plc and Rio Tinto Limited), a global metal and mining corporation, from 2008 until her appointment as Chief Executive Officer of Turquoise Hill Resources in 2012.</w:t>
      </w:r>
    </w:p>
    <w:p>
      <w:pPr>
        <w:spacing w:after="0" w:line="73" w:lineRule="exact"/>
        <w:rPr>
          <w:rFonts w:ascii="Arial" w:cs="Arial" w:eastAsia="Arial" w:hAnsi="Arial"/>
          <w:sz w:val="13"/>
          <w:szCs w:val="13"/>
          <w:color w:val="4B1F68"/>
        </w:rPr>
      </w:pPr>
    </w:p>
    <w:p>
      <w:pPr>
        <w:ind w:left="320" w:hanging="168"/>
        <w:spacing w:after="0"/>
        <w:tabs>
          <w:tab w:leader="none" w:pos="320" w:val="left"/>
        </w:tabs>
        <w:numPr>
          <w:ilvl w:val="0"/>
          <w:numId w:val="139"/>
        </w:numPr>
        <w:rPr>
          <w:rFonts w:ascii="Arial" w:cs="Arial" w:eastAsia="Arial" w:hAnsi="Arial"/>
          <w:sz w:val="13"/>
          <w:szCs w:val="13"/>
          <w:color w:val="4B1F68"/>
        </w:rPr>
      </w:pPr>
      <w:r>
        <w:rPr>
          <w:rFonts w:ascii="Arial" w:cs="Arial" w:eastAsia="Arial" w:hAnsi="Arial"/>
          <w:sz w:val="16"/>
          <w:szCs w:val="16"/>
          <w:color w:val="3B3C43"/>
        </w:rPr>
        <w:t>From 2006 to 2008, she was Vice President, Finance, and Chief Financial Officer of Rio Tinto’s Kennecott Utah Copper operations.</w:t>
      </w:r>
    </w:p>
    <w:p>
      <w:pPr>
        <w:spacing w:after="0" w:line="99" w:lineRule="exact"/>
        <w:rPr>
          <w:rFonts w:ascii="Arial" w:cs="Arial" w:eastAsia="Arial" w:hAnsi="Arial"/>
          <w:sz w:val="13"/>
          <w:szCs w:val="13"/>
          <w:color w:val="4B1F68"/>
        </w:rPr>
      </w:pPr>
    </w:p>
    <w:p>
      <w:pPr>
        <w:ind w:left="320" w:right="400" w:hanging="168"/>
        <w:spacing w:after="0" w:line="260" w:lineRule="auto"/>
        <w:tabs>
          <w:tab w:leader="none" w:pos="317" w:val="left"/>
        </w:tabs>
        <w:numPr>
          <w:ilvl w:val="0"/>
          <w:numId w:val="139"/>
        </w:numPr>
        <w:rPr>
          <w:rFonts w:ascii="Arial" w:cs="Arial" w:eastAsia="Arial" w:hAnsi="Arial"/>
          <w:sz w:val="13"/>
          <w:szCs w:val="13"/>
          <w:color w:val="4B1F68"/>
        </w:rPr>
      </w:pPr>
      <w:r>
        <w:rPr>
          <w:rFonts w:ascii="Arial" w:cs="Arial" w:eastAsia="Arial" w:hAnsi="Arial"/>
          <w:sz w:val="16"/>
          <w:szCs w:val="16"/>
          <w:color w:val="3B3C43"/>
        </w:rPr>
        <w:t>Ms. Priestly served as Vice President, Risk Management, and General Auditor for Entergy Corporation, an integrated energy company engaged primarily in electric power production and retail distribution operations, from 2004 to 2006.</w:t>
      </w:r>
    </w:p>
    <w:p>
      <w:pPr>
        <w:spacing w:after="0" w:line="60" w:lineRule="exact"/>
        <w:rPr>
          <w:rFonts w:ascii="Arial" w:cs="Arial" w:eastAsia="Arial" w:hAnsi="Arial"/>
          <w:sz w:val="13"/>
          <w:szCs w:val="13"/>
          <w:color w:val="4B1F68"/>
        </w:rPr>
      </w:pPr>
    </w:p>
    <w:p>
      <w:pPr>
        <w:ind w:left="320" w:right="500" w:hanging="168"/>
        <w:spacing w:after="0" w:line="260" w:lineRule="auto"/>
        <w:tabs>
          <w:tab w:leader="none" w:pos="317" w:val="left"/>
        </w:tabs>
        <w:numPr>
          <w:ilvl w:val="0"/>
          <w:numId w:val="139"/>
        </w:numPr>
        <w:rPr>
          <w:rFonts w:ascii="Arial" w:cs="Arial" w:eastAsia="Arial" w:hAnsi="Arial"/>
          <w:sz w:val="13"/>
          <w:szCs w:val="13"/>
          <w:color w:val="4B1F68"/>
        </w:rPr>
      </w:pPr>
      <w:r>
        <w:rPr>
          <w:rFonts w:ascii="Arial" w:cs="Arial" w:eastAsia="Arial" w:hAnsi="Arial"/>
          <w:sz w:val="16"/>
          <w:szCs w:val="16"/>
          <w:color w:val="3B3C43"/>
        </w:rPr>
        <w:t>She previously spent more than 24 years with global professional services firm Arthur Andersen, where she provided tax, consulting, and M&amp;A services to global companies across many industries, including energy, mining, manufacturing, and services.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Key Skills &amp; Qualifications</w:t>
      </w:r>
    </w:p>
    <w:p>
      <w:pPr>
        <w:spacing w:after="0" w:line="120" w:lineRule="exact"/>
        <w:rPr>
          <w:sz w:val="20"/>
          <w:szCs w:val="20"/>
          <w:color w:val="auto"/>
        </w:rPr>
      </w:pPr>
    </w:p>
    <w:p>
      <w:pPr>
        <w:ind w:left="320" w:hanging="168"/>
        <w:spacing w:after="0"/>
        <w:tabs>
          <w:tab w:leader="none" w:pos="320" w:val="left"/>
        </w:tabs>
        <w:numPr>
          <w:ilvl w:val="0"/>
          <w:numId w:val="140"/>
        </w:numPr>
        <w:rPr>
          <w:rFonts w:ascii="Arial" w:cs="Arial" w:eastAsia="Arial" w:hAnsi="Arial"/>
          <w:sz w:val="13"/>
          <w:szCs w:val="13"/>
          <w:color w:val="4B1F68"/>
        </w:rPr>
      </w:pPr>
      <w:r>
        <w:rPr>
          <w:rFonts w:ascii="Arial" w:cs="Arial" w:eastAsia="Arial" w:hAnsi="Arial"/>
          <w:sz w:val="16"/>
          <w:szCs w:val="16"/>
          <w:color w:val="3B3C43"/>
        </w:rPr>
        <w:t>Executive management experience as a chief executive officer and senior officer of major organizations with international operations</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40"/>
        </w:numPr>
        <w:rPr>
          <w:rFonts w:ascii="Arial" w:cs="Arial" w:eastAsia="Arial" w:hAnsi="Arial"/>
          <w:sz w:val="13"/>
          <w:szCs w:val="13"/>
          <w:color w:val="4B1F68"/>
        </w:rPr>
      </w:pPr>
      <w:r>
        <w:rPr>
          <w:rFonts w:ascii="Arial" w:cs="Arial" w:eastAsia="Arial" w:hAnsi="Arial"/>
          <w:sz w:val="16"/>
          <w:szCs w:val="16"/>
          <w:color w:val="3B3C43"/>
        </w:rPr>
        <w:t>Financial, strategy, risk management, and M&amp;A expertise</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40"/>
        </w:numPr>
        <w:rPr>
          <w:rFonts w:ascii="Arial" w:cs="Arial" w:eastAsia="Arial" w:hAnsi="Arial"/>
          <w:sz w:val="13"/>
          <w:szCs w:val="13"/>
          <w:color w:val="4B1F68"/>
        </w:rPr>
      </w:pPr>
      <w:r>
        <w:rPr>
          <w:rFonts w:ascii="Arial" w:cs="Arial" w:eastAsia="Arial" w:hAnsi="Arial"/>
          <w:sz w:val="16"/>
          <w:szCs w:val="16"/>
          <w:color w:val="3B3C43"/>
        </w:rPr>
        <w:t>Extensive consulting experience</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40"/>
        </w:numPr>
        <w:rPr>
          <w:rFonts w:ascii="Arial" w:cs="Arial" w:eastAsia="Arial" w:hAnsi="Arial"/>
          <w:sz w:val="13"/>
          <w:szCs w:val="13"/>
          <w:color w:val="4B1F68"/>
        </w:rPr>
      </w:pPr>
      <w:r>
        <w:rPr>
          <w:rFonts w:ascii="Arial" w:cs="Arial" w:eastAsia="Arial" w:hAnsi="Arial"/>
          <w:sz w:val="16"/>
          <w:szCs w:val="16"/>
          <w:color w:val="3B3C43"/>
        </w:rPr>
        <w:t>Experience in a variety of industries that provides diversity of perspective</w:t>
      </w:r>
    </w:p>
    <w:p>
      <w:pPr>
        <w:spacing w:after="0" w:line="86" w:lineRule="exact"/>
        <w:rPr>
          <w:rFonts w:ascii="Arial" w:cs="Arial" w:eastAsia="Arial" w:hAnsi="Arial"/>
          <w:sz w:val="13"/>
          <w:szCs w:val="13"/>
          <w:color w:val="4B1F68"/>
        </w:rPr>
      </w:pPr>
    </w:p>
    <w:p>
      <w:pPr>
        <w:ind w:left="320" w:right="80" w:hanging="168"/>
        <w:spacing w:after="0" w:line="260" w:lineRule="auto"/>
        <w:tabs>
          <w:tab w:leader="none" w:pos="317" w:val="left"/>
        </w:tabs>
        <w:numPr>
          <w:ilvl w:val="0"/>
          <w:numId w:val="140"/>
        </w:numPr>
        <w:rPr>
          <w:rFonts w:ascii="Arial" w:cs="Arial" w:eastAsia="Arial" w:hAnsi="Arial"/>
          <w:sz w:val="13"/>
          <w:szCs w:val="13"/>
          <w:color w:val="4B1F68"/>
        </w:rPr>
      </w:pPr>
      <w:r>
        <w:rPr>
          <w:rFonts w:ascii="Arial" w:cs="Arial" w:eastAsia="Arial" w:hAnsi="Arial"/>
          <w:sz w:val="16"/>
          <w:szCs w:val="16"/>
          <w:color w:val="3B3C43"/>
        </w:rPr>
        <w:t>Thorough understanding of different cultural, political, and regulatory requirements through her extensive energy and mining experience, including in countries where the Company has a significant presence</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Other Public Company Directorships</w:t>
      </w:r>
    </w:p>
    <w:p>
      <w:pPr>
        <w:spacing w:after="0" w:line="120" w:lineRule="exact"/>
        <w:rPr>
          <w:sz w:val="20"/>
          <w:szCs w:val="20"/>
          <w:color w:val="auto"/>
        </w:rPr>
      </w:pPr>
    </w:p>
    <w:p>
      <w:pPr>
        <w:ind w:left="320" w:hanging="168"/>
        <w:spacing w:after="0"/>
        <w:tabs>
          <w:tab w:leader="none" w:pos="320" w:val="left"/>
        </w:tabs>
        <w:numPr>
          <w:ilvl w:val="0"/>
          <w:numId w:val="141"/>
        </w:numPr>
        <w:rPr>
          <w:rFonts w:ascii="Arial" w:cs="Arial" w:eastAsia="Arial" w:hAnsi="Arial"/>
          <w:sz w:val="13"/>
          <w:szCs w:val="13"/>
          <w:color w:val="4B1F68"/>
        </w:rPr>
      </w:pPr>
      <w:r>
        <w:rPr>
          <w:rFonts w:ascii="Arial" w:cs="Arial" w:eastAsia="Arial" w:hAnsi="Arial"/>
          <w:sz w:val="16"/>
          <w:szCs w:val="16"/>
          <w:color w:val="3B3C43"/>
        </w:rPr>
        <w:t>Current: Stericycle, Inc. and SSR Mining Inc.</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41"/>
        </w:numPr>
        <w:rPr>
          <w:rFonts w:ascii="Arial" w:cs="Arial" w:eastAsia="Arial" w:hAnsi="Arial"/>
          <w:sz w:val="13"/>
          <w:szCs w:val="13"/>
          <w:color w:val="4B1F68"/>
        </w:rPr>
      </w:pPr>
      <w:r>
        <w:rPr>
          <w:rFonts w:ascii="Arial" w:cs="Arial" w:eastAsia="Arial" w:hAnsi="Arial"/>
          <w:sz w:val="16"/>
          <w:szCs w:val="16"/>
          <w:color w:val="3B3C43"/>
        </w:rPr>
        <w:t>Formerly Held in Past Five Years: FMC Technologies, Inc., Stone Energy Corporation, New Gold Inc.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128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315" w:right="57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1576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John Yearwood</w:t>
      </w:r>
    </w:p>
    <w:p>
      <w:pPr>
        <w:spacing w:after="0" w:line="81"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Independent</w:t>
      </w:r>
    </w:p>
    <w:p>
      <w:pPr>
        <w:spacing w:after="0" w:line="77"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Age</w:t>
      </w:r>
      <w:r>
        <w:rPr>
          <w:rFonts w:ascii="Arial" w:cs="Arial" w:eastAsia="Arial" w:hAnsi="Arial"/>
          <w:sz w:val="16"/>
          <w:szCs w:val="16"/>
          <w:color w:val="3B3C43"/>
        </w:rPr>
        <w:t>: 61</w:t>
      </w:r>
    </w:p>
    <w:p>
      <w:pPr>
        <w:spacing w:after="0" w:line="10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Director Since</w:t>
      </w:r>
      <w:r>
        <w:rPr>
          <w:rFonts w:ascii="Arial" w:cs="Arial" w:eastAsia="Arial" w:hAnsi="Arial"/>
          <w:sz w:val="16"/>
          <w:szCs w:val="16"/>
          <w:color w:val="3B3C43"/>
        </w:rPr>
        <w:t>: 2019</w:t>
      </w:r>
    </w:p>
    <w:p>
      <w:pPr>
        <w:spacing w:after="0" w:line="10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6"/>
          <w:szCs w:val="16"/>
          <w:color w:val="3B3C43"/>
        </w:rPr>
        <w:t>: Audit,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3317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331724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Career Highlights</w:t>
      </w:r>
    </w:p>
    <w:p>
      <w:pPr>
        <w:spacing w:after="0" w:line="106" w:lineRule="exact"/>
        <w:rPr>
          <w:sz w:val="20"/>
          <w:szCs w:val="20"/>
          <w:color w:val="auto"/>
        </w:rPr>
      </w:pPr>
    </w:p>
    <w:p>
      <w:pPr>
        <w:ind w:left="320" w:right="460" w:hanging="168"/>
        <w:spacing w:after="0" w:line="253" w:lineRule="auto"/>
        <w:tabs>
          <w:tab w:leader="none" w:pos="318" w:val="left"/>
        </w:tabs>
        <w:numPr>
          <w:ilvl w:val="0"/>
          <w:numId w:val="142"/>
        </w:numPr>
        <w:rPr>
          <w:rFonts w:ascii="Arial" w:cs="Arial" w:eastAsia="Arial" w:hAnsi="Arial"/>
          <w:sz w:val="13"/>
          <w:szCs w:val="13"/>
          <w:color w:val="4B1F68"/>
        </w:rPr>
      </w:pPr>
      <w:r>
        <w:rPr>
          <w:rFonts w:ascii="Arial" w:cs="Arial" w:eastAsia="Arial" w:hAnsi="Arial"/>
          <w:sz w:val="16"/>
          <w:szCs w:val="16"/>
          <w:color w:val="3B3C43"/>
        </w:rPr>
        <w:t>Mr. Yearwood served as President, Chief Executive Officer, and Chief Operating Officer of Smith International, Inc., a Houston-based company specializing in the provision of services and the manufacturing of products used by the drilling industry from 2009 until August 2010, when the company merged with Schlumberger Limited.</w:t>
      </w:r>
    </w:p>
    <w:p>
      <w:pPr>
        <w:spacing w:after="0" w:line="79" w:lineRule="exact"/>
        <w:rPr>
          <w:rFonts w:ascii="Arial" w:cs="Arial" w:eastAsia="Arial" w:hAnsi="Arial"/>
          <w:sz w:val="13"/>
          <w:szCs w:val="13"/>
          <w:color w:val="4B1F68"/>
        </w:rPr>
      </w:pPr>
    </w:p>
    <w:p>
      <w:pPr>
        <w:ind w:left="320" w:hanging="168"/>
        <w:spacing w:after="0" w:line="253" w:lineRule="auto"/>
        <w:tabs>
          <w:tab w:leader="none" w:pos="318" w:val="left"/>
        </w:tabs>
        <w:numPr>
          <w:ilvl w:val="0"/>
          <w:numId w:val="142"/>
        </w:numPr>
        <w:rPr>
          <w:rFonts w:ascii="Arial" w:cs="Arial" w:eastAsia="Arial" w:hAnsi="Arial"/>
          <w:sz w:val="13"/>
          <w:szCs w:val="13"/>
          <w:color w:val="4B1F68"/>
        </w:rPr>
      </w:pPr>
      <w:r>
        <w:rPr>
          <w:rFonts w:ascii="Arial" w:cs="Arial" w:eastAsia="Arial" w:hAnsi="Arial"/>
          <w:sz w:val="16"/>
          <w:szCs w:val="16"/>
          <w:color w:val="3B3C43"/>
        </w:rPr>
        <w:t>Prior to joining Smith International, Inc., he spent more than 26 years at Schlumberger Limited in a succession of executive leadership positions, including President of North and South America Oilfield Services from 2004 to 2006, Vice President, Finance, WesternGeco and OFS Controller from 2000 to 2004, and Vice President, Marketing from 1999 to 2000.</w:t>
      </w:r>
    </w:p>
    <w:p>
      <w:pPr>
        <w:spacing w:after="0" w:line="79" w:lineRule="exact"/>
        <w:rPr>
          <w:rFonts w:ascii="Arial" w:cs="Arial" w:eastAsia="Arial" w:hAnsi="Arial"/>
          <w:sz w:val="13"/>
          <w:szCs w:val="13"/>
          <w:color w:val="4B1F68"/>
        </w:rPr>
      </w:pPr>
    </w:p>
    <w:p>
      <w:pPr>
        <w:ind w:left="320" w:right="40" w:hanging="168"/>
        <w:spacing w:after="0" w:line="260" w:lineRule="auto"/>
        <w:tabs>
          <w:tab w:leader="none" w:pos="317" w:val="left"/>
        </w:tabs>
        <w:numPr>
          <w:ilvl w:val="0"/>
          <w:numId w:val="142"/>
        </w:numPr>
        <w:rPr>
          <w:rFonts w:ascii="Arial" w:cs="Arial" w:eastAsia="Arial" w:hAnsi="Arial"/>
          <w:sz w:val="13"/>
          <w:szCs w:val="13"/>
          <w:color w:val="4B1F68"/>
        </w:rPr>
      </w:pPr>
      <w:r>
        <w:rPr>
          <w:rFonts w:ascii="Arial" w:cs="Arial" w:eastAsia="Arial" w:hAnsi="Arial"/>
          <w:sz w:val="16"/>
          <w:szCs w:val="16"/>
          <w:color w:val="3B3C43"/>
        </w:rPr>
        <w:t>He began his career serving in numerous management and technical positions for Schlumberger and Dowell Schlumberger, a joint venture with Dow Chemical.</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Key Skills &amp; Qualifications</w:t>
      </w:r>
    </w:p>
    <w:p>
      <w:pPr>
        <w:spacing w:after="0" w:line="120" w:lineRule="exact"/>
        <w:rPr>
          <w:sz w:val="20"/>
          <w:szCs w:val="20"/>
          <w:color w:val="auto"/>
        </w:rPr>
      </w:pPr>
    </w:p>
    <w:p>
      <w:pPr>
        <w:ind w:left="320" w:hanging="168"/>
        <w:spacing w:after="0"/>
        <w:tabs>
          <w:tab w:leader="none" w:pos="320" w:val="left"/>
        </w:tabs>
        <w:numPr>
          <w:ilvl w:val="0"/>
          <w:numId w:val="143"/>
        </w:numPr>
        <w:rPr>
          <w:rFonts w:ascii="Arial" w:cs="Arial" w:eastAsia="Arial" w:hAnsi="Arial"/>
          <w:sz w:val="13"/>
          <w:szCs w:val="13"/>
          <w:color w:val="4B1F68"/>
        </w:rPr>
      </w:pPr>
      <w:r>
        <w:rPr>
          <w:rFonts w:ascii="Arial" w:cs="Arial" w:eastAsia="Arial" w:hAnsi="Arial"/>
          <w:sz w:val="16"/>
          <w:szCs w:val="16"/>
          <w:color w:val="3B3C43"/>
        </w:rPr>
        <w:t>Significant executive management experience as an executive of a major oil and gas company with international operations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43"/>
        </w:numPr>
        <w:rPr>
          <w:rFonts w:ascii="Arial" w:cs="Arial" w:eastAsia="Arial" w:hAnsi="Arial"/>
          <w:sz w:val="13"/>
          <w:szCs w:val="13"/>
          <w:color w:val="4B1F68"/>
        </w:rPr>
      </w:pPr>
      <w:r>
        <w:rPr>
          <w:rFonts w:ascii="Arial" w:cs="Arial" w:eastAsia="Arial" w:hAnsi="Arial"/>
          <w:sz w:val="16"/>
          <w:szCs w:val="16"/>
          <w:color w:val="3B3C43"/>
        </w:rPr>
        <w:t>Experience as a board member of public and private companies with international operations</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43"/>
        </w:numPr>
        <w:rPr>
          <w:rFonts w:ascii="Arial" w:cs="Arial" w:eastAsia="Arial" w:hAnsi="Arial"/>
          <w:sz w:val="13"/>
          <w:szCs w:val="13"/>
          <w:color w:val="4B1F68"/>
        </w:rPr>
      </w:pPr>
      <w:r>
        <w:rPr>
          <w:rFonts w:ascii="Arial" w:cs="Arial" w:eastAsia="Arial" w:hAnsi="Arial"/>
          <w:sz w:val="16"/>
          <w:szCs w:val="16"/>
          <w:color w:val="3B3C43"/>
        </w:rPr>
        <w:t>Technology, strategy, governance, and M&amp;A expertise</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43"/>
        </w:numPr>
        <w:rPr>
          <w:rFonts w:ascii="Arial" w:cs="Arial" w:eastAsia="Arial" w:hAnsi="Arial"/>
          <w:sz w:val="13"/>
          <w:szCs w:val="13"/>
          <w:color w:val="4B1F68"/>
        </w:rPr>
      </w:pPr>
      <w:r>
        <w:rPr>
          <w:rFonts w:ascii="Arial" w:cs="Arial" w:eastAsia="Arial" w:hAnsi="Arial"/>
          <w:sz w:val="16"/>
          <w:szCs w:val="16"/>
          <w:color w:val="3B3C43"/>
        </w:rPr>
        <w:t>Oil and gas exploration and production experience</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43"/>
        </w:numPr>
        <w:rPr>
          <w:rFonts w:ascii="Arial" w:cs="Arial" w:eastAsia="Arial" w:hAnsi="Arial"/>
          <w:sz w:val="13"/>
          <w:szCs w:val="13"/>
          <w:color w:val="4B1F68"/>
        </w:rPr>
      </w:pPr>
      <w:r>
        <w:rPr>
          <w:rFonts w:ascii="Arial" w:cs="Arial" w:eastAsia="Arial" w:hAnsi="Arial"/>
          <w:sz w:val="16"/>
          <w:szCs w:val="16"/>
          <w:color w:val="3B3C43"/>
        </w:rPr>
        <w:t>International experience in countries where the Company has a significant presence</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43"/>
        </w:numPr>
        <w:rPr>
          <w:rFonts w:ascii="Arial" w:cs="Arial" w:eastAsia="Arial" w:hAnsi="Arial"/>
          <w:sz w:val="13"/>
          <w:szCs w:val="13"/>
          <w:color w:val="4B1F68"/>
        </w:rPr>
      </w:pPr>
      <w:r>
        <w:rPr>
          <w:rFonts w:ascii="Arial" w:cs="Arial" w:eastAsia="Arial" w:hAnsi="Arial"/>
          <w:sz w:val="16"/>
          <w:szCs w:val="16"/>
          <w:color w:val="3B3C43"/>
        </w:rPr>
        <w:t>Diversity in geographic origin that enhances the Board’s perspective</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Other Public Company Directorships</w:t>
      </w:r>
    </w:p>
    <w:p>
      <w:pPr>
        <w:spacing w:after="0" w:line="120" w:lineRule="exact"/>
        <w:rPr>
          <w:sz w:val="20"/>
          <w:szCs w:val="20"/>
          <w:color w:val="auto"/>
        </w:rPr>
      </w:pPr>
    </w:p>
    <w:p>
      <w:pPr>
        <w:ind w:left="320" w:hanging="168"/>
        <w:spacing w:after="0"/>
        <w:tabs>
          <w:tab w:leader="none" w:pos="320" w:val="left"/>
        </w:tabs>
        <w:numPr>
          <w:ilvl w:val="0"/>
          <w:numId w:val="144"/>
        </w:numPr>
        <w:rPr>
          <w:rFonts w:ascii="Arial" w:cs="Arial" w:eastAsia="Arial" w:hAnsi="Arial"/>
          <w:sz w:val="13"/>
          <w:szCs w:val="13"/>
          <w:color w:val="4B1F68"/>
        </w:rPr>
      </w:pPr>
      <w:r>
        <w:rPr>
          <w:rFonts w:ascii="Arial" w:cs="Arial" w:eastAsia="Arial" w:hAnsi="Arial"/>
          <w:sz w:val="16"/>
          <w:szCs w:val="16"/>
          <w:color w:val="3B3C43"/>
        </w:rPr>
        <w:t>Current: Nabors Industries Ltd.</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44"/>
        </w:numPr>
        <w:rPr>
          <w:rFonts w:ascii="Arial" w:cs="Arial" w:eastAsia="Arial" w:hAnsi="Arial"/>
          <w:sz w:val="13"/>
          <w:szCs w:val="13"/>
          <w:color w:val="4B1F68"/>
        </w:rPr>
      </w:pPr>
      <w:r>
        <w:rPr>
          <w:rFonts w:ascii="Arial" w:cs="Arial" w:eastAsia="Arial" w:hAnsi="Arial"/>
          <w:sz w:val="16"/>
          <w:szCs w:val="16"/>
          <w:color w:val="3B3C43"/>
        </w:rPr>
        <w:t>Formerly Held in Past Five Years: Sabine Oil &amp; Gas Corporation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129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315" w:right="59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148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1487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Sophie Zurquiyah</w:t>
      </w:r>
    </w:p>
    <w:p>
      <w:pPr>
        <w:spacing w:after="0" w:line="81"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4B1F68"/>
        </w:rPr>
        <w:t>Independent</w:t>
      </w:r>
    </w:p>
    <w:p>
      <w:pPr>
        <w:spacing w:after="0" w:line="77"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Age</w:t>
      </w:r>
      <w:r>
        <w:rPr>
          <w:rFonts w:ascii="Arial" w:cs="Arial" w:eastAsia="Arial" w:hAnsi="Arial"/>
          <w:sz w:val="14"/>
          <w:szCs w:val="14"/>
          <w:color w:val="3B3C43"/>
        </w:rPr>
        <w:t>: 54</w:t>
      </w:r>
    </w:p>
    <w:p>
      <w:pPr>
        <w:spacing w:after="0" w:line="10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Director Since</w:t>
      </w:r>
      <w:r>
        <w:rPr>
          <w:rFonts w:ascii="Arial" w:cs="Arial" w:eastAsia="Arial" w:hAnsi="Arial"/>
          <w:sz w:val="16"/>
          <w:szCs w:val="16"/>
          <w:color w:val="3B3C43"/>
        </w:rPr>
        <w:t>: 2021</w:t>
      </w:r>
    </w:p>
    <w:p>
      <w:pPr>
        <w:spacing w:after="0" w:line="100"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3B3C43"/>
        </w:rPr>
        <w:t>Committees</w:t>
      </w:r>
      <w:r>
        <w:rPr>
          <w:rFonts w:ascii="Arial" w:cs="Arial" w:eastAsia="Arial" w:hAnsi="Arial"/>
          <w:sz w:val="14"/>
          <w:szCs w:val="14"/>
          <w:color w:val="3B3C43"/>
        </w:rPr>
        <w:t>:</w:t>
      </w:r>
      <w:r>
        <w:rPr>
          <w:rFonts w:ascii="Arial" w:cs="Arial" w:eastAsia="Arial" w:hAnsi="Arial"/>
          <w:sz w:val="16"/>
          <w:szCs w:val="16"/>
          <w:b w:val="1"/>
          <w:bCs w:val="1"/>
          <w:color w:val="3B3C43"/>
        </w:rPr>
        <w:t xml:space="preserve"> </w:t>
      </w:r>
      <w:r>
        <w:rPr>
          <w:rFonts w:ascii="Arial" w:cs="Arial" w:eastAsia="Arial" w:hAnsi="Arial"/>
          <w:sz w:val="16"/>
          <w:szCs w:val="16"/>
          <w:color w:val="3B3C43"/>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27178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2717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Career Highlights</w:t>
      </w:r>
    </w:p>
    <w:p>
      <w:pPr>
        <w:spacing w:after="0" w:line="100" w:lineRule="exact"/>
        <w:rPr>
          <w:sz w:val="20"/>
          <w:szCs w:val="20"/>
          <w:color w:val="auto"/>
        </w:rPr>
      </w:pPr>
    </w:p>
    <w:p>
      <w:pPr>
        <w:ind w:left="320" w:right="20" w:hanging="168"/>
        <w:spacing w:after="0" w:line="266" w:lineRule="auto"/>
        <w:tabs>
          <w:tab w:leader="none" w:pos="318" w:val="left"/>
        </w:tabs>
        <w:numPr>
          <w:ilvl w:val="0"/>
          <w:numId w:val="145"/>
        </w:numPr>
        <w:rPr>
          <w:rFonts w:ascii="Arial" w:cs="Arial" w:eastAsia="Arial" w:hAnsi="Arial"/>
          <w:sz w:val="13"/>
          <w:szCs w:val="13"/>
          <w:color w:val="4B1F68"/>
        </w:rPr>
      </w:pPr>
      <w:r>
        <w:rPr>
          <w:rFonts w:ascii="Arial" w:cs="Arial" w:eastAsia="Arial" w:hAnsi="Arial"/>
          <w:sz w:val="16"/>
          <w:szCs w:val="16"/>
          <w:color w:val="3B3C43"/>
        </w:rPr>
        <w:t>Ms. Zurquiyah has been Chief Executive Officer of CGG S.A. (“</w:t>
      </w:r>
      <w:r>
        <w:rPr>
          <w:rFonts w:ascii="Arial" w:cs="Arial" w:eastAsia="Arial" w:hAnsi="Arial"/>
          <w:sz w:val="16"/>
          <w:szCs w:val="16"/>
          <w:b w:val="1"/>
          <w:bCs w:val="1"/>
          <w:color w:val="3B3C43"/>
        </w:rPr>
        <w:t>CGG</w:t>
      </w:r>
      <w:r>
        <w:rPr>
          <w:rFonts w:ascii="Arial" w:cs="Arial" w:eastAsia="Arial" w:hAnsi="Arial"/>
          <w:sz w:val="16"/>
          <w:szCs w:val="16"/>
          <w:color w:val="3B3C43"/>
        </w:rPr>
        <w:t>”), a global geoscience technology leader, since April 2018. Ms. Zurquiyah has held a succession of leadership positions at CGG, including as Senior Executive Vice President in charge of the Geology, Geophysics, and Reservoir segment.</w:t>
      </w:r>
    </w:p>
    <w:p>
      <w:pPr>
        <w:spacing w:after="0" w:line="56" w:lineRule="exact"/>
        <w:rPr>
          <w:rFonts w:ascii="Arial" w:cs="Arial" w:eastAsia="Arial" w:hAnsi="Arial"/>
          <w:sz w:val="13"/>
          <w:szCs w:val="13"/>
          <w:color w:val="4B1F68"/>
        </w:rPr>
      </w:pPr>
    </w:p>
    <w:p>
      <w:pPr>
        <w:ind w:left="320" w:hanging="168"/>
        <w:spacing w:after="0" w:line="251" w:lineRule="auto"/>
        <w:tabs>
          <w:tab w:leader="none" w:pos="318" w:val="left"/>
        </w:tabs>
        <w:numPr>
          <w:ilvl w:val="0"/>
          <w:numId w:val="145"/>
        </w:numPr>
        <w:rPr>
          <w:rFonts w:ascii="Arial" w:cs="Arial" w:eastAsia="Arial" w:hAnsi="Arial"/>
          <w:sz w:val="13"/>
          <w:szCs w:val="13"/>
          <w:color w:val="4B1F68"/>
        </w:rPr>
      </w:pPr>
      <w:r>
        <w:rPr>
          <w:rFonts w:ascii="Arial" w:cs="Arial" w:eastAsia="Arial" w:hAnsi="Arial"/>
          <w:sz w:val="16"/>
          <w:szCs w:val="16"/>
          <w:color w:val="3B3C43"/>
        </w:rPr>
        <w:t>Ms. Zurquiyah joined Schlumberger Ltd. in 1991 as an interpretation engineer and geophysicist and held successively senior positions before joining CGG in 2013. She served as Schlumberger’s Vice President of Technology Sustaining from August 2012 to January 2013, as well as its President, Data and Consulting Services from May 2009 to July 2012. Prior to this, she was Schlumberger’s Chief Information Officer from January 2007 to April 2009.</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B3C43"/>
        </w:rPr>
        <w:t>Key Skills &amp; Qualifications</w:t>
      </w:r>
    </w:p>
    <w:p>
      <w:pPr>
        <w:spacing w:after="0" w:line="120" w:lineRule="exact"/>
        <w:rPr>
          <w:sz w:val="20"/>
          <w:szCs w:val="20"/>
          <w:color w:val="auto"/>
        </w:rPr>
      </w:pPr>
    </w:p>
    <w:p>
      <w:pPr>
        <w:ind w:left="320" w:hanging="168"/>
        <w:spacing w:after="0"/>
        <w:tabs>
          <w:tab w:leader="none" w:pos="320" w:val="left"/>
        </w:tabs>
        <w:numPr>
          <w:ilvl w:val="0"/>
          <w:numId w:val="146"/>
        </w:numPr>
        <w:rPr>
          <w:rFonts w:ascii="Arial" w:cs="Arial" w:eastAsia="Arial" w:hAnsi="Arial"/>
          <w:sz w:val="13"/>
          <w:szCs w:val="13"/>
          <w:color w:val="4B1F68"/>
        </w:rPr>
      </w:pPr>
      <w:r>
        <w:rPr>
          <w:rFonts w:ascii="Arial" w:cs="Arial" w:eastAsia="Arial" w:hAnsi="Arial"/>
          <w:sz w:val="16"/>
          <w:szCs w:val="16"/>
          <w:color w:val="3B3C43"/>
        </w:rPr>
        <w:t>Executive management experience, including as Chief Executive Officer of CGG</w:t>
      </w:r>
    </w:p>
    <w:p>
      <w:pPr>
        <w:spacing w:after="0" w:line="86" w:lineRule="exact"/>
        <w:rPr>
          <w:rFonts w:ascii="Arial" w:cs="Arial" w:eastAsia="Arial" w:hAnsi="Arial"/>
          <w:sz w:val="13"/>
          <w:szCs w:val="13"/>
          <w:color w:val="4B1F68"/>
        </w:rPr>
      </w:pPr>
    </w:p>
    <w:p>
      <w:pPr>
        <w:ind w:left="320" w:hanging="168"/>
        <w:spacing w:after="0"/>
        <w:tabs>
          <w:tab w:leader="none" w:pos="320" w:val="left"/>
        </w:tabs>
        <w:numPr>
          <w:ilvl w:val="0"/>
          <w:numId w:val="146"/>
        </w:numPr>
        <w:rPr>
          <w:rFonts w:ascii="Arial" w:cs="Arial" w:eastAsia="Arial" w:hAnsi="Arial"/>
          <w:sz w:val="13"/>
          <w:szCs w:val="13"/>
          <w:color w:val="4B1F68"/>
        </w:rPr>
      </w:pPr>
      <w:r>
        <w:rPr>
          <w:rFonts w:ascii="Arial" w:cs="Arial" w:eastAsia="Arial" w:hAnsi="Arial"/>
          <w:sz w:val="16"/>
          <w:szCs w:val="16"/>
          <w:color w:val="3B3C43"/>
        </w:rPr>
        <w:t>Financial, technology, sustainability, and oil and gas drilling expertise</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46"/>
        </w:numPr>
        <w:rPr>
          <w:rFonts w:ascii="Arial" w:cs="Arial" w:eastAsia="Arial" w:hAnsi="Arial"/>
          <w:sz w:val="13"/>
          <w:szCs w:val="13"/>
          <w:color w:val="4B1F68"/>
        </w:rPr>
      </w:pPr>
      <w:r>
        <w:rPr>
          <w:rFonts w:ascii="Arial" w:cs="Arial" w:eastAsia="Arial" w:hAnsi="Arial"/>
          <w:sz w:val="16"/>
          <w:szCs w:val="16"/>
          <w:color w:val="3B3C43"/>
        </w:rPr>
        <w:t>Experience as a board member of public companies with international operations</w:t>
      </w:r>
    </w:p>
    <w:p>
      <w:pPr>
        <w:spacing w:after="0" w:line="99" w:lineRule="exact"/>
        <w:rPr>
          <w:rFonts w:ascii="Arial" w:cs="Arial" w:eastAsia="Arial" w:hAnsi="Arial"/>
          <w:sz w:val="13"/>
          <w:szCs w:val="13"/>
          <w:color w:val="4B1F68"/>
        </w:rPr>
      </w:pPr>
    </w:p>
    <w:p>
      <w:pPr>
        <w:ind w:left="320" w:hanging="168"/>
        <w:spacing w:after="0"/>
        <w:tabs>
          <w:tab w:leader="none" w:pos="320" w:val="left"/>
        </w:tabs>
        <w:numPr>
          <w:ilvl w:val="0"/>
          <w:numId w:val="146"/>
        </w:numPr>
        <w:rPr>
          <w:rFonts w:ascii="Arial" w:cs="Arial" w:eastAsia="Arial" w:hAnsi="Arial"/>
          <w:sz w:val="13"/>
          <w:szCs w:val="13"/>
          <w:color w:val="4B1F68"/>
        </w:rPr>
      </w:pPr>
      <w:r>
        <w:rPr>
          <w:rFonts w:ascii="Arial" w:cs="Arial" w:eastAsia="Arial" w:hAnsi="Arial"/>
          <w:sz w:val="16"/>
          <w:szCs w:val="16"/>
          <w:color w:val="3B3C43"/>
        </w:rPr>
        <w:t>Contribution to the Board in a way that enhances perspective through diversity in geographic origin and experience</w:t>
      </w:r>
    </w:p>
    <w:p>
      <w:pPr>
        <w:spacing w:after="0" w:line="66" w:lineRule="exact"/>
        <w:rPr>
          <w:rFonts w:ascii="Arial" w:cs="Arial" w:eastAsia="Arial" w:hAnsi="Arial"/>
          <w:sz w:val="13"/>
          <w:szCs w:val="13"/>
          <w:color w:val="4B1F68"/>
        </w:rPr>
      </w:pPr>
    </w:p>
    <w:p>
      <w:pPr>
        <w:ind w:left="160" w:right="8020"/>
        <w:spacing w:after="0" w:line="382" w:lineRule="auto"/>
        <w:rPr>
          <w:rFonts w:ascii="Arial" w:cs="Arial" w:eastAsia="Arial" w:hAnsi="Arial"/>
          <w:sz w:val="13"/>
          <w:szCs w:val="13"/>
          <w:color w:val="4B1F68"/>
        </w:rPr>
      </w:pPr>
      <w:r>
        <w:rPr>
          <w:rFonts w:ascii="Arial" w:cs="Arial" w:eastAsia="Arial" w:hAnsi="Arial"/>
          <w:sz w:val="16"/>
          <w:szCs w:val="16"/>
          <w:b w:val="1"/>
          <w:bCs w:val="1"/>
          <w:color w:val="3B3C43"/>
        </w:rPr>
        <w:t xml:space="preserve">Other Public Company Directorships </w:t>
      </w:r>
      <w:r>
        <w:rPr>
          <w:rFonts w:ascii="Arial" w:cs="Arial" w:eastAsia="Arial" w:hAnsi="Arial"/>
          <w:sz w:val="12"/>
          <w:szCs w:val="12"/>
          <w:color w:val="4B1F68"/>
        </w:rPr>
        <w:t>►</w:t>
      </w:r>
      <w:r>
        <w:rPr>
          <w:rFonts w:ascii="Arial" w:cs="Arial" w:eastAsia="Arial" w:hAnsi="Arial"/>
          <w:sz w:val="16"/>
          <w:szCs w:val="16"/>
          <w:color w:val="3B3C43"/>
        </w:rPr>
        <w:t>Current: CGG S.A. and Safran S.A.</w:t>
      </w:r>
    </w:p>
    <w:p>
      <w:pPr>
        <w:spacing w:after="0" w:line="1" w:lineRule="exact"/>
        <w:rPr>
          <w:rFonts w:ascii="Arial" w:cs="Arial" w:eastAsia="Arial" w:hAnsi="Arial"/>
          <w:sz w:val="13"/>
          <w:szCs w:val="13"/>
          <w:color w:val="4B1F68"/>
        </w:rPr>
      </w:pPr>
    </w:p>
    <w:p>
      <w:pPr>
        <w:ind w:left="320" w:hanging="168"/>
        <w:spacing w:after="0"/>
        <w:tabs>
          <w:tab w:leader="none" w:pos="320" w:val="left"/>
        </w:tabs>
        <w:numPr>
          <w:ilvl w:val="0"/>
          <w:numId w:val="146"/>
        </w:numPr>
        <w:rPr>
          <w:rFonts w:ascii="Arial" w:cs="Arial" w:eastAsia="Arial" w:hAnsi="Arial"/>
          <w:sz w:val="13"/>
          <w:szCs w:val="13"/>
          <w:color w:val="4B1F68"/>
        </w:rPr>
      </w:pPr>
      <w:r>
        <w:rPr>
          <w:rFonts w:ascii="Arial" w:cs="Arial" w:eastAsia="Arial" w:hAnsi="Arial"/>
          <w:sz w:val="16"/>
          <w:szCs w:val="16"/>
          <w:color w:val="3B3C43"/>
        </w:rPr>
        <w:t>Formerly Held in Past Five Years: None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130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315" w:right="57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4820"/>
        <w:spacing w:after="0" w:line="257" w:lineRule="auto"/>
        <w:rPr>
          <w:sz w:val="20"/>
          <w:szCs w:val="20"/>
          <w:color w:val="auto"/>
        </w:rPr>
      </w:pPr>
      <w:r>
        <w:rPr>
          <w:rFonts w:ascii="Arial" w:cs="Arial" w:eastAsia="Arial" w:hAnsi="Arial"/>
          <w:sz w:val="66"/>
          <w:szCs w:val="66"/>
          <w:color w:val="4B1F68"/>
        </w:rPr>
        <w:t>Proposal 2 — 2020 Say-on-Pay for NEOs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am I voting on?</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3B3C43"/>
        </w:rPr>
        <w:t>Executive compensation is an important matter to the Company, the Board, the Compensation Committee, and the Company’s shareholders. Our executive compensation program is reviewed by the Compensation Committee with the objective of developing a program that balances the Company’s implementation of business plans in the short term, while remaining focused on long-term strategy.</w:t>
      </w:r>
    </w:p>
    <w:p>
      <w:pPr>
        <w:spacing w:after="0" w:line="174"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3B3C43"/>
        </w:rPr>
        <w:t>Our Say-on-Pay vote gives our shareholders the opportunity to vote on a non-binding, advisory resolution to approve the compensation of our NEOs as disclosed in this Proxy Statement, including the Compensation Discussion and Analysis, compensation tables, and narrative discussion. We currently include this advisory vote on an annual basis. While the Say-on-Pay vote is advisory and therefore not binding, our Board and Compensation Committee value the diverse perspectives of our shareholders, which we receive through a number of channels, including the Say-on-Pay vote.</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6"/>
          <w:szCs w:val="16"/>
          <w:color w:val="3B3C43"/>
        </w:rPr>
        <w:t>We carefully consider our shareholders’ feedback throughout the year in evaluating our executive compensation program. We are asking our shareholders to approve the compensation of our NEOs by casting a vote “FOR” the following resolution:</w:t>
      </w:r>
    </w:p>
    <w:p>
      <w:pPr>
        <w:spacing w:after="0" w:line="152"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i w:val="1"/>
          <w:iCs w:val="1"/>
          <w:color w:val="3B3C43"/>
        </w:rPr>
        <w:t>“</w:t>
      </w:r>
      <w:r>
        <w:rPr>
          <w:rFonts w:ascii="Arial" w:cs="Arial" w:eastAsia="Arial" w:hAnsi="Arial"/>
          <w:sz w:val="14"/>
          <w:szCs w:val="14"/>
          <w:i w:val="1"/>
          <w:iCs w:val="1"/>
          <w:color w:val="3B3C43"/>
        </w:rPr>
        <w:t>RESOLVED, that the compensation paid to the Company's NEOs, as disclosed pursuant to Item 402 of Regulation S-K, including the Compensation Discussion and Analysis,</w:t>
      </w:r>
      <w:r>
        <w:rPr>
          <w:rFonts w:ascii="Arial" w:cs="Arial" w:eastAsia="Arial" w:hAnsi="Arial"/>
          <w:sz w:val="16"/>
          <w:szCs w:val="16"/>
          <w:i w:val="1"/>
          <w:iCs w:val="1"/>
          <w:color w:val="3B3C43"/>
        </w:rPr>
        <w:t xml:space="preserve"> </w:t>
      </w:r>
      <w:r>
        <w:rPr>
          <w:rFonts w:ascii="Arial" w:cs="Arial" w:eastAsia="Arial" w:hAnsi="Arial"/>
          <w:sz w:val="14"/>
          <w:szCs w:val="14"/>
          <w:i w:val="1"/>
          <w:iCs w:val="1"/>
          <w:color w:val="3B3C43"/>
        </w:rPr>
        <w:t>compensation tables, and narrative discussion is hereby APPROVED.”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are some of our executive compensation program highlights?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3B3C43"/>
        </w:rPr>
        <w:t xml:space="preserve">The </w:t>
      </w:r>
      <w:r>
        <w:rPr>
          <w:rFonts w:ascii="Arial" w:cs="Arial" w:eastAsia="Arial" w:hAnsi="Arial"/>
          <w:sz w:val="16"/>
          <w:szCs w:val="16"/>
          <w:i w:val="1"/>
          <w:iCs w:val="1"/>
          <w:color w:val="3B3C43"/>
        </w:rPr>
        <w:t>“</w:t>
      </w:r>
      <w:r>
        <w:rPr>
          <w:rFonts w:ascii="Arial" w:cs="Arial" w:eastAsia="Arial" w:hAnsi="Arial"/>
          <w:sz w:val="14"/>
          <w:szCs w:val="14"/>
          <w:i w:val="1"/>
          <w:iCs w:val="1"/>
          <w:color w:val="3B3C43"/>
        </w:rPr>
        <w:t>Executive Compensation Discussion and Analysis”</w:t>
      </w:r>
      <w:r>
        <w:rPr>
          <w:rFonts w:ascii="Arial" w:cs="Arial" w:eastAsia="Arial" w:hAnsi="Arial"/>
          <w:sz w:val="16"/>
          <w:szCs w:val="16"/>
          <w:color w:val="3B3C43"/>
        </w:rPr>
        <w:t xml:space="preserve"> section of this Proxy Statement describes in detail our executive compensation program and decisions made by our Compensation Committee for 2020.</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Is this vote binding on the Board or the Compensation Committee?</w:t>
      </w:r>
    </w:p>
    <w:p>
      <w:pPr>
        <w:spacing w:after="0" w:line="25"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3B3C43"/>
        </w:rPr>
        <w:t>This vote is advisory only, pursuant to Section 14(a) of the Exchange Act, and our NEOs’ 2020 compensation is not conditional on it. The vote will not be binding upon the Board or the Compensation Committee, and neither the Board nor the Compensation Committee will be required to take any action (or refrain from taking any action) as a result of the outcome of the vote on this proposal.</w:t>
      </w:r>
    </w:p>
    <w:p>
      <w:pPr>
        <w:spacing w:after="0" w:line="17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3B3C43"/>
        </w:rPr>
        <w:t>The Board values shareholders’ feedback, and the Compensation Committee will review and consider the outcome of the vote, as well as feedback received directly from shareholders from our shareholder engagement program, in connection with the ongoing review of the Company’s executive compensation program. However, shareholders should note that because the advisory vote on executive compensation occurs well after the beginning of the compensation year, and because the different elements of our executive compensation programs are designed to operate in an integrated manner and to complement one another, in many cases it may not be appropriate or feasible to change our executive compensation programs in consideration of any one year’s advisory vote on executive compensation by the time of the following year’s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600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How does the Board recommend that I vote?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The Board recommends that you vote “FOR” this proposal.</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131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2420"/>
        <w:spacing w:after="0" w:line="257" w:lineRule="auto"/>
        <w:rPr>
          <w:sz w:val="20"/>
          <w:szCs w:val="20"/>
          <w:color w:val="auto"/>
        </w:rPr>
      </w:pPr>
      <w:r>
        <w:rPr>
          <w:rFonts w:ascii="Arial" w:cs="Arial" w:eastAsia="Arial" w:hAnsi="Arial"/>
          <w:sz w:val="66"/>
          <w:szCs w:val="66"/>
          <w:color w:val="4B1F68"/>
        </w:rPr>
        <w:t>Proposal 3 — 2020 Directors' Remuneration Report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am I voting 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3B3C43"/>
        </w:rPr>
        <w:t xml:space="preserve">All U.K. incorporated companies that are “quoted companies” under the Companies Act are required to submit their directors’ remuneration report to shareholders on an annual basis. As such, we are asking our shareholders to approve, on a non-binding advisory basis, the 2020 Directors’ Remuneration Report of our U.K. Annual Report and Accounts, which reports our 2020 executive and non-executive directors’ compensation. Please see the discussion under </w:t>
      </w:r>
      <w:r>
        <w:rPr>
          <w:rFonts w:ascii="Arial" w:cs="Arial" w:eastAsia="Arial" w:hAnsi="Arial"/>
          <w:sz w:val="16"/>
          <w:szCs w:val="16"/>
          <w:i w:val="1"/>
          <w:iCs w:val="1"/>
          <w:color w:val="3B3C43"/>
        </w:rPr>
        <w:t>“</w:t>
      </w:r>
      <w:r>
        <w:rPr>
          <w:rFonts w:ascii="Arial" w:cs="Arial" w:eastAsia="Arial" w:hAnsi="Arial"/>
          <w:sz w:val="14"/>
          <w:szCs w:val="14"/>
          <w:i w:val="1"/>
          <w:iCs w:val="1"/>
          <w:color w:val="3B3C43"/>
        </w:rPr>
        <w:t>Proposal 2-Say-on-Pay for NEOs”</w:t>
      </w:r>
      <w:r>
        <w:rPr>
          <w:rFonts w:ascii="Arial" w:cs="Arial" w:eastAsia="Arial" w:hAnsi="Arial"/>
          <w:sz w:val="16"/>
          <w:szCs w:val="16"/>
          <w:color w:val="3B3C43"/>
        </w:rPr>
        <w:t xml:space="preserve"> above for the reasons why the Board is recommending that the shareholders vote “FOR” the 2020 Directors’ Remuneration Report.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Is this vote binding on the Board or the Compensation Committee?</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3B3C43"/>
        </w:rPr>
        <w:t>This vote is advisory only, pursuant to the Companies Act, and our directors’ entitlement to receive remuneration is not conditional on it. Payments made or promised to directors will not have to be repaid, reduced, or withheld in the event that the resolution is not passed.</w:t>
      </w:r>
    </w:p>
    <w:p>
      <w:pPr>
        <w:spacing w:after="0" w:line="16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3B3C43"/>
        </w:rPr>
        <w:t>The resolution and vote are a means of providing shareholder feedback to the Board. The Board values shareholders’ feedback, and the Compensation Committee will review and consider the outcome of the vote in connection with the ongoing review of the Company’s executive director and non-executive director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600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How does the Board recommend that I vote?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The Board recommends that you vote “FOR” this proposal.</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132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329" w:right="47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460"/>
        <w:spacing w:after="0" w:line="250" w:lineRule="auto"/>
        <w:rPr>
          <w:sz w:val="20"/>
          <w:szCs w:val="20"/>
          <w:color w:val="auto"/>
        </w:rPr>
      </w:pPr>
      <w:r>
        <w:rPr>
          <w:rFonts w:ascii="Arial" w:cs="Arial" w:eastAsia="Arial" w:hAnsi="Arial"/>
          <w:sz w:val="67"/>
          <w:szCs w:val="67"/>
          <w:color w:val="4B1F68"/>
        </w:rPr>
        <w:t>Proposal 4 — Prospective Directors’ Remuneration Policy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am I voting on?</w:t>
      </w:r>
    </w:p>
    <w:p>
      <w:pPr>
        <w:spacing w:after="0" w:line="2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3B3C43"/>
        </w:rPr>
        <w:t>As a company governed by the Companies Act and in accordance with Section 439 thereof, we are asking shareholders to approve our prospective Directors’ Remuneration Policy, the form of which is presented in the 2020 Directors’ Remuneration Report of our U.K. Annual Report. The Directors’ Remuneration Policy describes the Company’s forward-looking policy on directors’ remuneration, including information on payments to directors for loss of office.</w:t>
      </w:r>
    </w:p>
    <w:p>
      <w:pPr>
        <w:spacing w:after="0" w:line="175"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3B3C43"/>
        </w:rPr>
        <w:t>The Directors’ Remuneration Policy is subject to a binding shareholders’ vote by ordinary resolution at least once every three years, the last of which occurred at our 2018 Annual Meeting. If approved, the Directors’ Remuneration Policy will take effect following the Annual Meeting. On approval of the Directors’ Remuneration Policy, all payments by the Company to its directors and former directors will be made in accordance with the Directors’ Remuneration Policy, unless a payment has been separately approved by a shareholder resolution.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happens if this resolution is not approved?</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If the Directors’ Remuneration Policy is not approved at the Annual Meeting, the Company will incur additional expenses to comply with English law as it will be required to hold additional shareholder meetings until a policy is approved. In addition, if the Directors’ Remuneration Policy is not approved, the Company may not be able to pay expected compensation to its directors, including the Chairman and CEO, which could materially harm its ability to attract and retain quality directors and top executives and to manage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3600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How does the Board recommend that I vote?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The Board recommends that you vote “FOR” this proposal.</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133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329" w:right="41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67"/>
          <w:szCs w:val="67"/>
          <w:color w:val="4B1F68"/>
        </w:rPr>
        <w:t>Proposal 5 — Receipt of U.K.</w:t>
      </w:r>
    </w:p>
    <w:p>
      <w:pPr>
        <w:spacing w:after="0" w:line="1" w:lineRule="exact"/>
        <w:rPr>
          <w:sz w:val="20"/>
          <w:szCs w:val="20"/>
          <w:color w:val="auto"/>
        </w:rPr>
      </w:pPr>
    </w:p>
    <w:p>
      <w:pPr>
        <w:spacing w:after="0"/>
        <w:rPr>
          <w:sz w:val="20"/>
          <w:szCs w:val="20"/>
          <w:color w:val="auto"/>
        </w:rPr>
      </w:pPr>
      <w:r>
        <w:rPr>
          <w:rFonts w:ascii="Arial" w:cs="Arial" w:eastAsia="Arial" w:hAnsi="Arial"/>
          <w:sz w:val="67"/>
          <w:szCs w:val="67"/>
          <w:color w:val="4B1F68"/>
        </w:rPr>
        <w:t>Annual Report and Accounts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am I voting on?</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3B3C43"/>
        </w:rPr>
        <w:t>Along with this Proxy Statement, the Company is providing its U.K. Annual Report and Accounts, including the related directors’ and auditor’s report, for the year ended December 31, 2020. Under the Companies Act, our shareholders must vote to receive the U.K. Annual Report and Accounts and related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3600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How does the Board recommend that I vote?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The Board recommends that you vote “FOR” this proposal.</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134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1500"/>
        <w:spacing w:after="0" w:line="250" w:lineRule="auto"/>
        <w:rPr>
          <w:sz w:val="20"/>
          <w:szCs w:val="20"/>
          <w:color w:val="auto"/>
        </w:rPr>
      </w:pPr>
      <w:r>
        <w:rPr>
          <w:rFonts w:ascii="Arial" w:cs="Arial" w:eastAsia="Arial" w:hAnsi="Arial"/>
          <w:sz w:val="67"/>
          <w:szCs w:val="67"/>
          <w:color w:val="4B1F68"/>
        </w:rPr>
        <w:t>Proposal 6 — Ratification of U.S. Auditor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am I voting on?</w:t>
      </w:r>
    </w:p>
    <w:p>
      <w:pPr>
        <w:spacing w:after="0" w:line="25"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3B3C43"/>
        </w:rPr>
        <w:t>The Audit Committee has appointed PwC as the Company’s U.S. independent registered public accounting firm for the fiscal year ending December 31, 2021, subject to ratification by the Company’s shareholders. Although the ratification of this appointment is not required to be submitted to a vote of the shareholders, the Board believes it appropriate as a matter of policy to request that the shareholders ratify the appointment of the independent registered public accounting firm for the year ending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3B3C43"/>
        </w:rPr>
        <w:t>If this proposal is not approved, the Audit Committee will reconsider the appointment, but may decide to maintain its appointment of PwC.</w:t>
      </w:r>
    </w:p>
    <w:p>
      <w:pPr>
        <w:spacing w:after="0" w:line="194"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3B3C43"/>
        </w:rPr>
        <w:t>Representatives of PwC are expected to be present at the Annual Meeting. They will have an opportunity to make a statement if they so desire and will be available to respond to appropriate questions.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How much was the independent registered public accounting firm paid for 2020 and 2019?</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Set forth below is summary information with respect to PwC’s fees for services provided in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121920</wp:posOffset>
            </wp:positionV>
            <wp:extent cx="8255" cy="3257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121920</wp:posOffset>
            </wp:positionV>
            <wp:extent cx="8890" cy="3257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32575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20" w:type="dxa"/>
            <w:vAlign w:val="bottom"/>
            <w:shd w:val="clear" w:color="auto" w:fill="4A1F67"/>
          </w:tcPr>
          <w:p>
            <w:pPr>
              <w:spacing w:after="0"/>
              <w:rPr>
                <w:sz w:val="21"/>
                <w:szCs w:val="21"/>
                <w:color w:val="auto"/>
              </w:rPr>
            </w:pPr>
          </w:p>
        </w:tc>
        <w:tc>
          <w:tcPr>
            <w:tcW w:w="4820" w:type="dxa"/>
            <w:vAlign w:val="bottom"/>
            <w:shd w:val="clear" w:color="auto" w:fill="4A1F67"/>
          </w:tcPr>
          <w:p>
            <w:pPr>
              <w:jc w:val="right"/>
              <w:ind w:right="419"/>
              <w:spacing w:after="0"/>
              <w:rPr>
                <w:sz w:val="20"/>
                <w:szCs w:val="20"/>
                <w:color w:val="auto"/>
              </w:rPr>
            </w:pPr>
            <w:r>
              <w:rPr>
                <w:rFonts w:ascii="Arial" w:cs="Arial" w:eastAsia="Arial" w:hAnsi="Arial"/>
                <w:sz w:val="16"/>
                <w:szCs w:val="16"/>
                <w:b w:val="1"/>
                <w:bCs w:val="1"/>
                <w:color w:val="FFFFFF"/>
              </w:rPr>
              <w:t>2020</w:t>
            </w:r>
          </w:p>
        </w:tc>
        <w:tc>
          <w:tcPr>
            <w:tcW w:w="1500" w:type="dxa"/>
            <w:vAlign w:val="bottom"/>
            <w:shd w:val="clear" w:color="auto" w:fill="4A1F67"/>
          </w:tcPr>
          <w:p>
            <w:pPr>
              <w:jc w:val="right"/>
              <w:spacing w:after="0"/>
              <w:rPr>
                <w:sz w:val="20"/>
                <w:szCs w:val="20"/>
                <w:color w:val="auto"/>
              </w:rPr>
            </w:pPr>
            <w:r>
              <w:rPr>
                <w:rFonts w:ascii="Arial" w:cs="Arial" w:eastAsia="Arial" w:hAnsi="Arial"/>
                <w:sz w:val="16"/>
                <w:szCs w:val="16"/>
                <w:b w:val="1"/>
                <w:bCs w:val="1"/>
                <w:color w:val="FFFFFF"/>
              </w:rPr>
              <w:t>2019</w:t>
            </w:r>
          </w:p>
        </w:tc>
      </w:tr>
      <w:tr>
        <w:trPr>
          <w:trHeight w:val="241"/>
        </w:trPr>
        <w:tc>
          <w:tcPr>
            <w:tcW w:w="4920" w:type="dxa"/>
            <w:vAlign w:val="bottom"/>
            <w:tcBorders>
              <w:bottom w:val="single" w:sz="8" w:color="4A1F67"/>
            </w:tcBorders>
            <w:shd w:val="clear" w:color="auto" w:fill="4A1F67"/>
          </w:tcPr>
          <w:p>
            <w:pPr>
              <w:ind w:left="100"/>
              <w:spacing w:after="0"/>
              <w:rPr>
                <w:sz w:val="20"/>
                <w:szCs w:val="20"/>
                <w:color w:val="auto"/>
              </w:rPr>
            </w:pPr>
            <w:r>
              <w:rPr>
                <w:rFonts w:ascii="Arial" w:cs="Arial" w:eastAsia="Arial" w:hAnsi="Arial"/>
                <w:sz w:val="16"/>
                <w:szCs w:val="16"/>
                <w:b w:val="1"/>
                <w:bCs w:val="1"/>
                <w:color w:val="FFFFFF"/>
              </w:rPr>
              <w:t>Type of Fees</w:t>
            </w:r>
          </w:p>
        </w:tc>
        <w:tc>
          <w:tcPr>
            <w:tcW w:w="4820" w:type="dxa"/>
            <w:vAlign w:val="bottom"/>
            <w:tcBorders>
              <w:bottom w:val="single" w:sz="8" w:color="4A1F67"/>
            </w:tcBorders>
            <w:shd w:val="clear" w:color="auto" w:fill="4A1F67"/>
          </w:tcPr>
          <w:p>
            <w:pPr>
              <w:jc w:val="right"/>
              <w:ind w:right="419"/>
              <w:spacing w:after="0"/>
              <w:rPr>
                <w:sz w:val="20"/>
                <w:szCs w:val="20"/>
                <w:color w:val="auto"/>
              </w:rPr>
            </w:pPr>
            <w:r>
              <w:rPr>
                <w:rFonts w:ascii="Arial" w:cs="Arial" w:eastAsia="Arial" w:hAnsi="Arial"/>
                <w:sz w:val="16"/>
                <w:szCs w:val="16"/>
                <w:b w:val="1"/>
                <w:bCs w:val="1"/>
                <w:color w:val="FFFFFF"/>
              </w:rPr>
              <w:t>(in millions)</w:t>
            </w:r>
          </w:p>
        </w:tc>
        <w:tc>
          <w:tcPr>
            <w:tcW w:w="1500" w:type="dxa"/>
            <w:vAlign w:val="bottom"/>
            <w:tcBorders>
              <w:bottom w:val="single" w:sz="8" w:color="4A1F67"/>
            </w:tcBorders>
            <w:shd w:val="clear" w:color="auto" w:fill="4A1F67"/>
          </w:tcPr>
          <w:p>
            <w:pPr>
              <w:jc w:val="right"/>
              <w:spacing w:after="0"/>
              <w:rPr>
                <w:sz w:val="20"/>
                <w:szCs w:val="20"/>
                <w:color w:val="auto"/>
              </w:rPr>
            </w:pPr>
            <w:r>
              <w:rPr>
                <w:rFonts w:ascii="Arial" w:cs="Arial" w:eastAsia="Arial" w:hAnsi="Arial"/>
                <w:sz w:val="16"/>
                <w:szCs w:val="16"/>
                <w:b w:val="1"/>
                <w:bCs w:val="1"/>
                <w:color w:val="FFFFFF"/>
              </w:rPr>
              <w:t>(in millions)</w:t>
            </w:r>
          </w:p>
        </w:tc>
      </w:tr>
      <w:tr>
        <w:trPr>
          <w:trHeight w:val="224"/>
        </w:trPr>
        <w:tc>
          <w:tcPr>
            <w:tcW w:w="4920" w:type="dxa"/>
            <w:vAlign w:val="bottom"/>
          </w:tcPr>
          <w:p>
            <w:pPr>
              <w:ind w:left="100"/>
              <w:spacing w:after="0"/>
              <w:rPr>
                <w:sz w:val="20"/>
                <w:szCs w:val="20"/>
                <w:color w:val="auto"/>
              </w:rPr>
            </w:pPr>
            <w:r>
              <w:rPr>
                <w:rFonts w:ascii="Arial" w:cs="Arial" w:eastAsia="Arial" w:hAnsi="Arial"/>
                <w:sz w:val="16"/>
                <w:szCs w:val="16"/>
                <w:color w:val="3B3C43"/>
              </w:rPr>
              <w:t>Audit Fees</w:t>
            </w:r>
          </w:p>
        </w:tc>
        <w:tc>
          <w:tcPr>
            <w:tcW w:w="4820" w:type="dxa"/>
            <w:vAlign w:val="bottom"/>
          </w:tcPr>
          <w:p>
            <w:pPr>
              <w:jc w:val="right"/>
              <w:ind w:right="419"/>
              <w:spacing w:after="0"/>
              <w:rPr>
                <w:sz w:val="20"/>
                <w:szCs w:val="20"/>
                <w:color w:val="auto"/>
              </w:rPr>
            </w:pPr>
            <w:r>
              <w:rPr>
                <w:rFonts w:ascii="Arial" w:cs="Arial" w:eastAsia="Arial" w:hAnsi="Arial"/>
                <w:sz w:val="16"/>
                <w:szCs w:val="16"/>
                <w:color w:val="3B3C43"/>
              </w:rPr>
              <w:t>$22.01</w:t>
            </w:r>
          </w:p>
        </w:tc>
        <w:tc>
          <w:tcPr>
            <w:tcW w:w="1500" w:type="dxa"/>
            <w:vAlign w:val="bottom"/>
          </w:tcPr>
          <w:p>
            <w:pPr>
              <w:jc w:val="right"/>
              <w:spacing w:after="0"/>
              <w:rPr>
                <w:sz w:val="20"/>
                <w:szCs w:val="20"/>
                <w:color w:val="auto"/>
              </w:rPr>
            </w:pPr>
            <w:r>
              <w:rPr>
                <w:rFonts w:ascii="Arial" w:cs="Arial" w:eastAsia="Arial" w:hAnsi="Arial"/>
                <w:sz w:val="16"/>
                <w:szCs w:val="16"/>
                <w:color w:val="3B3C43"/>
              </w:rPr>
              <w:t>$22.80</w:t>
            </w:r>
          </w:p>
        </w:tc>
      </w:tr>
      <w:tr>
        <w:trPr>
          <w:trHeight w:val="46"/>
        </w:trPr>
        <w:tc>
          <w:tcPr>
            <w:tcW w:w="4920" w:type="dxa"/>
            <w:vAlign w:val="bottom"/>
            <w:tcBorders>
              <w:bottom w:val="single" w:sz="8" w:color="E1E2E0"/>
            </w:tcBorders>
          </w:tcPr>
          <w:p>
            <w:pPr>
              <w:spacing w:after="0"/>
              <w:rPr>
                <w:sz w:val="4"/>
                <w:szCs w:val="4"/>
                <w:color w:val="auto"/>
              </w:rPr>
            </w:pPr>
          </w:p>
        </w:tc>
        <w:tc>
          <w:tcPr>
            <w:tcW w:w="4820" w:type="dxa"/>
            <w:vAlign w:val="bottom"/>
            <w:tcBorders>
              <w:bottom w:val="single" w:sz="8" w:color="E1E2E0"/>
            </w:tcBorders>
          </w:tcPr>
          <w:p>
            <w:pPr>
              <w:spacing w:after="0"/>
              <w:rPr>
                <w:sz w:val="4"/>
                <w:szCs w:val="4"/>
                <w:color w:val="auto"/>
              </w:rPr>
            </w:pPr>
          </w:p>
        </w:tc>
        <w:tc>
          <w:tcPr>
            <w:tcW w:w="1500" w:type="dxa"/>
            <w:vAlign w:val="bottom"/>
            <w:tcBorders>
              <w:bottom w:val="single" w:sz="8" w:color="E1E2E0"/>
            </w:tcBorders>
          </w:tcPr>
          <w:p>
            <w:pPr>
              <w:spacing w:after="0"/>
              <w:rPr>
                <w:sz w:val="4"/>
                <w:szCs w:val="4"/>
                <w:color w:val="auto"/>
              </w:rPr>
            </w:pPr>
          </w:p>
        </w:tc>
      </w:tr>
      <w:tr>
        <w:trPr>
          <w:trHeight w:val="217"/>
        </w:trPr>
        <w:tc>
          <w:tcPr>
            <w:tcW w:w="4920" w:type="dxa"/>
            <w:vAlign w:val="bottom"/>
          </w:tcPr>
          <w:p>
            <w:pPr>
              <w:ind w:left="100"/>
              <w:spacing w:after="0"/>
              <w:rPr>
                <w:sz w:val="20"/>
                <w:szCs w:val="20"/>
                <w:color w:val="auto"/>
              </w:rPr>
            </w:pPr>
            <w:r>
              <w:rPr>
                <w:rFonts w:ascii="Arial" w:cs="Arial" w:eastAsia="Arial" w:hAnsi="Arial"/>
                <w:sz w:val="16"/>
                <w:szCs w:val="16"/>
                <w:color w:val="3B3C43"/>
              </w:rPr>
              <w:t>Audit-Related Fees</w:t>
            </w:r>
          </w:p>
        </w:tc>
        <w:tc>
          <w:tcPr>
            <w:tcW w:w="4820" w:type="dxa"/>
            <w:vAlign w:val="bottom"/>
          </w:tcPr>
          <w:p>
            <w:pPr>
              <w:jc w:val="right"/>
              <w:ind w:right="419"/>
              <w:spacing w:after="0"/>
              <w:rPr>
                <w:sz w:val="20"/>
                <w:szCs w:val="20"/>
                <w:color w:val="auto"/>
              </w:rPr>
            </w:pPr>
            <w:r>
              <w:rPr>
                <w:rFonts w:ascii="Arial" w:cs="Arial" w:eastAsia="Arial" w:hAnsi="Arial"/>
                <w:sz w:val="16"/>
                <w:szCs w:val="16"/>
                <w:color w:val="3B3C43"/>
              </w:rPr>
              <w:t>3.53</w:t>
            </w:r>
          </w:p>
        </w:tc>
        <w:tc>
          <w:tcPr>
            <w:tcW w:w="1500" w:type="dxa"/>
            <w:vAlign w:val="bottom"/>
          </w:tcPr>
          <w:p>
            <w:pPr>
              <w:jc w:val="right"/>
              <w:spacing w:after="0"/>
              <w:rPr>
                <w:sz w:val="20"/>
                <w:szCs w:val="20"/>
                <w:color w:val="auto"/>
              </w:rPr>
            </w:pPr>
            <w:r>
              <w:rPr>
                <w:rFonts w:ascii="Arial" w:cs="Arial" w:eastAsia="Arial" w:hAnsi="Arial"/>
                <w:sz w:val="16"/>
                <w:szCs w:val="16"/>
                <w:color w:val="3B3C43"/>
              </w:rPr>
              <w:t>0.06</w:t>
            </w:r>
          </w:p>
        </w:tc>
      </w:tr>
      <w:tr>
        <w:trPr>
          <w:trHeight w:val="46"/>
        </w:trPr>
        <w:tc>
          <w:tcPr>
            <w:tcW w:w="4920" w:type="dxa"/>
            <w:vAlign w:val="bottom"/>
            <w:tcBorders>
              <w:bottom w:val="single" w:sz="8" w:color="E1E2E0"/>
            </w:tcBorders>
          </w:tcPr>
          <w:p>
            <w:pPr>
              <w:spacing w:after="0"/>
              <w:rPr>
                <w:sz w:val="4"/>
                <w:szCs w:val="4"/>
                <w:color w:val="auto"/>
              </w:rPr>
            </w:pPr>
          </w:p>
        </w:tc>
        <w:tc>
          <w:tcPr>
            <w:tcW w:w="4820" w:type="dxa"/>
            <w:vAlign w:val="bottom"/>
            <w:tcBorders>
              <w:bottom w:val="single" w:sz="8" w:color="E1E2E0"/>
            </w:tcBorders>
          </w:tcPr>
          <w:p>
            <w:pPr>
              <w:spacing w:after="0"/>
              <w:rPr>
                <w:sz w:val="4"/>
                <w:szCs w:val="4"/>
                <w:color w:val="auto"/>
              </w:rPr>
            </w:pPr>
          </w:p>
        </w:tc>
        <w:tc>
          <w:tcPr>
            <w:tcW w:w="1500" w:type="dxa"/>
            <w:vAlign w:val="bottom"/>
            <w:tcBorders>
              <w:bottom w:val="single" w:sz="8" w:color="E1E2E0"/>
            </w:tcBorders>
          </w:tcPr>
          <w:p>
            <w:pPr>
              <w:spacing w:after="0"/>
              <w:rPr>
                <w:sz w:val="4"/>
                <w:szCs w:val="4"/>
                <w:color w:val="auto"/>
              </w:rPr>
            </w:pPr>
          </w:p>
        </w:tc>
      </w:tr>
      <w:tr>
        <w:trPr>
          <w:trHeight w:val="217"/>
        </w:trPr>
        <w:tc>
          <w:tcPr>
            <w:tcW w:w="4920" w:type="dxa"/>
            <w:vAlign w:val="bottom"/>
          </w:tcPr>
          <w:p>
            <w:pPr>
              <w:ind w:left="100"/>
              <w:spacing w:after="0"/>
              <w:rPr>
                <w:sz w:val="20"/>
                <w:szCs w:val="20"/>
                <w:color w:val="auto"/>
              </w:rPr>
            </w:pPr>
            <w:r>
              <w:rPr>
                <w:rFonts w:ascii="Arial" w:cs="Arial" w:eastAsia="Arial" w:hAnsi="Arial"/>
                <w:sz w:val="16"/>
                <w:szCs w:val="16"/>
                <w:color w:val="3B3C43"/>
              </w:rPr>
              <w:t>Tax Fees</w:t>
            </w:r>
          </w:p>
        </w:tc>
        <w:tc>
          <w:tcPr>
            <w:tcW w:w="4820" w:type="dxa"/>
            <w:vAlign w:val="bottom"/>
          </w:tcPr>
          <w:p>
            <w:pPr>
              <w:jc w:val="right"/>
              <w:ind w:right="419"/>
              <w:spacing w:after="0"/>
              <w:rPr>
                <w:sz w:val="20"/>
                <w:szCs w:val="20"/>
                <w:color w:val="auto"/>
              </w:rPr>
            </w:pPr>
            <w:r>
              <w:rPr>
                <w:rFonts w:ascii="Arial" w:cs="Arial" w:eastAsia="Arial" w:hAnsi="Arial"/>
                <w:sz w:val="16"/>
                <w:szCs w:val="16"/>
                <w:color w:val="3B3C43"/>
              </w:rPr>
              <w:t>0.15</w:t>
            </w:r>
          </w:p>
        </w:tc>
        <w:tc>
          <w:tcPr>
            <w:tcW w:w="1500" w:type="dxa"/>
            <w:vAlign w:val="bottom"/>
          </w:tcPr>
          <w:p>
            <w:pPr>
              <w:jc w:val="right"/>
              <w:spacing w:after="0"/>
              <w:rPr>
                <w:sz w:val="20"/>
                <w:szCs w:val="20"/>
                <w:color w:val="auto"/>
              </w:rPr>
            </w:pPr>
            <w:r>
              <w:rPr>
                <w:rFonts w:ascii="Arial" w:cs="Arial" w:eastAsia="Arial" w:hAnsi="Arial"/>
                <w:sz w:val="16"/>
                <w:szCs w:val="16"/>
                <w:color w:val="3B3C43"/>
              </w:rPr>
              <w:t>0.13</w:t>
            </w:r>
          </w:p>
        </w:tc>
      </w:tr>
      <w:tr>
        <w:trPr>
          <w:trHeight w:val="47"/>
        </w:trPr>
        <w:tc>
          <w:tcPr>
            <w:tcW w:w="4920" w:type="dxa"/>
            <w:vAlign w:val="bottom"/>
            <w:tcBorders>
              <w:bottom w:val="single" w:sz="8" w:color="E1E2E0"/>
            </w:tcBorders>
          </w:tcPr>
          <w:p>
            <w:pPr>
              <w:spacing w:after="0"/>
              <w:rPr>
                <w:sz w:val="4"/>
                <w:szCs w:val="4"/>
                <w:color w:val="auto"/>
              </w:rPr>
            </w:pPr>
          </w:p>
        </w:tc>
        <w:tc>
          <w:tcPr>
            <w:tcW w:w="4820" w:type="dxa"/>
            <w:vAlign w:val="bottom"/>
            <w:tcBorders>
              <w:bottom w:val="single" w:sz="8" w:color="E1E2E0"/>
            </w:tcBorders>
          </w:tcPr>
          <w:p>
            <w:pPr>
              <w:spacing w:after="0"/>
              <w:rPr>
                <w:sz w:val="4"/>
                <w:szCs w:val="4"/>
                <w:color w:val="auto"/>
              </w:rPr>
            </w:pPr>
          </w:p>
        </w:tc>
        <w:tc>
          <w:tcPr>
            <w:tcW w:w="1500" w:type="dxa"/>
            <w:vAlign w:val="bottom"/>
            <w:tcBorders>
              <w:bottom w:val="single" w:sz="8" w:color="E1E2E0"/>
            </w:tcBorders>
          </w:tcPr>
          <w:p>
            <w:pPr>
              <w:spacing w:after="0"/>
              <w:rPr>
                <w:sz w:val="4"/>
                <w:szCs w:val="4"/>
                <w:color w:val="auto"/>
              </w:rPr>
            </w:pPr>
          </w:p>
        </w:tc>
      </w:tr>
      <w:tr>
        <w:trPr>
          <w:trHeight w:val="217"/>
        </w:trPr>
        <w:tc>
          <w:tcPr>
            <w:tcW w:w="4920" w:type="dxa"/>
            <w:vAlign w:val="bottom"/>
          </w:tcPr>
          <w:p>
            <w:pPr>
              <w:ind w:left="100"/>
              <w:spacing w:after="0"/>
              <w:rPr>
                <w:sz w:val="20"/>
                <w:szCs w:val="20"/>
                <w:color w:val="auto"/>
              </w:rPr>
            </w:pPr>
            <w:r>
              <w:rPr>
                <w:rFonts w:ascii="Arial" w:cs="Arial" w:eastAsia="Arial" w:hAnsi="Arial"/>
                <w:sz w:val="16"/>
                <w:szCs w:val="16"/>
                <w:color w:val="3B3C43"/>
              </w:rPr>
              <w:t>Other</w:t>
            </w:r>
          </w:p>
        </w:tc>
        <w:tc>
          <w:tcPr>
            <w:tcW w:w="4820" w:type="dxa"/>
            <w:vAlign w:val="bottom"/>
          </w:tcPr>
          <w:p>
            <w:pPr>
              <w:jc w:val="right"/>
              <w:ind w:right="419"/>
              <w:spacing w:after="0"/>
              <w:rPr>
                <w:sz w:val="20"/>
                <w:szCs w:val="20"/>
                <w:color w:val="auto"/>
              </w:rPr>
            </w:pPr>
            <w:r>
              <w:rPr>
                <w:rFonts w:ascii="Arial" w:cs="Arial" w:eastAsia="Arial" w:hAnsi="Arial"/>
                <w:sz w:val="16"/>
                <w:szCs w:val="16"/>
                <w:color w:val="3B3C43"/>
              </w:rPr>
              <w:t>0.17</w:t>
            </w:r>
          </w:p>
        </w:tc>
        <w:tc>
          <w:tcPr>
            <w:tcW w:w="1500" w:type="dxa"/>
            <w:vAlign w:val="bottom"/>
          </w:tcPr>
          <w:p>
            <w:pPr>
              <w:jc w:val="right"/>
              <w:spacing w:after="0"/>
              <w:rPr>
                <w:sz w:val="20"/>
                <w:szCs w:val="20"/>
                <w:color w:val="auto"/>
              </w:rPr>
            </w:pPr>
            <w:r>
              <w:rPr>
                <w:rFonts w:ascii="Arial" w:cs="Arial" w:eastAsia="Arial" w:hAnsi="Arial"/>
                <w:sz w:val="16"/>
                <w:szCs w:val="16"/>
                <w:color w:val="3B3C43"/>
              </w:rPr>
              <w:t>0</w:t>
            </w:r>
          </w:p>
        </w:tc>
      </w:tr>
      <w:tr>
        <w:trPr>
          <w:trHeight w:val="47"/>
        </w:trPr>
        <w:tc>
          <w:tcPr>
            <w:tcW w:w="4920" w:type="dxa"/>
            <w:vAlign w:val="bottom"/>
            <w:tcBorders>
              <w:bottom w:val="single" w:sz="8" w:color="6A6D71"/>
            </w:tcBorders>
          </w:tcPr>
          <w:p>
            <w:pPr>
              <w:spacing w:after="0"/>
              <w:rPr>
                <w:sz w:val="4"/>
                <w:szCs w:val="4"/>
                <w:color w:val="auto"/>
              </w:rPr>
            </w:pPr>
          </w:p>
        </w:tc>
        <w:tc>
          <w:tcPr>
            <w:tcW w:w="4820" w:type="dxa"/>
            <w:vAlign w:val="bottom"/>
            <w:tcBorders>
              <w:bottom w:val="single" w:sz="8" w:color="6A6D71"/>
            </w:tcBorders>
          </w:tcPr>
          <w:p>
            <w:pPr>
              <w:spacing w:after="0"/>
              <w:rPr>
                <w:sz w:val="4"/>
                <w:szCs w:val="4"/>
                <w:color w:val="auto"/>
              </w:rPr>
            </w:pPr>
          </w:p>
        </w:tc>
        <w:tc>
          <w:tcPr>
            <w:tcW w:w="1500" w:type="dxa"/>
            <w:vAlign w:val="bottom"/>
            <w:tcBorders>
              <w:bottom w:val="single" w:sz="8" w:color="6A6D71"/>
            </w:tcBorders>
          </w:tcPr>
          <w:p>
            <w:pPr>
              <w:spacing w:after="0"/>
              <w:rPr>
                <w:sz w:val="4"/>
                <w:szCs w:val="4"/>
                <w:color w:val="auto"/>
              </w:rPr>
            </w:pPr>
          </w:p>
        </w:tc>
      </w:tr>
      <w:tr>
        <w:trPr>
          <w:trHeight w:val="217"/>
        </w:trPr>
        <w:tc>
          <w:tcPr>
            <w:tcW w:w="4920" w:type="dxa"/>
            <w:vAlign w:val="bottom"/>
          </w:tcPr>
          <w:p>
            <w:pPr>
              <w:ind w:left="100"/>
              <w:spacing w:after="0"/>
              <w:rPr>
                <w:sz w:val="20"/>
                <w:szCs w:val="20"/>
                <w:color w:val="auto"/>
              </w:rPr>
            </w:pPr>
            <w:r>
              <w:rPr>
                <w:rFonts w:ascii="Arial" w:cs="Arial" w:eastAsia="Arial" w:hAnsi="Arial"/>
                <w:sz w:val="16"/>
                <w:szCs w:val="16"/>
                <w:b w:val="1"/>
                <w:bCs w:val="1"/>
                <w:color w:val="3B3C43"/>
              </w:rPr>
              <w:t>Total</w:t>
            </w:r>
          </w:p>
        </w:tc>
        <w:tc>
          <w:tcPr>
            <w:tcW w:w="4820" w:type="dxa"/>
            <w:vAlign w:val="bottom"/>
          </w:tcPr>
          <w:p>
            <w:pPr>
              <w:jc w:val="right"/>
              <w:ind w:right="419"/>
              <w:spacing w:after="0"/>
              <w:rPr>
                <w:sz w:val="20"/>
                <w:szCs w:val="20"/>
                <w:color w:val="auto"/>
              </w:rPr>
            </w:pPr>
            <w:r>
              <w:rPr>
                <w:rFonts w:ascii="Arial" w:cs="Arial" w:eastAsia="Arial" w:hAnsi="Arial"/>
                <w:sz w:val="16"/>
                <w:szCs w:val="16"/>
                <w:b w:val="1"/>
                <w:bCs w:val="1"/>
                <w:color w:val="3B3C43"/>
              </w:rPr>
              <w:t>$25.86</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3B3C43"/>
              </w:rPr>
              <w:t>$22.99</w:t>
            </w:r>
          </w:p>
        </w:tc>
      </w:tr>
      <w:tr>
        <w:trPr>
          <w:trHeight w:val="47"/>
        </w:trPr>
        <w:tc>
          <w:tcPr>
            <w:tcW w:w="4920" w:type="dxa"/>
            <w:vAlign w:val="bottom"/>
            <w:tcBorders>
              <w:bottom w:val="single" w:sz="8" w:color="E1E2E0"/>
            </w:tcBorders>
          </w:tcPr>
          <w:p>
            <w:pPr>
              <w:spacing w:after="0"/>
              <w:rPr>
                <w:sz w:val="4"/>
                <w:szCs w:val="4"/>
                <w:color w:val="auto"/>
              </w:rPr>
            </w:pPr>
          </w:p>
        </w:tc>
        <w:tc>
          <w:tcPr>
            <w:tcW w:w="4820" w:type="dxa"/>
            <w:vAlign w:val="bottom"/>
            <w:tcBorders>
              <w:bottom w:val="single" w:sz="8" w:color="E1E2E0"/>
            </w:tcBorders>
          </w:tcPr>
          <w:p>
            <w:pPr>
              <w:spacing w:after="0"/>
              <w:rPr>
                <w:sz w:val="4"/>
                <w:szCs w:val="4"/>
                <w:color w:val="auto"/>
              </w:rPr>
            </w:pPr>
          </w:p>
        </w:tc>
        <w:tc>
          <w:tcPr>
            <w:tcW w:w="1500" w:type="dxa"/>
            <w:vAlign w:val="bottom"/>
            <w:tcBorders>
              <w:bottom w:val="single" w:sz="8" w:color="E1E2E0"/>
            </w:tcBorders>
          </w:tcPr>
          <w:p>
            <w:pPr>
              <w:spacing w:after="0"/>
              <w:rPr>
                <w:sz w:val="4"/>
                <w:szCs w:val="4"/>
                <w:color w:val="auto"/>
              </w:rPr>
            </w:pPr>
          </w:p>
        </w:tc>
      </w:tr>
    </w:tbl>
    <w:p>
      <w:pPr>
        <w:spacing w:after="0" w:line="24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3B3C43"/>
        </w:rPr>
        <w:t>“Audit Fees” includes fees for audit services, which relate to the annual integrated audit of consolidated financial statements, foreign statutory audits, and reviews of interim financial statements in Quarterly Reports on Form 10-Q. For 2020, “Audit Fees” also include approximately $5.48 million in additional audit fees associated with the Spin-off transaction. “Audit-Related Fees” includes fees for audit-related services, which primarily consist of transactional services associated with the Spin-off and consultation on financial reporting standards in 2020 and 2019, respectively. “Tax Fees” includes fees for tax services, consisting of tax compliance services and tax planning and consultation with respect to various corporate tax matters. “Other Fees” includes fees for other services, including fees for services of expatriates and miscellaneous services.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135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are the Company’s pre-approval policies and procedures?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3B3C43"/>
        </w:rPr>
        <w:t>The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The Audit Committee’s practice is to consider for approval, at its regularly scheduled meetings, all audit and non-audit services proposed to be provided by our independent registered public accounting firm. The Audit Committee reviews all relationships between our independent registered public accounting firm and us that may relate to the independent registered public accounting firm’s independence.</w:t>
      </w:r>
    </w:p>
    <w:p>
      <w:pPr>
        <w:spacing w:after="0" w:line="17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3B3C43"/>
        </w:rPr>
        <w:t>The Audit Committee pre-approved all audit, audit-related, tax, and other services provided by PwC for 2020 and 2019 and the estimated costs of those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3600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How does the Board recommend that I vote?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The Board recommends that you vote “FOR” this proposal.</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136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315" w:right="61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2360"/>
        <w:spacing w:after="0" w:line="257" w:lineRule="auto"/>
        <w:rPr>
          <w:sz w:val="20"/>
          <w:szCs w:val="20"/>
          <w:color w:val="auto"/>
        </w:rPr>
      </w:pPr>
      <w:r>
        <w:rPr>
          <w:rFonts w:ascii="Arial" w:cs="Arial" w:eastAsia="Arial" w:hAnsi="Arial"/>
          <w:sz w:val="66"/>
          <w:szCs w:val="66"/>
          <w:color w:val="4B1F68"/>
        </w:rPr>
        <w:t>Proposal 7 — Reappointment of U.K. Statutory Auditor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am I voting on?</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Under the Companies Act, the Company’s U.K. statutory auditor must be reappointed at each meeting at which the U.K. annual report and accounts are presented to shareholders. The Company’s current U.K. statutory auditor is PwC. We are asking shareholders to approve the reappointment of PwC as the Company’s U.K. statutory auditor to hold office from the conclusion of the Annual Meeting until the next annual general meeting of shareholders at which accounts are laid.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3B3C43"/>
        </w:rPr>
        <w:t>If this proposal is not approved, the Board may appoint an auditor to fill the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600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How does the Board recommend that I vote?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The Board recommends that you vote “FOR” this proposal.</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137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329" w:right="47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2100"/>
        <w:spacing w:after="0" w:line="250" w:lineRule="auto"/>
        <w:rPr>
          <w:sz w:val="20"/>
          <w:szCs w:val="20"/>
          <w:color w:val="auto"/>
        </w:rPr>
      </w:pPr>
      <w:r>
        <w:rPr>
          <w:rFonts w:ascii="Arial" w:cs="Arial" w:eastAsia="Arial" w:hAnsi="Arial"/>
          <w:sz w:val="67"/>
          <w:szCs w:val="67"/>
          <w:color w:val="4B1F68"/>
        </w:rPr>
        <w:t>Proposal 8 — Approval of U.K. Statutory Auditor Fees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am I voting on?</w:t>
      </w:r>
    </w:p>
    <w:p>
      <w:pPr>
        <w:spacing w:after="0" w:line="25"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Under the Companies Act, the remuneration of the Company’s U.K. statutory auditor must be fixed in a general meeting or in such manner as may be determined in a general meeting. The Company is asking its shareholders to authorize the Board and/or the Audit Committee to determine the remuneration of PwC in its capacity as the Company’s U.K. statutory auditor under the Companies Act for the year ending December 31, 2021. The Board delegates this authority to determine the remuneration of the Company’s U.K. statutory auditor to the Audit Committee in accordance with the Board’s procedures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3600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How does the Board recommend that I vote?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The Board recommends that you vote “FOR” this proposal.</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138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1680"/>
        <w:spacing w:after="0" w:line="245" w:lineRule="auto"/>
        <w:rPr>
          <w:sz w:val="20"/>
          <w:szCs w:val="20"/>
          <w:color w:val="auto"/>
        </w:rPr>
      </w:pPr>
      <w:r>
        <w:rPr>
          <w:rFonts w:ascii="Arial" w:cs="Arial" w:eastAsia="Arial" w:hAnsi="Arial"/>
          <w:sz w:val="67"/>
          <w:szCs w:val="67"/>
          <w:color w:val="4B1F68"/>
        </w:rPr>
        <w:t>Proposal 9 — Approval of Share Repurchase Contracts and Counterparties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am I voting 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Under the Companies Act, the Company may only repurchase its Ordinary Shares (a) in an “on-market purchase” in accordance with the Companies Act or</w:t>
      </w:r>
    </w:p>
    <w:p>
      <w:pPr>
        <w:spacing w:after="0" w:line="5" w:lineRule="exact"/>
        <w:rPr>
          <w:sz w:val="20"/>
          <w:szCs w:val="20"/>
          <w:color w:val="auto"/>
        </w:rPr>
      </w:pPr>
    </w:p>
    <w:p>
      <w:pPr>
        <w:ind w:right="80" w:firstLine="8"/>
        <w:spacing w:after="0" w:line="251" w:lineRule="auto"/>
        <w:tabs>
          <w:tab w:leader="none" w:pos="243" w:val="left"/>
        </w:tabs>
        <w:numPr>
          <w:ilvl w:val="0"/>
          <w:numId w:val="147"/>
        </w:numPr>
        <w:rPr>
          <w:rFonts w:ascii="Arial" w:cs="Arial" w:eastAsia="Arial" w:hAnsi="Arial"/>
          <w:sz w:val="16"/>
          <w:szCs w:val="16"/>
          <w:color w:val="3B3C43"/>
        </w:rPr>
      </w:pPr>
      <w:r>
        <w:rPr>
          <w:rFonts w:ascii="Arial" w:cs="Arial" w:eastAsia="Arial" w:hAnsi="Arial"/>
          <w:sz w:val="16"/>
          <w:szCs w:val="16"/>
          <w:color w:val="3B3C43"/>
        </w:rPr>
        <w:t>in accordance with specific procedures for “off-market purchases” of such Ordinary Shares. Any repurchase of the Company’s Ordinary Shares through NYSE constitutes an “off-market” transaction. As such, these repurchases may only be made pursuant to a form of share repurchase contract that has been approved by the Company’s shareholders. In addition, the Company may only conduct share repurchases through NYSE and Euronext Paris through counterparties approved by the Company’s shareholders. These approvals, if granted, will be valid for five years.</w:t>
      </w:r>
    </w:p>
    <w:p>
      <w:pPr>
        <w:spacing w:after="0" w:line="175"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3B3C43"/>
        </w:rPr>
        <w:t>Approval of the forms of contract and counterparties are not an approval of the amount or timing of any repurchase activity. There cannot be any assurance as to whether the Company will repurchase any of its Ordinary Shares or as to the amount of any such repurchases or the prices at which such repurchases may be made.</w:t>
      </w:r>
    </w:p>
    <w:p>
      <w:pPr>
        <w:spacing w:after="0" w:line="174"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3B3C43"/>
        </w:rPr>
        <w:t>Any repurchases by the Company of its Ordinary Shares carried out through the NYSE or Euronext Paris pursuant to this authority would be conducted in accordance with all applicable U.S., U.K., and European Union securities laws. TechnipFMC does not currently hold any treasury shares and all Ordinary Shares repurchased under a share repurchase program are expected to be cancelled and not held as treasury shares.</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3B3C43"/>
        </w:rPr>
        <w:t>The Company is seeking authority to make off-market purchases of its Ordinary Shares on the NYSE and Euronext Paris pursuant to this proposal. In certain circumstances, it may be advantageous for the Company to purchase its own shares. If this proposal is approved, the Company’s Board of Directors may approve the repurchase of Ordinary Shares on the NYSE and Euronext Paris. The directors will exercise this power only when, in light of market conditions prevailing at the time, they believe that the effect of such purchases will be in the best interests and to the corporate benefit of shareholders generally. The directors consider it to be desirable for this general authority to be available to provide flexibility in the management of the Company’s capital resources. In addition, other investment opportunities, appropriate gearing levels, and the overall position of the Company will also be taken into account when determining whether to exercise this authority.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are the material terms of the share repurchase contracts?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The Company is seeking the approval of its shareholders of two forms of share repurchase contract (the “</w:t>
      </w:r>
      <w:r>
        <w:rPr>
          <w:rFonts w:ascii="Arial" w:cs="Arial" w:eastAsia="Arial" w:hAnsi="Arial"/>
          <w:sz w:val="16"/>
          <w:szCs w:val="16"/>
          <w:b w:val="1"/>
          <w:bCs w:val="1"/>
          <w:color w:val="3B3C43"/>
        </w:rPr>
        <w:t>Share Repurchase Contracts</w:t>
      </w:r>
      <w:r>
        <w:rPr>
          <w:rFonts w:ascii="Arial" w:cs="Arial" w:eastAsia="Arial" w:hAnsi="Arial"/>
          <w:sz w:val="16"/>
          <w:szCs w:val="16"/>
          <w:color w:val="3B3C43"/>
        </w:rPr>
        <w:t>”):</w:t>
      </w:r>
    </w:p>
    <w:p>
      <w:pPr>
        <w:spacing w:after="0" w:line="194" w:lineRule="exact"/>
        <w:rPr>
          <w:sz w:val="20"/>
          <w:szCs w:val="20"/>
          <w:color w:val="auto"/>
        </w:rPr>
      </w:pPr>
    </w:p>
    <w:p>
      <w:pPr>
        <w:ind w:left="380" w:right="180" w:hanging="183"/>
        <w:spacing w:after="0" w:line="217" w:lineRule="auto"/>
        <w:tabs>
          <w:tab w:leader="none" w:pos="380" w:val="left"/>
        </w:tabs>
        <w:numPr>
          <w:ilvl w:val="0"/>
          <w:numId w:val="148"/>
        </w:numPr>
        <w:rPr>
          <w:rFonts w:ascii="Arial" w:cs="Arial" w:eastAsia="Arial" w:hAnsi="Arial"/>
          <w:sz w:val="25"/>
          <w:szCs w:val="25"/>
          <w:color w:val="4B1F68"/>
          <w:vertAlign w:val="superscript"/>
        </w:rPr>
      </w:pPr>
      <w:r>
        <w:rPr>
          <w:rFonts w:ascii="Arial" w:cs="Arial" w:eastAsia="Arial" w:hAnsi="Arial"/>
          <w:sz w:val="16"/>
          <w:szCs w:val="16"/>
          <w:color w:val="3B3C43"/>
        </w:rPr>
        <w:t>The form of agreement attached as Appendix A to this Proxy Statement provides that the counterparty will purchase Ordinary Shares on the NYSE at such prices and in such quantities as the Company may instruct from time to time, subject to the limitations set forth in Rule 10b-18 of the Exchange Act. The agreement provides that the counterparty will purchase the Ordinary Shares as principal and sell any Ordinary Shares purchased to the Company.</w:t>
      </w:r>
    </w:p>
    <w:p>
      <w:pPr>
        <w:spacing w:after="0" w:line="186" w:lineRule="exact"/>
        <w:rPr>
          <w:rFonts w:ascii="Arial" w:cs="Arial" w:eastAsia="Arial" w:hAnsi="Arial"/>
          <w:sz w:val="25"/>
          <w:szCs w:val="25"/>
          <w:color w:val="4B1F68"/>
          <w:vertAlign w:val="superscript"/>
        </w:rPr>
      </w:pPr>
    </w:p>
    <w:p>
      <w:pPr>
        <w:ind w:left="380" w:right="40" w:hanging="183"/>
        <w:spacing w:after="0" w:line="209" w:lineRule="auto"/>
        <w:tabs>
          <w:tab w:leader="none" w:pos="380" w:val="left"/>
        </w:tabs>
        <w:numPr>
          <w:ilvl w:val="0"/>
          <w:numId w:val="148"/>
        </w:numPr>
        <w:rPr>
          <w:rFonts w:ascii="Arial" w:cs="Arial" w:eastAsia="Arial" w:hAnsi="Arial"/>
          <w:sz w:val="25"/>
          <w:szCs w:val="25"/>
          <w:color w:val="4B1F68"/>
          <w:vertAlign w:val="superscript"/>
        </w:rPr>
      </w:pPr>
      <w:r>
        <w:rPr>
          <w:rFonts w:ascii="Arial" w:cs="Arial" w:eastAsia="Arial" w:hAnsi="Arial"/>
          <w:sz w:val="16"/>
          <w:szCs w:val="16"/>
          <w:color w:val="3B3C43"/>
        </w:rPr>
        <w:t>The form of agreement attached as Appendix B to this Proxy Statement is a form of repurchase plan that the Company may enter into from time to time pursuant to Rule 10b-5 of the Exchange Act to purchase a specified dollar amount of Ordinary Shares on the NYSE or Euronext Paris each day if the Ordinary Shares are trading below a specified price. The amount to be purchased each day, the limit price, and the total amount that may be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139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left="380" w:right="260"/>
        <w:spacing w:after="0" w:line="260" w:lineRule="auto"/>
        <w:rPr>
          <w:sz w:val="20"/>
          <w:szCs w:val="20"/>
          <w:color w:val="auto"/>
        </w:rPr>
      </w:pPr>
      <w:r>
        <w:rPr>
          <w:rFonts w:ascii="Arial" w:cs="Arial" w:eastAsia="Arial" w:hAnsi="Arial"/>
          <w:sz w:val="16"/>
          <w:szCs w:val="16"/>
          <w:color w:val="3B3C43"/>
        </w:rPr>
        <w:t>purchased under the agreement will be determined at the time the plan is executed. The agreement provides that the counterparty will purchase the Ordinary Shares as principal and sell any Ordinary Shares purchased to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Who are the proposed counterparties?</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3B3C43"/>
        </w:rPr>
        <w:t>The Company may only enter into Share Repurchase Contracts with counterparties approved by its shareholders. The Company therefore seeks approval to conduct repurchases through the following counterparties (or their subsidiaries or affiliates from time to time):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20"/>
                <w:szCs w:val="20"/>
                <w:color w:val="auto"/>
              </w:rPr>
            </w:pPr>
            <w:r>
              <w:rPr>
                <w:rFonts w:ascii="Arial" w:cs="Arial" w:eastAsia="Arial" w:hAnsi="Arial"/>
                <w:sz w:val="13"/>
                <w:szCs w:val="13"/>
                <w:color w:val="3B3C43"/>
              </w:rPr>
              <w:t>Bank of America</w:t>
            </w:r>
          </w:p>
        </w:tc>
        <w:tc>
          <w:tcPr>
            <w:tcW w:w="2640" w:type="dxa"/>
            <w:vAlign w:val="bottom"/>
          </w:tcPr>
          <w:p>
            <w:pPr>
              <w:ind w:left="420"/>
              <w:spacing w:after="0"/>
              <w:rPr>
                <w:sz w:val="20"/>
                <w:szCs w:val="20"/>
                <w:color w:val="auto"/>
              </w:rPr>
            </w:pPr>
            <w:r>
              <w:rPr>
                <w:rFonts w:ascii="Arial" w:cs="Arial" w:eastAsia="Arial" w:hAnsi="Arial"/>
                <w:sz w:val="13"/>
                <w:szCs w:val="13"/>
                <w:color w:val="3B3C43"/>
              </w:rPr>
              <w:t>Drexel Hamilton, LLC</w:t>
            </w:r>
          </w:p>
        </w:tc>
        <w:tc>
          <w:tcPr>
            <w:tcW w:w="2980" w:type="dxa"/>
            <w:vAlign w:val="bottom"/>
          </w:tcPr>
          <w:p>
            <w:pPr>
              <w:ind w:left="380"/>
              <w:spacing w:after="0"/>
              <w:rPr>
                <w:sz w:val="20"/>
                <w:szCs w:val="20"/>
                <w:color w:val="auto"/>
              </w:rPr>
            </w:pPr>
            <w:r>
              <w:rPr>
                <w:rFonts w:ascii="Arial" w:cs="Arial" w:eastAsia="Arial" w:hAnsi="Arial"/>
                <w:sz w:val="13"/>
                <w:szCs w:val="13"/>
                <w:color w:val="3B3C43"/>
              </w:rPr>
              <w:t>Morgan Stanley &amp; Co. LLC</w:t>
            </w:r>
          </w:p>
        </w:tc>
        <w:tc>
          <w:tcPr>
            <w:tcW w:w="3080" w:type="dxa"/>
            <w:vAlign w:val="bottom"/>
          </w:tcPr>
          <w:p>
            <w:pPr>
              <w:ind w:left="540"/>
              <w:spacing w:after="0"/>
              <w:rPr>
                <w:sz w:val="20"/>
                <w:szCs w:val="20"/>
                <w:color w:val="auto"/>
              </w:rPr>
            </w:pPr>
            <w:r>
              <w:rPr>
                <w:rFonts w:ascii="Arial" w:cs="Arial" w:eastAsia="Arial" w:hAnsi="Arial"/>
                <w:sz w:val="13"/>
                <w:szCs w:val="13"/>
                <w:color w:val="3B3C43"/>
                <w:w w:val="95"/>
              </w:rPr>
              <w:t>Sumitomo Mitsui Banking Corporation Europe</w:t>
            </w:r>
          </w:p>
        </w:tc>
        <w:tc>
          <w:tcPr>
            <w:tcW w:w="0" w:type="dxa"/>
            <w:vAlign w:val="bottom"/>
          </w:tcPr>
          <w:p>
            <w:pPr>
              <w:spacing w:after="0"/>
              <w:rPr>
                <w:sz w:val="1"/>
                <w:szCs w:val="1"/>
                <w:color w:val="auto"/>
              </w:rPr>
            </w:pPr>
          </w:p>
        </w:tc>
      </w:tr>
      <w:tr>
        <w:trPr>
          <w:trHeight w:val="152"/>
        </w:trPr>
        <w:tc>
          <w:tcPr>
            <w:tcW w:w="2400" w:type="dxa"/>
            <w:vAlign w:val="bottom"/>
            <w:vMerge w:val="restart"/>
          </w:tcPr>
          <w:p>
            <w:pPr>
              <w:spacing w:after="0"/>
              <w:rPr>
                <w:sz w:val="20"/>
                <w:szCs w:val="20"/>
                <w:color w:val="auto"/>
              </w:rPr>
            </w:pPr>
            <w:r>
              <w:rPr>
                <w:rFonts w:ascii="Arial" w:cs="Arial" w:eastAsia="Arial" w:hAnsi="Arial"/>
                <w:sz w:val="13"/>
                <w:szCs w:val="13"/>
                <w:color w:val="3B3C43"/>
              </w:rPr>
              <w:t>Barclays Capital Inc.</w:t>
            </w:r>
          </w:p>
        </w:tc>
        <w:tc>
          <w:tcPr>
            <w:tcW w:w="2640" w:type="dxa"/>
            <w:vAlign w:val="bottom"/>
            <w:vMerge w:val="restart"/>
          </w:tcPr>
          <w:p>
            <w:pPr>
              <w:ind w:left="420"/>
              <w:spacing w:after="0"/>
              <w:rPr>
                <w:sz w:val="20"/>
                <w:szCs w:val="20"/>
                <w:color w:val="auto"/>
              </w:rPr>
            </w:pPr>
            <w:r>
              <w:rPr>
                <w:rFonts w:ascii="Arial" w:cs="Arial" w:eastAsia="Arial" w:hAnsi="Arial"/>
                <w:sz w:val="13"/>
                <w:szCs w:val="13"/>
                <w:color w:val="3B3C43"/>
              </w:rPr>
              <w:t>Goldman, Sachs &amp; Co.</w:t>
            </w:r>
          </w:p>
        </w:tc>
        <w:tc>
          <w:tcPr>
            <w:tcW w:w="2980" w:type="dxa"/>
            <w:vAlign w:val="bottom"/>
            <w:vMerge w:val="restart"/>
          </w:tcPr>
          <w:p>
            <w:pPr>
              <w:ind w:left="380"/>
              <w:spacing w:after="0"/>
              <w:rPr>
                <w:sz w:val="20"/>
                <w:szCs w:val="20"/>
                <w:color w:val="auto"/>
              </w:rPr>
            </w:pPr>
            <w:r>
              <w:rPr>
                <w:rFonts w:ascii="Arial" w:cs="Arial" w:eastAsia="Arial" w:hAnsi="Arial"/>
                <w:sz w:val="13"/>
                <w:szCs w:val="13"/>
                <w:color w:val="3B3C43"/>
              </w:rPr>
              <w:t>Natixis</w:t>
            </w:r>
          </w:p>
        </w:tc>
        <w:tc>
          <w:tcPr>
            <w:tcW w:w="3080" w:type="dxa"/>
            <w:vAlign w:val="bottom"/>
          </w:tcPr>
          <w:p>
            <w:pPr>
              <w:ind w:left="540"/>
              <w:spacing w:after="0"/>
              <w:rPr>
                <w:sz w:val="20"/>
                <w:szCs w:val="20"/>
                <w:color w:val="auto"/>
              </w:rPr>
            </w:pPr>
            <w:r>
              <w:rPr>
                <w:rFonts w:ascii="Arial" w:cs="Arial" w:eastAsia="Arial" w:hAnsi="Arial"/>
                <w:sz w:val="13"/>
                <w:szCs w:val="13"/>
                <w:color w:val="3B3C43"/>
              </w:rPr>
              <w:t>Limited</w:t>
            </w:r>
          </w:p>
        </w:tc>
        <w:tc>
          <w:tcPr>
            <w:tcW w:w="0" w:type="dxa"/>
            <w:vAlign w:val="bottom"/>
          </w:tcPr>
          <w:p>
            <w:pPr>
              <w:spacing w:after="0"/>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3080" w:type="dxa"/>
            <w:vAlign w:val="bottom"/>
            <w:vMerge w:val="restart"/>
          </w:tcPr>
          <w:p>
            <w:pPr>
              <w:ind w:left="540"/>
              <w:spacing w:after="0"/>
              <w:rPr>
                <w:sz w:val="20"/>
                <w:szCs w:val="20"/>
                <w:color w:val="auto"/>
              </w:rPr>
            </w:pPr>
            <w:r>
              <w:rPr>
                <w:rFonts w:ascii="Arial" w:cs="Arial" w:eastAsia="Arial" w:hAnsi="Arial"/>
                <w:sz w:val="13"/>
                <w:szCs w:val="13"/>
                <w:color w:val="3B3C43"/>
              </w:rPr>
              <w:t>Bank of Tokyo-Mitsubishi UFJ, Ltd.</w:t>
            </w:r>
          </w:p>
        </w:tc>
        <w:tc>
          <w:tcPr>
            <w:tcW w:w="0" w:type="dxa"/>
            <w:vAlign w:val="bottom"/>
          </w:tcPr>
          <w:p>
            <w:pPr>
              <w:spacing w:after="0"/>
              <w:rPr>
                <w:sz w:val="1"/>
                <w:szCs w:val="1"/>
                <w:color w:val="auto"/>
              </w:rPr>
            </w:pPr>
          </w:p>
        </w:tc>
      </w:tr>
      <w:tr>
        <w:trPr>
          <w:trHeight w:val="135"/>
        </w:trPr>
        <w:tc>
          <w:tcPr>
            <w:tcW w:w="2400" w:type="dxa"/>
            <w:vAlign w:val="bottom"/>
            <w:vMerge w:val="restart"/>
          </w:tcPr>
          <w:p>
            <w:pPr>
              <w:spacing w:after="0"/>
              <w:rPr>
                <w:sz w:val="20"/>
                <w:szCs w:val="20"/>
                <w:color w:val="auto"/>
              </w:rPr>
            </w:pPr>
            <w:r>
              <w:rPr>
                <w:rFonts w:ascii="Arial" w:cs="Arial" w:eastAsia="Arial" w:hAnsi="Arial"/>
                <w:sz w:val="13"/>
                <w:szCs w:val="13"/>
                <w:color w:val="3B3C43"/>
              </w:rPr>
              <w:t>Berenberg Capital Markets LLC</w:t>
            </w:r>
          </w:p>
        </w:tc>
        <w:tc>
          <w:tcPr>
            <w:tcW w:w="2640" w:type="dxa"/>
            <w:vAlign w:val="bottom"/>
            <w:vMerge w:val="restart"/>
          </w:tcPr>
          <w:p>
            <w:pPr>
              <w:ind w:left="420"/>
              <w:spacing w:after="0"/>
              <w:rPr>
                <w:sz w:val="20"/>
                <w:szCs w:val="20"/>
                <w:color w:val="auto"/>
              </w:rPr>
            </w:pPr>
            <w:r>
              <w:rPr>
                <w:rFonts w:ascii="Arial" w:cs="Arial" w:eastAsia="Arial" w:hAnsi="Arial"/>
                <w:sz w:val="13"/>
                <w:szCs w:val="13"/>
                <w:color w:val="3B3C43"/>
              </w:rPr>
              <w:t>HSBC Securities</w:t>
            </w:r>
          </w:p>
        </w:tc>
        <w:tc>
          <w:tcPr>
            <w:tcW w:w="2980" w:type="dxa"/>
            <w:vAlign w:val="bottom"/>
            <w:vMerge w:val="restart"/>
          </w:tcPr>
          <w:p>
            <w:pPr>
              <w:ind w:left="380"/>
              <w:spacing w:after="0"/>
              <w:rPr>
                <w:sz w:val="20"/>
                <w:szCs w:val="20"/>
                <w:color w:val="auto"/>
              </w:rPr>
            </w:pPr>
            <w:r>
              <w:rPr>
                <w:rFonts w:ascii="Arial" w:cs="Arial" w:eastAsia="Arial" w:hAnsi="Arial"/>
                <w:sz w:val="13"/>
                <w:szCs w:val="13"/>
                <w:color w:val="3B3C43"/>
              </w:rPr>
              <w:t>Northern Trust Securities, Inc.</w:t>
            </w: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3080" w:type="dxa"/>
            <w:vAlign w:val="bottom"/>
            <w:vMerge w:val="restart"/>
          </w:tcPr>
          <w:p>
            <w:pPr>
              <w:ind w:left="540"/>
              <w:spacing w:after="0"/>
              <w:rPr>
                <w:sz w:val="20"/>
                <w:szCs w:val="20"/>
                <w:color w:val="auto"/>
              </w:rPr>
            </w:pPr>
            <w:r>
              <w:rPr>
                <w:rFonts w:ascii="Arial" w:cs="Arial" w:eastAsia="Arial" w:hAnsi="Arial"/>
                <w:sz w:val="13"/>
                <w:szCs w:val="13"/>
                <w:color w:val="3B3C43"/>
              </w:rPr>
              <w:t>Topeka Capital Markets</w:t>
            </w:r>
          </w:p>
        </w:tc>
        <w:tc>
          <w:tcPr>
            <w:tcW w:w="0" w:type="dxa"/>
            <w:vAlign w:val="bottom"/>
          </w:tcPr>
          <w:p>
            <w:pPr>
              <w:spacing w:after="0"/>
              <w:rPr>
                <w:sz w:val="1"/>
                <w:szCs w:val="1"/>
                <w:color w:val="auto"/>
              </w:rPr>
            </w:pPr>
          </w:p>
        </w:tc>
      </w:tr>
      <w:tr>
        <w:trPr>
          <w:trHeight w:val="135"/>
        </w:trPr>
        <w:tc>
          <w:tcPr>
            <w:tcW w:w="2400" w:type="dxa"/>
            <w:vAlign w:val="bottom"/>
            <w:vMerge w:val="restart"/>
          </w:tcPr>
          <w:p>
            <w:pPr>
              <w:spacing w:after="0"/>
              <w:rPr>
                <w:sz w:val="20"/>
                <w:szCs w:val="20"/>
                <w:color w:val="auto"/>
              </w:rPr>
            </w:pPr>
            <w:r>
              <w:rPr>
                <w:rFonts w:ascii="Arial" w:cs="Arial" w:eastAsia="Arial" w:hAnsi="Arial"/>
                <w:sz w:val="13"/>
                <w:szCs w:val="13"/>
                <w:color w:val="3B3C43"/>
              </w:rPr>
              <w:t>BNY Mellon Capital Markets, LLC</w:t>
            </w:r>
          </w:p>
        </w:tc>
        <w:tc>
          <w:tcPr>
            <w:tcW w:w="2640" w:type="dxa"/>
            <w:vAlign w:val="bottom"/>
            <w:vMerge w:val="restart"/>
          </w:tcPr>
          <w:p>
            <w:pPr>
              <w:ind w:left="420"/>
              <w:spacing w:after="0"/>
              <w:rPr>
                <w:sz w:val="20"/>
                <w:szCs w:val="20"/>
                <w:color w:val="auto"/>
              </w:rPr>
            </w:pPr>
            <w:r>
              <w:rPr>
                <w:rFonts w:ascii="Arial" w:cs="Arial" w:eastAsia="Arial" w:hAnsi="Arial"/>
                <w:sz w:val="13"/>
                <w:szCs w:val="13"/>
                <w:color w:val="3B3C43"/>
              </w:rPr>
              <w:t>J.P. Morgan Securities, LLC</w:t>
            </w:r>
          </w:p>
        </w:tc>
        <w:tc>
          <w:tcPr>
            <w:tcW w:w="2980" w:type="dxa"/>
            <w:vAlign w:val="bottom"/>
            <w:vMerge w:val="restart"/>
          </w:tcPr>
          <w:p>
            <w:pPr>
              <w:ind w:left="380"/>
              <w:spacing w:after="0"/>
              <w:rPr>
                <w:sz w:val="20"/>
                <w:szCs w:val="20"/>
                <w:color w:val="auto"/>
              </w:rPr>
            </w:pPr>
            <w:r>
              <w:rPr>
                <w:rFonts w:ascii="Arial" w:cs="Arial" w:eastAsia="Arial" w:hAnsi="Arial"/>
                <w:sz w:val="13"/>
                <w:szCs w:val="13"/>
                <w:color w:val="3B3C43"/>
              </w:rPr>
              <w:t>Piper Jaffray</w:t>
            </w: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3080" w:type="dxa"/>
            <w:vAlign w:val="bottom"/>
            <w:vMerge w:val="restart"/>
          </w:tcPr>
          <w:p>
            <w:pPr>
              <w:ind w:left="540"/>
              <w:spacing w:after="0"/>
              <w:rPr>
                <w:sz w:val="20"/>
                <w:szCs w:val="20"/>
                <w:color w:val="auto"/>
              </w:rPr>
            </w:pPr>
            <w:r>
              <w:rPr>
                <w:rFonts w:ascii="Arial" w:cs="Arial" w:eastAsia="Arial" w:hAnsi="Arial"/>
                <w:sz w:val="13"/>
                <w:szCs w:val="13"/>
                <w:color w:val="3B3C43"/>
              </w:rPr>
              <w:t>UBS Securities LLC</w:t>
            </w:r>
          </w:p>
        </w:tc>
        <w:tc>
          <w:tcPr>
            <w:tcW w:w="0" w:type="dxa"/>
            <w:vAlign w:val="bottom"/>
          </w:tcPr>
          <w:p>
            <w:pPr>
              <w:spacing w:after="0"/>
              <w:rPr>
                <w:sz w:val="1"/>
                <w:szCs w:val="1"/>
                <w:color w:val="auto"/>
              </w:rPr>
            </w:pPr>
          </w:p>
        </w:tc>
      </w:tr>
      <w:tr>
        <w:trPr>
          <w:trHeight w:val="135"/>
        </w:trPr>
        <w:tc>
          <w:tcPr>
            <w:tcW w:w="2400" w:type="dxa"/>
            <w:vAlign w:val="bottom"/>
            <w:vMerge w:val="restart"/>
          </w:tcPr>
          <w:p>
            <w:pPr>
              <w:spacing w:after="0"/>
              <w:rPr>
                <w:sz w:val="20"/>
                <w:szCs w:val="20"/>
                <w:color w:val="auto"/>
              </w:rPr>
            </w:pPr>
            <w:r>
              <w:rPr>
                <w:rFonts w:ascii="Arial" w:cs="Arial" w:eastAsia="Arial" w:hAnsi="Arial"/>
                <w:sz w:val="13"/>
                <w:szCs w:val="13"/>
                <w:color w:val="3B3C43"/>
              </w:rPr>
              <w:t>Blaylock Robert Van, LLC</w:t>
            </w:r>
          </w:p>
        </w:tc>
        <w:tc>
          <w:tcPr>
            <w:tcW w:w="2640" w:type="dxa"/>
            <w:vAlign w:val="bottom"/>
            <w:vMerge w:val="restart"/>
          </w:tcPr>
          <w:p>
            <w:pPr>
              <w:ind w:left="420"/>
              <w:spacing w:after="0"/>
              <w:rPr>
                <w:sz w:val="20"/>
                <w:szCs w:val="20"/>
                <w:color w:val="auto"/>
              </w:rPr>
            </w:pPr>
            <w:r>
              <w:rPr>
                <w:rFonts w:ascii="Arial" w:cs="Arial" w:eastAsia="Arial" w:hAnsi="Arial"/>
                <w:sz w:val="13"/>
                <w:szCs w:val="13"/>
                <w:color w:val="3B3C43"/>
              </w:rPr>
              <w:t>Keefe, Bruyette and Woods, Inc.</w:t>
            </w:r>
          </w:p>
        </w:tc>
        <w:tc>
          <w:tcPr>
            <w:tcW w:w="2980" w:type="dxa"/>
            <w:vAlign w:val="bottom"/>
            <w:vMerge w:val="restart"/>
          </w:tcPr>
          <w:p>
            <w:pPr>
              <w:ind w:left="380"/>
              <w:spacing w:after="0"/>
              <w:rPr>
                <w:sz w:val="20"/>
                <w:szCs w:val="20"/>
                <w:color w:val="auto"/>
              </w:rPr>
            </w:pPr>
            <w:r>
              <w:rPr>
                <w:rFonts w:ascii="Arial" w:cs="Arial" w:eastAsia="Arial" w:hAnsi="Arial"/>
                <w:sz w:val="13"/>
                <w:szCs w:val="13"/>
                <w:color w:val="3B3C43"/>
              </w:rPr>
              <w:t>RBC Capital Markets Corporation</w:t>
            </w: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3080" w:type="dxa"/>
            <w:vAlign w:val="bottom"/>
            <w:vMerge w:val="restart"/>
          </w:tcPr>
          <w:p>
            <w:pPr>
              <w:ind w:left="540"/>
              <w:spacing w:after="0"/>
              <w:rPr>
                <w:sz w:val="20"/>
                <w:szCs w:val="20"/>
                <w:color w:val="auto"/>
              </w:rPr>
            </w:pPr>
            <w:r>
              <w:rPr>
                <w:rFonts w:ascii="Arial" w:cs="Arial" w:eastAsia="Arial" w:hAnsi="Arial"/>
                <w:sz w:val="13"/>
                <w:szCs w:val="13"/>
                <w:color w:val="3B3C43"/>
              </w:rPr>
              <w:t>UniCredit Bank, LLC</w:t>
            </w:r>
          </w:p>
        </w:tc>
        <w:tc>
          <w:tcPr>
            <w:tcW w:w="0" w:type="dxa"/>
            <w:vAlign w:val="bottom"/>
          </w:tcPr>
          <w:p>
            <w:pPr>
              <w:spacing w:after="0"/>
              <w:rPr>
                <w:sz w:val="1"/>
                <w:szCs w:val="1"/>
                <w:color w:val="auto"/>
              </w:rPr>
            </w:pPr>
          </w:p>
        </w:tc>
      </w:tr>
      <w:tr>
        <w:trPr>
          <w:trHeight w:val="135"/>
        </w:trPr>
        <w:tc>
          <w:tcPr>
            <w:tcW w:w="2400" w:type="dxa"/>
            <w:vAlign w:val="bottom"/>
            <w:vMerge w:val="restart"/>
          </w:tcPr>
          <w:p>
            <w:pPr>
              <w:spacing w:after="0"/>
              <w:rPr>
                <w:sz w:val="20"/>
                <w:szCs w:val="20"/>
                <w:color w:val="auto"/>
              </w:rPr>
            </w:pPr>
            <w:r>
              <w:rPr>
                <w:rFonts w:ascii="Arial" w:cs="Arial" w:eastAsia="Arial" w:hAnsi="Arial"/>
                <w:sz w:val="13"/>
                <w:szCs w:val="13"/>
                <w:color w:val="3B3C43"/>
              </w:rPr>
              <w:t>BNP Paribas Securities Corp</w:t>
            </w:r>
          </w:p>
        </w:tc>
        <w:tc>
          <w:tcPr>
            <w:tcW w:w="2640" w:type="dxa"/>
            <w:vAlign w:val="bottom"/>
            <w:vMerge w:val="restart"/>
          </w:tcPr>
          <w:p>
            <w:pPr>
              <w:ind w:left="420"/>
              <w:spacing w:after="0"/>
              <w:rPr>
                <w:sz w:val="20"/>
                <w:szCs w:val="20"/>
                <w:color w:val="auto"/>
              </w:rPr>
            </w:pPr>
            <w:r>
              <w:rPr>
                <w:rFonts w:ascii="Arial" w:cs="Arial" w:eastAsia="Arial" w:hAnsi="Arial"/>
                <w:sz w:val="13"/>
                <w:szCs w:val="13"/>
                <w:color w:val="3B3C43"/>
              </w:rPr>
              <w:t>KeyBanc Capital Markets, Inc.</w:t>
            </w:r>
          </w:p>
        </w:tc>
        <w:tc>
          <w:tcPr>
            <w:tcW w:w="2980" w:type="dxa"/>
            <w:vAlign w:val="bottom"/>
            <w:vMerge w:val="restart"/>
          </w:tcPr>
          <w:p>
            <w:pPr>
              <w:ind w:left="380"/>
              <w:spacing w:after="0"/>
              <w:rPr>
                <w:sz w:val="20"/>
                <w:szCs w:val="20"/>
                <w:color w:val="auto"/>
              </w:rPr>
            </w:pPr>
            <w:r>
              <w:rPr>
                <w:rFonts w:ascii="Arial" w:cs="Arial" w:eastAsia="Arial" w:hAnsi="Arial"/>
                <w:sz w:val="13"/>
                <w:szCs w:val="13"/>
                <w:color w:val="3B3C43"/>
              </w:rPr>
              <w:t>RBS Securities Inc.</w:t>
            </w: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3080" w:type="dxa"/>
            <w:vAlign w:val="bottom"/>
            <w:vMerge w:val="restart"/>
          </w:tcPr>
          <w:p>
            <w:pPr>
              <w:ind w:left="540"/>
              <w:spacing w:after="0"/>
              <w:rPr>
                <w:sz w:val="20"/>
                <w:szCs w:val="20"/>
                <w:color w:val="auto"/>
              </w:rPr>
            </w:pPr>
            <w:r>
              <w:rPr>
                <w:rFonts w:ascii="Arial" w:cs="Arial" w:eastAsia="Arial" w:hAnsi="Arial"/>
                <w:sz w:val="13"/>
                <w:szCs w:val="13"/>
                <w:color w:val="3B3C43"/>
              </w:rPr>
              <w:t>Wells Fargo Securities, LLC</w:t>
            </w:r>
          </w:p>
        </w:tc>
        <w:tc>
          <w:tcPr>
            <w:tcW w:w="0" w:type="dxa"/>
            <w:vAlign w:val="bottom"/>
          </w:tcPr>
          <w:p>
            <w:pPr>
              <w:spacing w:after="0"/>
              <w:rPr>
                <w:sz w:val="1"/>
                <w:szCs w:val="1"/>
                <w:color w:val="auto"/>
              </w:rPr>
            </w:pPr>
          </w:p>
        </w:tc>
      </w:tr>
      <w:tr>
        <w:trPr>
          <w:trHeight w:val="135"/>
        </w:trPr>
        <w:tc>
          <w:tcPr>
            <w:tcW w:w="2400" w:type="dxa"/>
            <w:vAlign w:val="bottom"/>
            <w:vMerge w:val="restart"/>
          </w:tcPr>
          <w:p>
            <w:pPr>
              <w:spacing w:after="0"/>
              <w:rPr>
                <w:sz w:val="20"/>
                <w:szCs w:val="20"/>
                <w:color w:val="auto"/>
              </w:rPr>
            </w:pPr>
            <w:r>
              <w:rPr>
                <w:rFonts w:ascii="Arial" w:cs="Arial" w:eastAsia="Arial" w:hAnsi="Arial"/>
                <w:sz w:val="13"/>
                <w:szCs w:val="13"/>
                <w:color w:val="3B3C43"/>
              </w:rPr>
              <w:t>Citibank Global Markets</w:t>
            </w:r>
          </w:p>
        </w:tc>
        <w:tc>
          <w:tcPr>
            <w:tcW w:w="2640" w:type="dxa"/>
            <w:vAlign w:val="bottom"/>
            <w:vMerge w:val="restart"/>
          </w:tcPr>
          <w:p>
            <w:pPr>
              <w:ind w:left="420"/>
              <w:spacing w:after="0"/>
              <w:rPr>
                <w:sz w:val="20"/>
                <w:szCs w:val="20"/>
                <w:color w:val="auto"/>
              </w:rPr>
            </w:pPr>
            <w:r>
              <w:rPr>
                <w:rFonts w:ascii="Arial" w:cs="Arial" w:eastAsia="Arial" w:hAnsi="Arial"/>
                <w:sz w:val="13"/>
                <w:szCs w:val="13"/>
                <w:color w:val="3B3C43"/>
              </w:rPr>
              <w:t>Kota Global Securities Inc</w:t>
            </w:r>
          </w:p>
        </w:tc>
        <w:tc>
          <w:tcPr>
            <w:tcW w:w="2980" w:type="dxa"/>
            <w:vAlign w:val="bottom"/>
            <w:vMerge w:val="restart"/>
          </w:tcPr>
          <w:p>
            <w:pPr>
              <w:ind w:left="380"/>
              <w:spacing w:after="0"/>
              <w:rPr>
                <w:sz w:val="20"/>
                <w:szCs w:val="20"/>
                <w:color w:val="auto"/>
              </w:rPr>
            </w:pPr>
            <w:r>
              <w:rPr>
                <w:rFonts w:ascii="Arial" w:cs="Arial" w:eastAsia="Arial" w:hAnsi="Arial"/>
                <w:sz w:val="13"/>
                <w:szCs w:val="13"/>
                <w:color w:val="3B3C43"/>
              </w:rPr>
              <w:t>Société Générale Securities Services</w:t>
            </w: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3080" w:type="dxa"/>
            <w:vAlign w:val="bottom"/>
            <w:vMerge w:val="restart"/>
          </w:tcPr>
          <w:p>
            <w:pPr>
              <w:ind w:left="540"/>
              <w:spacing w:after="0"/>
              <w:rPr>
                <w:sz w:val="20"/>
                <w:szCs w:val="20"/>
                <w:color w:val="auto"/>
              </w:rPr>
            </w:pPr>
            <w:r>
              <w:rPr>
                <w:rFonts w:ascii="Arial" w:cs="Arial" w:eastAsia="Arial" w:hAnsi="Arial"/>
                <w:sz w:val="13"/>
                <w:szCs w:val="13"/>
                <w:color w:val="3B3C43"/>
              </w:rPr>
              <w:t>The Williams Capital Group, L.P.</w:t>
            </w:r>
          </w:p>
        </w:tc>
        <w:tc>
          <w:tcPr>
            <w:tcW w:w="0" w:type="dxa"/>
            <w:vAlign w:val="bottom"/>
          </w:tcPr>
          <w:p>
            <w:pPr>
              <w:spacing w:after="0"/>
              <w:rPr>
                <w:sz w:val="1"/>
                <w:szCs w:val="1"/>
                <w:color w:val="auto"/>
              </w:rPr>
            </w:pPr>
          </w:p>
        </w:tc>
      </w:tr>
      <w:tr>
        <w:trPr>
          <w:trHeight w:val="135"/>
        </w:trPr>
        <w:tc>
          <w:tcPr>
            <w:tcW w:w="2400" w:type="dxa"/>
            <w:vAlign w:val="bottom"/>
            <w:vMerge w:val="restart"/>
          </w:tcPr>
          <w:p>
            <w:pPr>
              <w:spacing w:after="0"/>
              <w:rPr>
                <w:sz w:val="20"/>
                <w:szCs w:val="20"/>
                <w:color w:val="auto"/>
              </w:rPr>
            </w:pPr>
            <w:r>
              <w:rPr>
                <w:rFonts w:ascii="Arial" w:cs="Arial" w:eastAsia="Arial" w:hAnsi="Arial"/>
                <w:sz w:val="13"/>
                <w:szCs w:val="13"/>
                <w:color w:val="3B3C43"/>
              </w:rPr>
              <w:t>Crédit Agricole Securities</w:t>
            </w:r>
          </w:p>
        </w:tc>
        <w:tc>
          <w:tcPr>
            <w:tcW w:w="2640" w:type="dxa"/>
            <w:vAlign w:val="bottom"/>
            <w:vMerge w:val="restart"/>
          </w:tcPr>
          <w:p>
            <w:pPr>
              <w:ind w:left="420"/>
              <w:spacing w:after="0"/>
              <w:rPr>
                <w:sz w:val="20"/>
                <w:szCs w:val="20"/>
                <w:color w:val="auto"/>
              </w:rPr>
            </w:pPr>
            <w:r>
              <w:rPr>
                <w:rFonts w:ascii="Arial" w:cs="Arial" w:eastAsia="Arial" w:hAnsi="Arial"/>
                <w:sz w:val="13"/>
                <w:szCs w:val="13"/>
                <w:color w:val="3B3C43"/>
              </w:rPr>
              <w:t>Lloyds Bank</w:t>
            </w:r>
          </w:p>
        </w:tc>
        <w:tc>
          <w:tcPr>
            <w:tcW w:w="2980" w:type="dxa"/>
            <w:vAlign w:val="bottom"/>
            <w:vMerge w:val="restart"/>
          </w:tcPr>
          <w:p>
            <w:pPr>
              <w:ind w:left="380"/>
              <w:spacing w:after="0"/>
              <w:rPr>
                <w:sz w:val="20"/>
                <w:szCs w:val="20"/>
                <w:color w:val="auto"/>
              </w:rPr>
            </w:pPr>
            <w:r>
              <w:rPr>
                <w:rFonts w:ascii="Arial" w:cs="Arial" w:eastAsia="Arial" w:hAnsi="Arial"/>
                <w:sz w:val="13"/>
                <w:szCs w:val="13"/>
                <w:color w:val="3B3C43"/>
              </w:rPr>
              <w:t>ScotiaBank Capital Markets</w:t>
            </w: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3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0"/>
                <w:szCs w:val="20"/>
                <w:color w:val="auto"/>
              </w:rPr>
            </w:pPr>
            <w:r>
              <w:rPr>
                <w:rFonts w:ascii="Arial" w:cs="Arial" w:eastAsia="Arial" w:hAnsi="Arial"/>
                <w:sz w:val="13"/>
                <w:szCs w:val="13"/>
                <w:color w:val="3B3C43"/>
              </w:rPr>
              <w:t>Credit Suisse Securities (USA) LLC</w:t>
            </w:r>
          </w:p>
        </w:tc>
        <w:tc>
          <w:tcPr>
            <w:tcW w:w="2640" w:type="dxa"/>
            <w:vAlign w:val="bottom"/>
          </w:tcPr>
          <w:p>
            <w:pPr>
              <w:ind w:left="420"/>
              <w:spacing w:after="0"/>
              <w:rPr>
                <w:sz w:val="20"/>
                <w:szCs w:val="20"/>
                <w:color w:val="auto"/>
              </w:rPr>
            </w:pPr>
            <w:r>
              <w:rPr>
                <w:rFonts w:ascii="Arial" w:cs="Arial" w:eastAsia="Arial" w:hAnsi="Arial"/>
                <w:sz w:val="13"/>
                <w:szCs w:val="13"/>
                <w:color w:val="3B3C43"/>
              </w:rPr>
              <w:t>Loop Capital Markets LLC</w:t>
            </w:r>
          </w:p>
        </w:tc>
        <w:tc>
          <w:tcPr>
            <w:tcW w:w="2980" w:type="dxa"/>
            <w:vAlign w:val="bottom"/>
          </w:tcPr>
          <w:p>
            <w:pPr>
              <w:ind w:left="380"/>
              <w:spacing w:after="0"/>
              <w:rPr>
                <w:sz w:val="20"/>
                <w:szCs w:val="20"/>
                <w:color w:val="auto"/>
              </w:rPr>
            </w:pPr>
            <w:r>
              <w:rPr>
                <w:rFonts w:ascii="Arial" w:cs="Arial" w:eastAsia="Arial" w:hAnsi="Arial"/>
                <w:sz w:val="13"/>
                <w:szCs w:val="13"/>
                <w:color w:val="3B3C43"/>
              </w:rPr>
              <w:t>Standard Chartered Bank</w:t>
            </w: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0"/>
                <w:szCs w:val="20"/>
                <w:color w:val="auto"/>
              </w:rPr>
            </w:pPr>
            <w:r>
              <w:rPr>
                <w:rFonts w:ascii="Arial" w:cs="Arial" w:eastAsia="Arial" w:hAnsi="Arial"/>
                <w:sz w:val="13"/>
                <w:szCs w:val="13"/>
                <w:color w:val="3B3C43"/>
              </w:rPr>
              <w:t>Deutsche Bank Securities, Inc.</w:t>
            </w:r>
          </w:p>
        </w:tc>
        <w:tc>
          <w:tcPr>
            <w:tcW w:w="2640" w:type="dxa"/>
            <w:vAlign w:val="bottom"/>
          </w:tcPr>
          <w:p>
            <w:pPr>
              <w:ind w:left="420"/>
              <w:spacing w:after="0"/>
              <w:rPr>
                <w:sz w:val="20"/>
                <w:szCs w:val="20"/>
                <w:color w:val="auto"/>
              </w:rPr>
            </w:pPr>
            <w:r>
              <w:rPr>
                <w:rFonts w:ascii="Arial" w:cs="Arial" w:eastAsia="Arial" w:hAnsi="Arial"/>
                <w:sz w:val="13"/>
                <w:szCs w:val="13"/>
                <w:color w:val="3B3C43"/>
              </w:rPr>
              <w:t>M.R. Beal &amp; Company</w:t>
            </w:r>
          </w:p>
        </w:tc>
        <w:tc>
          <w:tcPr>
            <w:tcW w:w="2980" w:type="dxa"/>
            <w:vAlign w:val="bottom"/>
          </w:tcPr>
          <w:p>
            <w:pPr>
              <w:ind w:left="380"/>
              <w:spacing w:after="0"/>
              <w:rPr>
                <w:sz w:val="20"/>
                <w:szCs w:val="20"/>
                <w:color w:val="auto"/>
              </w:rPr>
            </w:pPr>
            <w:r>
              <w:rPr>
                <w:rFonts w:ascii="Arial" w:cs="Arial" w:eastAsia="Arial" w:hAnsi="Arial"/>
                <w:sz w:val="13"/>
                <w:szCs w:val="13"/>
                <w:color w:val="3B3C43"/>
              </w:rPr>
              <w:t>Stifel, Nicolaus &amp; Company</w:t>
            </w: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The text of the resolution is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3B3C43"/>
        </w:rPr>
        <w:t>‘‘THAT:</w:t>
      </w:r>
    </w:p>
    <w:p>
      <w:pPr>
        <w:spacing w:after="0" w:line="161" w:lineRule="exact"/>
        <w:rPr>
          <w:sz w:val="20"/>
          <w:szCs w:val="20"/>
          <w:color w:val="auto"/>
        </w:rPr>
      </w:pPr>
    </w:p>
    <w:p>
      <w:pPr>
        <w:jc w:val="both"/>
        <w:ind w:right="140" w:firstLine="8"/>
        <w:spacing w:after="0" w:line="255" w:lineRule="auto"/>
        <w:tabs>
          <w:tab w:leader="none" w:pos="211" w:val="left"/>
        </w:tabs>
        <w:numPr>
          <w:ilvl w:val="0"/>
          <w:numId w:val="149"/>
        </w:numPr>
        <w:rPr>
          <w:rFonts w:ascii="Arial" w:cs="Arial" w:eastAsia="Arial" w:hAnsi="Arial"/>
          <w:sz w:val="14"/>
          <w:szCs w:val="14"/>
          <w:i w:val="1"/>
          <w:iCs w:val="1"/>
          <w:color w:val="3B3C43"/>
        </w:rPr>
      </w:pPr>
      <w:r>
        <w:rPr>
          <w:rFonts w:ascii="Arial" w:cs="Arial" w:eastAsia="Arial" w:hAnsi="Arial"/>
          <w:sz w:val="14"/>
          <w:szCs w:val="14"/>
          <w:i w:val="1"/>
          <w:iCs w:val="1"/>
          <w:color w:val="3B3C43"/>
        </w:rPr>
        <w:t xml:space="preserve">the form of share repurchase contracts (the </w:t>
      </w:r>
      <w:r>
        <w:rPr>
          <w:rFonts w:ascii="Arial" w:cs="Arial" w:eastAsia="Arial" w:hAnsi="Arial"/>
          <w:sz w:val="14"/>
          <w:szCs w:val="14"/>
          <w:b w:val="1"/>
          <w:bCs w:val="1"/>
          <w:i w:val="1"/>
          <w:iCs w:val="1"/>
          <w:color w:val="3B3C43"/>
        </w:rPr>
        <w:t>“Share Repurchase Contracts”</w:t>
      </w:r>
      <w:r>
        <w:rPr>
          <w:rFonts w:ascii="Arial" w:cs="Arial" w:eastAsia="Arial" w:hAnsi="Arial"/>
          <w:sz w:val="14"/>
          <w:szCs w:val="14"/>
          <w:i w:val="1"/>
          <w:iCs w:val="1"/>
          <w:color w:val="3B3C43"/>
        </w:rPr>
        <w:t>), copies of which are appended to this Proxy Statement, for the purchase by the Company of such number of its Ordinary Shares of $1.00 nominal value each, at such prices as may be agreed pursuant to the terms of a Share Repurchase Contract be, and they hereby are, approved, and the Company be, and hereby is, authorized to enter into any Share Repurchase Contract negotiated and agreed with a Bank (as defined in subsection (b) below); and</w:t>
      </w:r>
    </w:p>
    <w:p>
      <w:pPr>
        <w:spacing w:after="0" w:line="127" w:lineRule="exact"/>
        <w:rPr>
          <w:rFonts w:ascii="Arial" w:cs="Arial" w:eastAsia="Arial" w:hAnsi="Arial"/>
          <w:sz w:val="14"/>
          <w:szCs w:val="14"/>
          <w:i w:val="1"/>
          <w:iCs w:val="1"/>
          <w:color w:val="3B3C43"/>
        </w:rPr>
      </w:pPr>
    </w:p>
    <w:p>
      <w:pPr>
        <w:ind w:right="480" w:firstLine="8"/>
        <w:spacing w:after="0" w:line="279" w:lineRule="auto"/>
        <w:tabs>
          <w:tab w:leader="none" w:pos="211" w:val="left"/>
        </w:tabs>
        <w:numPr>
          <w:ilvl w:val="0"/>
          <w:numId w:val="149"/>
        </w:numPr>
        <w:rPr>
          <w:rFonts w:ascii="Arial" w:cs="Arial" w:eastAsia="Arial" w:hAnsi="Arial"/>
          <w:sz w:val="14"/>
          <w:szCs w:val="14"/>
          <w:i w:val="1"/>
          <w:iCs w:val="1"/>
          <w:color w:val="3B3C43"/>
        </w:rPr>
      </w:pPr>
      <w:r>
        <w:rPr>
          <w:rFonts w:ascii="Arial" w:cs="Arial" w:eastAsia="Arial" w:hAnsi="Arial"/>
          <w:sz w:val="14"/>
          <w:szCs w:val="14"/>
          <w:i w:val="1"/>
          <w:iCs w:val="1"/>
          <w:color w:val="3B3C43"/>
        </w:rPr>
        <w:t xml:space="preserve">the counterparties with whom the Company may enter into a Share Repurchase Contract, being the counterparties (or their subsidiaries or affiliates from time to time) included in the Proxy Statement (the </w:t>
      </w:r>
      <w:r>
        <w:rPr>
          <w:rFonts w:ascii="Arial" w:cs="Arial" w:eastAsia="Arial" w:hAnsi="Arial"/>
          <w:sz w:val="14"/>
          <w:szCs w:val="14"/>
          <w:b w:val="1"/>
          <w:bCs w:val="1"/>
          <w:i w:val="1"/>
          <w:iCs w:val="1"/>
          <w:color w:val="3B3C43"/>
        </w:rPr>
        <w:t>“Banks”</w:t>
      </w:r>
      <w:r>
        <w:rPr>
          <w:rFonts w:ascii="Arial" w:cs="Arial" w:eastAsia="Arial" w:hAnsi="Arial"/>
          <w:sz w:val="14"/>
          <w:szCs w:val="14"/>
          <w:i w:val="1"/>
          <w:iCs w:val="1"/>
          <w:color w:val="3B3C43"/>
        </w:rPr>
        <w:t>) be, and each hereby is, approved,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i w:val="1"/>
          <w:iCs w:val="1"/>
          <w:color w:val="3B3C43"/>
        </w:rPr>
        <w:t>provided that, unless previously renewed, varied, or revoked by the Company at a general meeting, this authority shall expire on the fifth anniversary of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When does this authorization expire?</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3B3C43"/>
        </w:rPr>
        <w:t>Under the Companies Act, the Company must seek authorization for share repurchase contracts and counterparties at least every five years. If this proposal is approved, the Company may repurchase Ordinary Shares pursuant to the forms of contract attached at Appendix A and Appendix B with the approved counterparties until the fifth anniversary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600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How does the Board recommend that I vote?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The Board recommends that you vote “FOR” this proposal.</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140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1780"/>
        <w:spacing w:after="0" w:line="250" w:lineRule="auto"/>
        <w:rPr>
          <w:sz w:val="20"/>
          <w:szCs w:val="20"/>
          <w:color w:val="auto"/>
        </w:rPr>
      </w:pPr>
      <w:r>
        <w:rPr>
          <w:rFonts w:ascii="Arial" w:cs="Arial" w:eastAsia="Arial" w:hAnsi="Arial"/>
          <w:sz w:val="67"/>
          <w:szCs w:val="67"/>
          <w:color w:val="4B1F68"/>
        </w:rPr>
        <w:t>Proposal 10 — Authority to Allot Equity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am I voting on?</w:t>
      </w:r>
    </w:p>
    <w:p>
      <w:pPr>
        <w:spacing w:after="0" w:line="19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b w:val="1"/>
          <w:bCs w:val="1"/>
          <w:color w:val="3B3C43"/>
        </w:rPr>
        <w:t>The authorizations requested in Proposals 10 and 11 are required as a matter of English law, are customary for public limited companies incorporated under the laws of England and Wales, and are not otherwise required for other companies listed on the NYSE or organized within the United States.</w:t>
      </w:r>
    </w:p>
    <w:p>
      <w:pPr>
        <w:spacing w:after="0" w:line="144"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b w:val="1"/>
          <w:bCs w:val="1"/>
          <w:color w:val="3B3C43"/>
        </w:rPr>
        <w:t>Unlike most companies listed on the NYSE with perpetual authority to issue shares under their charter or articles of association, our authority to issue shares is limited by the Companies Act. As such, the authorizations in Proposals 10 and 11, if approved, will expire at the earlier of (a) the conclusion of our 2022 Annual Meeting or (b) at the close of business on August 20, 2022, which is 15 months after this year’s Annual Meeting.</w:t>
      </w:r>
    </w:p>
    <w:p>
      <w:pPr>
        <w:spacing w:after="0" w:line="14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b w:val="1"/>
          <w:bCs w:val="1"/>
          <w:color w:val="3B3C43"/>
        </w:rPr>
        <w:t>Approval of this proposal does not affect any shareholder approval requirements of the NYSE for share issuances, such as in connection with certain acquisitions or in connection with raising additional capital. The Company will continue to be subject to NYSE shareholder approval requirements.</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6"/>
          <w:szCs w:val="16"/>
          <w:color w:val="3B3C43"/>
        </w:rPr>
        <w:t>Under the Companies Act, directors are, with certain exceptions, unable to allot, or issue, shares without being authorized either by the shareholders in a general meeting or by a company’s articles of association. Our directors’ existing authority to issue shares will expire on January 12, 2022, and the Company will not be able to issue shares after that date.</w:t>
      </w:r>
    </w:p>
    <w:p>
      <w:pPr>
        <w:spacing w:after="0" w:line="174" w:lineRule="exact"/>
        <w:rPr>
          <w:sz w:val="20"/>
          <w:szCs w:val="20"/>
          <w:color w:val="auto"/>
        </w:rPr>
      </w:pPr>
    </w:p>
    <w:p>
      <w:pPr>
        <w:ind w:left="320" w:right="80" w:hanging="191"/>
        <w:spacing w:after="0" w:line="209" w:lineRule="auto"/>
        <w:tabs>
          <w:tab w:leader="none" w:pos="320" w:val="left"/>
        </w:tabs>
        <w:numPr>
          <w:ilvl w:val="0"/>
          <w:numId w:val="150"/>
        </w:numPr>
        <w:rPr>
          <w:rFonts w:ascii="Arial" w:cs="Arial" w:eastAsia="Arial" w:hAnsi="Arial"/>
          <w:sz w:val="25"/>
          <w:szCs w:val="25"/>
          <w:b w:val="1"/>
          <w:bCs w:val="1"/>
          <w:color w:val="4B1F68"/>
          <w:vertAlign w:val="superscript"/>
        </w:rPr>
      </w:pPr>
      <w:r>
        <w:rPr>
          <w:rFonts w:ascii="Arial" w:cs="Arial" w:eastAsia="Arial" w:hAnsi="Arial"/>
          <w:sz w:val="16"/>
          <w:szCs w:val="16"/>
          <w:color w:val="3B3C43"/>
        </w:rPr>
        <w:t>Proposal 10 authorizes our Board to issue a maximum number of equity securities (within the meaning of section 560 of the Companies Act), having an aggregate nominal value equal to the allotment amount, without further shareholder approval. In the absence of such approval, the issuance of any additional shares would require shareholder approval. Our Board would be authorized to issue:</w:t>
      </w:r>
    </w:p>
    <w:p>
      <w:pPr>
        <w:spacing w:after="0" w:line="165" w:lineRule="exact"/>
        <w:rPr>
          <w:rFonts w:ascii="Arial" w:cs="Arial" w:eastAsia="Arial" w:hAnsi="Arial"/>
          <w:sz w:val="25"/>
          <w:szCs w:val="25"/>
          <w:b w:val="1"/>
          <w:bCs w:val="1"/>
          <w:color w:val="4B1F68"/>
          <w:vertAlign w:val="superscript"/>
        </w:rPr>
      </w:pPr>
    </w:p>
    <w:p>
      <w:pPr>
        <w:ind w:left="660" w:hanging="328"/>
        <w:spacing w:after="0"/>
        <w:tabs>
          <w:tab w:leader="none" w:pos="660" w:val="left"/>
        </w:tabs>
        <w:numPr>
          <w:ilvl w:val="1"/>
          <w:numId w:val="150"/>
        </w:numPr>
        <w:rPr>
          <w:rFonts w:ascii="Arial" w:cs="Arial" w:eastAsia="Arial" w:hAnsi="Arial"/>
          <w:sz w:val="16"/>
          <w:szCs w:val="16"/>
          <w:color w:val="3B3C43"/>
        </w:rPr>
      </w:pPr>
      <w:r>
        <w:rPr>
          <w:rFonts w:ascii="Arial" w:cs="Arial" w:eastAsia="Arial" w:hAnsi="Arial"/>
          <w:sz w:val="16"/>
          <w:szCs w:val="16"/>
          <w:color w:val="3B3C43"/>
        </w:rPr>
        <w:t xml:space="preserve">up to one-third of our existing issued share capital with an aggregate nominal amount equal to $150,222,764 </w:t>
      </w:r>
      <w:r>
        <w:rPr>
          <w:rFonts w:ascii="Arial" w:cs="Arial" w:eastAsia="Arial" w:hAnsi="Arial"/>
          <w:sz w:val="16"/>
          <w:szCs w:val="16"/>
          <w:b w:val="1"/>
          <w:bCs w:val="1"/>
          <w:color w:val="3B3C43"/>
        </w:rPr>
        <w:t>for general purposes</w:t>
      </w:r>
      <w:r>
        <w:rPr>
          <w:rFonts w:ascii="Arial" w:cs="Arial" w:eastAsia="Arial" w:hAnsi="Arial"/>
          <w:sz w:val="16"/>
          <w:szCs w:val="16"/>
          <w:color w:val="3B3C43"/>
        </w:rPr>
        <w:t>; and</w:t>
      </w:r>
    </w:p>
    <w:p>
      <w:pPr>
        <w:spacing w:after="0" w:line="194" w:lineRule="exact"/>
        <w:rPr>
          <w:rFonts w:ascii="Arial" w:cs="Arial" w:eastAsia="Arial" w:hAnsi="Arial"/>
          <w:sz w:val="16"/>
          <w:szCs w:val="16"/>
          <w:color w:val="3B3C43"/>
        </w:rPr>
      </w:pPr>
    </w:p>
    <w:p>
      <w:pPr>
        <w:ind w:left="660" w:right="180" w:hanging="328"/>
        <w:spacing w:after="0" w:line="286" w:lineRule="auto"/>
        <w:tabs>
          <w:tab w:leader="none" w:pos="660" w:val="left"/>
        </w:tabs>
        <w:numPr>
          <w:ilvl w:val="1"/>
          <w:numId w:val="150"/>
        </w:numPr>
        <w:rPr>
          <w:rFonts w:ascii="Arial" w:cs="Arial" w:eastAsia="Arial" w:hAnsi="Arial"/>
          <w:sz w:val="16"/>
          <w:szCs w:val="16"/>
          <w:color w:val="3B3C43"/>
        </w:rPr>
      </w:pPr>
      <w:r>
        <w:rPr>
          <w:rFonts w:ascii="Arial" w:cs="Arial" w:eastAsia="Arial" w:hAnsi="Arial"/>
          <w:sz w:val="16"/>
          <w:szCs w:val="16"/>
          <w:color w:val="3B3C43"/>
        </w:rPr>
        <w:t xml:space="preserve">(up to an additional one-third of our existing issued share capital with an aggregate nominal value of $150,222,764 </w:t>
      </w:r>
      <w:r>
        <w:rPr>
          <w:rFonts w:ascii="Arial" w:cs="Arial" w:eastAsia="Arial" w:hAnsi="Arial"/>
          <w:sz w:val="16"/>
          <w:szCs w:val="16"/>
          <w:b w:val="1"/>
          <w:bCs w:val="1"/>
          <w:color w:val="3B3C43"/>
        </w:rPr>
        <w:t>for rights issues</w:t>
      </w:r>
      <w:r>
        <w:rPr>
          <w:rFonts w:ascii="Arial" w:cs="Arial" w:eastAsia="Arial" w:hAnsi="Arial"/>
          <w:sz w:val="16"/>
          <w:szCs w:val="16"/>
          <w:color w:val="3B3C43"/>
        </w:rPr>
        <w:t xml:space="preserve"> (i.e., shares issued pre-emptively to shareholders pro-rata to their holdings in order to raise new capital for the Company).</w:t>
      </w:r>
    </w:p>
    <w:p>
      <w:pPr>
        <w:spacing w:after="0" w:line="148" w:lineRule="exact"/>
        <w:rPr>
          <w:rFonts w:ascii="Arial" w:cs="Arial" w:eastAsia="Arial" w:hAnsi="Arial"/>
          <w:sz w:val="16"/>
          <w:szCs w:val="16"/>
          <w:color w:val="3B3C43"/>
        </w:rPr>
      </w:pPr>
    </w:p>
    <w:p>
      <w:pPr>
        <w:ind w:left="320" w:right="60" w:hanging="191"/>
        <w:spacing w:after="0" w:line="195" w:lineRule="auto"/>
        <w:tabs>
          <w:tab w:leader="none" w:pos="320" w:val="left"/>
        </w:tabs>
        <w:numPr>
          <w:ilvl w:val="0"/>
          <w:numId w:val="150"/>
        </w:numPr>
        <w:rPr>
          <w:rFonts w:ascii="Arial" w:cs="Arial" w:eastAsia="Arial" w:hAnsi="Arial"/>
          <w:sz w:val="25"/>
          <w:szCs w:val="25"/>
          <w:b w:val="1"/>
          <w:bCs w:val="1"/>
          <w:color w:val="4B1F68"/>
          <w:vertAlign w:val="superscript"/>
        </w:rPr>
      </w:pPr>
      <w:r>
        <w:rPr>
          <w:rFonts w:ascii="Arial" w:cs="Arial" w:eastAsia="Arial" w:hAnsi="Arial"/>
          <w:sz w:val="16"/>
          <w:szCs w:val="16"/>
          <w:color w:val="3B3C43"/>
        </w:rPr>
        <w:t>Proposal 11 authorizes our Board to issue shares for cash pursuant to Proposal 10, up to a limit, without first offering them to existing shareholders pro-rata to their existing holdings (i.e., “pre-emption rights”).</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B3C43"/>
        </w:rPr>
        <w:t>Unless previously renewed, revoked, or varied, the authority conferred by this Proposal 10 shall apply in substitution for all existing authorities under section 551 of the Companies Act and expire at the end of the next Annual Meeting (or, if earlier, until the close of business on August 20, 2022); provided, however, that prior to such expiration, the Company may make offers or agreements that would or might require shares to be issued or rights to be granted after such expiration, and the Board may issue shares or grant rights to, subscribe for, or convert, any security into shares, in pursuance of any such offer or agreement as if the authorities conferred hereby had not expired.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141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The text of the resolution is as follows:</w:t>
      </w:r>
    </w:p>
    <w:p>
      <w:pPr>
        <w:spacing w:after="0" w:line="198"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i w:val="1"/>
          <w:iCs w:val="1"/>
          <w:color w:val="3B3C43"/>
        </w:rPr>
        <w:t>"THAT the Board of Directors of the Company be and they are hereby and unconditionally authorized to exercise all the powers in the Company to allot shares in the Company and to grant rights to subscribe for or convert any security into shares in the Company:</w:t>
      </w:r>
    </w:p>
    <w:p>
      <w:pPr>
        <w:spacing w:after="0" w:line="136" w:lineRule="exact"/>
        <w:rPr>
          <w:sz w:val="20"/>
          <w:szCs w:val="20"/>
          <w:color w:val="auto"/>
        </w:rPr>
      </w:pPr>
    </w:p>
    <w:p>
      <w:pPr>
        <w:ind w:left="520" w:hanging="323"/>
        <w:spacing w:after="0"/>
        <w:tabs>
          <w:tab w:leader="none" w:pos="520" w:val="left"/>
        </w:tabs>
        <w:numPr>
          <w:ilvl w:val="0"/>
          <w:numId w:val="151"/>
        </w:numPr>
        <w:rPr>
          <w:rFonts w:ascii="Arial" w:cs="Arial" w:eastAsia="Arial" w:hAnsi="Arial"/>
          <w:sz w:val="16"/>
          <w:szCs w:val="16"/>
          <w:i w:val="1"/>
          <w:iCs w:val="1"/>
          <w:color w:val="3B3C43"/>
        </w:rPr>
      </w:pPr>
      <w:r>
        <w:rPr>
          <w:rFonts w:ascii="Arial" w:cs="Arial" w:eastAsia="Arial" w:hAnsi="Arial"/>
          <w:sz w:val="16"/>
          <w:szCs w:val="16"/>
          <w:i w:val="1"/>
          <w:iCs w:val="1"/>
          <w:color w:val="3B3C43"/>
        </w:rPr>
        <w:t>up to an aggregate nominal amount of $150,222,764; and</w:t>
      </w:r>
    </w:p>
    <w:p>
      <w:pPr>
        <w:spacing w:after="0" w:line="194" w:lineRule="exact"/>
        <w:rPr>
          <w:rFonts w:ascii="Arial" w:cs="Arial" w:eastAsia="Arial" w:hAnsi="Arial"/>
          <w:sz w:val="16"/>
          <w:szCs w:val="16"/>
          <w:i w:val="1"/>
          <w:iCs w:val="1"/>
          <w:color w:val="3B3C43"/>
        </w:rPr>
      </w:pPr>
    </w:p>
    <w:p>
      <w:pPr>
        <w:ind w:left="520" w:right="340" w:hanging="323"/>
        <w:spacing w:after="0" w:line="281" w:lineRule="auto"/>
        <w:tabs>
          <w:tab w:leader="none" w:pos="520" w:val="left"/>
        </w:tabs>
        <w:numPr>
          <w:ilvl w:val="0"/>
          <w:numId w:val="151"/>
        </w:numPr>
        <w:rPr>
          <w:rFonts w:ascii="Arial" w:cs="Arial" w:eastAsia="Arial" w:hAnsi="Arial"/>
          <w:sz w:val="16"/>
          <w:szCs w:val="16"/>
          <w:i w:val="1"/>
          <w:iCs w:val="1"/>
          <w:color w:val="3B3C43"/>
        </w:rPr>
      </w:pPr>
      <w:r>
        <w:rPr>
          <w:rFonts w:ascii="Arial" w:cs="Arial" w:eastAsia="Arial" w:hAnsi="Arial"/>
          <w:sz w:val="16"/>
          <w:szCs w:val="16"/>
          <w:i w:val="1"/>
          <w:iCs w:val="1"/>
          <w:color w:val="3B3C43"/>
        </w:rPr>
        <w:t>up to a further aggregate nominal amount of $150,222,764 provided such shares are equity securities (within the meaning of section 560 of the Companies Act) in connection with an offer by way of a rights issue:</w:t>
      </w:r>
    </w:p>
    <w:p>
      <w:pPr>
        <w:spacing w:after="0" w:line="59" w:lineRule="exact"/>
        <w:rPr>
          <w:rFonts w:ascii="Arial" w:cs="Arial" w:eastAsia="Arial" w:hAnsi="Arial"/>
          <w:sz w:val="16"/>
          <w:szCs w:val="16"/>
          <w:i w:val="1"/>
          <w:iCs w:val="1"/>
          <w:color w:val="3B3C43"/>
        </w:rPr>
      </w:pPr>
    </w:p>
    <w:p>
      <w:pPr>
        <w:ind w:left="840" w:hanging="319"/>
        <w:spacing w:after="0"/>
        <w:tabs>
          <w:tab w:leader="none" w:pos="840" w:val="left"/>
        </w:tabs>
        <w:numPr>
          <w:ilvl w:val="1"/>
          <w:numId w:val="151"/>
        </w:numPr>
        <w:rPr>
          <w:rFonts w:ascii="Arial" w:cs="Arial" w:eastAsia="Arial" w:hAnsi="Arial"/>
          <w:sz w:val="25"/>
          <w:szCs w:val="25"/>
          <w:color w:val="00ADE8"/>
          <w:vertAlign w:val="superscript"/>
        </w:rPr>
      </w:pPr>
      <w:r>
        <w:rPr>
          <w:rFonts w:ascii="Arial" w:cs="Arial" w:eastAsia="Arial" w:hAnsi="Arial"/>
          <w:sz w:val="16"/>
          <w:szCs w:val="16"/>
          <w:i w:val="1"/>
          <w:iCs w:val="1"/>
          <w:color w:val="3B3C43"/>
        </w:rPr>
        <w:t>to ordinary shareholders in proportion (as nearly as may be practicable) to their existing holdings; and</w:t>
      </w:r>
    </w:p>
    <w:p>
      <w:pPr>
        <w:spacing w:after="0" w:line="120" w:lineRule="exact"/>
        <w:rPr>
          <w:rFonts w:ascii="Arial" w:cs="Arial" w:eastAsia="Arial" w:hAnsi="Arial"/>
          <w:sz w:val="25"/>
          <w:szCs w:val="25"/>
          <w:color w:val="00ADE8"/>
          <w:vertAlign w:val="superscript"/>
        </w:rPr>
      </w:pPr>
    </w:p>
    <w:p>
      <w:pPr>
        <w:ind w:left="840" w:hanging="319"/>
        <w:spacing w:after="0" w:line="214" w:lineRule="auto"/>
        <w:tabs>
          <w:tab w:leader="none" w:pos="840" w:val="left"/>
        </w:tabs>
        <w:numPr>
          <w:ilvl w:val="1"/>
          <w:numId w:val="151"/>
        </w:numPr>
        <w:rPr>
          <w:rFonts w:ascii="Arial" w:cs="Arial" w:eastAsia="Arial" w:hAnsi="Arial"/>
          <w:sz w:val="25"/>
          <w:szCs w:val="25"/>
          <w:color w:val="00ADE8"/>
          <w:vertAlign w:val="superscript"/>
        </w:rPr>
      </w:pPr>
      <w:r>
        <w:rPr>
          <w:rFonts w:ascii="Arial" w:cs="Arial" w:eastAsia="Arial" w:hAnsi="Arial"/>
          <w:sz w:val="16"/>
          <w:szCs w:val="16"/>
          <w:i w:val="1"/>
          <w:iCs w:val="1"/>
          <w:color w:val="3B3C43"/>
        </w:rPr>
        <w:t>to holders of other equity securities as required by the rights of those securities or as the Board of Directors otherwise consider necessary,</w:t>
      </w:r>
    </w:p>
    <w:p>
      <w:pPr>
        <w:spacing w:after="0" w:line="168" w:lineRule="exact"/>
        <w:rPr>
          <w:rFonts w:ascii="Arial" w:cs="Arial" w:eastAsia="Arial" w:hAnsi="Arial"/>
          <w:sz w:val="25"/>
          <w:szCs w:val="25"/>
          <w:color w:val="00ADE8"/>
          <w:vertAlign w:val="superscript"/>
        </w:rPr>
      </w:pPr>
    </w:p>
    <w:p>
      <w:pPr>
        <w:ind w:left="840"/>
        <w:spacing w:after="0" w:line="253" w:lineRule="auto"/>
        <w:rPr>
          <w:rFonts w:ascii="Arial" w:cs="Arial" w:eastAsia="Arial" w:hAnsi="Arial"/>
          <w:sz w:val="25"/>
          <w:szCs w:val="25"/>
          <w:color w:val="00ADE8"/>
          <w:vertAlign w:val="superscript"/>
        </w:rPr>
      </w:pPr>
      <w:r>
        <w:rPr>
          <w:rFonts w:ascii="Arial" w:cs="Arial" w:eastAsia="Arial" w:hAnsi="Arial"/>
          <w:sz w:val="16"/>
          <w:szCs w:val="16"/>
          <w:i w:val="1"/>
          <w:iCs w:val="1"/>
          <w:color w:val="3B3C43"/>
        </w:rPr>
        <w:t>and so that the Board may impose any limits or restrictions and make any arrangements which they consider necessary or appropriate to deal with treasury shares, fractional entitlements, record dates, legal, regulatory or practical problems in, or under the laws of, any territory or any other matter, such authorities to apply until the end of next year's Annual Meeting (or, if earlier, until the close of business on August 20, 2022) but, in each case, during this period the Company may make offers and enter into agreements which would, or might, require shares to be allotted or rights to subscribe for or convert securities into shares to be granted after the authority ends and the Board may allot shares or grant rights to subscribe for or convert securities into shares under any such offer or agreement as if the authority had not ended.”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When does this authorization expire?</w:t>
      </w:r>
    </w:p>
    <w:p>
      <w:pPr>
        <w:spacing w:after="0" w:line="25"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3B3C43"/>
        </w:rPr>
        <w:t>The authorizations in Proposals 10 and 11, if approved, will expire at the earlier of (a) the conclusion of our 2022 Annual Meeting or (b) at the close of business on August 20, 2022, which is 15 months after this year’s Annual Meeting.</w:t>
      </w:r>
    </w:p>
    <w:p>
      <w:pPr>
        <w:spacing w:after="0" w:line="168" w:lineRule="exact"/>
        <w:rPr>
          <w:sz w:val="20"/>
          <w:szCs w:val="20"/>
          <w:color w:val="auto"/>
        </w:rPr>
      </w:pPr>
    </w:p>
    <w:p>
      <w:pPr>
        <w:jc w:val="both"/>
        <w:ind w:right="140"/>
        <w:spacing w:after="0" w:line="260" w:lineRule="auto"/>
        <w:rPr>
          <w:sz w:val="20"/>
          <w:szCs w:val="20"/>
          <w:color w:val="auto"/>
        </w:rPr>
      </w:pPr>
      <w:r>
        <w:rPr>
          <w:rFonts w:ascii="Arial" w:cs="Arial" w:eastAsia="Arial" w:hAnsi="Arial"/>
          <w:sz w:val="16"/>
          <w:szCs w:val="16"/>
          <w:color w:val="3B3C43"/>
        </w:rPr>
        <w:t>As is the case with many U.K. companies, Proposals 10 and 11 will be proposed each year as our Board believes occasions may arise from time to time when it would be beneficial for shares to be issued without shareholder approval and for shares to be issued for cash without making a pre-emptive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3600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How does the Board recommend that I vote?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The Board recommends that you vote “FOR” this proposal.</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142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315" w:right="49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67"/>
          <w:szCs w:val="67"/>
          <w:color w:val="4B1F68"/>
        </w:rPr>
        <w:t>Proposal 11 - Authority to Allot Equity</w:t>
      </w:r>
    </w:p>
    <w:p>
      <w:pPr>
        <w:spacing w:after="0"/>
        <w:rPr>
          <w:sz w:val="20"/>
          <w:szCs w:val="20"/>
          <w:color w:val="auto"/>
        </w:rPr>
      </w:pPr>
      <w:r>
        <w:rPr>
          <w:rFonts w:ascii="Arial" w:cs="Arial" w:eastAsia="Arial" w:hAnsi="Arial"/>
          <w:sz w:val="67"/>
          <w:szCs w:val="67"/>
          <w:color w:val="4B1F68"/>
        </w:rPr>
        <w:t>Securities without</w:t>
      </w:r>
    </w:p>
    <w:p>
      <w:pPr>
        <w:spacing w:after="0"/>
        <w:rPr>
          <w:sz w:val="20"/>
          <w:szCs w:val="20"/>
          <w:color w:val="auto"/>
        </w:rPr>
      </w:pPr>
      <w:r>
        <w:rPr>
          <w:rFonts w:ascii="Arial" w:cs="Arial" w:eastAsia="Arial" w:hAnsi="Arial"/>
          <w:sz w:val="67"/>
          <w:szCs w:val="67"/>
          <w:color w:val="4B1F68"/>
        </w:rPr>
        <w:t>Pre-emptive Rights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What am I voting on?</w:t>
      </w:r>
    </w:p>
    <w:p>
      <w:pPr>
        <w:spacing w:after="0" w:line="25"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b w:val="1"/>
          <w:bCs w:val="1"/>
          <w:color w:val="3B3C43"/>
        </w:rPr>
        <w:t>As noted above, the authorizations requested in Proposals 10 and 11 are required as a matter of English law, are customary for public limited companies incorporated under the laws of England and Wales, and are not otherwise required for other companies listed on the NYSE or organized within the United States.</w:t>
      </w:r>
    </w:p>
    <w:p>
      <w:pPr>
        <w:spacing w:after="0" w:line="15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color w:val="3B3C43"/>
        </w:rPr>
        <w:t>The authorizations in Proposals 10 and 11, if approved, will expire at the earlier of (a) the conclusion of our 2022 Annual Meeting or (b) at the close of business on August 20, 2022 (i.e., 15 months after the Annual Meeting).</w:t>
      </w:r>
    </w:p>
    <w:p>
      <w:pPr>
        <w:spacing w:after="0" w:line="129"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b w:val="1"/>
          <w:bCs w:val="1"/>
          <w:color w:val="3B3C43"/>
        </w:rPr>
        <w:t>Approval of this proposal does not affect any shareholder approval requirements of the NYSE for share issuances, such as in connection with certain acquisitions or in connection with raising additional capital. The Company will continue to be subject to NYSE shareholder approval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Proposal 11 is proposed as a special resolution, requiring at least 75% of votes cast in favor to pass.</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As a company governed by the Companies Act, if and when we raise capital through the issuance of equity securities for cash, we are required to first offer such equity securities to existing shareholders in proportion to their existing shareholdings (i.e., “pre-emption rights”) pursuant to section 561 of the Companies Act. The Companies Act permits shareholders to waive, or “disapply,” these pre-emption rights, which is the purpose of this Proposal 11. Absent the approval of this Proposal 11, our flexibility to issue shares, such as for satisfying equity awards under our Amended and Restated Incentive Award Plan, would be severely limited.</w:t>
      </w:r>
    </w:p>
    <w:p>
      <w:pPr>
        <w:spacing w:after="0" w:line="17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3B3C43"/>
        </w:rPr>
        <w:t>The Company proposes that, subject to the passing of the resolution included in Proposal 10, the Board be generally empowered to issue equity securities for cash, without pre-emption rights, pursuant to the authority conferred by this Proposal 11.</w:t>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In line with guidelines issued by the Pre-Emption Group, a group comprising representatives of U.K.-listed companies, investment institutions, and corporate finance practitioners to monitor the operation of the Guidelines, Proposal 11 would limit our Board’s authority to issue shares up to an aggregate nominal amount of $45,066,829, being 10% of the Company’s issued share capital without pre-emption rights (i.e., on terms that would be dilutive to existing shareholdings), as follows: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color w:val="3B3C43"/>
        </w:rPr>
        <w:t>(i) up to 5% of the Company’s issued ordinary share capital (as of April 8, 2021) on an unrestricted basis for general purposes, and</w:t>
      </w:r>
    </w:p>
    <w:p>
      <w:pPr>
        <w:spacing w:after="0" w:line="194" w:lineRule="exact"/>
        <w:rPr>
          <w:sz w:val="20"/>
          <w:szCs w:val="20"/>
          <w:color w:val="auto"/>
        </w:rPr>
      </w:pPr>
    </w:p>
    <w:p>
      <w:pPr>
        <w:ind w:left="380" w:right="140" w:hanging="188"/>
        <w:spacing w:after="0" w:line="251" w:lineRule="auto"/>
        <w:rPr>
          <w:sz w:val="20"/>
          <w:szCs w:val="20"/>
          <w:color w:val="auto"/>
        </w:rPr>
      </w:pPr>
      <w:r>
        <w:rPr>
          <w:rFonts w:ascii="Arial" w:cs="Arial" w:eastAsia="Arial" w:hAnsi="Arial"/>
          <w:sz w:val="16"/>
          <w:szCs w:val="16"/>
          <w:color w:val="3B3C43"/>
        </w:rPr>
        <w:t>(ii)up to a further 5% of the Company’s issued ordinary share capital (as of April 8, 2021) for use in connection with an acquisition or specified capital investment announced either contemporaneously with the issue or which has taken place in the preceding six month period and is disclosed in the announcement of the issue. The authority to issue this additional 5% would not be used as a matter of routine, but only where the flexibility is merited by the nature of the transaction and is thought to be to the advantage of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143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29" w:right="39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3B3C43"/>
        </w:rPr>
        <w:t>The Board has no current commitments or plans to issue additional shares of the Company under these authorities, other than pursuant to the Company’s Amended and Restated Incentive Award Plan, which was authorized by its shareholder at the Company’s Annual Meeting in 2017.</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The text of the resolution is as follows:</w:t>
      </w:r>
    </w:p>
    <w:p>
      <w:pPr>
        <w:spacing w:after="0" w:line="203" w:lineRule="exact"/>
        <w:rPr>
          <w:sz w:val="20"/>
          <w:szCs w:val="20"/>
          <w:color w:val="auto"/>
        </w:rPr>
      </w:pPr>
    </w:p>
    <w:p>
      <w:pPr>
        <w:jc w:val="both"/>
        <w:ind w:right="80"/>
        <w:spacing w:after="0" w:line="260" w:lineRule="auto"/>
        <w:rPr>
          <w:sz w:val="20"/>
          <w:szCs w:val="20"/>
          <w:color w:val="auto"/>
        </w:rPr>
      </w:pPr>
      <w:r>
        <w:rPr>
          <w:rFonts w:ascii="Arial" w:cs="Arial" w:eastAsia="Arial" w:hAnsi="Arial"/>
          <w:sz w:val="14"/>
          <w:szCs w:val="14"/>
          <w:i w:val="1"/>
          <w:iCs w:val="1"/>
          <w:color w:val="3B3C43"/>
        </w:rPr>
        <w:t>"THAT, subject to Proposal 10 passing, the Board be given power to allot equity securities (as defined in the Companies Act) under the authority given by that resolution and/or to sell equity securities held by the Company as treasury shares for cash as if Section 561 of the Companies Act did not apply to any such allotment or sale, such power to be limited to the allotment of sale:</w:t>
      </w:r>
    </w:p>
    <w:p>
      <w:pPr>
        <w:spacing w:after="0" w:line="120" w:lineRule="exact"/>
        <w:rPr>
          <w:sz w:val="20"/>
          <w:szCs w:val="20"/>
          <w:color w:val="auto"/>
        </w:rPr>
      </w:pPr>
    </w:p>
    <w:p>
      <w:pPr>
        <w:ind w:left="380" w:right="180" w:hanging="188"/>
        <w:spacing w:after="0" w:line="281" w:lineRule="auto"/>
        <w:rPr>
          <w:sz w:val="20"/>
          <w:szCs w:val="20"/>
          <w:color w:val="auto"/>
        </w:rPr>
      </w:pPr>
      <w:r>
        <w:rPr>
          <w:rFonts w:ascii="Arial" w:cs="Arial" w:eastAsia="Arial" w:hAnsi="Arial"/>
          <w:sz w:val="16"/>
          <w:szCs w:val="16"/>
          <w:i w:val="1"/>
          <w:iCs w:val="1"/>
          <w:color w:val="3B3C43"/>
        </w:rPr>
        <w:t>a. in the case of allotments authorized by paragraph (a) of Proposal 10 (i) in connection with a pre-emptive offer, and (ii) other than in connection with a pre-emptive offer, up to an aggregate nominal amount of $45,066,829; and</w:t>
      </w:r>
    </w:p>
    <w:p>
      <w:pPr>
        <w:spacing w:after="0" w:line="109" w:lineRule="exact"/>
        <w:rPr>
          <w:sz w:val="20"/>
          <w:szCs w:val="20"/>
          <w:color w:val="auto"/>
        </w:rPr>
      </w:pPr>
    </w:p>
    <w:p>
      <w:pPr>
        <w:ind w:left="380" w:hanging="188"/>
        <w:spacing w:after="0" w:line="255" w:lineRule="auto"/>
        <w:rPr>
          <w:sz w:val="20"/>
          <w:szCs w:val="20"/>
          <w:color w:val="auto"/>
        </w:rPr>
      </w:pPr>
      <w:r>
        <w:rPr>
          <w:rFonts w:ascii="Arial" w:cs="Arial" w:eastAsia="Arial" w:hAnsi="Arial"/>
          <w:sz w:val="16"/>
          <w:szCs w:val="16"/>
          <w:i w:val="1"/>
          <w:iCs w:val="1"/>
          <w:color w:val="3B3C43"/>
        </w:rPr>
        <w:t>b. in the case of the authority granted under paragraph (b) of Proposal 10, of the equity securities to be issued in connection with a rights issue, such power to apply until the end of next year's Annual Meeting (or, if earlier, until the close of business on August 20, 2022) but, in each case, during this period the Company may make offers, and enter into agreements, which would, or might, require equity securities to be allotted (and treasury shares to be sold) after the power ends and the Board may allot equity securities (and sell treasury shares) under any such offer or agreement as if the power had not ended.”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When does this authorization expire?</w:t>
      </w:r>
    </w:p>
    <w:p>
      <w:pPr>
        <w:spacing w:after="0" w:line="25"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3B3C43"/>
        </w:rPr>
        <w:t>The authorizations in Proposals 10 and 11, if approved, will expire at the earlier of (a) the conclusion of our 2022 Annual Meeting or (b) at the close of business on August 20, 2022, which is 15 months after this year’s Annual Meeting.</w:t>
      </w:r>
    </w:p>
    <w:p>
      <w:pPr>
        <w:spacing w:after="0" w:line="168" w:lineRule="exact"/>
        <w:rPr>
          <w:sz w:val="20"/>
          <w:szCs w:val="20"/>
          <w:color w:val="auto"/>
        </w:rPr>
      </w:pPr>
    </w:p>
    <w:p>
      <w:pPr>
        <w:jc w:val="both"/>
        <w:ind w:right="260"/>
        <w:spacing w:after="0" w:line="260" w:lineRule="auto"/>
        <w:rPr>
          <w:sz w:val="20"/>
          <w:szCs w:val="20"/>
          <w:color w:val="auto"/>
        </w:rPr>
      </w:pPr>
      <w:r>
        <w:rPr>
          <w:rFonts w:ascii="Arial" w:cs="Arial" w:eastAsia="Arial" w:hAnsi="Arial"/>
          <w:sz w:val="16"/>
          <w:szCs w:val="16"/>
          <w:color w:val="3B3C43"/>
        </w:rPr>
        <w:t>As is the case with many U.K. companies, Proposals 10 and 11 will be proposed each year as our Board believes occasions may arise from time to time when it would be beneficial for shares to be issued without shareholder approval and for shares to be issued for cash without making a pre-emptive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3600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How does the Board recommend that I vote?</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3B3C43"/>
        </w:rPr>
        <w:t>The Board recommends that you vote “FOR” this proposal</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144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67"/>
          <w:szCs w:val="67"/>
          <w:color w:val="4B1F68"/>
        </w:rPr>
        <w:t>Transactions with</w:t>
      </w:r>
    </w:p>
    <w:p>
      <w:pPr>
        <w:spacing w:after="0" w:line="1" w:lineRule="exact"/>
        <w:rPr>
          <w:sz w:val="20"/>
          <w:szCs w:val="20"/>
          <w:color w:val="auto"/>
        </w:rPr>
      </w:pPr>
    </w:p>
    <w:p>
      <w:pPr>
        <w:spacing w:after="0"/>
        <w:rPr>
          <w:sz w:val="20"/>
          <w:szCs w:val="20"/>
          <w:color w:val="auto"/>
        </w:rPr>
      </w:pPr>
      <w:r>
        <w:rPr>
          <w:rFonts w:ascii="Arial" w:cs="Arial" w:eastAsia="Arial" w:hAnsi="Arial"/>
          <w:sz w:val="67"/>
          <w:szCs w:val="67"/>
          <w:color w:val="4B1F68"/>
        </w:rPr>
        <w:t>Related Persons</w:t>
      </w:r>
    </w:p>
    <w:p>
      <w:pPr>
        <w:spacing w:after="0" w:line="185"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3B3C43"/>
        </w:rPr>
        <w:t>The Company’s ESG Committee considers questions of possible conflicts of interest for related persons and recommends to our Board the appropriate resolution of any conflict of interest or any related person transaction. In reviewing and approving any related person transactions, our ESG Committee follows procedures pursuant to which transactions are reviewed, approved, or ratified.</w:t>
      </w:r>
    </w:p>
    <w:p>
      <w:pPr>
        <w:spacing w:after="0" w:line="17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3B3C43"/>
        </w:rPr>
        <w:t>Under the SEC rules, “related persons” include any director, executive officer, director nominee, or greater than 5% shareholder of the Company, and their immediate family members. Our review procedures apply to any transaction in which:</w:t>
      </w:r>
    </w:p>
    <w:p>
      <w:pPr>
        <w:spacing w:after="0" w:line="168" w:lineRule="exact"/>
        <w:rPr>
          <w:sz w:val="20"/>
          <w:szCs w:val="20"/>
          <w:color w:val="auto"/>
        </w:rPr>
      </w:pPr>
    </w:p>
    <w:p>
      <w:pPr>
        <w:ind w:left="480" w:hanging="283"/>
        <w:spacing w:after="0"/>
        <w:tabs>
          <w:tab w:leader="none" w:pos="480" w:val="left"/>
        </w:tabs>
        <w:numPr>
          <w:ilvl w:val="0"/>
          <w:numId w:val="152"/>
        </w:numPr>
        <w:rPr>
          <w:rFonts w:ascii="Arial" w:cs="Arial" w:eastAsia="Arial" w:hAnsi="Arial"/>
          <w:sz w:val="16"/>
          <w:szCs w:val="16"/>
          <w:color w:val="3B3C43"/>
        </w:rPr>
      </w:pPr>
      <w:r>
        <w:rPr>
          <w:rFonts w:ascii="Arial" w:cs="Arial" w:eastAsia="Arial" w:hAnsi="Arial"/>
          <w:sz w:val="16"/>
          <w:szCs w:val="16"/>
          <w:color w:val="3B3C43"/>
        </w:rPr>
        <w:t>the Company is a participant;</w:t>
      </w:r>
    </w:p>
    <w:p>
      <w:pPr>
        <w:spacing w:after="0" w:line="5" w:lineRule="exact"/>
        <w:rPr>
          <w:rFonts w:ascii="Arial" w:cs="Arial" w:eastAsia="Arial" w:hAnsi="Arial"/>
          <w:sz w:val="16"/>
          <w:szCs w:val="16"/>
          <w:color w:val="3B3C43"/>
        </w:rPr>
      </w:pPr>
    </w:p>
    <w:p>
      <w:pPr>
        <w:ind w:left="480" w:hanging="283"/>
        <w:spacing w:after="0"/>
        <w:tabs>
          <w:tab w:leader="none" w:pos="480" w:val="left"/>
        </w:tabs>
        <w:numPr>
          <w:ilvl w:val="0"/>
          <w:numId w:val="152"/>
        </w:numPr>
        <w:rPr>
          <w:rFonts w:ascii="Arial" w:cs="Arial" w:eastAsia="Arial" w:hAnsi="Arial"/>
          <w:sz w:val="16"/>
          <w:szCs w:val="16"/>
          <w:color w:val="3B3C43"/>
        </w:rPr>
      </w:pPr>
      <w:r>
        <w:rPr>
          <w:rFonts w:ascii="Arial" w:cs="Arial" w:eastAsia="Arial" w:hAnsi="Arial"/>
          <w:sz w:val="16"/>
          <w:szCs w:val="16"/>
          <w:color w:val="3B3C43"/>
        </w:rPr>
        <w:t>any related person has a direct or indirect material interest; and</w:t>
      </w:r>
    </w:p>
    <w:p>
      <w:pPr>
        <w:spacing w:after="0" w:line="5" w:lineRule="exact"/>
        <w:rPr>
          <w:rFonts w:ascii="Arial" w:cs="Arial" w:eastAsia="Arial" w:hAnsi="Arial"/>
          <w:sz w:val="16"/>
          <w:szCs w:val="16"/>
          <w:color w:val="3B3C43"/>
        </w:rPr>
      </w:pPr>
    </w:p>
    <w:p>
      <w:pPr>
        <w:ind w:left="480" w:hanging="283"/>
        <w:spacing w:after="0"/>
        <w:tabs>
          <w:tab w:leader="none" w:pos="480" w:val="left"/>
        </w:tabs>
        <w:numPr>
          <w:ilvl w:val="0"/>
          <w:numId w:val="152"/>
        </w:numPr>
        <w:rPr>
          <w:rFonts w:ascii="Arial" w:cs="Arial" w:eastAsia="Arial" w:hAnsi="Arial"/>
          <w:sz w:val="16"/>
          <w:szCs w:val="16"/>
          <w:color w:val="3B3C43"/>
        </w:rPr>
      </w:pPr>
      <w:r>
        <w:rPr>
          <w:rFonts w:ascii="Arial" w:cs="Arial" w:eastAsia="Arial" w:hAnsi="Arial"/>
          <w:sz w:val="16"/>
          <w:szCs w:val="16"/>
          <w:color w:val="3B3C43"/>
        </w:rPr>
        <w:t>the amount involved exceeds $120,000, but excludes any transaction that does not require disclosure under Item 404(a) of SEC Regulation S-K.</w:t>
      </w:r>
    </w:p>
    <w:p>
      <w:pPr>
        <w:spacing w:after="0" w:line="19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3B3C43"/>
        </w:rPr>
        <w:t>The ESG Committee is responsible for reviewing, and where appropriate, approving or ratifying any related person transaction involving the Company or its subsidiaries and related persons. The committee approves only those transactions that are in our best interests and the best interests of our shareholders, and considers factors such as: (a) the benefit of the transaction to us and our shareholders; (b) any alternatives to the transaction; and (c) whether the transaction is on terms comparable to those that could be obtained in arm’s-length dealings with an unrelated third party.</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B3C43"/>
        </w:rPr>
        <w:t>In addition, our Governance Guidelines and Code of Business Conduct require directors and executive officers to disclose potential conflicts of interest, and directors must recuse themselves from discussing or voting on any issue for which they may have a conflict. Directors and executive officers also complete an annual questionnaire that contains questions regarding related person transactions.</w:t>
      </w:r>
    </w:p>
    <w:p>
      <w:pPr>
        <w:spacing w:after="0" w:line="17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3B3C43"/>
        </w:rPr>
        <w:t>In 2020, we were not a participant in any transaction, or series of related transactions, in which any “related person” had, or will have, a direct or indirect material interest and in which the amount involved exceeded $120,000.</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145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329" w:right="43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2160"/>
        <w:spacing w:after="0" w:line="245" w:lineRule="auto"/>
        <w:rPr>
          <w:sz w:val="20"/>
          <w:szCs w:val="20"/>
          <w:color w:val="auto"/>
        </w:rPr>
      </w:pPr>
      <w:r>
        <w:rPr>
          <w:rFonts w:ascii="Arial" w:cs="Arial" w:eastAsia="Arial" w:hAnsi="Arial"/>
          <w:sz w:val="67"/>
          <w:szCs w:val="67"/>
          <w:color w:val="4B1F68"/>
        </w:rPr>
        <w:t>Security Ownership of Certain Beneficial Owners and Management</w:t>
      </w:r>
    </w:p>
    <w:p>
      <w:pPr>
        <w:spacing w:after="0" w:line="137"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3B3C43"/>
        </w:rPr>
        <w:t>The following table shows, as of March 31, 2021, the number of our Ordinary Shares beneficially owned by each of our NEOs, directors, and all directors and executive officers as a group. No director or NEO beneficially owns more than 1% of our Ordinary Shares, as designated in the “Percent of Class” column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057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ectPr>
          <w:pgSz w:w="11900" w:h="16838" w:orient="portrait"/>
          <w:cols w:equalWidth="0" w:num="1">
            <w:col w:w="11160"/>
          </w:cols>
          <w:pgMar w:left="320" w:top="329" w:right="419" w:bottom="1440" w:gutter="0" w:footer="0" w:header="0"/>
        </w:sect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160" w:type="dxa"/>
            <w:vAlign w:val="bottom"/>
          </w:tcPr>
          <w:p>
            <w:pPr>
              <w:spacing w:after="0"/>
              <w:rPr>
                <w:sz w:val="20"/>
                <w:szCs w:val="20"/>
                <w:color w:val="auto"/>
              </w:rPr>
            </w:pPr>
            <w:r>
              <w:rPr>
                <w:rFonts w:ascii="Arial" w:cs="Arial" w:eastAsia="Arial" w:hAnsi="Arial"/>
                <w:sz w:val="16"/>
                <w:szCs w:val="16"/>
                <w:b w:val="1"/>
                <w:bCs w:val="1"/>
                <w:color w:val="FFFFFF"/>
              </w:rPr>
              <w:t>Name</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FFFFFF"/>
              </w:rPr>
              <w:t>Shares</w:t>
            </w:r>
          </w:p>
        </w:tc>
      </w:tr>
      <w:tr>
        <w:trPr>
          <w:trHeight w:val="343"/>
        </w:trPr>
        <w:tc>
          <w:tcPr>
            <w:tcW w:w="6160" w:type="dxa"/>
            <w:vAlign w:val="bottom"/>
          </w:tcPr>
          <w:p>
            <w:pPr>
              <w:spacing w:after="0"/>
              <w:rPr>
                <w:sz w:val="20"/>
                <w:szCs w:val="20"/>
                <w:color w:val="auto"/>
              </w:rPr>
            </w:pPr>
            <w:r>
              <w:rPr>
                <w:rFonts w:ascii="Arial" w:cs="Arial" w:eastAsia="Arial" w:hAnsi="Arial"/>
                <w:sz w:val="16"/>
                <w:szCs w:val="16"/>
                <w:b w:val="1"/>
                <w:bCs w:val="1"/>
                <w:color w:val="3B3C43"/>
              </w:rPr>
              <w:t>Eleazar de Carvalho Filho</w:t>
            </w:r>
          </w:p>
        </w:tc>
        <w:tc>
          <w:tcPr>
            <w:tcW w:w="2040" w:type="dxa"/>
            <w:vAlign w:val="bottom"/>
          </w:tcPr>
          <w:p>
            <w:pPr>
              <w:jc w:val="right"/>
              <w:spacing w:after="0"/>
              <w:rPr>
                <w:sz w:val="20"/>
                <w:szCs w:val="20"/>
                <w:color w:val="auto"/>
              </w:rPr>
            </w:pPr>
            <w:r>
              <w:rPr>
                <w:rFonts w:ascii="Arial" w:cs="Arial" w:eastAsia="Arial" w:hAnsi="Arial"/>
                <w:sz w:val="16"/>
                <w:szCs w:val="16"/>
                <w:color w:val="3B3C43"/>
              </w:rPr>
              <w:t>72,672</w:t>
            </w:r>
            <w:r>
              <w:rPr>
                <w:rFonts w:ascii="Arial" w:cs="Arial" w:eastAsia="Arial" w:hAnsi="Arial"/>
                <w:sz w:val="29"/>
                <w:szCs w:val="29"/>
                <w:color w:val="3B3C43"/>
                <w:vertAlign w:val="superscript"/>
              </w:rPr>
              <w:t>3</w:t>
            </w:r>
          </w:p>
        </w:tc>
      </w:tr>
      <w:tr>
        <w:trPr>
          <w:trHeight w:val="257"/>
        </w:trPr>
        <w:tc>
          <w:tcPr>
            <w:tcW w:w="6160" w:type="dxa"/>
            <w:vAlign w:val="bottom"/>
          </w:tcPr>
          <w:p>
            <w:pPr>
              <w:spacing w:after="0"/>
              <w:rPr>
                <w:sz w:val="20"/>
                <w:szCs w:val="20"/>
                <w:color w:val="auto"/>
              </w:rPr>
            </w:pPr>
            <w:r>
              <w:rPr>
                <w:rFonts w:ascii="Arial" w:cs="Arial" w:eastAsia="Arial" w:hAnsi="Arial"/>
                <w:sz w:val="16"/>
                <w:szCs w:val="16"/>
                <w:b w:val="1"/>
                <w:bCs w:val="1"/>
                <w:color w:val="3B3C43"/>
              </w:rPr>
              <w:t>Claire S. Farley</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102,976</w:t>
            </w:r>
            <w:r>
              <w:rPr>
                <w:rFonts w:ascii="Arial" w:cs="Arial" w:eastAsia="Arial" w:hAnsi="Arial"/>
                <w:sz w:val="29"/>
                <w:szCs w:val="29"/>
                <w:color w:val="3B3C43"/>
                <w:vertAlign w:val="superscript"/>
              </w:rPr>
              <w:t>3</w:t>
            </w:r>
          </w:p>
        </w:tc>
      </w:tr>
      <w:tr>
        <w:trPr>
          <w:trHeight w:val="257"/>
        </w:trPr>
        <w:tc>
          <w:tcPr>
            <w:tcW w:w="6160" w:type="dxa"/>
            <w:vAlign w:val="bottom"/>
          </w:tcPr>
          <w:p>
            <w:pPr>
              <w:spacing w:after="0"/>
              <w:rPr>
                <w:sz w:val="20"/>
                <w:szCs w:val="20"/>
                <w:color w:val="auto"/>
              </w:rPr>
            </w:pPr>
            <w:r>
              <w:rPr>
                <w:rFonts w:ascii="Arial" w:cs="Arial" w:eastAsia="Arial" w:hAnsi="Arial"/>
                <w:sz w:val="16"/>
                <w:szCs w:val="16"/>
                <w:b w:val="1"/>
                <w:bCs w:val="1"/>
                <w:color w:val="3B3C43"/>
              </w:rPr>
              <w:t>Barry Glickman</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181,013</w:t>
            </w:r>
            <w:r>
              <w:rPr>
                <w:rFonts w:ascii="Arial" w:cs="Arial" w:eastAsia="Arial" w:hAnsi="Arial"/>
                <w:sz w:val="29"/>
                <w:szCs w:val="29"/>
                <w:color w:val="3B3C43"/>
                <w:vertAlign w:val="superscript"/>
              </w:rPr>
              <w:t>2</w:t>
            </w:r>
          </w:p>
        </w:tc>
      </w:tr>
      <w:tr>
        <w:trPr>
          <w:trHeight w:val="256"/>
        </w:trPr>
        <w:tc>
          <w:tcPr>
            <w:tcW w:w="6160" w:type="dxa"/>
            <w:vAlign w:val="bottom"/>
          </w:tcPr>
          <w:p>
            <w:pPr>
              <w:spacing w:after="0"/>
              <w:rPr>
                <w:sz w:val="20"/>
                <w:szCs w:val="20"/>
                <w:color w:val="auto"/>
              </w:rPr>
            </w:pPr>
            <w:r>
              <w:rPr>
                <w:rFonts w:ascii="Arial" w:cs="Arial" w:eastAsia="Arial" w:hAnsi="Arial"/>
                <w:sz w:val="16"/>
                <w:szCs w:val="16"/>
                <w:b w:val="1"/>
                <w:bCs w:val="1"/>
                <w:color w:val="3B3C43"/>
              </w:rPr>
              <w:t>Catherine MacGregor</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20,383</w:t>
            </w:r>
            <w:r>
              <w:rPr>
                <w:rFonts w:ascii="Arial" w:cs="Arial" w:eastAsia="Arial" w:hAnsi="Arial"/>
                <w:sz w:val="29"/>
                <w:szCs w:val="29"/>
                <w:color w:val="3B3C43"/>
                <w:vertAlign w:val="superscript"/>
              </w:rPr>
              <w:t>2</w:t>
            </w:r>
          </w:p>
        </w:tc>
      </w:tr>
      <w:tr>
        <w:trPr>
          <w:trHeight w:val="257"/>
        </w:trPr>
        <w:tc>
          <w:tcPr>
            <w:tcW w:w="6160" w:type="dxa"/>
            <w:vAlign w:val="bottom"/>
          </w:tcPr>
          <w:p>
            <w:pPr>
              <w:spacing w:after="0"/>
              <w:rPr>
                <w:sz w:val="20"/>
                <w:szCs w:val="20"/>
                <w:color w:val="auto"/>
              </w:rPr>
            </w:pPr>
            <w:r>
              <w:rPr>
                <w:rFonts w:ascii="Arial" w:cs="Arial" w:eastAsia="Arial" w:hAnsi="Arial"/>
                <w:sz w:val="16"/>
                <w:szCs w:val="16"/>
                <w:b w:val="1"/>
                <w:bCs w:val="1"/>
                <w:color w:val="3B3C43"/>
              </w:rPr>
              <w:t>Maryann T. Mannen</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422,060</w:t>
            </w:r>
            <w:r>
              <w:rPr>
                <w:rFonts w:ascii="Arial" w:cs="Arial" w:eastAsia="Arial" w:hAnsi="Arial"/>
                <w:sz w:val="29"/>
                <w:szCs w:val="29"/>
                <w:color w:val="3B3C43"/>
                <w:vertAlign w:val="superscript"/>
              </w:rPr>
              <w:t>2</w:t>
            </w:r>
          </w:p>
        </w:tc>
      </w:tr>
      <w:tr>
        <w:trPr>
          <w:trHeight w:val="257"/>
        </w:trPr>
        <w:tc>
          <w:tcPr>
            <w:tcW w:w="6160" w:type="dxa"/>
            <w:vAlign w:val="bottom"/>
          </w:tcPr>
          <w:p>
            <w:pPr>
              <w:spacing w:after="0"/>
              <w:rPr>
                <w:sz w:val="20"/>
                <w:szCs w:val="20"/>
                <w:color w:val="auto"/>
              </w:rPr>
            </w:pPr>
            <w:r>
              <w:rPr>
                <w:rFonts w:ascii="Arial" w:cs="Arial" w:eastAsia="Arial" w:hAnsi="Arial"/>
                <w:sz w:val="16"/>
                <w:szCs w:val="16"/>
                <w:b w:val="1"/>
                <w:bCs w:val="1"/>
                <w:color w:val="3B3C43"/>
              </w:rPr>
              <w:t>Peter Mellbye</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59,460</w:t>
            </w:r>
            <w:r>
              <w:rPr>
                <w:rFonts w:ascii="Arial" w:cs="Arial" w:eastAsia="Arial" w:hAnsi="Arial"/>
                <w:sz w:val="29"/>
                <w:szCs w:val="29"/>
                <w:color w:val="3B3C43"/>
                <w:vertAlign w:val="superscript"/>
              </w:rPr>
              <w:t>3</w:t>
            </w:r>
          </w:p>
        </w:tc>
      </w:tr>
      <w:tr>
        <w:trPr>
          <w:trHeight w:val="253"/>
        </w:trPr>
        <w:tc>
          <w:tcPr>
            <w:tcW w:w="6160" w:type="dxa"/>
            <w:vAlign w:val="bottom"/>
          </w:tcPr>
          <w:p>
            <w:pPr>
              <w:spacing w:after="0"/>
              <w:rPr>
                <w:sz w:val="20"/>
                <w:szCs w:val="20"/>
                <w:color w:val="auto"/>
              </w:rPr>
            </w:pPr>
            <w:r>
              <w:rPr>
                <w:rFonts w:ascii="Arial" w:cs="Arial" w:eastAsia="Arial" w:hAnsi="Arial"/>
                <w:sz w:val="16"/>
                <w:szCs w:val="16"/>
                <w:b w:val="1"/>
                <w:bCs w:val="1"/>
                <w:color w:val="3B3C43"/>
              </w:rPr>
              <w:t>John O’Leary</w:t>
            </w:r>
          </w:p>
        </w:tc>
        <w:tc>
          <w:tcPr>
            <w:tcW w:w="2040" w:type="dxa"/>
            <w:vAlign w:val="bottom"/>
          </w:tcPr>
          <w:p>
            <w:pPr>
              <w:jc w:val="right"/>
              <w:spacing w:after="0" w:line="252" w:lineRule="exact"/>
              <w:rPr>
                <w:sz w:val="20"/>
                <w:szCs w:val="20"/>
                <w:color w:val="auto"/>
              </w:rPr>
            </w:pPr>
            <w:r>
              <w:rPr>
                <w:rFonts w:ascii="Arial" w:cs="Arial" w:eastAsia="Arial" w:hAnsi="Arial"/>
                <w:sz w:val="16"/>
                <w:szCs w:val="16"/>
                <w:color w:val="3B3C43"/>
              </w:rPr>
              <w:t>62,067</w:t>
            </w:r>
            <w:r>
              <w:rPr>
                <w:rFonts w:ascii="Arial" w:cs="Arial" w:eastAsia="Arial" w:hAnsi="Arial"/>
                <w:sz w:val="29"/>
                <w:szCs w:val="29"/>
                <w:color w:val="3B3C43"/>
                <w:vertAlign w:val="superscript"/>
              </w:rPr>
              <w:t>3</w:t>
            </w:r>
          </w:p>
        </w:tc>
      </w:tr>
      <w:tr>
        <w:trPr>
          <w:trHeight w:val="260"/>
        </w:trPr>
        <w:tc>
          <w:tcPr>
            <w:tcW w:w="6160" w:type="dxa"/>
            <w:vAlign w:val="bottom"/>
          </w:tcPr>
          <w:p>
            <w:pPr>
              <w:spacing w:after="0"/>
              <w:rPr>
                <w:sz w:val="20"/>
                <w:szCs w:val="20"/>
                <w:color w:val="auto"/>
              </w:rPr>
            </w:pPr>
            <w:r>
              <w:rPr>
                <w:rFonts w:ascii="Arial" w:cs="Arial" w:eastAsia="Arial" w:hAnsi="Arial"/>
                <w:sz w:val="16"/>
                <w:szCs w:val="16"/>
                <w:b w:val="1"/>
                <w:bCs w:val="1"/>
                <w:color w:val="3B3C43"/>
              </w:rPr>
              <w:t>Margareth Øvrum</w:t>
            </w:r>
          </w:p>
        </w:tc>
        <w:tc>
          <w:tcPr>
            <w:tcW w:w="2040" w:type="dxa"/>
            <w:vAlign w:val="bottom"/>
          </w:tcPr>
          <w:p>
            <w:pPr>
              <w:jc w:val="right"/>
              <w:spacing w:after="0" w:line="260" w:lineRule="exact"/>
              <w:rPr>
                <w:sz w:val="20"/>
                <w:szCs w:val="20"/>
                <w:color w:val="auto"/>
              </w:rPr>
            </w:pPr>
            <w:r>
              <w:rPr>
                <w:rFonts w:ascii="Arial" w:cs="Arial" w:eastAsia="Arial" w:hAnsi="Arial"/>
                <w:sz w:val="16"/>
                <w:szCs w:val="16"/>
                <w:color w:val="3B3C43"/>
              </w:rPr>
              <w:t>0</w:t>
            </w:r>
            <w:r>
              <w:rPr>
                <w:rFonts w:ascii="Arial" w:cs="Arial" w:eastAsia="Arial" w:hAnsi="Arial"/>
                <w:sz w:val="29"/>
                <w:szCs w:val="29"/>
                <w:color w:val="3B3C43"/>
                <w:vertAlign w:val="superscript"/>
              </w:rPr>
              <w:t>3</w:t>
            </w:r>
          </w:p>
        </w:tc>
      </w:tr>
      <w:tr>
        <w:trPr>
          <w:trHeight w:val="257"/>
        </w:trPr>
        <w:tc>
          <w:tcPr>
            <w:tcW w:w="6160" w:type="dxa"/>
            <w:vAlign w:val="bottom"/>
          </w:tcPr>
          <w:p>
            <w:pPr>
              <w:spacing w:after="0"/>
              <w:rPr>
                <w:sz w:val="20"/>
                <w:szCs w:val="20"/>
                <w:color w:val="auto"/>
              </w:rPr>
            </w:pPr>
            <w:r>
              <w:rPr>
                <w:rFonts w:ascii="Arial" w:cs="Arial" w:eastAsia="Arial" w:hAnsi="Arial"/>
                <w:sz w:val="16"/>
                <w:szCs w:val="16"/>
                <w:b w:val="1"/>
                <w:bCs w:val="1"/>
                <w:color w:val="3B3C43"/>
              </w:rPr>
              <w:t>Douglas J. Pferdehirt</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1,198,455</w:t>
            </w:r>
            <w:r>
              <w:rPr>
                <w:rFonts w:ascii="Arial" w:cs="Arial" w:eastAsia="Arial" w:hAnsi="Arial"/>
                <w:sz w:val="29"/>
                <w:szCs w:val="29"/>
                <w:color w:val="3B3C43"/>
                <w:vertAlign w:val="superscript"/>
              </w:rPr>
              <w:t>2</w:t>
            </w:r>
          </w:p>
        </w:tc>
      </w:tr>
      <w:tr>
        <w:trPr>
          <w:trHeight w:val="257"/>
        </w:trPr>
        <w:tc>
          <w:tcPr>
            <w:tcW w:w="6160" w:type="dxa"/>
            <w:vAlign w:val="bottom"/>
          </w:tcPr>
          <w:p>
            <w:pPr>
              <w:spacing w:after="0"/>
              <w:rPr>
                <w:sz w:val="20"/>
                <w:szCs w:val="20"/>
                <w:color w:val="auto"/>
              </w:rPr>
            </w:pPr>
            <w:r>
              <w:rPr>
                <w:rFonts w:ascii="Arial" w:cs="Arial" w:eastAsia="Arial" w:hAnsi="Arial"/>
                <w:sz w:val="16"/>
                <w:szCs w:val="16"/>
                <w:b w:val="1"/>
                <w:bCs w:val="1"/>
                <w:color w:val="3B3C43"/>
              </w:rPr>
              <w:t>Arnaud Pieton</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79,203</w:t>
            </w:r>
            <w:r>
              <w:rPr>
                <w:rFonts w:ascii="Arial" w:cs="Arial" w:eastAsia="Arial" w:hAnsi="Arial"/>
                <w:sz w:val="29"/>
                <w:szCs w:val="29"/>
                <w:color w:val="3B3C43"/>
                <w:vertAlign w:val="superscript"/>
              </w:rPr>
              <w:t>2</w:t>
            </w:r>
          </w:p>
        </w:tc>
      </w:tr>
      <w:tr>
        <w:trPr>
          <w:trHeight w:val="257"/>
        </w:trPr>
        <w:tc>
          <w:tcPr>
            <w:tcW w:w="6160" w:type="dxa"/>
            <w:vAlign w:val="bottom"/>
          </w:tcPr>
          <w:p>
            <w:pPr>
              <w:spacing w:after="0"/>
              <w:rPr>
                <w:sz w:val="20"/>
                <w:szCs w:val="20"/>
                <w:color w:val="auto"/>
              </w:rPr>
            </w:pPr>
            <w:r>
              <w:rPr>
                <w:rFonts w:ascii="Arial" w:cs="Arial" w:eastAsia="Arial" w:hAnsi="Arial"/>
                <w:sz w:val="16"/>
                <w:szCs w:val="16"/>
                <w:b w:val="1"/>
                <w:bCs w:val="1"/>
                <w:color w:val="3B3C43"/>
              </w:rPr>
              <w:t>Kay G. Priestly</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57,628</w:t>
            </w:r>
            <w:r>
              <w:rPr>
                <w:rFonts w:ascii="Arial" w:cs="Arial" w:eastAsia="Arial" w:hAnsi="Arial"/>
                <w:sz w:val="29"/>
                <w:szCs w:val="29"/>
                <w:color w:val="3B3C43"/>
                <w:vertAlign w:val="superscript"/>
              </w:rPr>
              <w:t>3</w:t>
            </w:r>
          </w:p>
        </w:tc>
      </w:tr>
      <w:tr>
        <w:trPr>
          <w:trHeight w:val="256"/>
        </w:trPr>
        <w:tc>
          <w:tcPr>
            <w:tcW w:w="6160" w:type="dxa"/>
            <w:vAlign w:val="bottom"/>
          </w:tcPr>
          <w:p>
            <w:pPr>
              <w:spacing w:after="0"/>
              <w:rPr>
                <w:sz w:val="20"/>
                <w:szCs w:val="20"/>
                <w:color w:val="auto"/>
              </w:rPr>
            </w:pPr>
            <w:r>
              <w:rPr>
                <w:rFonts w:ascii="Arial" w:cs="Arial" w:eastAsia="Arial" w:hAnsi="Arial"/>
                <w:sz w:val="16"/>
                <w:szCs w:val="16"/>
                <w:b w:val="1"/>
                <w:bCs w:val="1"/>
                <w:color w:val="3B3C43"/>
              </w:rPr>
              <w:t>James M. Ringler</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217,924</w:t>
            </w:r>
            <w:r>
              <w:rPr>
                <w:rFonts w:ascii="Arial" w:cs="Arial" w:eastAsia="Arial" w:hAnsi="Arial"/>
                <w:sz w:val="29"/>
                <w:szCs w:val="29"/>
                <w:color w:val="3B3C43"/>
                <w:vertAlign w:val="superscript"/>
              </w:rPr>
              <w:t>3</w:t>
            </w:r>
          </w:p>
        </w:tc>
      </w:tr>
      <w:tr>
        <w:trPr>
          <w:trHeight w:val="257"/>
        </w:trPr>
        <w:tc>
          <w:tcPr>
            <w:tcW w:w="6160" w:type="dxa"/>
            <w:vAlign w:val="bottom"/>
          </w:tcPr>
          <w:p>
            <w:pPr>
              <w:spacing w:after="0"/>
              <w:rPr>
                <w:sz w:val="20"/>
                <w:szCs w:val="20"/>
                <w:color w:val="auto"/>
              </w:rPr>
            </w:pPr>
            <w:r>
              <w:rPr>
                <w:rFonts w:ascii="Arial" w:cs="Arial" w:eastAsia="Arial" w:hAnsi="Arial"/>
                <w:sz w:val="16"/>
                <w:szCs w:val="16"/>
                <w:b w:val="1"/>
                <w:bCs w:val="1"/>
                <w:color w:val="3B3C43"/>
              </w:rPr>
              <w:t>Justin Rounce</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56,457</w:t>
            </w:r>
            <w:r>
              <w:rPr>
                <w:rFonts w:ascii="Arial" w:cs="Arial" w:eastAsia="Arial" w:hAnsi="Arial"/>
                <w:sz w:val="29"/>
                <w:szCs w:val="29"/>
                <w:color w:val="3B3C43"/>
                <w:vertAlign w:val="superscript"/>
              </w:rPr>
              <w:t>2</w:t>
            </w:r>
          </w:p>
        </w:tc>
      </w:tr>
      <w:tr>
        <w:trPr>
          <w:trHeight w:val="256"/>
        </w:trPr>
        <w:tc>
          <w:tcPr>
            <w:tcW w:w="6160" w:type="dxa"/>
            <w:vAlign w:val="bottom"/>
          </w:tcPr>
          <w:p>
            <w:pPr>
              <w:spacing w:after="0"/>
              <w:rPr>
                <w:sz w:val="20"/>
                <w:szCs w:val="20"/>
                <w:color w:val="auto"/>
              </w:rPr>
            </w:pPr>
            <w:r>
              <w:rPr>
                <w:rFonts w:ascii="Arial" w:cs="Arial" w:eastAsia="Arial" w:hAnsi="Arial"/>
                <w:sz w:val="16"/>
                <w:szCs w:val="16"/>
                <w:b w:val="1"/>
                <w:bCs w:val="1"/>
                <w:color w:val="3B3C43"/>
              </w:rPr>
              <w:t>Nello Uccelletti</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384,657</w:t>
            </w:r>
            <w:r>
              <w:rPr>
                <w:rFonts w:ascii="Arial" w:cs="Arial" w:eastAsia="Arial" w:hAnsi="Arial"/>
                <w:sz w:val="29"/>
                <w:szCs w:val="29"/>
                <w:color w:val="3B3C43"/>
                <w:vertAlign w:val="superscript"/>
              </w:rPr>
              <w:t>2</w:t>
            </w:r>
          </w:p>
        </w:tc>
      </w:tr>
      <w:tr>
        <w:trPr>
          <w:trHeight w:val="253"/>
        </w:trPr>
        <w:tc>
          <w:tcPr>
            <w:tcW w:w="6160" w:type="dxa"/>
            <w:vAlign w:val="bottom"/>
          </w:tcPr>
          <w:p>
            <w:pPr>
              <w:spacing w:after="0"/>
              <w:rPr>
                <w:sz w:val="20"/>
                <w:szCs w:val="20"/>
                <w:color w:val="auto"/>
              </w:rPr>
            </w:pPr>
            <w:r>
              <w:rPr>
                <w:rFonts w:ascii="Arial" w:cs="Arial" w:eastAsia="Arial" w:hAnsi="Arial"/>
                <w:sz w:val="16"/>
                <w:szCs w:val="16"/>
                <w:b w:val="1"/>
                <w:bCs w:val="1"/>
                <w:color w:val="3B3C43"/>
              </w:rPr>
              <w:t>John Yearwood</w:t>
            </w:r>
          </w:p>
        </w:tc>
        <w:tc>
          <w:tcPr>
            <w:tcW w:w="2040" w:type="dxa"/>
            <w:vAlign w:val="bottom"/>
          </w:tcPr>
          <w:p>
            <w:pPr>
              <w:jc w:val="right"/>
              <w:spacing w:after="0" w:line="252" w:lineRule="exact"/>
              <w:rPr>
                <w:sz w:val="20"/>
                <w:szCs w:val="20"/>
                <w:color w:val="auto"/>
              </w:rPr>
            </w:pPr>
            <w:r>
              <w:rPr>
                <w:rFonts w:ascii="Arial" w:cs="Arial" w:eastAsia="Arial" w:hAnsi="Arial"/>
                <w:sz w:val="16"/>
                <w:szCs w:val="16"/>
                <w:color w:val="3B3C43"/>
              </w:rPr>
              <w:t>42,010</w:t>
            </w:r>
            <w:r>
              <w:rPr>
                <w:rFonts w:ascii="Arial" w:cs="Arial" w:eastAsia="Arial" w:hAnsi="Arial"/>
                <w:sz w:val="29"/>
                <w:szCs w:val="29"/>
                <w:color w:val="3B3C43"/>
                <w:vertAlign w:val="superscript"/>
              </w:rPr>
              <w:t>3</w:t>
            </w:r>
          </w:p>
        </w:tc>
      </w:tr>
      <w:tr>
        <w:trPr>
          <w:trHeight w:val="257"/>
        </w:trPr>
        <w:tc>
          <w:tcPr>
            <w:tcW w:w="6160" w:type="dxa"/>
            <w:vAlign w:val="bottom"/>
          </w:tcPr>
          <w:p>
            <w:pPr>
              <w:spacing w:after="0"/>
              <w:rPr>
                <w:sz w:val="20"/>
                <w:szCs w:val="20"/>
                <w:color w:val="auto"/>
              </w:rPr>
            </w:pPr>
            <w:r>
              <w:rPr>
                <w:rFonts w:ascii="Arial" w:cs="Arial" w:eastAsia="Arial" w:hAnsi="Arial"/>
                <w:sz w:val="16"/>
                <w:szCs w:val="16"/>
                <w:b w:val="1"/>
                <w:bCs w:val="1"/>
                <w:color w:val="3B3C43"/>
              </w:rPr>
              <w:t>Sophie Zurquiyah</w:t>
            </w:r>
          </w:p>
        </w:tc>
        <w:tc>
          <w:tcPr>
            <w:tcW w:w="2040" w:type="dxa"/>
            <w:vAlign w:val="bottom"/>
          </w:tcPr>
          <w:p>
            <w:pPr>
              <w:jc w:val="right"/>
              <w:spacing w:after="0" w:line="256" w:lineRule="exact"/>
              <w:rPr>
                <w:sz w:val="20"/>
                <w:szCs w:val="20"/>
                <w:color w:val="auto"/>
              </w:rPr>
            </w:pPr>
            <w:r>
              <w:rPr>
                <w:rFonts w:ascii="Arial" w:cs="Arial" w:eastAsia="Arial" w:hAnsi="Arial"/>
                <w:sz w:val="16"/>
                <w:szCs w:val="16"/>
                <w:color w:val="3B3C43"/>
              </w:rPr>
              <w:t>0</w:t>
            </w:r>
            <w:r>
              <w:rPr>
                <w:rFonts w:ascii="Arial" w:cs="Arial" w:eastAsia="Arial" w:hAnsi="Arial"/>
                <w:sz w:val="29"/>
                <w:szCs w:val="29"/>
                <w:color w:val="3B3C43"/>
                <w:vertAlign w:val="superscript"/>
              </w:rPr>
              <w:t>3</w:t>
            </w:r>
          </w:p>
        </w:tc>
      </w:tr>
      <w:tr>
        <w:trPr>
          <w:trHeight w:val="189"/>
        </w:trPr>
        <w:tc>
          <w:tcPr>
            <w:tcW w:w="6160" w:type="dxa"/>
            <w:vAlign w:val="bottom"/>
          </w:tcPr>
          <w:p>
            <w:pPr>
              <w:spacing w:after="0"/>
              <w:rPr>
                <w:sz w:val="20"/>
                <w:szCs w:val="20"/>
                <w:color w:val="auto"/>
              </w:rPr>
            </w:pPr>
            <w:r>
              <w:rPr>
                <w:rFonts w:ascii="Arial" w:cs="Arial" w:eastAsia="Arial" w:hAnsi="Arial"/>
                <w:sz w:val="16"/>
                <w:szCs w:val="16"/>
                <w:b w:val="1"/>
                <w:bCs w:val="1"/>
                <w:color w:val="3B3C43"/>
              </w:rPr>
              <w:t>All directors and executive officers (including NEOs) as a group</w:t>
            </w:r>
          </w:p>
        </w:tc>
        <w:tc>
          <w:tcPr>
            <w:tcW w:w="2040" w:type="dxa"/>
            <w:vAlign w:val="bottom"/>
          </w:tcPr>
          <w:p>
            <w:pPr>
              <w:jc w:val="right"/>
              <w:spacing w:after="0" w:line="189" w:lineRule="exact"/>
              <w:rPr>
                <w:sz w:val="20"/>
                <w:szCs w:val="20"/>
                <w:color w:val="auto"/>
              </w:rPr>
            </w:pPr>
            <w:r>
              <w:rPr>
                <w:rFonts w:ascii="Arial" w:cs="Arial" w:eastAsia="Arial" w:hAnsi="Arial"/>
                <w:sz w:val="13"/>
                <w:szCs w:val="13"/>
                <w:color w:val="3B3C43"/>
              </w:rPr>
              <w:t>3,003,731</w:t>
            </w:r>
            <w:r>
              <w:rPr>
                <w:rFonts w:ascii="Arial" w:cs="Arial" w:eastAsia="Arial" w:hAnsi="Arial"/>
                <w:sz w:val="21"/>
                <w:szCs w:val="21"/>
                <w:color w:val="3B3C43"/>
                <w:vertAlign w:val="superscript"/>
              </w:rPr>
              <w:t>4</w:t>
            </w:r>
          </w:p>
        </w:tc>
      </w:tr>
      <w:tr>
        <w:trPr>
          <w:trHeight w:val="215"/>
        </w:trPr>
        <w:tc>
          <w:tcPr>
            <w:tcW w:w="6160" w:type="dxa"/>
            <w:vAlign w:val="bottom"/>
          </w:tcPr>
          <w:p>
            <w:pPr>
              <w:spacing w:after="0"/>
              <w:rPr>
                <w:sz w:val="20"/>
                <w:szCs w:val="20"/>
                <w:color w:val="auto"/>
              </w:rPr>
            </w:pPr>
            <w:r>
              <w:rPr>
                <w:rFonts w:ascii="Arial" w:cs="Arial" w:eastAsia="Arial" w:hAnsi="Arial"/>
                <w:sz w:val="16"/>
                <w:szCs w:val="16"/>
                <w:b w:val="1"/>
                <w:bCs w:val="1"/>
                <w:color w:val="3B3C43"/>
              </w:rPr>
              <w:t>(20 persons)</w:t>
            </w:r>
          </w:p>
        </w:tc>
        <w:tc>
          <w:tcPr>
            <w:tcW w:w="2040" w:type="dxa"/>
            <w:vAlign w:val="bottom"/>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146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Percent of Class</w:t>
      </w:r>
      <w:r>
        <w:rPr>
          <w:rFonts w:ascii="Arial" w:cs="Arial" w:eastAsia="Arial" w:hAnsi="Arial"/>
          <w:sz w:val="26"/>
          <w:szCs w:val="26"/>
          <w:b w:val="1"/>
          <w:bCs w:val="1"/>
          <w:color w:val="FFFFFF"/>
          <w:vertAlign w:val="superscript"/>
        </w:rPr>
        <w:t>1</w:t>
      </w:r>
    </w:p>
    <w:p>
      <w:pPr>
        <w:spacing w:after="0" w:line="30"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6"/>
          <w:szCs w:val="16"/>
          <w:color w:val="3B3C43"/>
        </w:rPr>
        <w:t>*</w:t>
      </w:r>
    </w:p>
    <w:p>
      <w:pPr>
        <w:sectPr>
          <w:pgSz w:w="11900" w:h="16838" w:orient="portrait"/>
          <w:cols w:equalWidth="0" w:num="2">
            <w:col w:w="9080" w:space="720"/>
            <w:col w:w="1360"/>
          </w:cols>
          <w:pgMar w:left="320" w:top="329" w:right="41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3B3C43"/>
        </w:rPr>
        <w:t>*Less than 1%</w:t>
      </w:r>
    </w:p>
    <w:p>
      <w:pPr>
        <w:spacing w:after="0" w:line="5"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3"/>
          <w:szCs w:val="13"/>
          <w:color w:val="3B3C43"/>
        </w:rPr>
      </w:pPr>
      <w:r>
        <w:rPr>
          <w:rFonts w:ascii="Arial" w:cs="Arial" w:eastAsia="Arial" w:hAnsi="Arial"/>
          <w:sz w:val="14"/>
          <w:szCs w:val="14"/>
          <w:color w:val="3B3C43"/>
        </w:rPr>
        <w:t>The calculation of percentage of ownership of each listed beneficial owner is based on 450,668,293 Ordinary Shares outstanding on March 31, 2021.</w:t>
      </w:r>
    </w:p>
    <w:p>
      <w:pPr>
        <w:spacing w:after="0" w:line="1" w:lineRule="exact"/>
        <w:rPr>
          <w:rFonts w:ascii="Arial" w:cs="Arial" w:eastAsia="Arial" w:hAnsi="Arial"/>
          <w:sz w:val="13"/>
          <w:szCs w:val="13"/>
          <w:color w:val="3B3C43"/>
        </w:rPr>
      </w:pPr>
    </w:p>
    <w:p>
      <w:pPr>
        <w:ind w:left="340" w:right="40" w:hanging="332"/>
        <w:spacing w:after="0" w:line="241" w:lineRule="auto"/>
        <w:tabs>
          <w:tab w:leader="none" w:pos="340" w:val="left"/>
        </w:tabs>
        <w:numPr>
          <w:ilvl w:val="0"/>
          <w:numId w:val="153"/>
        </w:numPr>
        <w:rPr>
          <w:rFonts w:ascii="Arial" w:cs="Arial" w:eastAsia="Arial" w:hAnsi="Arial"/>
          <w:sz w:val="13"/>
          <w:szCs w:val="13"/>
          <w:color w:val="3B3C43"/>
        </w:rPr>
      </w:pPr>
      <w:r>
        <w:rPr>
          <w:rFonts w:ascii="Arial" w:cs="Arial" w:eastAsia="Arial" w:hAnsi="Arial"/>
          <w:sz w:val="14"/>
          <w:szCs w:val="14"/>
          <w:color w:val="3B3C43"/>
        </w:rPr>
        <w:t>Includes: (i) Ordinary Shares owned by the individual; and (ii) Ordinary Shares subject to stock options that are exercisable within 60 days of March 31, 2021. Mr. Pferdehirt’s ownership includes 80,304 Ordinary Shares held by a family trust for the benefit of his children, and his spouse is trustee of the family trust. Mr. Pieton’s ownership includes 460 Ordinary Shares held by his spouse. The Ordinary Shares included in item (ii), in the aggregate, amount to 532,502 Ordinary Shares for Mr. Pferdehirt, 84,299 Ordinary Shares for Ms. Mannen, 0 Ordinary Shares for Mr. Rounce, 49,960 Ordinary Shares for Mr. Pieton, 62,533 Ordinary Shares for Mr. Glickman, 0 Ordinary Shares for Ms. MacGregor, and 220,412 Ordinary Shares for Mr. Uccelletti.</w:t>
      </w:r>
    </w:p>
    <w:p>
      <w:pPr>
        <w:spacing w:after="0" w:line="1" w:lineRule="exact"/>
        <w:rPr>
          <w:rFonts w:ascii="Arial" w:cs="Arial" w:eastAsia="Arial" w:hAnsi="Arial"/>
          <w:sz w:val="13"/>
          <w:szCs w:val="13"/>
          <w:color w:val="3B3C43"/>
        </w:rPr>
      </w:pPr>
    </w:p>
    <w:p>
      <w:pPr>
        <w:ind w:left="340" w:right="20" w:hanging="332"/>
        <w:spacing w:after="0" w:line="241" w:lineRule="auto"/>
        <w:tabs>
          <w:tab w:leader="none" w:pos="340" w:val="left"/>
        </w:tabs>
        <w:numPr>
          <w:ilvl w:val="0"/>
          <w:numId w:val="153"/>
        </w:numPr>
        <w:rPr>
          <w:rFonts w:ascii="Arial" w:cs="Arial" w:eastAsia="Arial" w:hAnsi="Arial"/>
          <w:sz w:val="13"/>
          <w:szCs w:val="13"/>
          <w:color w:val="3B3C43"/>
        </w:rPr>
      </w:pPr>
      <w:r>
        <w:rPr>
          <w:rFonts w:ascii="Arial" w:cs="Arial" w:eastAsia="Arial" w:hAnsi="Arial"/>
          <w:sz w:val="14"/>
          <w:szCs w:val="14"/>
          <w:color w:val="3B3C43"/>
        </w:rPr>
        <w:t>Includes Ordinary Shares owned by the individual and Ordinary Shares subject to RSUs credited to individual accounts of non-employee directors under our incentive plan. As of March 31, 2021, the number of Ordinary Shares subject to RSUs credited to each non-employee director under the incentive plan was 48,467, except for Mr. de Carvalho Filho (24,462), Mr. Ringler (24,462), Mr. Yearwood (0 shares). and Mses. Øvrum and Zurquiyah (0 shares each). The annual RSU grant vests after one year of service but is settled in Ordinary Shares on a date elected by the non-executive director that is either (a) after a period of 1 to 10 years from the grant date or (b) upon their separation from Board service. RSUs granted prior to 2020 vested after one year of service and will be settled upon separation from Board service. Directors have no power to vote or dispose of shares underlying the RSUs until they are distributed. Until such distribution, these directors have an unsecured claim against us for such units.</w:t>
      </w:r>
    </w:p>
    <w:p>
      <w:pPr>
        <w:spacing w:after="0" w:line="2" w:lineRule="exact"/>
        <w:rPr>
          <w:rFonts w:ascii="Arial" w:cs="Arial" w:eastAsia="Arial" w:hAnsi="Arial"/>
          <w:sz w:val="13"/>
          <w:szCs w:val="13"/>
          <w:color w:val="3B3C43"/>
        </w:rPr>
      </w:pPr>
    </w:p>
    <w:p>
      <w:pPr>
        <w:ind w:left="340" w:hanging="332"/>
        <w:spacing w:after="0"/>
        <w:tabs>
          <w:tab w:leader="none" w:pos="340" w:val="left"/>
        </w:tabs>
        <w:numPr>
          <w:ilvl w:val="0"/>
          <w:numId w:val="153"/>
        </w:numPr>
        <w:rPr>
          <w:rFonts w:ascii="Arial" w:cs="Arial" w:eastAsia="Arial" w:hAnsi="Arial"/>
          <w:sz w:val="13"/>
          <w:szCs w:val="13"/>
          <w:color w:val="3B3C43"/>
        </w:rPr>
      </w:pPr>
      <w:r>
        <w:rPr>
          <w:rFonts w:ascii="Arial" w:cs="Arial" w:eastAsia="Arial" w:hAnsi="Arial"/>
          <w:sz w:val="14"/>
          <w:szCs w:val="14"/>
          <w:color w:val="3B3C43"/>
        </w:rPr>
        <w:t>Includes, in the aggregate, stock options to purchase 967,896 Ordinary Shares that are currently exercisable by our NEOs and two other executive officers.</w:t>
      </w:r>
    </w:p>
    <w:p>
      <w:pPr>
        <w:spacing w:after="0" w:line="14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3B3C43"/>
        </w:rPr>
        <w:t>The following table sets forth beneficial ownership information about persons or groups that own or have the right to acquire more than 5% of our Ordinary Shares, based on information contained in Schedules 13G or 13D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105410</wp:posOffset>
            </wp:positionV>
            <wp:extent cx="8255" cy="3086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105410</wp:posOffset>
            </wp:positionV>
            <wp:extent cx="8890" cy="3086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shd w:val="clear" w:color="auto" w:fill="4B1F68"/>
          </w:tcPr>
          <w:p>
            <w:pPr>
              <w:spacing w:after="0"/>
              <w:rPr>
                <w:sz w:val="18"/>
                <w:szCs w:val="18"/>
                <w:color w:val="auto"/>
              </w:rPr>
            </w:pPr>
          </w:p>
        </w:tc>
        <w:tc>
          <w:tcPr>
            <w:tcW w:w="4080" w:type="dxa"/>
            <w:vAlign w:val="bottom"/>
            <w:shd w:val="clear" w:color="auto" w:fill="4B1F68"/>
          </w:tcPr>
          <w:p>
            <w:pPr>
              <w:spacing w:after="0"/>
              <w:rPr>
                <w:sz w:val="18"/>
                <w:szCs w:val="18"/>
                <w:color w:val="auto"/>
              </w:rPr>
            </w:pPr>
          </w:p>
        </w:tc>
        <w:tc>
          <w:tcPr>
            <w:tcW w:w="1600" w:type="dxa"/>
            <w:vAlign w:val="bottom"/>
            <w:shd w:val="clear" w:color="auto" w:fill="4B1F68"/>
          </w:tcPr>
          <w:p>
            <w:pPr>
              <w:jc w:val="right"/>
              <w:spacing w:after="0"/>
              <w:rPr>
                <w:sz w:val="20"/>
                <w:szCs w:val="20"/>
                <w:color w:val="auto"/>
              </w:rPr>
            </w:pPr>
            <w:r>
              <w:rPr>
                <w:rFonts w:ascii="Arial" w:cs="Arial" w:eastAsia="Arial" w:hAnsi="Arial"/>
                <w:sz w:val="16"/>
                <w:szCs w:val="16"/>
                <w:b w:val="1"/>
                <w:bCs w:val="1"/>
                <w:color w:val="FFFFFF"/>
              </w:rPr>
              <w:t>Percent of</w:t>
            </w:r>
          </w:p>
        </w:tc>
      </w:tr>
      <w:tr>
        <w:trPr>
          <w:trHeight w:val="273"/>
        </w:trPr>
        <w:tc>
          <w:tcPr>
            <w:tcW w:w="5560" w:type="dxa"/>
            <w:vAlign w:val="bottom"/>
            <w:shd w:val="clear" w:color="auto" w:fill="4B1F68"/>
          </w:tcPr>
          <w:p>
            <w:pPr>
              <w:ind w:left="100"/>
              <w:spacing w:after="0"/>
              <w:rPr>
                <w:sz w:val="20"/>
                <w:szCs w:val="20"/>
                <w:color w:val="auto"/>
              </w:rPr>
            </w:pPr>
            <w:r>
              <w:rPr>
                <w:rFonts w:ascii="Arial" w:cs="Arial" w:eastAsia="Arial" w:hAnsi="Arial"/>
                <w:sz w:val="16"/>
                <w:szCs w:val="16"/>
                <w:b w:val="1"/>
                <w:bCs w:val="1"/>
                <w:color w:val="FFFFFF"/>
              </w:rPr>
              <w:t>Name and Address of Beneficial Owner</w:t>
            </w:r>
          </w:p>
        </w:tc>
        <w:tc>
          <w:tcPr>
            <w:tcW w:w="4080" w:type="dxa"/>
            <w:vAlign w:val="bottom"/>
            <w:shd w:val="clear" w:color="auto" w:fill="4B1F68"/>
          </w:tcPr>
          <w:p>
            <w:pPr>
              <w:jc w:val="right"/>
              <w:ind w:right="659"/>
              <w:spacing w:after="0"/>
              <w:rPr>
                <w:sz w:val="20"/>
                <w:szCs w:val="20"/>
                <w:color w:val="auto"/>
              </w:rPr>
            </w:pPr>
            <w:r>
              <w:rPr>
                <w:rFonts w:ascii="Arial" w:cs="Arial" w:eastAsia="Arial" w:hAnsi="Arial"/>
                <w:sz w:val="16"/>
                <w:szCs w:val="16"/>
                <w:b w:val="1"/>
                <w:bCs w:val="1"/>
                <w:color w:val="FFFFFF"/>
              </w:rPr>
              <w:t>Shares</w:t>
            </w:r>
          </w:p>
        </w:tc>
        <w:tc>
          <w:tcPr>
            <w:tcW w:w="1600" w:type="dxa"/>
            <w:vAlign w:val="bottom"/>
            <w:shd w:val="clear" w:color="auto" w:fill="4B1F68"/>
          </w:tcPr>
          <w:p>
            <w:pPr>
              <w:jc w:val="right"/>
              <w:spacing w:after="0" w:line="273" w:lineRule="exact"/>
              <w:rPr>
                <w:sz w:val="20"/>
                <w:szCs w:val="20"/>
                <w:color w:val="auto"/>
              </w:rPr>
            </w:pPr>
            <w:r>
              <w:rPr>
                <w:rFonts w:ascii="Arial" w:cs="Arial" w:eastAsia="Arial" w:hAnsi="Arial"/>
                <w:sz w:val="16"/>
                <w:szCs w:val="16"/>
                <w:b w:val="1"/>
                <w:bCs w:val="1"/>
                <w:color w:val="FFFFFF"/>
              </w:rPr>
              <w:t>Class</w:t>
            </w:r>
            <w:r>
              <w:rPr>
                <w:rFonts w:ascii="Arial" w:cs="Arial" w:eastAsia="Arial" w:hAnsi="Arial"/>
                <w:sz w:val="26"/>
                <w:szCs w:val="26"/>
                <w:b w:val="1"/>
                <w:bCs w:val="1"/>
                <w:color w:val="FFFFFF"/>
                <w:vertAlign w:val="superscript"/>
              </w:rPr>
              <w:t>1</w:t>
            </w:r>
          </w:p>
        </w:tc>
      </w:tr>
      <w:tr>
        <w:trPr>
          <w:trHeight w:val="245"/>
        </w:trPr>
        <w:tc>
          <w:tcPr>
            <w:tcW w:w="5560" w:type="dxa"/>
            <w:vAlign w:val="bottom"/>
          </w:tcPr>
          <w:p>
            <w:pPr>
              <w:ind w:left="100"/>
              <w:spacing w:after="0"/>
              <w:rPr>
                <w:sz w:val="20"/>
                <w:szCs w:val="20"/>
                <w:color w:val="auto"/>
              </w:rPr>
            </w:pPr>
            <w:r>
              <w:rPr>
                <w:rFonts w:ascii="Arial" w:cs="Arial" w:eastAsia="Arial" w:hAnsi="Arial"/>
                <w:sz w:val="16"/>
                <w:szCs w:val="16"/>
                <w:color w:val="3B3C43"/>
              </w:rPr>
              <w:t>The Vanguard Group, Inc.</w:t>
            </w:r>
          </w:p>
        </w:tc>
        <w:tc>
          <w:tcPr>
            <w:tcW w:w="4080" w:type="dxa"/>
            <w:vAlign w:val="bottom"/>
          </w:tcPr>
          <w:p>
            <w:pPr>
              <w:jc w:val="right"/>
              <w:ind w:right="659"/>
              <w:spacing w:after="0" w:line="245" w:lineRule="exact"/>
              <w:rPr>
                <w:sz w:val="20"/>
                <w:szCs w:val="20"/>
                <w:color w:val="auto"/>
              </w:rPr>
            </w:pPr>
            <w:r>
              <w:rPr>
                <w:rFonts w:ascii="Arial" w:cs="Arial" w:eastAsia="Arial" w:hAnsi="Arial"/>
                <w:sz w:val="16"/>
                <w:szCs w:val="16"/>
                <w:color w:val="3B3C43"/>
              </w:rPr>
              <w:t>30,198,9 69</w:t>
            </w:r>
            <w:r>
              <w:rPr>
                <w:rFonts w:ascii="Arial" w:cs="Arial" w:eastAsia="Arial" w:hAnsi="Arial"/>
                <w:sz w:val="26"/>
                <w:szCs w:val="26"/>
                <w:color w:val="3B3C43"/>
                <w:vertAlign w:val="superscript"/>
              </w:rPr>
              <w:t>2</w:t>
            </w:r>
          </w:p>
        </w:tc>
        <w:tc>
          <w:tcPr>
            <w:tcW w:w="1600" w:type="dxa"/>
            <w:vAlign w:val="bottom"/>
          </w:tcPr>
          <w:p>
            <w:pPr>
              <w:jc w:val="right"/>
              <w:spacing w:after="0"/>
              <w:rPr>
                <w:sz w:val="20"/>
                <w:szCs w:val="20"/>
                <w:color w:val="auto"/>
              </w:rPr>
            </w:pPr>
            <w:r>
              <w:rPr>
                <w:rFonts w:ascii="Arial" w:cs="Arial" w:eastAsia="Arial" w:hAnsi="Arial"/>
                <w:sz w:val="16"/>
                <w:szCs w:val="16"/>
                <w:color w:val="3B3C43"/>
              </w:rPr>
              <w:t>6.70%</w:t>
            </w:r>
          </w:p>
        </w:tc>
      </w:tr>
      <w:tr>
        <w:trPr>
          <w:trHeight w:val="189"/>
        </w:trPr>
        <w:tc>
          <w:tcPr>
            <w:tcW w:w="5560" w:type="dxa"/>
            <w:vAlign w:val="bottom"/>
          </w:tcPr>
          <w:p>
            <w:pPr>
              <w:ind w:left="100"/>
              <w:spacing w:after="0"/>
              <w:rPr>
                <w:sz w:val="20"/>
                <w:szCs w:val="20"/>
                <w:color w:val="auto"/>
              </w:rPr>
            </w:pPr>
            <w:r>
              <w:rPr>
                <w:rFonts w:ascii="Arial" w:cs="Arial" w:eastAsia="Arial" w:hAnsi="Arial"/>
                <w:sz w:val="16"/>
                <w:szCs w:val="16"/>
                <w:color w:val="3B3C43"/>
              </w:rPr>
              <w:t>100 Vanguard Boulevard</w:t>
            </w:r>
          </w:p>
        </w:tc>
        <w:tc>
          <w:tcPr>
            <w:tcW w:w="40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5"/>
        </w:trPr>
        <w:tc>
          <w:tcPr>
            <w:tcW w:w="5560" w:type="dxa"/>
            <w:vAlign w:val="bottom"/>
          </w:tcPr>
          <w:p>
            <w:pPr>
              <w:ind w:left="100"/>
              <w:spacing w:after="0"/>
              <w:rPr>
                <w:sz w:val="20"/>
                <w:szCs w:val="20"/>
                <w:color w:val="auto"/>
              </w:rPr>
            </w:pPr>
            <w:r>
              <w:rPr>
                <w:rFonts w:ascii="Arial" w:cs="Arial" w:eastAsia="Arial" w:hAnsi="Arial"/>
                <w:sz w:val="16"/>
                <w:szCs w:val="16"/>
                <w:color w:val="3B3C43"/>
              </w:rPr>
              <w:t>Malvern, Pennsylvania 19355</w:t>
            </w:r>
          </w:p>
        </w:tc>
        <w:tc>
          <w:tcPr>
            <w:tcW w:w="40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5"/>
        </w:trPr>
        <w:tc>
          <w:tcPr>
            <w:tcW w:w="5560" w:type="dxa"/>
            <w:vAlign w:val="bottom"/>
            <w:tcBorders>
              <w:bottom w:val="single" w:sz="8" w:color="E1E2E0"/>
            </w:tcBorders>
          </w:tcPr>
          <w:p>
            <w:pPr>
              <w:spacing w:after="0"/>
              <w:rPr>
                <w:sz w:val="20"/>
                <w:szCs w:val="20"/>
                <w:color w:val="auto"/>
              </w:rPr>
            </w:pPr>
          </w:p>
        </w:tc>
        <w:tc>
          <w:tcPr>
            <w:tcW w:w="4080" w:type="dxa"/>
            <w:vAlign w:val="bottom"/>
            <w:tcBorders>
              <w:bottom w:val="single" w:sz="8" w:color="E1E2E0"/>
            </w:tcBorders>
          </w:tcPr>
          <w:p>
            <w:pPr>
              <w:spacing w:after="0"/>
              <w:rPr>
                <w:sz w:val="20"/>
                <w:szCs w:val="20"/>
                <w:color w:val="auto"/>
              </w:rPr>
            </w:pPr>
          </w:p>
        </w:tc>
        <w:tc>
          <w:tcPr>
            <w:tcW w:w="1600" w:type="dxa"/>
            <w:vAlign w:val="bottom"/>
            <w:tcBorders>
              <w:bottom w:val="single" w:sz="8" w:color="E1E2E0"/>
            </w:tcBorders>
          </w:tcPr>
          <w:p>
            <w:pPr>
              <w:spacing w:after="0"/>
              <w:rPr>
                <w:sz w:val="20"/>
                <w:szCs w:val="20"/>
                <w:color w:val="auto"/>
              </w:rPr>
            </w:pPr>
          </w:p>
        </w:tc>
      </w:tr>
      <w:tr>
        <w:trPr>
          <w:trHeight w:val="238"/>
        </w:trPr>
        <w:tc>
          <w:tcPr>
            <w:tcW w:w="5560" w:type="dxa"/>
            <w:vAlign w:val="bottom"/>
          </w:tcPr>
          <w:p>
            <w:pPr>
              <w:ind w:left="100"/>
              <w:spacing w:after="0"/>
              <w:rPr>
                <w:sz w:val="20"/>
                <w:szCs w:val="20"/>
                <w:color w:val="auto"/>
              </w:rPr>
            </w:pPr>
            <w:r>
              <w:rPr>
                <w:rFonts w:ascii="Arial" w:cs="Arial" w:eastAsia="Arial" w:hAnsi="Arial"/>
                <w:sz w:val="16"/>
                <w:szCs w:val="16"/>
                <w:color w:val="3B3C43"/>
              </w:rPr>
              <w:t>Bpifrance Participations S.A. and affiliated</w:t>
            </w:r>
          </w:p>
        </w:tc>
        <w:tc>
          <w:tcPr>
            <w:tcW w:w="4080" w:type="dxa"/>
            <w:vAlign w:val="bottom"/>
          </w:tcPr>
          <w:p>
            <w:pPr>
              <w:jc w:val="right"/>
              <w:ind w:right="659"/>
              <w:spacing w:after="0" w:line="238" w:lineRule="exact"/>
              <w:rPr>
                <w:sz w:val="20"/>
                <w:szCs w:val="20"/>
                <w:color w:val="auto"/>
              </w:rPr>
            </w:pPr>
            <w:r>
              <w:rPr>
                <w:rFonts w:ascii="Arial" w:cs="Arial" w:eastAsia="Arial" w:hAnsi="Arial"/>
                <w:sz w:val="16"/>
                <w:szCs w:val="16"/>
                <w:color w:val="3B3C43"/>
              </w:rPr>
              <w:t>26,167,644</w:t>
            </w:r>
            <w:r>
              <w:rPr>
                <w:rFonts w:ascii="Arial" w:cs="Arial" w:eastAsia="Arial" w:hAnsi="Arial"/>
                <w:sz w:val="26"/>
                <w:szCs w:val="26"/>
                <w:color w:val="3B3C43"/>
                <w:vertAlign w:val="superscript"/>
              </w:rPr>
              <w:t>3</w:t>
            </w:r>
          </w:p>
        </w:tc>
        <w:tc>
          <w:tcPr>
            <w:tcW w:w="1600" w:type="dxa"/>
            <w:vAlign w:val="bottom"/>
          </w:tcPr>
          <w:p>
            <w:pPr>
              <w:jc w:val="right"/>
              <w:spacing w:after="0"/>
              <w:rPr>
                <w:sz w:val="20"/>
                <w:szCs w:val="20"/>
                <w:color w:val="auto"/>
              </w:rPr>
            </w:pPr>
            <w:r>
              <w:rPr>
                <w:rFonts w:ascii="Arial" w:cs="Arial" w:eastAsia="Arial" w:hAnsi="Arial"/>
                <w:sz w:val="16"/>
                <w:szCs w:val="16"/>
                <w:color w:val="3B3C43"/>
              </w:rPr>
              <w:t>5.81%</w:t>
            </w:r>
          </w:p>
        </w:tc>
      </w:tr>
      <w:tr>
        <w:trPr>
          <w:trHeight w:val="189"/>
        </w:trPr>
        <w:tc>
          <w:tcPr>
            <w:tcW w:w="5560" w:type="dxa"/>
            <w:vAlign w:val="bottom"/>
          </w:tcPr>
          <w:p>
            <w:pPr>
              <w:ind w:left="100"/>
              <w:spacing w:after="0"/>
              <w:rPr>
                <w:sz w:val="20"/>
                <w:szCs w:val="20"/>
                <w:color w:val="auto"/>
              </w:rPr>
            </w:pPr>
            <w:r>
              <w:rPr>
                <w:rFonts w:ascii="Arial" w:cs="Arial" w:eastAsia="Arial" w:hAnsi="Arial"/>
                <w:sz w:val="16"/>
                <w:szCs w:val="16"/>
                <w:color w:val="3B3C43"/>
              </w:rPr>
              <w:t>entities 27-31, avenue du Général Leclerc</w:t>
            </w:r>
          </w:p>
        </w:tc>
        <w:tc>
          <w:tcPr>
            <w:tcW w:w="40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9"/>
        </w:trPr>
        <w:tc>
          <w:tcPr>
            <w:tcW w:w="5560" w:type="dxa"/>
            <w:vAlign w:val="bottom"/>
          </w:tcPr>
          <w:p>
            <w:pPr>
              <w:ind w:left="100"/>
              <w:spacing w:after="0"/>
              <w:rPr>
                <w:sz w:val="20"/>
                <w:szCs w:val="20"/>
                <w:color w:val="auto"/>
              </w:rPr>
            </w:pPr>
            <w:r>
              <w:rPr>
                <w:rFonts w:ascii="Arial" w:cs="Arial" w:eastAsia="Arial" w:hAnsi="Arial"/>
                <w:sz w:val="16"/>
                <w:szCs w:val="16"/>
                <w:color w:val="3B3C43"/>
              </w:rPr>
              <w:t>94710 Maisons-Alfort Cedex</w:t>
            </w:r>
          </w:p>
        </w:tc>
        <w:tc>
          <w:tcPr>
            <w:tcW w:w="40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5"/>
        </w:trPr>
        <w:tc>
          <w:tcPr>
            <w:tcW w:w="5560" w:type="dxa"/>
            <w:vAlign w:val="bottom"/>
          </w:tcPr>
          <w:p>
            <w:pPr>
              <w:ind w:left="100"/>
              <w:spacing w:after="0"/>
              <w:rPr>
                <w:sz w:val="20"/>
                <w:szCs w:val="20"/>
                <w:color w:val="auto"/>
              </w:rPr>
            </w:pPr>
            <w:r>
              <w:rPr>
                <w:rFonts w:ascii="Arial" w:cs="Arial" w:eastAsia="Arial" w:hAnsi="Arial"/>
                <w:sz w:val="16"/>
                <w:szCs w:val="16"/>
                <w:color w:val="3B3C43"/>
              </w:rPr>
              <w:t>France</w:t>
            </w:r>
          </w:p>
        </w:tc>
        <w:tc>
          <w:tcPr>
            <w:tcW w:w="40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47"/>
        </w:trPr>
        <w:tc>
          <w:tcPr>
            <w:tcW w:w="5560" w:type="dxa"/>
            <w:vAlign w:val="bottom"/>
            <w:tcBorders>
              <w:bottom w:val="single" w:sz="8" w:color="E1E2E0"/>
            </w:tcBorders>
          </w:tcPr>
          <w:p>
            <w:pPr>
              <w:spacing w:after="0"/>
              <w:rPr>
                <w:sz w:val="4"/>
                <w:szCs w:val="4"/>
                <w:color w:val="auto"/>
              </w:rPr>
            </w:pPr>
          </w:p>
        </w:tc>
        <w:tc>
          <w:tcPr>
            <w:tcW w:w="408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r>
      <w:tr>
        <w:trPr>
          <w:trHeight w:val="238"/>
        </w:trPr>
        <w:tc>
          <w:tcPr>
            <w:tcW w:w="5560" w:type="dxa"/>
            <w:vAlign w:val="bottom"/>
          </w:tcPr>
          <w:p>
            <w:pPr>
              <w:ind w:left="100"/>
              <w:spacing w:after="0"/>
              <w:rPr>
                <w:sz w:val="20"/>
                <w:szCs w:val="20"/>
                <w:color w:val="auto"/>
              </w:rPr>
            </w:pPr>
            <w:r>
              <w:rPr>
                <w:rFonts w:ascii="Arial" w:cs="Arial" w:eastAsia="Arial" w:hAnsi="Arial"/>
                <w:sz w:val="16"/>
                <w:szCs w:val="16"/>
                <w:color w:val="3B3C43"/>
              </w:rPr>
              <w:t>Pzena Investment Management, LLC</w:t>
            </w:r>
          </w:p>
        </w:tc>
        <w:tc>
          <w:tcPr>
            <w:tcW w:w="4080" w:type="dxa"/>
            <w:vAlign w:val="bottom"/>
          </w:tcPr>
          <w:p>
            <w:pPr>
              <w:jc w:val="right"/>
              <w:ind w:right="659"/>
              <w:spacing w:after="0" w:line="238" w:lineRule="exact"/>
              <w:rPr>
                <w:sz w:val="20"/>
                <w:szCs w:val="20"/>
                <w:color w:val="auto"/>
              </w:rPr>
            </w:pPr>
            <w:r>
              <w:rPr>
                <w:rFonts w:ascii="Arial" w:cs="Arial" w:eastAsia="Arial" w:hAnsi="Arial"/>
                <w:sz w:val="16"/>
                <w:szCs w:val="16"/>
                <w:color w:val="3B3C43"/>
              </w:rPr>
              <w:t>24,671,025</w:t>
            </w:r>
            <w:r>
              <w:rPr>
                <w:rFonts w:ascii="Arial" w:cs="Arial" w:eastAsia="Arial" w:hAnsi="Arial"/>
                <w:sz w:val="26"/>
                <w:szCs w:val="26"/>
                <w:color w:val="3B3C43"/>
                <w:vertAlign w:val="superscript"/>
              </w:rPr>
              <w:t>4</w:t>
            </w:r>
          </w:p>
        </w:tc>
        <w:tc>
          <w:tcPr>
            <w:tcW w:w="1600" w:type="dxa"/>
            <w:vAlign w:val="bottom"/>
          </w:tcPr>
          <w:p>
            <w:pPr>
              <w:jc w:val="right"/>
              <w:spacing w:after="0"/>
              <w:rPr>
                <w:sz w:val="20"/>
                <w:szCs w:val="20"/>
                <w:color w:val="auto"/>
              </w:rPr>
            </w:pPr>
            <w:r>
              <w:rPr>
                <w:rFonts w:ascii="Arial" w:cs="Arial" w:eastAsia="Arial" w:hAnsi="Arial"/>
                <w:sz w:val="16"/>
                <w:szCs w:val="16"/>
                <w:color w:val="3B3C43"/>
              </w:rPr>
              <w:t>5.47%</w:t>
            </w:r>
          </w:p>
        </w:tc>
      </w:tr>
      <w:tr>
        <w:trPr>
          <w:trHeight w:val="189"/>
        </w:trPr>
        <w:tc>
          <w:tcPr>
            <w:tcW w:w="5560" w:type="dxa"/>
            <w:vAlign w:val="bottom"/>
          </w:tcPr>
          <w:p>
            <w:pPr>
              <w:ind w:left="100"/>
              <w:spacing w:after="0"/>
              <w:rPr>
                <w:sz w:val="20"/>
                <w:szCs w:val="20"/>
                <w:color w:val="auto"/>
              </w:rPr>
            </w:pPr>
            <w:r>
              <w:rPr>
                <w:rFonts w:ascii="Arial" w:cs="Arial" w:eastAsia="Arial" w:hAnsi="Arial"/>
                <w:sz w:val="16"/>
                <w:szCs w:val="16"/>
                <w:color w:val="3B3C43"/>
              </w:rPr>
              <w:t>320 Park Avenue, 8th Floor</w:t>
            </w:r>
          </w:p>
        </w:tc>
        <w:tc>
          <w:tcPr>
            <w:tcW w:w="40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5"/>
        </w:trPr>
        <w:tc>
          <w:tcPr>
            <w:tcW w:w="5560" w:type="dxa"/>
            <w:vAlign w:val="bottom"/>
          </w:tcPr>
          <w:p>
            <w:pPr>
              <w:ind w:left="100"/>
              <w:spacing w:after="0"/>
              <w:rPr>
                <w:sz w:val="20"/>
                <w:szCs w:val="20"/>
                <w:color w:val="auto"/>
              </w:rPr>
            </w:pPr>
            <w:r>
              <w:rPr>
                <w:rFonts w:ascii="Arial" w:cs="Arial" w:eastAsia="Arial" w:hAnsi="Arial"/>
                <w:sz w:val="16"/>
                <w:szCs w:val="16"/>
                <w:color w:val="3B3C43"/>
              </w:rPr>
              <w:t>New York, New York 10022</w:t>
            </w:r>
          </w:p>
        </w:tc>
        <w:tc>
          <w:tcPr>
            <w:tcW w:w="40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47"/>
        </w:trPr>
        <w:tc>
          <w:tcPr>
            <w:tcW w:w="5560" w:type="dxa"/>
            <w:vAlign w:val="bottom"/>
            <w:tcBorders>
              <w:bottom w:val="single" w:sz="8" w:color="E1E2E0"/>
            </w:tcBorders>
          </w:tcPr>
          <w:p>
            <w:pPr>
              <w:spacing w:after="0"/>
              <w:rPr>
                <w:sz w:val="4"/>
                <w:szCs w:val="4"/>
                <w:color w:val="auto"/>
              </w:rPr>
            </w:pPr>
          </w:p>
        </w:tc>
        <w:tc>
          <w:tcPr>
            <w:tcW w:w="4080" w:type="dxa"/>
            <w:vAlign w:val="bottom"/>
            <w:tcBorders>
              <w:bottom w:val="single" w:sz="8" w:color="E1E2E0"/>
            </w:tcBorders>
          </w:tcPr>
          <w:p>
            <w:pPr>
              <w:spacing w:after="0"/>
              <w:rPr>
                <w:sz w:val="4"/>
                <w:szCs w:val="4"/>
                <w:color w:val="auto"/>
              </w:rPr>
            </w:pPr>
          </w:p>
        </w:tc>
        <w:tc>
          <w:tcPr>
            <w:tcW w:w="1600" w:type="dxa"/>
            <w:vAlign w:val="bottom"/>
            <w:tcBorders>
              <w:bottom w:val="single" w:sz="8" w:color="E1E2E0"/>
            </w:tcBorders>
          </w:tcPr>
          <w:p>
            <w:pPr>
              <w:spacing w:after="0"/>
              <w:rPr>
                <w:sz w:val="4"/>
                <w:szCs w:val="4"/>
                <w:color w:val="auto"/>
              </w:rPr>
            </w:pPr>
          </w:p>
        </w:tc>
      </w:tr>
    </w:tbl>
    <w:p>
      <w:pPr>
        <w:spacing w:after="0" w:line="194" w:lineRule="exact"/>
        <w:rPr>
          <w:sz w:val="20"/>
          <w:szCs w:val="20"/>
          <w:color w:val="auto"/>
        </w:rPr>
      </w:pPr>
    </w:p>
    <w:p>
      <w:pPr>
        <w:ind w:left="260" w:hanging="252"/>
        <w:spacing w:after="0"/>
        <w:tabs>
          <w:tab w:leader="none" w:pos="260" w:val="left"/>
        </w:tabs>
        <w:numPr>
          <w:ilvl w:val="0"/>
          <w:numId w:val="154"/>
        </w:numPr>
        <w:rPr>
          <w:rFonts w:ascii="Arial" w:cs="Arial" w:eastAsia="Arial" w:hAnsi="Arial"/>
          <w:sz w:val="14"/>
          <w:szCs w:val="14"/>
          <w:color w:val="3B3C43"/>
        </w:rPr>
      </w:pPr>
      <w:r>
        <w:rPr>
          <w:rFonts w:ascii="Arial" w:cs="Arial" w:eastAsia="Arial" w:hAnsi="Arial"/>
          <w:sz w:val="14"/>
          <w:szCs w:val="14"/>
          <w:color w:val="3B3C43"/>
        </w:rPr>
        <w:t>The calculation of percentage of ownership of each listed beneficial owner is based on 450,668,293 Ordinary Shares outstanding on March 31, 2021.</w:t>
      </w:r>
    </w:p>
    <w:p>
      <w:pPr>
        <w:spacing w:after="0" w:line="1" w:lineRule="exact"/>
        <w:rPr>
          <w:rFonts w:ascii="Arial" w:cs="Arial" w:eastAsia="Arial" w:hAnsi="Arial"/>
          <w:sz w:val="14"/>
          <w:szCs w:val="14"/>
          <w:color w:val="3B3C43"/>
        </w:rPr>
      </w:pPr>
    </w:p>
    <w:p>
      <w:pPr>
        <w:ind w:left="260" w:right="500" w:hanging="252"/>
        <w:spacing w:after="0" w:line="241" w:lineRule="auto"/>
        <w:tabs>
          <w:tab w:leader="none" w:pos="260" w:val="left"/>
        </w:tabs>
        <w:numPr>
          <w:ilvl w:val="0"/>
          <w:numId w:val="154"/>
        </w:numPr>
        <w:rPr>
          <w:rFonts w:ascii="Arial" w:cs="Arial" w:eastAsia="Arial" w:hAnsi="Arial"/>
          <w:sz w:val="14"/>
          <w:szCs w:val="14"/>
          <w:color w:val="3B3C43"/>
        </w:rPr>
      </w:pPr>
      <w:r>
        <w:rPr>
          <w:rFonts w:ascii="Arial" w:cs="Arial" w:eastAsia="Arial" w:hAnsi="Arial"/>
          <w:sz w:val="14"/>
          <w:szCs w:val="14"/>
          <w:color w:val="3B3C43"/>
        </w:rPr>
        <w:t>Based solely on a Schedule 13G/A filed with the SEC on February 10, 2021, The Vanguard Group, Inc. and its subsidiaries have shared voting power over 1,913,791 Ordinary Shares, sole dispositive power over 26,616,366 Ordinary Shares, and shared dispositive power over 3,582,603 Ordinary Shares.</w:t>
      </w:r>
    </w:p>
    <w:p>
      <w:pPr>
        <w:ind w:left="260" w:hanging="252"/>
        <w:spacing w:after="0" w:line="241" w:lineRule="auto"/>
        <w:tabs>
          <w:tab w:leader="none" w:pos="260" w:val="left"/>
        </w:tabs>
        <w:numPr>
          <w:ilvl w:val="0"/>
          <w:numId w:val="154"/>
        </w:numPr>
        <w:rPr>
          <w:rFonts w:ascii="Arial" w:cs="Arial" w:eastAsia="Arial" w:hAnsi="Arial"/>
          <w:sz w:val="14"/>
          <w:szCs w:val="14"/>
          <w:color w:val="3B3C43"/>
        </w:rPr>
      </w:pPr>
      <w:r>
        <w:rPr>
          <w:rFonts w:ascii="Arial" w:cs="Arial" w:eastAsia="Arial" w:hAnsi="Arial"/>
          <w:sz w:val="14"/>
          <w:szCs w:val="14"/>
          <w:color w:val="3B3C43"/>
        </w:rPr>
        <w:t>Based solely on a Schedule 13D/A filed with the SEC on February 19, 2021, Bpifrance Participations S.A., jointly with Caisse des Dépôts et Consignations, EPIC Bpifrance, and Bpifrance S.A., have shared voting and dispositive power over 24,688,691 Ordinary Shares held directly by Bpifrance Participations S.A.. In addition, Caisse des Depots et Consignations directly holds, and has sole voting and dispositive power over, 1,144,237 Ordinary Shares and has shared voting and dispositive power over 334,716 Ordinary Shares held directly by CNP Assurances, S.A., its indirect subsidiary.</w:t>
      </w:r>
    </w:p>
    <w:p>
      <w:pPr>
        <w:spacing w:after="0" w:line="1" w:lineRule="exact"/>
        <w:rPr>
          <w:rFonts w:ascii="Arial" w:cs="Arial" w:eastAsia="Arial" w:hAnsi="Arial"/>
          <w:sz w:val="14"/>
          <w:szCs w:val="14"/>
          <w:color w:val="3B3C43"/>
        </w:rPr>
      </w:pPr>
    </w:p>
    <w:p>
      <w:pPr>
        <w:ind w:left="260" w:right="80" w:hanging="252"/>
        <w:spacing w:after="0" w:line="245" w:lineRule="auto"/>
        <w:tabs>
          <w:tab w:leader="none" w:pos="260" w:val="left"/>
        </w:tabs>
        <w:numPr>
          <w:ilvl w:val="0"/>
          <w:numId w:val="154"/>
        </w:numPr>
        <w:rPr>
          <w:rFonts w:ascii="Arial" w:cs="Arial" w:eastAsia="Arial" w:hAnsi="Arial"/>
          <w:sz w:val="14"/>
          <w:szCs w:val="14"/>
          <w:color w:val="3B3C43"/>
        </w:rPr>
      </w:pPr>
      <w:r>
        <w:rPr>
          <w:rFonts w:ascii="Arial" w:cs="Arial" w:eastAsia="Arial" w:hAnsi="Arial"/>
          <w:sz w:val="14"/>
          <w:szCs w:val="14"/>
          <w:color w:val="3B3C43"/>
        </w:rPr>
        <w:t>Based solely on a Schedule 13G filed with the SEC on February 2, 2021, Pzena Investment Management, LLC (“Pzena”) has sole voting power over 18,923,986 Ordinary Shares and sole dispositive power over 24,671,025 Ordinary Shares. Pzena, an investment adviser registered under Section 203 of the Investment Advisers Act (or under the laws of any State), is deemed to be the beneficial owner of 24,671,025 Ordinary Shares as a result of acting as investment adviser to various clients. Pzena reports that its clients have the right to receive and the ultimate power to direct the receipt of dividends from, or the proceeds from, the sale of Ordinary Shares, but no interest of any one of such client relates to more than 5% of the total outstanding Ordinary Shares.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147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820"/>
        <w:spacing w:after="0" w:line="250" w:lineRule="auto"/>
        <w:rPr>
          <w:sz w:val="20"/>
          <w:szCs w:val="20"/>
          <w:color w:val="auto"/>
        </w:rPr>
      </w:pPr>
      <w:r>
        <w:rPr>
          <w:rFonts w:ascii="Arial" w:cs="Arial" w:eastAsia="Arial" w:hAnsi="Arial"/>
          <w:sz w:val="67"/>
          <w:szCs w:val="67"/>
          <w:color w:val="4B1F68"/>
        </w:rPr>
        <w:t>Section 16(a) Beneficial Ownership Reporting Compliance</w:t>
      </w:r>
    </w:p>
    <w:p>
      <w:pPr>
        <w:spacing w:after="0" w:line="116" w:lineRule="exact"/>
        <w:rPr>
          <w:sz w:val="20"/>
          <w:szCs w:val="20"/>
          <w:color w:val="auto"/>
        </w:rPr>
      </w:pPr>
    </w:p>
    <w:p>
      <w:pPr>
        <w:spacing w:after="0"/>
        <w:rPr>
          <w:sz w:val="20"/>
          <w:szCs w:val="20"/>
          <w:color w:val="auto"/>
        </w:rPr>
      </w:pPr>
      <w:r>
        <w:rPr>
          <w:rFonts w:ascii="Arial" w:cs="Arial" w:eastAsia="Arial" w:hAnsi="Arial"/>
          <w:sz w:val="38"/>
          <w:szCs w:val="38"/>
          <w:color w:val="4B1F68"/>
        </w:rPr>
        <w:t>Delinquent Section 16(a) Reports</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Section 16(a) of the Exchange Act requires our directors and executive officers, and persons who beneficially own more than 10% of our Ordinary Shares, to file reports of ownership and changes in ownership with the SEC and to provide us with copies of all such reports. Based solely upon a review of the forms filed and written representations provided by executive officers and directors, we believe that all Section 16(a) reporting requirements were satisfied during 2020 on a timely basis.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148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4040"/>
        <w:spacing w:after="0" w:line="250" w:lineRule="auto"/>
        <w:rPr>
          <w:sz w:val="20"/>
          <w:szCs w:val="20"/>
          <w:color w:val="auto"/>
        </w:rPr>
      </w:pPr>
      <w:r>
        <w:rPr>
          <w:rFonts w:ascii="Arial" w:cs="Arial" w:eastAsia="Arial" w:hAnsi="Arial"/>
          <w:sz w:val="66"/>
          <w:szCs w:val="66"/>
          <w:color w:val="4B1F68"/>
        </w:rPr>
        <w:t>Proposals for the 2022 Annual General Meeting of Shareholders</w:t>
      </w:r>
    </w:p>
    <w:p>
      <w:pPr>
        <w:spacing w:after="0" w:line="12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3B3C43"/>
        </w:rPr>
        <w:t>If a shareholder wishes to submit a proposal for possible inclusion in our 2022 Proxy Statement and form of proxy for our 2022 Annual Meeting, the notice must be in proper form, comply with Rule 14a-8 of the Exchange Act, and be received no later than December 10, 2021, at One St. Paul’s Churchyard, London EC4M 8AP, United Kingdom, Attention: Corporate Secretary.</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3B3C43"/>
        </w:rPr>
        <w:t>Without prejudice to the rights of a shareholder of record under the Companies Act, if a shareholder wishes to submit a proposal at our 2022 Annual Meeting other than for inclusion in our 2022 Proxy Statement and form of proxy, our Articles require the shareholder to deliver written notice thereof, setting forth the information specified in our Articles, to the Corporate Secretary at our principal executive offices no earlier than January 20, 2022 and no later than February 19, 2022; provided, however, that the subject of the proposal must otherwise be a proper matter for shareholder action. In the event that the date of the annual meeting is more than 30 days before or more than 70 days after May 20, 2022, however, a shareholder must deliver notice no earlier than the 120th day prior to such annual meeting and not later than the close of business on the later of: (a) the 90th day prior to such annual meeting; or (b) the 10th day following the day on which we first make a public announcement of the date of such meeting. A copy of our Articles may be obtained by writing to One St. Paul’s Churchyard, London EC4M 8AP, United Kingdom, Attention: Corporate Secretary.</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Under sections 338 and 338A of the Companies Act, shareholders of record meeting the threshold requirements in those sections may require the Company to include: (i) a resolution in its notice of annual general meeting; or (ii) any matter (other than a proposed resolution) in the business to be dealt with at the 2022 Annual Meeting. Provided that the appropriate thresholds are met, notice of the resolution or matter must be received by the Company at One St. Paul’s Churchyard, London EC4M 8AP, United Kingdom, Attention: Corporate Secretary, at least six weeks prior to the date of the 2022 Annual Meeting or, if later, at the time notice of the annual general meeting is delivered to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3B3C43"/>
        </w:rPr>
        <w:t xml:space="preserve">Please visit our website at </w:t>
      </w:r>
      <w:r>
        <w:rPr>
          <w:rFonts w:ascii="Arial" w:cs="Arial" w:eastAsia="Arial" w:hAnsi="Arial"/>
          <w:sz w:val="14"/>
          <w:szCs w:val="14"/>
          <w:b w:val="1"/>
          <w:bCs w:val="1"/>
          <w:i w:val="1"/>
          <w:iCs w:val="1"/>
          <w:color w:val="4B1F68"/>
        </w:rPr>
        <w:t>www.technipfmc.com</w:t>
      </w:r>
      <w:r>
        <w:rPr>
          <w:rFonts w:ascii="Arial" w:cs="Arial" w:eastAsia="Arial" w:hAnsi="Arial"/>
          <w:sz w:val="16"/>
          <w:szCs w:val="16"/>
          <w:color w:val="3B3C43"/>
        </w:rPr>
        <w:t xml:space="preserve"> for any changes to our principal headquarters address.</w:t>
      </w:r>
    </w:p>
    <w:p>
      <w:pPr>
        <w:spacing w:after="0" w:line="194"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3B3C43"/>
        </w:rPr>
        <w:t>In addition, under section 527 of the Companies Act, shareholders of record meeting the threshold requirements set out therein have the right, without expense, to require the Company to publish on its website a statement setting out any matter relating to: (i) the audit of the Company’s accounts (including the auditor’s report and the conduct of the audit) that are to be laid before the Annual Meeting; or (ii) any circumstance connected with an auditor of the Company ceasing to hold office since the previous meeting at which the annual accounts and reports were laid. The business that may be dealt with at the Annual Meeting would include any statement that the Company has been required to publish in accordance with section 527 of the Companies Act.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149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4720"/>
        <w:spacing w:after="0" w:line="250" w:lineRule="auto"/>
        <w:rPr>
          <w:sz w:val="20"/>
          <w:szCs w:val="20"/>
          <w:color w:val="auto"/>
        </w:rPr>
      </w:pPr>
      <w:r>
        <w:rPr>
          <w:rFonts w:ascii="Arial" w:cs="Arial" w:eastAsia="Arial" w:hAnsi="Arial"/>
          <w:sz w:val="67"/>
          <w:szCs w:val="67"/>
          <w:color w:val="4B1F68"/>
        </w:rPr>
        <w:t>Shareholders Sharing an Address</w:t>
      </w:r>
    </w:p>
    <w:p>
      <w:pPr>
        <w:spacing w:after="0" w:line="12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3B3C43"/>
        </w:rPr>
        <w:t>We have adopted a procedure approved by the SEC called “householding.” Under this procedure, shareholders who have the same address and last name and do not participate in electronic delivery of Proxy Materials will receive only one copy of our Proxy Materials, unless one or more of the shareholders at that address notifies us that they wish to continue receiving individual copies. Each shareholder will continue to receive a separate proxy card or voting instruction card.</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6"/>
          <w:szCs w:val="16"/>
          <w:color w:val="3B3C43"/>
        </w:rPr>
        <w:t>We believe this procedure provides greater convenience to our shareholders and reinforces the Company’s Foundational Belief of sustainability by reducing wasteful duplicate mailings, as well as printing and mailing costs and fees.</w:t>
      </w:r>
    </w:p>
    <w:p>
      <w:pPr>
        <w:spacing w:after="0" w:line="168"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3B3C43"/>
        </w:rPr>
        <w:t>The Company will promptly deliver, upon written or oral request, individual copies of the Proxy Materials to any shareholder at the shared address to which single copies of those documents were delivered. If you would like to request separate copies of the Proxy Materials or do not wish to participate in householding in the future, please contact Broadridge Investor Communication Services (“</w:t>
      </w:r>
      <w:r>
        <w:rPr>
          <w:rFonts w:ascii="Arial" w:cs="Arial" w:eastAsia="Arial" w:hAnsi="Arial"/>
          <w:sz w:val="16"/>
          <w:szCs w:val="16"/>
          <w:b w:val="1"/>
          <w:bCs w:val="1"/>
          <w:color w:val="3B3C43"/>
        </w:rPr>
        <w:t>Broadridge</w:t>
      </w:r>
      <w:r>
        <w:rPr>
          <w:rFonts w:ascii="Arial" w:cs="Arial" w:eastAsia="Arial" w:hAnsi="Arial"/>
          <w:sz w:val="16"/>
          <w:szCs w:val="16"/>
          <w:color w:val="3B3C43"/>
        </w:rPr>
        <w:t>”), our proxy distributor, by calling toll-free 800-542-1061, or by writing to Broadridge Financial Solutions, Inc., Householding Department, 51 Mercedes Way, Edgewood, New York 11717. If you are currently receiving multiple copies of our Proxy Materials and wish to receive only one copy for your household, please contact Broadridge at the same telephone number and address listed above.</w:t>
      </w:r>
    </w:p>
    <w:p>
      <w:pPr>
        <w:spacing w:after="0" w:line="17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3B3C43"/>
        </w:rPr>
        <w:t>A number of brokerage firms have instituted householding. If you hold your Ordinary Shares in street name, please contact your bank, broker, or other nominee to request information about householding.</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150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315" w:right="419"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3460"/>
        <w:spacing w:after="0" w:line="250" w:lineRule="auto"/>
        <w:rPr>
          <w:sz w:val="20"/>
          <w:szCs w:val="20"/>
          <w:color w:val="auto"/>
        </w:rPr>
      </w:pPr>
      <w:r>
        <w:rPr>
          <w:rFonts w:ascii="Arial" w:cs="Arial" w:eastAsia="Arial" w:hAnsi="Arial"/>
          <w:sz w:val="67"/>
          <w:szCs w:val="67"/>
          <w:color w:val="4B1F68"/>
        </w:rPr>
        <w:t>General Information about the Annual Meeting</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What is the location of the Annual Meeting?</w:t>
      </w:r>
    </w:p>
    <w:p>
      <w:pPr>
        <w:spacing w:after="0" w:line="1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3B3C43"/>
        </w:rPr>
        <w:t>The Annual Meeting will be held on Thursday, May 20, 2021 at 10:00 a.m., London time, at Pitreavie Business Park, Queensferry Road, Dunfermline KY11 8UD, United Kingdom, or at such other time and place to which the Annual Meeting may be adjourned or postponed.</w:t>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Our preference has been to welcome shareholders in person to our 2021 Annual Meeting, particularly given the constraints we faced in 2020 due to the COVID-19 pandemic. However, given the U.K. Government’s compulsory measures prohibiting certain indoor gatherings (the “</w:t>
      </w:r>
      <w:r>
        <w:rPr>
          <w:rFonts w:ascii="Arial" w:cs="Arial" w:eastAsia="Arial" w:hAnsi="Arial"/>
          <w:sz w:val="16"/>
          <w:szCs w:val="16"/>
          <w:b w:val="1"/>
          <w:bCs w:val="1"/>
          <w:color w:val="3B3C43"/>
        </w:rPr>
        <w:t>COVID-19 Restrictions</w:t>
      </w:r>
      <w:r>
        <w:rPr>
          <w:rFonts w:ascii="Arial" w:cs="Arial" w:eastAsia="Arial" w:hAnsi="Arial"/>
          <w:sz w:val="16"/>
          <w:szCs w:val="16"/>
          <w:color w:val="3B3C43"/>
        </w:rPr>
        <w:t>”), the Company currently intends to hold the 2021 Annual Meeting with the minimum attendance required to form a quorum so long as the COVID-19 Restrictions continue to remain in force.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What is a proxy statement?</w:t>
      </w:r>
    </w:p>
    <w:p>
      <w:pPr>
        <w:spacing w:after="0" w:line="16"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3B3C43"/>
        </w:rPr>
        <w:t>A proxy statement is a document that the rules and regulations of the United States, including those promulgated by the SEC, require the Company to provide to shareholders to ensure shareholders can make informed decisions about the matters to be voted on at the Annual Meeting.</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What is a proxy?</w:t>
      </w:r>
    </w:p>
    <w:p>
      <w:pPr>
        <w:spacing w:after="0" w:line="16"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3B3C43"/>
        </w:rPr>
        <w:t>A proxy is: (a) your legal designation to another person to vote the Ordinary Shares that you own; and (b) the term for such designee. If you delegate someone as your proxy in a written document, that document is called a proxy card.</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How will the Company distribute Proxy Materials?</w:t>
      </w:r>
    </w:p>
    <w:p>
      <w:pPr>
        <w:spacing w:after="0" w:line="16"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3B3C43"/>
        </w:rPr>
        <w:t>The Company utilizes the “Notice and Access” method of providing the Proxy Materials to shareholders. With “Notice and Access,” we are permitted to furnish Proxy Materials to our shareholders by providing access to such documents on the internet instead of mailing printed copies. Shareholders may receive our Proxy Materials in one of the following ways:</w:t>
      </w:r>
    </w:p>
    <w:p>
      <w:pPr>
        <w:spacing w:after="0" w:line="174" w:lineRule="exact"/>
        <w:rPr>
          <w:sz w:val="20"/>
          <w:szCs w:val="20"/>
          <w:color w:val="auto"/>
        </w:rPr>
      </w:pPr>
    </w:p>
    <w:p>
      <w:pPr>
        <w:ind w:left="380" w:hanging="183"/>
        <w:spacing w:after="0" w:line="249" w:lineRule="auto"/>
        <w:tabs>
          <w:tab w:leader="none" w:pos="380" w:val="left"/>
        </w:tabs>
        <w:numPr>
          <w:ilvl w:val="0"/>
          <w:numId w:val="155"/>
        </w:numPr>
        <w:rPr>
          <w:rFonts w:ascii="Arial" w:cs="Arial" w:eastAsia="Arial" w:hAnsi="Arial"/>
          <w:sz w:val="16"/>
          <w:szCs w:val="16"/>
          <w:color w:val="4B1F68"/>
        </w:rPr>
      </w:pPr>
      <w:r>
        <w:rPr>
          <w:rFonts w:ascii="Arial" w:cs="Arial" w:eastAsia="Arial" w:hAnsi="Arial"/>
          <w:sz w:val="14"/>
          <w:szCs w:val="14"/>
          <w:b w:val="1"/>
          <w:bCs w:val="1"/>
          <w:i w:val="1"/>
          <w:iCs w:val="1"/>
          <w:color w:val="3B3C43"/>
        </w:rPr>
        <w:t xml:space="preserve">Notice and Access: </w:t>
      </w:r>
      <w:r>
        <w:rPr>
          <w:rFonts w:ascii="Arial" w:cs="Arial" w:eastAsia="Arial" w:hAnsi="Arial"/>
          <w:sz w:val="16"/>
          <w:szCs w:val="16"/>
          <w:color w:val="3B3C43"/>
        </w:rPr>
        <w:t>Most shareholders will not receive printed copies of the Proxy Materials unless they request them. Instead, the Notice of Materials,</w:t>
      </w:r>
      <w:r>
        <w:rPr>
          <w:rFonts w:ascii="Arial" w:cs="Arial" w:eastAsia="Arial" w:hAnsi="Arial"/>
          <w:sz w:val="14"/>
          <w:szCs w:val="14"/>
          <w:b w:val="1"/>
          <w:bCs w:val="1"/>
          <w:i w:val="1"/>
          <w:iCs w:val="1"/>
          <w:color w:val="3B3C43"/>
        </w:rPr>
        <w:t xml:space="preserve"> </w:t>
      </w:r>
      <w:r>
        <w:rPr>
          <w:rFonts w:ascii="Arial" w:cs="Arial" w:eastAsia="Arial" w:hAnsi="Arial"/>
          <w:sz w:val="16"/>
          <w:szCs w:val="16"/>
          <w:color w:val="3B3C43"/>
        </w:rPr>
        <w:t xml:space="preserve">which was mailed to most of our shareholders beginning on or about April 9, 2021, will instruct you on how to access and review all of the Proxy Materials at </w:t>
      </w:r>
      <w:r>
        <w:rPr>
          <w:rFonts w:ascii="Arial" w:cs="Arial" w:eastAsia="Arial" w:hAnsi="Arial"/>
          <w:sz w:val="14"/>
          <w:szCs w:val="14"/>
          <w:b w:val="1"/>
          <w:bCs w:val="1"/>
          <w:i w:val="1"/>
          <w:iCs w:val="1"/>
          <w:color w:val="4B1F68"/>
        </w:rPr>
        <w:t>www.proxyvote.com.</w:t>
      </w:r>
      <w:r>
        <w:rPr>
          <w:rFonts w:ascii="Arial" w:cs="Arial" w:eastAsia="Arial" w:hAnsi="Arial"/>
          <w:sz w:val="16"/>
          <w:szCs w:val="16"/>
          <w:color w:val="3B3C43"/>
        </w:rPr>
        <w:t xml:space="preserve"> Such notice also instructs you on how you may submit your proxy on the internet. If you would like to receive a paper or email copy of our Proxy Materials, you should follow the instructions for requesting such materials in the Notice of Materials. Any request to receive Proxy Materials by mail or email will remain in effect until you revoke it. Shareholders who do not receive a Notice of Materials will receive a paper copy of the Proxy Materials by mail or an electronic copy of the Proxy Materials by email (see below).</w:t>
      </w:r>
    </w:p>
    <w:p>
      <w:pPr>
        <w:spacing w:after="0" w:line="177" w:lineRule="exact"/>
        <w:rPr>
          <w:rFonts w:ascii="Arial" w:cs="Arial" w:eastAsia="Arial" w:hAnsi="Arial"/>
          <w:sz w:val="16"/>
          <w:szCs w:val="16"/>
          <w:color w:val="4B1F68"/>
        </w:rPr>
      </w:pPr>
    </w:p>
    <w:p>
      <w:pPr>
        <w:ind w:left="380" w:hanging="183"/>
        <w:spacing w:after="0" w:line="260" w:lineRule="auto"/>
        <w:tabs>
          <w:tab w:leader="none" w:pos="380" w:val="left"/>
        </w:tabs>
        <w:numPr>
          <w:ilvl w:val="0"/>
          <w:numId w:val="155"/>
        </w:numPr>
        <w:rPr>
          <w:rFonts w:ascii="Arial" w:cs="Arial" w:eastAsia="Arial" w:hAnsi="Arial"/>
          <w:sz w:val="16"/>
          <w:szCs w:val="16"/>
          <w:color w:val="4B1F68"/>
        </w:rPr>
      </w:pPr>
      <w:r>
        <w:rPr>
          <w:rFonts w:ascii="Arial" w:cs="Arial" w:eastAsia="Arial" w:hAnsi="Arial"/>
          <w:sz w:val="14"/>
          <w:szCs w:val="14"/>
          <w:b w:val="1"/>
          <w:bCs w:val="1"/>
          <w:i w:val="1"/>
          <w:iCs w:val="1"/>
          <w:color w:val="3B3C43"/>
        </w:rPr>
        <w:t xml:space="preserve">Email Access to Proxy Materials: </w:t>
      </w:r>
      <w:r>
        <w:rPr>
          <w:rFonts w:ascii="Arial" w:cs="Arial" w:eastAsia="Arial" w:hAnsi="Arial"/>
          <w:sz w:val="16"/>
          <w:szCs w:val="16"/>
          <w:color w:val="3B3C43"/>
        </w:rPr>
        <w:t>Shareholders who previously elected to receive notice of access to Proxy Materials via email will not receive the Notice</w:t>
      </w:r>
      <w:r>
        <w:rPr>
          <w:rFonts w:ascii="Arial" w:cs="Arial" w:eastAsia="Arial" w:hAnsi="Arial"/>
          <w:sz w:val="14"/>
          <w:szCs w:val="14"/>
          <w:b w:val="1"/>
          <w:bCs w:val="1"/>
          <w:i w:val="1"/>
          <w:iCs w:val="1"/>
          <w:color w:val="3B3C43"/>
        </w:rPr>
        <w:t xml:space="preserve"> </w:t>
      </w:r>
      <w:r>
        <w:rPr>
          <w:rFonts w:ascii="Arial" w:cs="Arial" w:eastAsia="Arial" w:hAnsi="Arial"/>
          <w:sz w:val="16"/>
          <w:szCs w:val="16"/>
          <w:color w:val="3B3C43"/>
        </w:rPr>
        <w:t>of Materials in the mail. You should have received an email with links to the Proxy Materials and online proxy voting.</w:t>
      </w:r>
    </w:p>
    <w:p>
      <w:pPr>
        <w:spacing w:after="0" w:line="168" w:lineRule="exact"/>
        <w:rPr>
          <w:rFonts w:ascii="Arial" w:cs="Arial" w:eastAsia="Arial" w:hAnsi="Arial"/>
          <w:sz w:val="16"/>
          <w:szCs w:val="16"/>
          <w:color w:val="4B1F68"/>
        </w:rPr>
      </w:pPr>
    </w:p>
    <w:p>
      <w:pPr>
        <w:ind w:left="380" w:right="600" w:hanging="183"/>
        <w:spacing w:after="0" w:line="260" w:lineRule="auto"/>
        <w:tabs>
          <w:tab w:leader="none" w:pos="380" w:val="left"/>
        </w:tabs>
        <w:numPr>
          <w:ilvl w:val="0"/>
          <w:numId w:val="155"/>
        </w:numPr>
        <w:rPr>
          <w:rFonts w:ascii="Arial" w:cs="Arial" w:eastAsia="Arial" w:hAnsi="Arial"/>
          <w:sz w:val="16"/>
          <w:szCs w:val="16"/>
          <w:color w:val="4B1F68"/>
        </w:rPr>
      </w:pPr>
      <w:r>
        <w:rPr>
          <w:rFonts w:ascii="Arial" w:cs="Arial" w:eastAsia="Arial" w:hAnsi="Arial"/>
          <w:sz w:val="14"/>
          <w:szCs w:val="14"/>
          <w:b w:val="1"/>
          <w:bCs w:val="1"/>
          <w:i w:val="1"/>
          <w:iCs w:val="1"/>
          <w:color w:val="3B3C43"/>
        </w:rPr>
        <w:t xml:space="preserve">Paper Copy of Proxy Materials with Proxy Card: </w:t>
      </w:r>
      <w:r>
        <w:rPr>
          <w:rFonts w:ascii="Arial" w:cs="Arial" w:eastAsia="Arial" w:hAnsi="Arial"/>
          <w:sz w:val="16"/>
          <w:szCs w:val="16"/>
          <w:color w:val="3B3C43"/>
        </w:rPr>
        <w:t>All shareholders of record and shareholders who previously requested paper copies of the Proxy</w:t>
      </w:r>
      <w:r>
        <w:rPr>
          <w:rFonts w:ascii="Arial" w:cs="Arial" w:eastAsia="Arial" w:hAnsi="Arial"/>
          <w:sz w:val="14"/>
          <w:szCs w:val="14"/>
          <w:b w:val="1"/>
          <w:bCs w:val="1"/>
          <w:i w:val="1"/>
          <w:iCs w:val="1"/>
          <w:color w:val="3B3C43"/>
        </w:rPr>
        <w:t xml:space="preserve"> </w:t>
      </w:r>
      <w:r>
        <w:rPr>
          <w:rFonts w:ascii="Arial" w:cs="Arial" w:eastAsia="Arial" w:hAnsi="Arial"/>
          <w:sz w:val="16"/>
          <w:szCs w:val="16"/>
          <w:color w:val="3B3C43"/>
        </w:rPr>
        <w:t>Materials will not receive the Notice of Materials. Instead, such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151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jc w:val="both"/>
        <w:ind w:left="380" w:right="60"/>
        <w:spacing w:after="0" w:line="251" w:lineRule="auto"/>
        <w:rPr>
          <w:sz w:val="20"/>
          <w:szCs w:val="20"/>
          <w:color w:val="auto"/>
        </w:rPr>
      </w:pPr>
      <w:r>
        <w:rPr>
          <w:rFonts w:ascii="Arial" w:cs="Arial" w:eastAsia="Arial" w:hAnsi="Arial"/>
          <w:sz w:val="16"/>
          <w:szCs w:val="16"/>
          <w:color w:val="3B3C43"/>
        </w:rPr>
        <w:t>will continue to receive a paper copy of the Proxy Materials until a request is submitted to change delivery methods. You can eliminate all such paper mailings in the future by electing to receive an email that provides internet links to these documents. Opting to receive all future Proxy Materials online will conserve resources in producing and mailing documents to your home or business. To request electronic delivery, please follow the instructions on your proxy card or voting instruction card.</w:t>
      </w:r>
    </w:p>
    <w:p>
      <w:pPr>
        <w:spacing w:after="0" w:line="155" w:lineRule="exact"/>
        <w:rPr>
          <w:sz w:val="20"/>
          <w:szCs w:val="20"/>
          <w:color w:val="auto"/>
        </w:rPr>
      </w:pPr>
    </w:p>
    <w:p>
      <w:pPr>
        <w:ind w:left="380" w:hanging="183"/>
        <w:spacing w:after="0" w:line="266" w:lineRule="auto"/>
        <w:tabs>
          <w:tab w:leader="none" w:pos="380" w:val="left"/>
        </w:tabs>
        <w:numPr>
          <w:ilvl w:val="0"/>
          <w:numId w:val="156"/>
        </w:numPr>
        <w:rPr>
          <w:rFonts w:ascii="Arial" w:cs="Arial" w:eastAsia="Arial" w:hAnsi="Arial"/>
          <w:sz w:val="16"/>
          <w:szCs w:val="16"/>
          <w:color w:val="4B1F68"/>
        </w:rPr>
      </w:pPr>
      <w:r>
        <w:rPr>
          <w:rFonts w:ascii="Arial" w:cs="Arial" w:eastAsia="Arial" w:hAnsi="Arial"/>
          <w:sz w:val="16"/>
          <w:szCs w:val="16"/>
          <w:b w:val="1"/>
          <w:bCs w:val="1"/>
          <w:i w:val="1"/>
          <w:iCs w:val="1"/>
          <w:color w:val="3B3C43"/>
        </w:rPr>
        <w:t xml:space="preserve">Request through Bank/Broker: </w:t>
      </w:r>
      <w:r>
        <w:rPr>
          <w:rFonts w:ascii="Arial" w:cs="Arial" w:eastAsia="Arial" w:hAnsi="Arial"/>
          <w:sz w:val="16"/>
          <w:szCs w:val="16"/>
          <w:color w:val="3B3C43"/>
        </w:rPr>
        <w:t>Shareholders holding Ordinary Shares in anonymous form (</w:t>
      </w:r>
      <w:r>
        <w:rPr>
          <w:rFonts w:ascii="Arial" w:cs="Arial" w:eastAsia="Arial" w:hAnsi="Arial"/>
          <w:sz w:val="14"/>
          <w:szCs w:val="14"/>
          <w:i w:val="1"/>
          <w:iCs w:val="1"/>
          <w:color w:val="3B3C43"/>
        </w:rPr>
        <w:t>au porteur</w:t>
      </w:r>
      <w:r>
        <w:rPr>
          <w:rFonts w:ascii="Arial" w:cs="Arial" w:eastAsia="Arial" w:hAnsi="Arial"/>
          <w:sz w:val="16"/>
          <w:szCs w:val="16"/>
          <w:i w:val="1"/>
          <w:iCs w:val="1"/>
          <w:color w:val="3B3C43"/>
        </w:rPr>
        <w:t>)</w:t>
      </w:r>
      <w:r>
        <w:rPr>
          <w:rFonts w:ascii="Arial" w:cs="Arial" w:eastAsia="Arial" w:hAnsi="Arial"/>
          <w:sz w:val="16"/>
          <w:szCs w:val="16"/>
          <w:b w:val="1"/>
          <w:bCs w:val="1"/>
          <w:i w:val="1"/>
          <w:iCs w:val="1"/>
          <w:color w:val="3B3C43"/>
        </w:rPr>
        <w:t xml:space="preserve"> </w:t>
      </w:r>
      <w:r>
        <w:rPr>
          <w:rFonts w:ascii="Arial" w:cs="Arial" w:eastAsia="Arial" w:hAnsi="Arial"/>
          <w:sz w:val="16"/>
          <w:szCs w:val="16"/>
          <w:color w:val="3B3C43"/>
        </w:rPr>
        <w:t>through Euroclear France must contact their</w:t>
      </w:r>
      <w:r>
        <w:rPr>
          <w:rFonts w:ascii="Arial" w:cs="Arial" w:eastAsia="Arial" w:hAnsi="Arial"/>
          <w:sz w:val="16"/>
          <w:szCs w:val="16"/>
          <w:b w:val="1"/>
          <w:bCs w:val="1"/>
          <w:i w:val="1"/>
          <w:iCs w:val="1"/>
          <w:color w:val="3B3C43"/>
        </w:rPr>
        <w:t xml:space="preserve"> </w:t>
      </w:r>
      <w:r>
        <w:rPr>
          <w:rFonts w:ascii="Arial" w:cs="Arial" w:eastAsia="Arial" w:hAnsi="Arial"/>
          <w:sz w:val="16"/>
          <w:szCs w:val="16"/>
          <w:color w:val="3B3C43"/>
        </w:rPr>
        <w:t>bank, broker, or financial intermediary to request the Proxy Materials, including a proxy card that will enable shareholders to vote, request an admission ticket, or authorize a proxy for the Annual Meeting.</w:t>
      </w:r>
    </w:p>
    <w:p>
      <w:pPr>
        <w:spacing w:after="0" w:line="1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3B3C43"/>
        </w:rPr>
        <w:t xml:space="preserve">Proxy Materials will also be made available on our website at </w:t>
      </w:r>
      <w:r>
        <w:rPr>
          <w:rFonts w:ascii="Arial" w:cs="Arial" w:eastAsia="Arial" w:hAnsi="Arial"/>
          <w:sz w:val="14"/>
          <w:szCs w:val="14"/>
          <w:b w:val="1"/>
          <w:bCs w:val="1"/>
          <w:i w:val="1"/>
          <w:iCs w:val="1"/>
          <w:color w:val="4B1F68"/>
        </w:rPr>
        <w:t>www.technipfmc.com</w:t>
      </w:r>
      <w:r>
        <w:rPr>
          <w:rFonts w:ascii="Arial" w:cs="Arial" w:eastAsia="Arial" w:hAnsi="Arial"/>
          <w:sz w:val="16"/>
          <w:szCs w:val="16"/>
          <w:color w:val="3B3C43"/>
        </w:rPr>
        <w:t xml:space="preserve"> under the heading “Investors &gt; Events &amp; presentations &gt; Shareholders’ meeting” as well as at </w:t>
      </w:r>
      <w:r>
        <w:rPr>
          <w:rFonts w:ascii="Arial" w:cs="Arial" w:eastAsia="Arial" w:hAnsi="Arial"/>
          <w:sz w:val="14"/>
          <w:szCs w:val="14"/>
          <w:b w:val="1"/>
          <w:bCs w:val="1"/>
          <w:i w:val="1"/>
          <w:iCs w:val="1"/>
          <w:color w:val="4B1F68"/>
        </w:rPr>
        <w:t>www.proxyvote.com</w:t>
      </w:r>
      <w:r>
        <w:rPr>
          <w:rFonts w:ascii="Arial" w:cs="Arial" w:eastAsia="Arial" w:hAnsi="Arial"/>
          <w:sz w:val="16"/>
          <w:szCs w:val="16"/>
          <w:i w:val="1"/>
          <w:iCs w:val="1"/>
          <w:color w:val="3B3C43"/>
        </w:rPr>
        <w: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Where can I find governance documents related to the Company?</w:t>
      </w:r>
    </w:p>
    <w:p>
      <w:pPr>
        <w:spacing w:after="0" w:line="232"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 xml:space="preserve">Our Governance Guidelines, our Code of Business Conduct (including our core values and Foundational Beliefs), the charters for our Audit Committee, Compensation Committee, and ESG Committee, and other corporate governance and sustainability information are available on our website at </w:t>
      </w:r>
      <w:r>
        <w:rPr>
          <w:rFonts w:ascii="Arial" w:cs="Arial" w:eastAsia="Arial" w:hAnsi="Arial"/>
          <w:sz w:val="14"/>
          <w:szCs w:val="14"/>
          <w:b w:val="1"/>
          <w:bCs w:val="1"/>
          <w:i w:val="1"/>
          <w:iCs w:val="1"/>
          <w:color w:val="4B1F68"/>
        </w:rPr>
        <w:t xml:space="preserve">www.technipfmc.com </w:t>
      </w:r>
      <w:r>
        <w:rPr>
          <w:rFonts w:ascii="Arial" w:cs="Arial" w:eastAsia="Arial" w:hAnsi="Arial"/>
          <w:sz w:val="16"/>
          <w:szCs w:val="16"/>
          <w:color w:val="3B3C43"/>
        </w:rPr>
        <w:t>under the heading</w:t>
      </w:r>
      <w:r>
        <w:rPr>
          <w:rFonts w:ascii="Arial" w:cs="Arial" w:eastAsia="Arial" w:hAnsi="Arial"/>
          <w:sz w:val="14"/>
          <w:szCs w:val="14"/>
          <w:b w:val="1"/>
          <w:bCs w:val="1"/>
          <w:i w:val="1"/>
          <w:iCs w:val="1"/>
          <w:color w:val="4B1F68"/>
        </w:rPr>
        <w:t xml:space="preserve"> </w:t>
      </w:r>
      <w:r>
        <w:rPr>
          <w:rFonts w:ascii="Arial" w:cs="Arial" w:eastAsia="Arial" w:hAnsi="Arial"/>
          <w:sz w:val="14"/>
          <w:szCs w:val="14"/>
          <w:i w:val="1"/>
          <w:iCs w:val="1"/>
          <w:color w:val="3B3C43"/>
        </w:rPr>
        <w:t>“About us.</w:t>
      </w:r>
      <w:r>
        <w:rPr>
          <w:rFonts w:ascii="Arial" w:cs="Arial" w:eastAsia="Arial" w:hAnsi="Arial"/>
          <w:sz w:val="16"/>
          <w:szCs w:val="16"/>
          <w:i w:val="1"/>
          <w:iCs w:val="1"/>
          <w:color w:val="3B3C43"/>
        </w:rPr>
        <w:t>”</w:t>
      </w:r>
      <w:r>
        <w:rPr>
          <w:rFonts w:ascii="Arial" w:cs="Arial" w:eastAsia="Arial" w:hAnsi="Arial"/>
          <w:sz w:val="14"/>
          <w:szCs w:val="14"/>
          <w:b w:val="1"/>
          <w:bCs w:val="1"/>
          <w:i w:val="1"/>
          <w:iCs w:val="1"/>
          <w:color w:val="4B1F68"/>
        </w:rPr>
        <w:t xml:space="preserve"> </w:t>
      </w:r>
      <w:r>
        <w:rPr>
          <w:rFonts w:ascii="Arial" w:cs="Arial" w:eastAsia="Arial" w:hAnsi="Arial"/>
          <w:sz w:val="16"/>
          <w:szCs w:val="16"/>
          <w:color w:val="3B3C43"/>
        </w:rPr>
        <w:t>These materials are also available in print, free of charge, to any shareholder upon written request</w:t>
      </w:r>
      <w:r>
        <w:rPr>
          <w:rFonts w:ascii="Arial" w:cs="Arial" w:eastAsia="Arial" w:hAnsi="Arial"/>
          <w:sz w:val="14"/>
          <w:szCs w:val="14"/>
          <w:b w:val="1"/>
          <w:bCs w:val="1"/>
          <w:i w:val="1"/>
          <w:iCs w:val="1"/>
          <w:color w:val="4B1F68"/>
        </w:rPr>
        <w:t xml:space="preserve"> </w:t>
      </w:r>
      <w:r>
        <w:rPr>
          <w:rFonts w:ascii="Arial" w:cs="Arial" w:eastAsia="Arial" w:hAnsi="Arial"/>
          <w:sz w:val="16"/>
          <w:szCs w:val="16"/>
          <w:color w:val="3B3C43"/>
        </w:rPr>
        <w:t>submitted to One St. Paul’s Churchyard, London EC4M 8AP, United Kingdom, Attention: Corporate Secretary. The information on our website is not a part of this Proxy Statement and is not incorporated into any of our filings made with the SEC.</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Who is entitled to vote at the Annual Meeting?</w:t>
      </w:r>
    </w:p>
    <w:p>
      <w:pPr>
        <w:spacing w:after="0" w:line="232"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3B3C43"/>
        </w:rPr>
        <w:t>You can vote at the Annual Meeting or any adjournment or postponement thereof if you are a shareholder of record or beneficial owner of our Ordinary Shares as of 5:00 p.m., New York time, on March 24, 2021 (the “</w:t>
      </w:r>
      <w:r>
        <w:rPr>
          <w:rFonts w:ascii="Arial" w:cs="Arial" w:eastAsia="Arial" w:hAnsi="Arial"/>
          <w:sz w:val="16"/>
          <w:szCs w:val="16"/>
          <w:b w:val="1"/>
          <w:bCs w:val="1"/>
          <w:color w:val="3B3C43"/>
        </w:rPr>
        <w:t>Record Date</w:t>
      </w:r>
      <w:r>
        <w:rPr>
          <w:rFonts w:ascii="Arial" w:cs="Arial" w:eastAsia="Arial" w:hAnsi="Arial"/>
          <w:sz w:val="16"/>
          <w:szCs w:val="16"/>
          <w:color w:val="3B3C43"/>
        </w:rPr>
        <w:t>”). In addition, provisions under the Companies Act allow shareholders of record as of 10:00 a.m., London time, on May 18, 2021, to vote at the Annual Meeting (the “</w:t>
      </w:r>
      <w:r>
        <w:rPr>
          <w:rFonts w:ascii="Arial" w:cs="Arial" w:eastAsia="Arial" w:hAnsi="Arial"/>
          <w:sz w:val="16"/>
          <w:szCs w:val="16"/>
          <w:b w:val="1"/>
          <w:bCs w:val="1"/>
          <w:color w:val="3B3C43"/>
        </w:rPr>
        <w:t>CA Record Date</w:t>
      </w:r>
      <w:r>
        <w:rPr>
          <w:rFonts w:ascii="Arial" w:cs="Arial" w:eastAsia="Arial" w:hAnsi="Arial"/>
          <w:sz w:val="16"/>
          <w:szCs w:val="16"/>
          <w:color w:val="3B3C43"/>
        </w:rPr>
        <w:t>”).</w:t>
      </w:r>
    </w:p>
    <w:p>
      <w:pPr>
        <w:spacing w:after="0" w:line="17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3B3C43"/>
        </w:rPr>
        <w:t>Beneficial owners must comply with the March 24, 2021 Record Date, as the CA Record Date only applies to shareholders of record. Please see the question below for an explanation of the difference between a shareholder of record and a beneficial owner. Unless otherwise restricted from voting in accordance with applicable law and/or the Articles, you will have one vote for each Ordinary Share per proposal. As of March 24, 2021, we had 450,668,293 Ordinary Shares outstanding and entitled to vote.</w:t>
      </w:r>
    </w:p>
    <w:p>
      <w:pPr>
        <w:spacing w:after="0" w:line="175"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3B3C43"/>
        </w:rPr>
        <w:t>Any corporate or institutional shareholder may, by resolution of its articles or other governing body, authorize another person to act as its representative at the Annual Meeting, and such authorized person will (on production of a certified copy of such resolution at the Annual Meeting) be entitled to exercise the same powers on behalf of the corporation as that corporation could exercise if it was an individual shareholder of the Company.</w:t>
      </w:r>
    </w:p>
    <w:p>
      <w:pPr>
        <w:spacing w:after="0" w:line="17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3B3C43"/>
        </w:rPr>
        <w:t>Any beneficial owner who would like to vote in person at the Annual Meeting must obtain a legal proxy from his or her bank, broker, or other nominee and present it to the inspector of elections, together with his or her voting card, at the Annual Meeting.</w:t>
      </w:r>
    </w:p>
    <w:p>
      <w:pPr>
        <w:spacing w:after="0" w:line="168" w:lineRule="exact"/>
        <w:rPr>
          <w:sz w:val="20"/>
          <w:szCs w:val="20"/>
          <w:color w:val="auto"/>
        </w:rPr>
      </w:pPr>
    </w:p>
    <w:p>
      <w:pPr>
        <w:ind w:right="440"/>
        <w:spacing w:after="0" w:line="253" w:lineRule="auto"/>
        <w:rPr>
          <w:sz w:val="20"/>
          <w:szCs w:val="20"/>
          <w:color w:val="auto"/>
        </w:rPr>
      </w:pPr>
      <w:r>
        <w:rPr>
          <w:rFonts w:ascii="Arial" w:cs="Arial" w:eastAsia="Arial" w:hAnsi="Arial"/>
          <w:sz w:val="16"/>
          <w:szCs w:val="16"/>
          <w:color w:val="3B3C43"/>
        </w:rPr>
        <w:t>In the case of joint holders, the vote of the senior holder who submits a vote will be accepted to the exclusion of the vote of the other joint holders, with seniority determined by the order in which the names of the holders appear in the register of members of our transfer agent, Computershare Investor Services plc (“</w:t>
      </w:r>
      <w:r>
        <w:rPr>
          <w:rFonts w:ascii="Arial" w:cs="Arial" w:eastAsia="Arial" w:hAnsi="Arial"/>
          <w:sz w:val="16"/>
          <w:szCs w:val="16"/>
          <w:b w:val="1"/>
          <w:bCs w:val="1"/>
          <w:color w:val="3B3C43"/>
        </w:rPr>
        <w:t>Computershare</w:t>
      </w:r>
      <w:r>
        <w:rPr>
          <w:rFonts w:ascii="Arial" w:cs="Arial" w:eastAsia="Arial" w:hAnsi="Arial"/>
          <w:sz w:val="16"/>
          <w:szCs w:val="16"/>
          <w:color w:val="3B3C43"/>
        </w:rPr>
        <w:t>”).</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6"/>
          <w:szCs w:val="16"/>
          <w:color w:val="3B3C43"/>
        </w:rPr>
        <w:t>A complete list of shareholders of record entitled to vote will be open to the examination of any shareholder for any purpose relevant to the Annual Meeting for a period of 10 days prior to the Annual Meeting at our office at One St. Paul’s Churchyard, London EC4M 8AP, United Kingdom, during ordinary business hours. This list will also be available at the location of the Annual Meeting and open to the examination of any shareholder present at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152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What is the difference between holding Ordinary Shares as a shareholder of record and as a beneficial owner?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3B3C43"/>
        </w:rPr>
        <w:t>As summarized below, there are some differences between Ordinary Shares held of record and those owned beneficially in street name.</w:t>
      </w:r>
    </w:p>
    <w:p>
      <w:pPr>
        <w:spacing w:after="0" w:line="194" w:lineRule="exact"/>
        <w:rPr>
          <w:sz w:val="20"/>
          <w:szCs w:val="20"/>
          <w:color w:val="auto"/>
        </w:rPr>
      </w:pPr>
    </w:p>
    <w:p>
      <w:pPr>
        <w:ind w:left="380" w:right="100" w:hanging="159"/>
        <w:spacing w:after="0" w:line="253" w:lineRule="auto"/>
        <w:rPr>
          <w:sz w:val="20"/>
          <w:szCs w:val="20"/>
          <w:color w:val="auto"/>
        </w:rPr>
      </w:pPr>
      <w:r>
        <w:rPr>
          <w:rFonts w:ascii="Arial" w:cs="Arial" w:eastAsia="Arial" w:hAnsi="Arial"/>
          <w:sz w:val="16"/>
          <w:szCs w:val="16"/>
          <w:color w:val="4B1F68"/>
        </w:rPr>
        <w:t>►</w:t>
      </w:r>
      <w:r>
        <w:rPr>
          <w:rFonts w:ascii="Arial" w:cs="Arial" w:eastAsia="Arial" w:hAnsi="Arial"/>
          <w:sz w:val="14"/>
          <w:szCs w:val="14"/>
          <w:b w:val="1"/>
          <w:bCs w:val="1"/>
          <w:i w:val="1"/>
          <w:iCs w:val="1"/>
          <w:color w:val="3B3C43"/>
        </w:rPr>
        <w:t>Shareholders of Record.</w:t>
      </w:r>
      <w:r>
        <w:rPr>
          <w:rFonts w:ascii="Arial" w:cs="Arial" w:eastAsia="Arial" w:hAnsi="Arial"/>
          <w:sz w:val="16"/>
          <w:szCs w:val="16"/>
          <w:color w:val="4B1F68"/>
        </w:rPr>
        <w:t xml:space="preserve"> </w:t>
      </w:r>
      <w:r>
        <w:rPr>
          <w:rFonts w:ascii="Arial" w:cs="Arial" w:eastAsia="Arial" w:hAnsi="Arial"/>
          <w:sz w:val="16"/>
          <w:szCs w:val="16"/>
          <w:color w:val="3B3C43"/>
        </w:rPr>
        <w:t>If your Ordinary Shares are registered directly in your name on the register of members with Computershare, you are</w:t>
      </w:r>
      <w:r>
        <w:rPr>
          <w:rFonts w:ascii="Arial" w:cs="Arial" w:eastAsia="Arial" w:hAnsi="Arial"/>
          <w:sz w:val="16"/>
          <w:szCs w:val="16"/>
          <w:color w:val="4B1F68"/>
        </w:rPr>
        <w:t xml:space="preserve"> </w:t>
      </w:r>
      <w:r>
        <w:rPr>
          <w:rFonts w:ascii="Arial" w:cs="Arial" w:eastAsia="Arial" w:hAnsi="Arial"/>
          <w:sz w:val="16"/>
          <w:szCs w:val="16"/>
          <w:color w:val="3B3C43"/>
        </w:rPr>
        <w:t>considered the shareholder of record with respect to those shares, and the Proxy Materials, including a proxy card, are being sent directly to you. As a shareholder of record, you have the right to grant your voting proxy directly to us, to vote electronically, or to vote in person at the Annual Meeting.</w:t>
      </w:r>
    </w:p>
    <w:p>
      <w:pPr>
        <w:spacing w:after="0" w:line="174" w:lineRule="exact"/>
        <w:rPr>
          <w:sz w:val="20"/>
          <w:szCs w:val="20"/>
          <w:color w:val="auto"/>
        </w:rPr>
      </w:pPr>
    </w:p>
    <w:p>
      <w:pPr>
        <w:ind w:left="380" w:right="200" w:hanging="159"/>
        <w:spacing w:after="0" w:line="249" w:lineRule="auto"/>
        <w:rPr>
          <w:sz w:val="20"/>
          <w:szCs w:val="20"/>
          <w:color w:val="auto"/>
        </w:rPr>
      </w:pPr>
      <w:r>
        <w:rPr>
          <w:rFonts w:ascii="Arial" w:cs="Arial" w:eastAsia="Arial" w:hAnsi="Arial"/>
          <w:sz w:val="16"/>
          <w:szCs w:val="16"/>
          <w:color w:val="4B1F68"/>
        </w:rPr>
        <w:t>►</w:t>
      </w:r>
      <w:r>
        <w:rPr>
          <w:rFonts w:ascii="Arial" w:cs="Arial" w:eastAsia="Arial" w:hAnsi="Arial"/>
          <w:sz w:val="14"/>
          <w:szCs w:val="14"/>
          <w:b w:val="1"/>
          <w:bCs w:val="1"/>
          <w:i w:val="1"/>
          <w:iCs w:val="1"/>
          <w:color w:val="3B3C43"/>
        </w:rPr>
        <w:t>Beneficial Owners.</w:t>
      </w:r>
      <w:r>
        <w:rPr>
          <w:rFonts w:ascii="Arial" w:cs="Arial" w:eastAsia="Arial" w:hAnsi="Arial"/>
          <w:sz w:val="16"/>
          <w:szCs w:val="16"/>
          <w:color w:val="4B1F68"/>
        </w:rPr>
        <w:t xml:space="preserve"> </w:t>
      </w:r>
      <w:r>
        <w:rPr>
          <w:rFonts w:ascii="Arial" w:cs="Arial" w:eastAsia="Arial" w:hAnsi="Arial"/>
          <w:sz w:val="16"/>
          <w:szCs w:val="16"/>
          <w:color w:val="3B3C43"/>
        </w:rPr>
        <w:t>If your Ordinary Shares are held in a stock brokerage account, or by a bank or other nominee, you are considered the beneficial</w:t>
      </w:r>
      <w:r>
        <w:rPr>
          <w:rFonts w:ascii="Arial" w:cs="Arial" w:eastAsia="Arial" w:hAnsi="Arial"/>
          <w:sz w:val="16"/>
          <w:szCs w:val="16"/>
          <w:color w:val="4B1F68"/>
        </w:rPr>
        <w:t xml:space="preserve"> </w:t>
      </w:r>
      <w:r>
        <w:rPr>
          <w:rFonts w:ascii="Arial" w:cs="Arial" w:eastAsia="Arial" w:hAnsi="Arial"/>
          <w:sz w:val="16"/>
          <w:szCs w:val="16"/>
          <w:color w:val="3B3C43"/>
        </w:rPr>
        <w:t>owner of shares held in “street name,” and the Notice of Materials or Proxy Materials are being forwarded to you by your bank, broker, or nominee through whom you hold the shares. Most of our shareholders hold their Ordinary Shares in this manner rather than directly in their own name. As the beneficial owner, you have the right to direct your bank, broker, or other nominee on how to vote your Ordinary Shares by following the instructions contained in the Notice of Materials or Proxy Materials. If you requested printed Proxy Materials, your bank, broker, or other nominee has enclosed a voting instruction card for you to use in directing the bank, broker, or other nominee regarding how to vote your Ordinary Shares.</w:t>
      </w:r>
    </w:p>
    <w:p>
      <w:pPr>
        <w:spacing w:after="0" w:line="162" w:lineRule="exact"/>
        <w:rPr>
          <w:sz w:val="20"/>
          <w:szCs w:val="20"/>
          <w:color w:val="auto"/>
        </w:rPr>
      </w:pPr>
    </w:p>
    <w:p>
      <w:pPr>
        <w:ind w:left="380" w:right="280"/>
        <w:spacing w:after="0" w:line="263" w:lineRule="auto"/>
        <w:rPr>
          <w:sz w:val="20"/>
          <w:szCs w:val="20"/>
          <w:color w:val="auto"/>
        </w:rPr>
      </w:pPr>
      <w:r>
        <w:rPr>
          <w:rFonts w:ascii="Arial" w:cs="Arial" w:eastAsia="Arial" w:hAnsi="Arial"/>
          <w:sz w:val="16"/>
          <w:szCs w:val="16"/>
          <w:color w:val="3B3C43"/>
        </w:rPr>
        <w:t xml:space="preserve">If you are a beneficial owner holding Ordinary Shares in anonymous “bearer” form </w:t>
      </w:r>
      <w:r>
        <w:rPr>
          <w:rFonts w:ascii="Arial" w:cs="Arial" w:eastAsia="Arial" w:hAnsi="Arial"/>
          <w:sz w:val="16"/>
          <w:szCs w:val="16"/>
          <w:i w:val="1"/>
          <w:iCs w:val="1"/>
          <w:color w:val="3B3C43"/>
        </w:rPr>
        <w:t>(</w:t>
      </w:r>
      <w:r>
        <w:rPr>
          <w:rFonts w:ascii="Arial" w:cs="Arial" w:eastAsia="Arial" w:hAnsi="Arial"/>
          <w:sz w:val="14"/>
          <w:szCs w:val="14"/>
          <w:color w:val="3B3C43"/>
        </w:rPr>
        <w:t>au porteur</w:t>
      </w:r>
      <w:r>
        <w:rPr>
          <w:rFonts w:ascii="Arial" w:cs="Arial" w:eastAsia="Arial" w:hAnsi="Arial"/>
          <w:sz w:val="16"/>
          <w:szCs w:val="16"/>
          <w:i w:val="1"/>
          <w:iCs w:val="1"/>
          <w:color w:val="3B3C43"/>
        </w:rPr>
        <w:t>)</w:t>
      </w:r>
      <w:r>
        <w:rPr>
          <w:rFonts w:ascii="Arial" w:cs="Arial" w:eastAsia="Arial" w:hAnsi="Arial"/>
          <w:sz w:val="16"/>
          <w:szCs w:val="16"/>
          <w:color w:val="3B3C43"/>
        </w:rPr>
        <w:t xml:space="preserve"> in Euroclear France, your bank, broker, or financial intermediary shall provide you, upon request, with the specific proxy form prepared by Société Générale Securities Services, our local centralization agent, which will enable you to vote, request an admission ticket, or authorize a proxy for the Annual Meeting. Please see </w:t>
      </w:r>
      <w:r>
        <w:rPr>
          <w:rFonts w:ascii="Arial" w:cs="Arial" w:eastAsia="Arial" w:hAnsi="Arial"/>
          <w:sz w:val="16"/>
          <w:szCs w:val="16"/>
          <w:i w:val="1"/>
          <w:iCs w:val="1"/>
          <w:color w:val="3B3C43"/>
        </w:rPr>
        <w:t>“</w:t>
      </w:r>
      <w:r>
        <w:rPr>
          <w:rFonts w:ascii="Arial" w:cs="Arial" w:eastAsia="Arial" w:hAnsi="Arial"/>
          <w:sz w:val="14"/>
          <w:szCs w:val="14"/>
          <w:i w:val="1"/>
          <w:iCs w:val="1"/>
          <w:color w:val="3B3C43"/>
        </w:rPr>
        <w:t>How do I vote?</w:t>
      </w:r>
      <w:r>
        <w:rPr>
          <w:rFonts w:ascii="Arial" w:cs="Arial" w:eastAsia="Arial" w:hAnsi="Arial"/>
          <w:sz w:val="14"/>
          <w:szCs w:val="14"/>
          <w:color w:val="3B3C43"/>
        </w:rPr>
        <w:t>”</w:t>
      </w:r>
      <w:r>
        <w:rPr>
          <w:rFonts w:ascii="Arial" w:cs="Arial" w:eastAsia="Arial" w:hAnsi="Arial"/>
          <w:sz w:val="16"/>
          <w:szCs w:val="16"/>
          <w:color w:val="3B3C43"/>
        </w:rPr>
        <w:t xml:space="preserve"> below.</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Do I have to attend the Annual Meeting to vote?</w:t>
      </w:r>
    </w:p>
    <w:p>
      <w:pPr>
        <w:spacing w:after="0" w:line="23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3B3C43"/>
        </w:rPr>
        <w:t>No, attendance at the Annual Meeting is not required for shareholders to vote their Ordinary Shares. Please see “</w:t>
      </w:r>
      <w:r>
        <w:rPr>
          <w:rFonts w:ascii="Arial" w:cs="Arial" w:eastAsia="Arial" w:hAnsi="Arial"/>
          <w:sz w:val="14"/>
          <w:szCs w:val="14"/>
          <w:i w:val="1"/>
          <w:iCs w:val="1"/>
          <w:color w:val="3B3C43"/>
        </w:rPr>
        <w:t>How do I vote?”</w:t>
      </w:r>
      <w:r>
        <w:rPr>
          <w:rFonts w:ascii="Arial" w:cs="Arial" w:eastAsia="Arial" w:hAnsi="Arial"/>
          <w:sz w:val="16"/>
          <w:szCs w:val="16"/>
          <w:color w:val="3B3C43"/>
        </w:rPr>
        <w:t xml:space="preserve"> below for the various voting methods available to shareholders.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Who can attend the Annual Meeting?</w:t>
      </w:r>
    </w:p>
    <w:p>
      <w:pPr>
        <w:spacing w:after="0" w:line="23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3B3C43"/>
        </w:rPr>
        <w:t>The Company currently intends to hold the 2021 Annual Meeting with the minimum attendance required to form a quorum so long as the COVID-19 Restrictions continue to remain in force. Please note the requirements below should the Company consider it possible to adapt arrangements and welcome shareholders to the 2021 Annual Meeting within the U.K. Government’s guidelines.</w:t>
      </w:r>
    </w:p>
    <w:p>
      <w:pPr>
        <w:spacing w:after="0" w:line="17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3B3C43"/>
        </w:rPr>
        <w:t>Each shareholder who attends the Annual Meeting will need to bring an admission ticket and provide valid photo identification, such as a driver’s license or passport.</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6"/>
          <w:szCs w:val="16"/>
          <w:color w:val="3B3C43"/>
        </w:rPr>
        <w:t>To attend the Annual Meeting, you must have been: (a) a beneficial owner as of 5:00 p.m., New York time, on the Record Date; and/or (b) a shareholder of record as of 10:00 a.m., London time, on the CA Record Date. Beneficial owners must comply with the March 24, 2021 Record Date, as the CA Record Date only applies to shareholders of record.</w:t>
      </w:r>
    </w:p>
    <w:p>
      <w:pPr>
        <w:spacing w:after="0" w:line="154" w:lineRule="exact"/>
        <w:rPr>
          <w:sz w:val="20"/>
          <w:szCs w:val="20"/>
          <w:color w:val="auto"/>
        </w:rPr>
      </w:pPr>
    </w:p>
    <w:p>
      <w:pPr>
        <w:jc w:val="both"/>
        <w:ind w:right="340"/>
        <w:spacing w:after="0" w:line="259" w:lineRule="auto"/>
        <w:rPr>
          <w:sz w:val="20"/>
          <w:szCs w:val="20"/>
          <w:color w:val="auto"/>
        </w:rPr>
      </w:pPr>
      <w:r>
        <w:rPr>
          <w:rFonts w:ascii="Arial" w:cs="Arial" w:eastAsia="Arial" w:hAnsi="Arial"/>
          <w:sz w:val="16"/>
          <w:szCs w:val="16"/>
          <w:b w:val="1"/>
          <w:bCs w:val="1"/>
          <w:color w:val="3B3C43"/>
        </w:rPr>
        <w:t xml:space="preserve">Admission tickets can be printed up to 11:59 p.m., New York time, on May 19, 2021, by accessing the Shareholder Meeting Registration link at </w:t>
      </w:r>
      <w:r>
        <w:rPr>
          <w:rFonts w:ascii="Arial" w:cs="Arial" w:eastAsia="Arial" w:hAnsi="Arial"/>
          <w:sz w:val="14"/>
          <w:szCs w:val="14"/>
          <w:b w:val="1"/>
          <w:bCs w:val="1"/>
          <w:i w:val="1"/>
          <w:iCs w:val="1"/>
          <w:color w:val="4B1F68"/>
        </w:rPr>
        <w:t>www.proxyvote.com</w:t>
      </w:r>
      <w:r>
        <w:rPr>
          <w:rFonts w:ascii="Arial" w:cs="Arial" w:eastAsia="Arial" w:hAnsi="Arial"/>
          <w:sz w:val="16"/>
          <w:szCs w:val="16"/>
          <w:b w:val="1"/>
          <w:bCs w:val="1"/>
          <w:i w:val="1"/>
          <w:iCs w:val="1"/>
          <w:color w:val="3B3C43"/>
        </w:rPr>
        <w:t>.</w:t>
      </w:r>
      <w:r>
        <w:rPr>
          <w:rFonts w:ascii="Arial" w:cs="Arial" w:eastAsia="Arial" w:hAnsi="Arial"/>
          <w:sz w:val="14"/>
          <w:szCs w:val="14"/>
          <w:b w:val="1"/>
          <w:bCs w:val="1"/>
          <w:i w:val="1"/>
          <w:iCs w:val="1"/>
          <w:color w:val="4B1F68"/>
        </w:rPr>
        <w:t xml:space="preserve"> </w:t>
      </w:r>
      <w:r>
        <w:rPr>
          <w:rFonts w:ascii="Arial" w:cs="Arial" w:eastAsia="Arial" w:hAnsi="Arial"/>
          <w:sz w:val="16"/>
          <w:szCs w:val="16"/>
          <w:color w:val="3B3C43"/>
        </w:rPr>
        <w:t>You will need the 16-digit control number printed on your Notice of Materials, proxy card, or voting instruction form from your bank,</w:t>
      </w:r>
      <w:r>
        <w:rPr>
          <w:rFonts w:ascii="Arial" w:cs="Arial" w:eastAsia="Arial" w:hAnsi="Arial"/>
          <w:sz w:val="14"/>
          <w:szCs w:val="14"/>
          <w:b w:val="1"/>
          <w:bCs w:val="1"/>
          <w:i w:val="1"/>
          <w:iCs w:val="1"/>
          <w:color w:val="4B1F68"/>
        </w:rPr>
        <w:t xml:space="preserve"> </w:t>
      </w:r>
      <w:r>
        <w:rPr>
          <w:rFonts w:ascii="Arial" w:cs="Arial" w:eastAsia="Arial" w:hAnsi="Arial"/>
          <w:sz w:val="16"/>
          <w:szCs w:val="16"/>
          <w:color w:val="3B3C43"/>
        </w:rPr>
        <w:t>broker, or other nominee. Shareholders holding Ordinary Shares in anonymous form (</w:t>
      </w:r>
      <w:r>
        <w:rPr>
          <w:rFonts w:ascii="Arial" w:cs="Arial" w:eastAsia="Arial" w:hAnsi="Arial"/>
          <w:sz w:val="14"/>
          <w:szCs w:val="14"/>
          <w:i w:val="1"/>
          <w:iCs w:val="1"/>
          <w:color w:val="3B3C43"/>
        </w:rPr>
        <w:t>au porteur</w:t>
      </w:r>
      <w:r>
        <w:rPr>
          <w:rFonts w:ascii="Arial" w:cs="Arial" w:eastAsia="Arial" w:hAnsi="Arial"/>
          <w:sz w:val="16"/>
          <w:szCs w:val="16"/>
          <w:i w:val="1"/>
          <w:iCs w:val="1"/>
          <w:color w:val="3B3C43"/>
        </w:rPr>
        <w:t>)</w:t>
      </w:r>
      <w:r>
        <w:rPr>
          <w:rFonts w:ascii="Arial" w:cs="Arial" w:eastAsia="Arial" w:hAnsi="Arial"/>
          <w:sz w:val="16"/>
          <w:szCs w:val="16"/>
          <w:color w:val="3B3C43"/>
        </w:rPr>
        <w:t xml:space="preserve"> in Euroclear France will not be issued a 16-digit control number and must contact their bank, broker, or financial intermediary to vote and request an admission ticket (see further instructions below).</w:t>
      </w:r>
    </w:p>
    <w:p>
      <w:pPr>
        <w:spacing w:after="0" w:line="171" w:lineRule="exact"/>
        <w:rPr>
          <w:sz w:val="20"/>
          <w:szCs w:val="20"/>
          <w:color w:val="auto"/>
        </w:rPr>
      </w:pPr>
    </w:p>
    <w:p>
      <w:pPr>
        <w:jc w:val="both"/>
        <w:ind w:right="320"/>
        <w:spacing w:after="0" w:line="260" w:lineRule="auto"/>
        <w:rPr>
          <w:sz w:val="20"/>
          <w:szCs w:val="20"/>
          <w:color w:val="auto"/>
        </w:rPr>
      </w:pPr>
      <w:r>
        <w:rPr>
          <w:rFonts w:ascii="Arial" w:cs="Arial" w:eastAsia="Arial" w:hAnsi="Arial"/>
          <w:sz w:val="16"/>
          <w:szCs w:val="16"/>
          <w:color w:val="3B3C43"/>
        </w:rPr>
        <w:t xml:space="preserve">If you are the representative of a corporate or institutional shareholder, you must present your company’s admission ticket, valid photo identification, and proof that you are the representative of such shareholder. Please see </w:t>
      </w:r>
      <w:r>
        <w:rPr>
          <w:rFonts w:ascii="Arial" w:cs="Arial" w:eastAsia="Arial" w:hAnsi="Arial"/>
          <w:sz w:val="16"/>
          <w:szCs w:val="16"/>
          <w:i w:val="1"/>
          <w:iCs w:val="1"/>
          <w:color w:val="3B3C43"/>
        </w:rPr>
        <w:t>“</w:t>
      </w:r>
      <w:r>
        <w:rPr>
          <w:rFonts w:ascii="Arial" w:cs="Arial" w:eastAsia="Arial" w:hAnsi="Arial"/>
          <w:sz w:val="14"/>
          <w:szCs w:val="14"/>
          <w:i w:val="1"/>
          <w:iCs w:val="1"/>
          <w:color w:val="3B3C43"/>
        </w:rPr>
        <w:t>Who is entitled to vote at the Annual Meeting?”</w:t>
      </w:r>
      <w:r>
        <w:rPr>
          <w:rFonts w:ascii="Arial" w:cs="Arial" w:eastAsia="Arial" w:hAnsi="Arial"/>
          <w:sz w:val="16"/>
          <w:szCs w:val="16"/>
          <w:color w:val="3B3C43"/>
        </w:rPr>
        <w:t xml:space="preserve"> above.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153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3B3C43"/>
        </w:rPr>
        <w:t xml:space="preserve">If you are a shareholder holding Ordinary Shares in anonymous form </w:t>
      </w:r>
      <w:r>
        <w:rPr>
          <w:rFonts w:ascii="Arial" w:cs="Arial" w:eastAsia="Arial" w:hAnsi="Arial"/>
          <w:sz w:val="16"/>
          <w:szCs w:val="16"/>
          <w:i w:val="1"/>
          <w:iCs w:val="1"/>
          <w:color w:val="3B3C43"/>
        </w:rPr>
        <w:t>(</w:t>
      </w:r>
      <w:r>
        <w:rPr>
          <w:rFonts w:ascii="Arial" w:cs="Arial" w:eastAsia="Arial" w:hAnsi="Arial"/>
          <w:sz w:val="14"/>
          <w:szCs w:val="14"/>
          <w:i w:val="1"/>
          <w:iCs w:val="1"/>
          <w:color w:val="3B3C43"/>
        </w:rPr>
        <w:t>au porteur)</w:t>
      </w:r>
      <w:r>
        <w:rPr>
          <w:rFonts w:ascii="Arial" w:cs="Arial" w:eastAsia="Arial" w:hAnsi="Arial"/>
          <w:sz w:val="16"/>
          <w:szCs w:val="16"/>
          <w:color w:val="3B3C43"/>
        </w:rPr>
        <w:t xml:space="preserve"> in Euroclear France through a bank, broker, or financial intermediary, you should contact such bank, broker, or financial intermediary who manages your securities account to request a specific proxy form prepared by Société Générale Securities Services, which will enable you to vote, request an admission ticket, or authorize a proxy for the Annual Meeting. You will need to return the completed proxy form to your bank, broker, or financial intermediary before May 17, 2021 to ensure sufficient time for your votes to be transmitted through the Euroclear France system and for an admission ticket to be issued to you.</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Procedures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3B3C43"/>
        </w:rPr>
        <w:t>Due to space constraints and other security considerations, we are not able to admit the guests of either shareholders or their legal proxy 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Arrive shortly after 9:00 a.m., London time, to ensure that you are seated by the commencement of the Annual Meeting at 10:00 a.m., London time.</w:t>
      </w:r>
    </w:p>
    <w:p>
      <w:pPr>
        <w:spacing w:after="0" w:line="19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3B3C43"/>
        </w:rPr>
        <w:t>Be prepared to comply with security requirements, which may include security guards searching all bags. No cameras, recording equipment, electronic devices, large bags, briefcases, or packages will be permitted into the meeting or adjacent areas.</w:t>
      </w:r>
    </w:p>
    <w:p>
      <w:pPr>
        <w:spacing w:after="0" w:line="148" w:lineRule="exact"/>
        <w:rPr>
          <w:sz w:val="20"/>
          <w:szCs w:val="20"/>
          <w:color w:val="auto"/>
        </w:rPr>
      </w:pPr>
    </w:p>
    <w:p>
      <w:pPr>
        <w:ind w:right="1780"/>
        <w:spacing w:after="0" w:line="266" w:lineRule="auto"/>
        <w:rPr>
          <w:sz w:val="20"/>
          <w:szCs w:val="20"/>
          <w:color w:val="auto"/>
        </w:rPr>
      </w:pPr>
      <w:r>
        <w:rPr>
          <w:rFonts w:ascii="Arial" w:cs="Arial" w:eastAsia="Arial" w:hAnsi="Arial"/>
          <w:sz w:val="16"/>
          <w:szCs w:val="16"/>
          <w:b w:val="1"/>
          <w:bCs w:val="1"/>
          <w:color w:val="3B3C43"/>
        </w:rPr>
        <w:t>IF YOU DO NOT PROVIDE AN ADMISSION TICKET, SHOW VALID PHOTO IDENTIFICATION, AND COMPLY WITH THE OTHER PROCEDURES OUTLINED ABOVE FOR ATTENDING THE ANNUAL MEETING, WE MAY BE UNABLE TO ADMIT YOU TO ATTEND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How do I vote?</w:t>
      </w:r>
    </w:p>
    <w:p>
      <w:pPr>
        <w:spacing w:after="0" w:line="232" w:lineRule="exact"/>
        <w:rPr>
          <w:sz w:val="20"/>
          <w:szCs w:val="20"/>
          <w:color w:val="auto"/>
        </w:rPr>
      </w:pPr>
    </w:p>
    <w:p>
      <w:pPr>
        <w:jc w:val="both"/>
        <w:ind w:right="420"/>
        <w:spacing w:after="0" w:line="260" w:lineRule="auto"/>
        <w:rPr>
          <w:sz w:val="20"/>
          <w:szCs w:val="20"/>
          <w:color w:val="auto"/>
        </w:rPr>
      </w:pPr>
      <w:r>
        <w:rPr>
          <w:rFonts w:ascii="Arial" w:cs="Arial" w:eastAsia="Arial" w:hAnsi="Arial"/>
          <w:sz w:val="16"/>
          <w:szCs w:val="16"/>
          <w:color w:val="3B3C43"/>
        </w:rPr>
        <w:t xml:space="preserve">Your voting deadline will depend on where your Ordinary Shares are traded and/or how you hold your shares. Please vote your shares according to the deadline appearing on the front of your proxy card, as instructed on </w:t>
      </w:r>
      <w:r>
        <w:rPr>
          <w:rFonts w:ascii="Arial" w:cs="Arial" w:eastAsia="Arial" w:hAnsi="Arial"/>
          <w:sz w:val="14"/>
          <w:szCs w:val="14"/>
          <w:b w:val="1"/>
          <w:bCs w:val="1"/>
          <w:i w:val="1"/>
          <w:iCs w:val="1"/>
          <w:color w:val="4B1F68"/>
        </w:rPr>
        <w:t>www.proxyvote.com</w:t>
      </w:r>
      <w:r>
        <w:rPr>
          <w:rFonts w:ascii="Arial" w:cs="Arial" w:eastAsia="Arial" w:hAnsi="Arial"/>
          <w:sz w:val="16"/>
          <w:szCs w:val="16"/>
          <w:i w:val="1"/>
          <w:iCs w:val="1"/>
          <w:color w:val="3B3C43"/>
        </w:rPr>
        <w:t>,</w:t>
      </w:r>
      <w:r>
        <w:rPr>
          <w:rFonts w:ascii="Arial" w:cs="Arial" w:eastAsia="Arial" w:hAnsi="Arial"/>
          <w:sz w:val="16"/>
          <w:szCs w:val="16"/>
          <w:color w:val="3B3C43"/>
        </w:rPr>
        <w:t xml:space="preserve"> or as instructed by your bank, broker, or financial intermediary.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Shareholders of Record</w:t>
      </w:r>
    </w:p>
    <w:p>
      <w:pPr>
        <w:spacing w:after="0" w:line="25" w:lineRule="exact"/>
        <w:rPr>
          <w:sz w:val="20"/>
          <w:szCs w:val="20"/>
          <w:color w:val="auto"/>
        </w:rPr>
      </w:pPr>
    </w:p>
    <w:p>
      <w:pPr>
        <w:spacing w:after="0" w:line="260" w:lineRule="auto"/>
        <w:rPr>
          <w:sz w:val="20"/>
          <w:szCs w:val="20"/>
          <w:color w:val="auto"/>
        </w:rPr>
      </w:pPr>
      <w:r>
        <w:rPr>
          <w:rFonts w:ascii="Arial" w:cs="Arial" w:eastAsia="Arial" w:hAnsi="Arial"/>
          <w:sz w:val="16"/>
          <w:szCs w:val="16"/>
          <w:color w:val="3B3C43"/>
        </w:rPr>
        <w:t>If you are a shareholder of record, you may vote your Ordinary Shares in person at the Annual Meeting or appoint another person(s) as your proxy to vote on your behalf using any of the following methods:</w:t>
      </w:r>
    </w:p>
    <w:p>
      <w:pPr>
        <w:spacing w:after="0" w:line="168" w:lineRule="exact"/>
        <w:rPr>
          <w:sz w:val="20"/>
          <w:szCs w:val="20"/>
          <w:color w:val="auto"/>
        </w:rPr>
      </w:pPr>
    </w:p>
    <w:p>
      <w:pPr>
        <w:ind w:left="500" w:hanging="317"/>
        <w:spacing w:after="0"/>
        <w:tabs>
          <w:tab w:leader="none" w:pos="500" w:val="left"/>
        </w:tabs>
        <w:numPr>
          <w:ilvl w:val="0"/>
          <w:numId w:val="157"/>
        </w:numPr>
        <w:rPr>
          <w:rFonts w:ascii="Arial" w:cs="Arial" w:eastAsia="Arial" w:hAnsi="Arial"/>
          <w:sz w:val="16"/>
          <w:szCs w:val="16"/>
          <w:color w:val="4B1F68"/>
        </w:rPr>
      </w:pPr>
      <w:r>
        <w:rPr>
          <w:rFonts w:ascii="Arial" w:cs="Arial" w:eastAsia="Arial" w:hAnsi="Arial"/>
          <w:sz w:val="16"/>
          <w:szCs w:val="16"/>
          <w:color w:val="3B3C43"/>
        </w:rPr>
        <w:t>by completing and signing the proxy card and returning it in the prepaid envelope provided;</w:t>
      </w:r>
    </w:p>
    <w:p>
      <w:pPr>
        <w:spacing w:after="0" w:line="302" w:lineRule="exact"/>
        <w:rPr>
          <w:rFonts w:ascii="Arial" w:cs="Arial" w:eastAsia="Arial" w:hAnsi="Arial"/>
          <w:sz w:val="16"/>
          <w:szCs w:val="16"/>
          <w:color w:val="4B1F68"/>
        </w:rPr>
      </w:pPr>
    </w:p>
    <w:p>
      <w:pPr>
        <w:ind w:left="500" w:hanging="317"/>
        <w:spacing w:after="0"/>
        <w:tabs>
          <w:tab w:leader="none" w:pos="500" w:val="left"/>
        </w:tabs>
        <w:numPr>
          <w:ilvl w:val="0"/>
          <w:numId w:val="157"/>
        </w:numPr>
        <w:rPr>
          <w:rFonts w:ascii="Arial" w:cs="Arial" w:eastAsia="Arial" w:hAnsi="Arial"/>
          <w:sz w:val="16"/>
          <w:szCs w:val="16"/>
          <w:color w:val="4B1F68"/>
        </w:rPr>
      </w:pPr>
      <w:r>
        <w:rPr>
          <w:rFonts w:ascii="Arial" w:cs="Arial" w:eastAsia="Arial" w:hAnsi="Arial"/>
          <w:sz w:val="16"/>
          <w:szCs w:val="16"/>
          <w:color w:val="3B3C43"/>
        </w:rPr>
        <w:t xml:space="preserve">by submission via the internet at </w:t>
      </w:r>
      <w:r>
        <w:rPr>
          <w:rFonts w:ascii="Arial" w:cs="Arial" w:eastAsia="Arial" w:hAnsi="Arial"/>
          <w:sz w:val="14"/>
          <w:szCs w:val="14"/>
          <w:b w:val="1"/>
          <w:bCs w:val="1"/>
          <w:i w:val="1"/>
          <w:iCs w:val="1"/>
          <w:color w:val="4B1F68"/>
        </w:rPr>
        <w:t>www.proxyvote.com</w:t>
      </w:r>
      <w:r>
        <w:rPr>
          <w:rFonts w:ascii="Arial" w:cs="Arial" w:eastAsia="Arial" w:hAnsi="Arial"/>
          <w:sz w:val="16"/>
          <w:szCs w:val="16"/>
          <w:color w:val="3B3C43"/>
        </w:rPr>
        <w:t xml:space="preserve"> and following the instructions provided; or</w:t>
      </w:r>
    </w:p>
    <w:p>
      <w:pPr>
        <w:spacing w:after="0" w:line="302" w:lineRule="exact"/>
        <w:rPr>
          <w:rFonts w:ascii="Arial" w:cs="Arial" w:eastAsia="Arial" w:hAnsi="Arial"/>
          <w:sz w:val="16"/>
          <w:szCs w:val="16"/>
          <w:color w:val="4B1F68"/>
        </w:rPr>
      </w:pPr>
    </w:p>
    <w:p>
      <w:pPr>
        <w:ind w:left="500" w:hanging="317"/>
        <w:spacing w:after="0"/>
        <w:tabs>
          <w:tab w:leader="none" w:pos="500" w:val="left"/>
        </w:tabs>
        <w:numPr>
          <w:ilvl w:val="0"/>
          <w:numId w:val="157"/>
        </w:numPr>
        <w:rPr>
          <w:rFonts w:ascii="Arial" w:cs="Arial" w:eastAsia="Arial" w:hAnsi="Arial"/>
          <w:sz w:val="16"/>
          <w:szCs w:val="16"/>
          <w:color w:val="4B1F68"/>
        </w:rPr>
      </w:pPr>
      <w:r>
        <w:rPr>
          <w:rFonts w:ascii="Arial" w:cs="Arial" w:eastAsia="Arial" w:hAnsi="Arial"/>
          <w:sz w:val="16"/>
          <w:szCs w:val="16"/>
          <w:color w:val="3B3C43"/>
        </w:rPr>
        <w:t>by telephone, using the toll-free telephone number shown on the proxy card.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3B3C43"/>
        </w:rPr>
        <w:t>Please vote your shares no later than 11:59 p.m., New York time, on May 19, 2021.</w:t>
      </w:r>
    </w:p>
    <w:p>
      <w:pPr>
        <w:spacing w:after="0" w:line="194"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3B3C43"/>
        </w:rPr>
        <w:t>The return of a completed proxy card, or the submission of proxy instructions via the internet or by telephone, will not prevent a shareholder of record from attending and voting at the Annual Meeting. If you have appointed a proxy and attend the Annual Meeting and vote in person, your proxy appointment will automatically be terminated.</w:t>
      </w:r>
    </w:p>
    <w:p>
      <w:pPr>
        <w:spacing w:after="0" w:line="17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3B3C43"/>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3B3C43"/>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154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1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3B3C43"/>
        </w:rPr>
        <w:t>If you are a shareholder of record and you execute and return a proxy card but do not give instructions, your proxy will be voted “</w:t>
      </w:r>
      <w:r>
        <w:rPr>
          <w:rFonts w:ascii="Arial" w:cs="Arial" w:eastAsia="Arial" w:hAnsi="Arial"/>
          <w:sz w:val="16"/>
          <w:szCs w:val="16"/>
          <w:b w:val="1"/>
          <w:bCs w:val="1"/>
          <w:color w:val="3B3C43"/>
        </w:rPr>
        <w:t>FOR</w:t>
      </w:r>
      <w:r>
        <w:rPr>
          <w:rFonts w:ascii="Arial" w:cs="Arial" w:eastAsia="Arial" w:hAnsi="Arial"/>
          <w:sz w:val="16"/>
          <w:szCs w:val="16"/>
          <w:color w:val="3B3C43"/>
        </w:rPr>
        <w:t>” each of Proposals 1 through 11 and otherwise in accordance with the judgment of the person or persons voting the proxy on any other matter properly brought before the Annual Meeting.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Beneficial Owners Holding through the NYSE</w:t>
      </w:r>
    </w:p>
    <w:p>
      <w:pPr>
        <w:spacing w:after="0" w:line="25"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3B3C43"/>
        </w:rPr>
        <w:t>If you are a beneficial owner of Ordinary Shares traded on the NYSE, please follow the directions provided by your bank, broker, or other nominee. You may submit instructions by telephone or through the internet to your bank, broker, or other nominee, or request and return a paper voting instruction card to your bank, broker, or other nominee.</w:t>
      </w:r>
    </w:p>
    <w:p>
      <w:pPr>
        <w:spacing w:after="0" w:line="17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3B3C43"/>
        </w:rPr>
        <w:t>If you are a beneficial owner of Ordinary Shares traded on the NYSE and you wish to vote in person at the Annual Meeting, you must obtain a legal proxy from your bank, broker, or other nominee and present it to the inspector of elections together with your voting card at the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Beneficial Owners Holding through Euroclear France</w:t>
      </w:r>
    </w:p>
    <w:p>
      <w:pPr>
        <w:spacing w:after="0" w:line="25" w:lineRule="exact"/>
        <w:rPr>
          <w:sz w:val="20"/>
          <w:szCs w:val="20"/>
          <w:color w:val="auto"/>
        </w:rPr>
      </w:pPr>
    </w:p>
    <w:p>
      <w:pPr>
        <w:spacing w:after="0" w:line="250" w:lineRule="auto"/>
        <w:rPr>
          <w:sz w:val="20"/>
          <w:szCs w:val="20"/>
          <w:color w:val="auto"/>
        </w:rPr>
      </w:pPr>
      <w:r>
        <w:rPr>
          <w:rFonts w:ascii="Arial" w:cs="Arial" w:eastAsia="Arial" w:hAnsi="Arial"/>
          <w:sz w:val="16"/>
          <w:szCs w:val="16"/>
          <w:color w:val="3B3C43"/>
        </w:rPr>
        <w:t>If you are a shareholder holding Ordinary Shares in direct or indirect nominative form in Euroclear France (</w:t>
      </w:r>
      <w:r>
        <w:rPr>
          <w:rFonts w:ascii="Arial" w:cs="Arial" w:eastAsia="Arial" w:hAnsi="Arial"/>
          <w:sz w:val="14"/>
          <w:szCs w:val="14"/>
          <w:i w:val="1"/>
          <w:iCs w:val="1"/>
          <w:color w:val="3B3C43"/>
        </w:rPr>
        <w:t>au nominatif pur ou administré</w:t>
      </w:r>
      <w:r>
        <w:rPr>
          <w:rFonts w:ascii="Arial" w:cs="Arial" w:eastAsia="Arial" w:hAnsi="Arial"/>
          <w:sz w:val="16"/>
          <w:szCs w:val="16"/>
          <w:color w:val="3B3C43"/>
        </w:rPr>
        <w:t>), you should follow the instructions provided in the Notice of Materials and the Proxy Materials to vote your shares no later than 11:59 p.m., New York time, on May 19, 2021. If you have not received a Notice of Materials, you should contact Société Générale Securities Services (if you hold in direct nominative form) or the bank, broker, or financial intermediary who manages your securities account (if you hold in indirect nominative form) to ensure that your contact details are updated and you receive the Notice of Materials.</w:t>
      </w:r>
    </w:p>
    <w:p>
      <w:pPr>
        <w:spacing w:after="0" w:line="160"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3B3C43"/>
        </w:rPr>
        <w:t>If you are a shareholder holding Ordinary Shares in anonymous form (</w:t>
      </w:r>
      <w:r>
        <w:rPr>
          <w:rFonts w:ascii="Arial" w:cs="Arial" w:eastAsia="Arial" w:hAnsi="Arial"/>
          <w:sz w:val="14"/>
          <w:szCs w:val="14"/>
          <w:i w:val="1"/>
          <w:iCs w:val="1"/>
          <w:color w:val="3B3C43"/>
        </w:rPr>
        <w:t>au porteur</w:t>
      </w:r>
      <w:r>
        <w:rPr>
          <w:rFonts w:ascii="Arial" w:cs="Arial" w:eastAsia="Arial" w:hAnsi="Arial"/>
          <w:sz w:val="16"/>
          <w:szCs w:val="16"/>
          <w:i w:val="1"/>
          <w:iCs w:val="1"/>
          <w:color w:val="3B3C43"/>
        </w:rPr>
        <w:t>)</w:t>
      </w:r>
      <w:r>
        <w:rPr>
          <w:rFonts w:ascii="Arial" w:cs="Arial" w:eastAsia="Arial" w:hAnsi="Arial"/>
          <w:sz w:val="16"/>
          <w:szCs w:val="16"/>
          <w:color w:val="3B3C43"/>
        </w:rPr>
        <w:t xml:space="preserve"> in Euroclear France through a bank, broker, or financial intermediary, you should contact such bank, broker, or financial intermediary who manages your securities account to request a specific proxy form prepared by Société Générale Securities Services, which will enable you to vote, request an admission ticket, or authorize a proxy for the Annual Meeting. You will need to return the completed proxy form to your bank, broker, or financial intermediary before May 17, 2021 to ensure sufficient time for your votes to be transmitted through the Euroclear France system.</w:t>
      </w:r>
    </w:p>
    <w:p>
      <w:pPr>
        <w:spacing w:after="0" w:line="17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3B3C43"/>
        </w:rPr>
        <w:t>If you acquired your Ordinary Shares on Euronext, or if you are a legacy Technip S.A. shareholder, it is likely that you own your shares in Euroclear France. If you are uncertain as to your holding status, you should reach out to the bank, broker, or other nominee with whom you hold your shares in order to be informed of your status and the corresponding voting procedure.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Employees Who Participate in the Legacy Technip U.K. Share Incentive Plan</w:t>
      </w:r>
    </w:p>
    <w:p>
      <w:pPr>
        <w:spacing w:after="0" w:line="25"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3B3C43"/>
        </w:rPr>
        <w:t>If you are a current or former employee who participates in the legacy Technip U.K. Share Incentive Plan, you may instruct the plan trustee on how to vote on your behalf in relation to the number of Ordinary Shares equivalent to your interest as credited to your account on the Record Date. You will receive instructions on how to vote your Ordinary Shares from Equiniti Share Plan Trustees Limited, the plan administrator. Please note that you must submit your vote to Equiniti Share Plan Trustees Limited by 6:00 p.m., Paris time, on April 30, 2021 in order for the plan trustee to vote your Ordinary Shares and transmit your vote through the Euroclear France system.</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155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Can I change my vote?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3B3C43"/>
        </w:rPr>
        <w:t>Yes, you may change your vote prior to the Annual Meeting as follows: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Shareholders of Record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If you are a shareholder of record, you can change your vote or revoke your proxy at any time before the Annual Meeting by:</w:t>
      </w:r>
    </w:p>
    <w:p>
      <w:pPr>
        <w:spacing w:after="0" w:line="194" w:lineRule="exact"/>
        <w:rPr>
          <w:sz w:val="20"/>
          <w:szCs w:val="20"/>
          <w:color w:val="auto"/>
        </w:rPr>
      </w:pPr>
    </w:p>
    <w:p>
      <w:pPr>
        <w:ind w:left="380" w:hanging="183"/>
        <w:spacing w:after="0"/>
        <w:tabs>
          <w:tab w:leader="none" w:pos="380" w:val="left"/>
        </w:tabs>
        <w:numPr>
          <w:ilvl w:val="0"/>
          <w:numId w:val="158"/>
        </w:numPr>
        <w:rPr>
          <w:rFonts w:ascii="Arial" w:cs="Arial" w:eastAsia="Arial" w:hAnsi="Arial"/>
          <w:sz w:val="16"/>
          <w:szCs w:val="16"/>
          <w:color w:val="4B1F68"/>
        </w:rPr>
      </w:pPr>
      <w:r>
        <w:rPr>
          <w:rFonts w:ascii="Arial" w:cs="Arial" w:eastAsia="Arial" w:hAnsi="Arial"/>
          <w:sz w:val="16"/>
          <w:szCs w:val="16"/>
          <w:color w:val="3B3C43"/>
        </w:rPr>
        <w:t>entering a later-dated proxy by telephone or via the internet prior to 11:59 p.m., New York time, on May 19, 2021;</w:t>
      </w:r>
    </w:p>
    <w:p>
      <w:pPr>
        <w:spacing w:after="0" w:line="194" w:lineRule="exact"/>
        <w:rPr>
          <w:rFonts w:ascii="Arial" w:cs="Arial" w:eastAsia="Arial" w:hAnsi="Arial"/>
          <w:sz w:val="16"/>
          <w:szCs w:val="16"/>
          <w:color w:val="4B1F68"/>
        </w:rPr>
      </w:pPr>
    </w:p>
    <w:p>
      <w:pPr>
        <w:ind w:left="380" w:hanging="183"/>
        <w:spacing w:after="0"/>
        <w:tabs>
          <w:tab w:leader="none" w:pos="380" w:val="left"/>
        </w:tabs>
        <w:numPr>
          <w:ilvl w:val="0"/>
          <w:numId w:val="158"/>
        </w:numPr>
        <w:rPr>
          <w:rFonts w:ascii="Arial" w:cs="Arial" w:eastAsia="Arial" w:hAnsi="Arial"/>
          <w:sz w:val="16"/>
          <w:szCs w:val="16"/>
          <w:color w:val="4B1F68"/>
        </w:rPr>
      </w:pPr>
      <w:r>
        <w:rPr>
          <w:rFonts w:ascii="Arial" w:cs="Arial" w:eastAsia="Arial" w:hAnsi="Arial"/>
          <w:sz w:val="16"/>
          <w:szCs w:val="16"/>
          <w:color w:val="3B3C43"/>
        </w:rPr>
        <w:t>delivering a valid, later-dated proxy card that is received by Broadridge at least 24 hours prior to the start of the Annual Meeting;</w:t>
      </w:r>
    </w:p>
    <w:p>
      <w:pPr>
        <w:spacing w:after="0" w:line="194" w:lineRule="exact"/>
        <w:rPr>
          <w:rFonts w:ascii="Arial" w:cs="Arial" w:eastAsia="Arial" w:hAnsi="Arial"/>
          <w:sz w:val="16"/>
          <w:szCs w:val="16"/>
          <w:color w:val="4B1F68"/>
        </w:rPr>
      </w:pPr>
    </w:p>
    <w:p>
      <w:pPr>
        <w:ind w:left="380" w:right="280" w:hanging="183"/>
        <w:spacing w:after="0" w:line="260" w:lineRule="auto"/>
        <w:tabs>
          <w:tab w:leader="none" w:pos="380" w:val="left"/>
        </w:tabs>
        <w:numPr>
          <w:ilvl w:val="0"/>
          <w:numId w:val="158"/>
        </w:numPr>
        <w:rPr>
          <w:rFonts w:ascii="Arial" w:cs="Arial" w:eastAsia="Arial" w:hAnsi="Arial"/>
          <w:sz w:val="16"/>
          <w:szCs w:val="16"/>
          <w:color w:val="4B1F68"/>
        </w:rPr>
      </w:pPr>
      <w:r>
        <w:rPr>
          <w:rFonts w:ascii="Arial" w:cs="Arial" w:eastAsia="Arial" w:hAnsi="Arial"/>
          <w:sz w:val="16"/>
          <w:szCs w:val="16"/>
          <w:color w:val="3B3C43"/>
        </w:rPr>
        <w:t>sending written notice to the Company Secretary at the Company’s registered office that is received at least 24 hours prior to the start of the Annual Meeting; or</w:t>
      </w:r>
    </w:p>
    <w:p>
      <w:pPr>
        <w:spacing w:after="0" w:line="168" w:lineRule="exact"/>
        <w:rPr>
          <w:rFonts w:ascii="Arial" w:cs="Arial" w:eastAsia="Arial" w:hAnsi="Arial"/>
          <w:sz w:val="16"/>
          <w:szCs w:val="16"/>
          <w:color w:val="4B1F68"/>
        </w:rPr>
      </w:pPr>
    </w:p>
    <w:p>
      <w:pPr>
        <w:ind w:left="380" w:hanging="183"/>
        <w:spacing w:after="0"/>
        <w:tabs>
          <w:tab w:leader="none" w:pos="380" w:val="left"/>
        </w:tabs>
        <w:numPr>
          <w:ilvl w:val="0"/>
          <w:numId w:val="158"/>
        </w:numPr>
        <w:rPr>
          <w:rFonts w:ascii="Arial" w:cs="Arial" w:eastAsia="Arial" w:hAnsi="Arial"/>
          <w:sz w:val="16"/>
          <w:szCs w:val="16"/>
          <w:color w:val="4B1F68"/>
        </w:rPr>
      </w:pPr>
      <w:r>
        <w:rPr>
          <w:rFonts w:ascii="Arial" w:cs="Arial" w:eastAsia="Arial" w:hAnsi="Arial"/>
          <w:sz w:val="16"/>
          <w:szCs w:val="16"/>
          <w:color w:val="3B3C43"/>
        </w:rPr>
        <w:t>voting in person at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3B3C43"/>
        </w:rPr>
        <w:t>Beneficial Owners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3B3C43"/>
        </w:rPr>
        <w:t>If you are a beneficial owner of Ordinary Shares, you may submit new voting instructions by contacting your bank, broker, or other nominee. However, beneficial owners holding in anonymous form (</w:t>
      </w:r>
      <w:r>
        <w:rPr>
          <w:rFonts w:ascii="Arial" w:cs="Arial" w:eastAsia="Arial" w:hAnsi="Arial"/>
          <w:sz w:val="14"/>
          <w:szCs w:val="14"/>
          <w:i w:val="1"/>
          <w:iCs w:val="1"/>
          <w:color w:val="3B3C43"/>
        </w:rPr>
        <w:t>au porteur</w:t>
      </w:r>
      <w:r>
        <w:rPr>
          <w:rFonts w:ascii="Arial" w:cs="Arial" w:eastAsia="Arial" w:hAnsi="Arial"/>
          <w:sz w:val="16"/>
          <w:szCs w:val="16"/>
          <w:i w:val="1"/>
          <w:iCs w:val="1"/>
          <w:color w:val="3B3C43"/>
        </w:rPr>
        <w:t>)</w:t>
      </w:r>
      <w:r>
        <w:rPr>
          <w:rFonts w:ascii="Arial" w:cs="Arial" w:eastAsia="Arial" w:hAnsi="Arial"/>
          <w:sz w:val="16"/>
          <w:szCs w:val="16"/>
          <w:color w:val="3B3C43"/>
        </w:rPr>
        <w:t xml:space="preserve"> in Euroclear France cannot change their vote once they have submitted the specific proxy form to their bank, broker, or other nominee.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3B3C43"/>
        </w:rPr>
        <w:t xml:space="preserve">You may also vote in person at the Annual Meeting if you obtain a legal proxy as described under </w:t>
      </w:r>
      <w:r>
        <w:rPr>
          <w:rFonts w:ascii="Arial" w:cs="Arial" w:eastAsia="Arial" w:hAnsi="Arial"/>
          <w:sz w:val="16"/>
          <w:szCs w:val="16"/>
          <w:i w:val="1"/>
          <w:iCs w:val="1"/>
          <w:color w:val="3B3C43"/>
        </w:rPr>
        <w:t>“</w:t>
      </w:r>
      <w:r>
        <w:rPr>
          <w:rFonts w:ascii="Arial" w:cs="Arial" w:eastAsia="Arial" w:hAnsi="Arial"/>
          <w:sz w:val="14"/>
          <w:szCs w:val="14"/>
          <w:i w:val="1"/>
          <w:iCs w:val="1"/>
          <w:color w:val="3B3C43"/>
        </w:rPr>
        <w:t>How do I vote?”</w:t>
      </w:r>
      <w:r>
        <w:rPr>
          <w:rFonts w:ascii="Arial" w:cs="Arial" w:eastAsia="Arial" w:hAnsi="Arial"/>
          <w:sz w:val="16"/>
          <w:szCs w:val="16"/>
          <w:color w:val="3B3C43"/>
        </w:rPr>
        <w:t xml:space="preserve"> above.</w:t>
      </w:r>
    </w:p>
    <w:p>
      <w:pPr>
        <w:spacing w:after="0" w:line="21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3B3C43"/>
        </w:rPr>
        <w:t>All Ordinary Shares that have been properly voted and not revoked will be counted in the votes at the Annual Meeting. Attending the Annual Meeting without taking further action will not automatically revoke your prior vote of your proxy.</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What should I do if I receive more than one proxy card?</w:t>
      </w:r>
    </w:p>
    <w:p>
      <w:pPr>
        <w:spacing w:after="0" w:line="1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3B3C43"/>
        </w:rPr>
        <w:t>If you own some Ordinary Shares directly in your name as a registered holder and other Ordinary Shares as a beneficial owner holding through a bank, broker, or other nominee, or if you own Ordinary Shares through more than one bank, broker, or other nominee, you may receive multiple proxy cards. It is necessary for you to fill in, sign, and return all of the proxy cards included in the Proxy Materials you receive in order to vote all of the Ordinary Shares that you own.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How many votes must be present to hold the Annual Meeting?</w:t>
      </w:r>
    </w:p>
    <w:p>
      <w:pPr>
        <w:spacing w:after="0" w:line="16"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3B3C43"/>
        </w:rPr>
        <w:t>A quorum of shareholders is necessary to transact business at the Annual Meeting. A quorum exists if the holders who represent at least a majority of our outstanding Ordinary Shares entitled to vote at the Annual Meeting are present in person or by proxy at the Annual Meeting. Abstentions and broker non-votes will be counted for purposes of establishing a quorum at the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What if I have been nominated by a shareholder of record to have information rights under the Companies Act?</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A copy of this Proxy Statement has been provided “for information purposes only” to persons who have been nominated by a shareholder of record to enjoy information rights in accordance with Section 146 of the Companies Act (a “</w:t>
      </w:r>
      <w:r>
        <w:rPr>
          <w:rFonts w:ascii="Arial" w:cs="Arial" w:eastAsia="Arial" w:hAnsi="Arial"/>
          <w:sz w:val="16"/>
          <w:szCs w:val="16"/>
          <w:b w:val="1"/>
          <w:bCs w:val="1"/>
          <w:color w:val="3B3C43"/>
        </w:rPr>
        <w:t>Nominated Person</w:t>
      </w:r>
      <w:r>
        <w:rPr>
          <w:rFonts w:ascii="Arial" w:cs="Arial" w:eastAsia="Arial" w:hAnsi="Arial"/>
          <w:sz w:val="16"/>
          <w:szCs w:val="16"/>
          <w:color w:val="3B3C43"/>
        </w:rPr>
        <w:t>”). A Nominated Person does not possess the same rights as a shareholder of record to appoint a proxy and cannot vote at the Annual Meeting, unless such Nominated Person has an agreement with the nominating shareholder of record to be appointed as a proxy for the meeting (or to have someone else appointed as a proxy).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156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What is a broker non-vote?</w:t>
      </w:r>
    </w:p>
    <w:p>
      <w:pPr>
        <w:spacing w:after="0" w:line="1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3B3C43"/>
        </w:rPr>
        <w:t>If you own your Ordinary Shares through a bank, broker, or other nominee, and do not provide the organization that holds your Ordinary Shares with specific voting instructions, the bank, broker, or other nominee is generally permitted to vote your Ordinary Shares at its discretion on routine matters, but may not exercise discretion, and therefore will not vote, on non-routine matters. A broker non-vote occurs where a bank, broker, or other nominee holding Ordinary Shares on your behalf does not vote on a particular proposal because it has not received voting instructions from you and does not have discretionary voting power with respect to that proposal.</w:t>
      </w:r>
    </w:p>
    <w:p>
      <w:pPr>
        <w:spacing w:after="0" w:line="176"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3B3C43"/>
        </w:rPr>
        <w:t>Proposals 5 through 9 are each considered a routine matter under the rules of the NYSE. A bank, broker, or other nominee may generally vote in their discretion on routine matters, and therefore, no broker non-votes are expected to occur in connection with such proposals.</w:t>
      </w:r>
    </w:p>
    <w:p>
      <w:pPr>
        <w:spacing w:after="0" w:line="168"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3B3C43"/>
        </w:rPr>
        <w:t>Proposals 1 through 4, 10, and 11 are matters considered non-routine under the rules of the NYSE. A bank, broker, or other nominee may not vote on these non-routine matters without specific voting instructions from the beneficial owner. As a result, there may be broker non-votes with respect to such proposals.</w:t>
      </w:r>
    </w:p>
    <w:p>
      <w:pPr>
        <w:spacing w:after="0" w:line="16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3B3C43"/>
        </w:rPr>
        <w:t>In summary, if you hold your Ordinary Shares in street name, your bank, broker, or other nominee will not have discretionary authority to vote your Ordinary Shares for Proposals 1 through 4, 10, and 11 if you do not provide instructions. As such, we strongly encourage you to exercise your right to vote as a shareholder.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What are the voting requirements to approve the resolutions?</w:t>
      </w:r>
    </w:p>
    <w:p>
      <w:pPr>
        <w:spacing w:after="0" w:line="1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3B3C43"/>
        </w:rPr>
        <w:t>In accordance with the Articles, all resolutions will be taken on a poll, which means that each Ordinary Share represented in person or by proxy is entitled to one vote for each proposal.</w:t>
      </w:r>
    </w:p>
    <w:p>
      <w:pPr>
        <w:spacing w:after="0" w:line="16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3B3C43"/>
        </w:rPr>
        <w:t>Proposals 1 through 10 will be proposed as ordinary resolutions, which means that each resolution requires the affirmative vote of the majority of the votes cast to be approved. Proposal 11, as a special resolution, requires the affirmative vote of 75% of the votes cast to be approved. Abstentions and broker non-votes will not be counted as a vote either for or against these resolutions.</w:t>
      </w:r>
    </w:p>
    <w:p>
      <w:pPr>
        <w:spacing w:after="0" w:line="1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3B3C43"/>
        </w:rPr>
        <w:t>With respect to Proposal 2 (regarding the Say-on-Pay Proposal for NEOs) and Proposal 3 (regarding the proposal for the 2020 Directors’ Remuneration Report), the results of the vote will not be legally binding on the Board or any committee thereof to take any action, or refrain from taking any action. However, our Board values the opinions of our shareholders as expressed through advisory votes and other communications and will carefully consider the outcome.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Who will pay the costs of this proxy solicitation?</w:t>
      </w:r>
    </w:p>
    <w:p>
      <w:pPr>
        <w:spacing w:after="0" w:line="16" w:lineRule="exact"/>
        <w:rPr>
          <w:sz w:val="20"/>
          <w:szCs w:val="20"/>
          <w:color w:val="auto"/>
        </w:rPr>
      </w:pPr>
    </w:p>
    <w:p>
      <w:pPr>
        <w:spacing w:after="0" w:line="248" w:lineRule="auto"/>
        <w:rPr>
          <w:sz w:val="20"/>
          <w:szCs w:val="20"/>
          <w:color w:val="auto"/>
        </w:rPr>
      </w:pPr>
      <w:r>
        <w:rPr>
          <w:rFonts w:ascii="Arial" w:cs="Arial" w:eastAsia="Arial" w:hAnsi="Arial"/>
          <w:sz w:val="16"/>
          <w:szCs w:val="16"/>
          <w:color w:val="3B3C43"/>
        </w:rPr>
        <w:t>The Company will pay the expenses of the preparation of Proxy Materials and the solicitation of proxies for the Annual Meeting. The Company has retained Morrow Sodali LLC to assist in the solicitation of proxies at a cost estimated to be $15,500, plus reasonable out-of-pocket expenses. In addition to the solicitation of proxies by mail, solicitation may be made on our behalf by certain directors, officers, or employees of the Company and its subsidiaries telephonically, electronically, or by any other means of communication. Directors, officers, and employees of the Company and its subsidiaries will receive no additional compensation for such solicitation. In accordance with the rules of the SEC and NYSE, the Company will also reimburse banks, brokers, and other custodians, nominees, and fiduciaries for reasonable expenses incurred by them in forwarding Proxy Materials to beneficial owners of Ordinary Shares and obtaining the proxies of such owners. We have retained Broadridge to aid in the distribution of our Proxy Materials and to provide voting and tabulation services for the Annual Meeting. For these services, we will pay Broadridge a fee of approximately $14,500 and reimburse it for reasonable out-of-pocket fees and expenses. In addition, we have retained Société Générale Securities Services to act as local centralization agent for the collection of the votes of the beneficial holders holding in anonymous “bearer” form (</w:t>
      </w:r>
      <w:r>
        <w:rPr>
          <w:rFonts w:ascii="Arial" w:cs="Arial" w:eastAsia="Arial" w:hAnsi="Arial"/>
          <w:sz w:val="14"/>
          <w:szCs w:val="14"/>
          <w:i w:val="1"/>
          <w:iCs w:val="1"/>
          <w:color w:val="3B3C43"/>
        </w:rPr>
        <w:t>au porteur</w:t>
      </w:r>
      <w:r>
        <w:rPr>
          <w:rFonts w:ascii="Arial" w:cs="Arial" w:eastAsia="Arial" w:hAnsi="Arial"/>
          <w:sz w:val="16"/>
          <w:szCs w:val="16"/>
          <w:i w:val="1"/>
          <w:iCs w:val="1"/>
          <w:color w:val="3B3C43"/>
        </w:rPr>
        <w:t>)</w:t>
      </w:r>
      <w:r>
        <w:rPr>
          <w:rFonts w:ascii="Arial" w:cs="Arial" w:eastAsia="Arial" w:hAnsi="Arial"/>
          <w:sz w:val="16"/>
          <w:szCs w:val="16"/>
          <w:color w:val="3B3C43"/>
        </w:rPr>
        <w:t xml:space="preserve"> in Euroclear France, at a cost of approximately €25,000.</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157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4B1F68"/>
        </w:rPr>
        <w:t>Where can I find the voting results of the Annual Meeting?</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6"/>
          <w:szCs w:val="16"/>
          <w:color w:val="3B3C43"/>
        </w:rPr>
        <w:t>The preliminary voting results will be announced at the Annual Meeting. The final voting results will be checked by the inspector of elections and disclosed by way of an announcement via a regulatory information service in the United Kingdom and a Current Report on Form 8-K in the United States. The results of the votes on the resolutions at the Annual Meeting and any other information required by the Companies Act will be made available on the Company’s website (</w:t>
      </w:r>
      <w:r>
        <w:rPr>
          <w:rFonts w:ascii="Arial" w:cs="Arial" w:eastAsia="Arial" w:hAnsi="Arial"/>
          <w:sz w:val="14"/>
          <w:szCs w:val="14"/>
          <w:b w:val="1"/>
          <w:bCs w:val="1"/>
          <w:i w:val="1"/>
          <w:iCs w:val="1"/>
          <w:color w:val="4B1F68"/>
        </w:rPr>
        <w:t>www.technipfmc.com</w:t>
      </w:r>
      <w:r>
        <w:rPr>
          <w:rFonts w:ascii="Arial" w:cs="Arial" w:eastAsia="Arial" w:hAnsi="Arial"/>
          <w:sz w:val="16"/>
          <w:szCs w:val="16"/>
          <w:color w:val="3B3C43"/>
        </w:rPr>
        <w:t>) as soon as reasonably practicable after the Annual Meeting and for a period of two years thereafter.</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158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342" w:right="47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ind w:right="3640"/>
        <w:spacing w:after="0" w:line="257" w:lineRule="auto"/>
        <w:rPr>
          <w:sz w:val="20"/>
          <w:szCs w:val="20"/>
          <w:color w:val="auto"/>
        </w:rPr>
      </w:pPr>
      <w:r>
        <w:rPr>
          <w:rFonts w:ascii="Arial" w:cs="Arial" w:eastAsia="Arial" w:hAnsi="Arial"/>
          <w:sz w:val="66"/>
          <w:szCs w:val="66"/>
          <w:color w:val="4B1F68"/>
        </w:rPr>
        <w:t>Appendix A - Form of Share Purchase Contract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3B3C43"/>
        </w:rPr>
        <w:t>This agreement is made on___________ between: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3B3C43"/>
        </w:rPr>
        <w:t>TechnipFMC plc (the “</w:t>
      </w:r>
      <w:r>
        <w:rPr>
          <w:rFonts w:ascii="Arial" w:cs="Arial" w:eastAsia="Arial" w:hAnsi="Arial"/>
          <w:sz w:val="16"/>
          <w:szCs w:val="16"/>
          <w:b w:val="1"/>
          <w:bCs w:val="1"/>
          <w:color w:val="3B3C43"/>
        </w:rPr>
        <w:t>Company</w:t>
      </w:r>
      <w:r>
        <w:rPr>
          <w:rFonts w:ascii="Arial" w:cs="Arial" w:eastAsia="Arial" w:hAnsi="Arial"/>
          <w:sz w:val="16"/>
          <w:szCs w:val="16"/>
          <w:color w:val="3B3C43"/>
        </w:rPr>
        <w: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3B3C43"/>
        </w:rPr>
        <w:t>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B3C43"/>
        </w:rPr>
        <w:t>_________________________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Registered number: 09909709</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3B3C43"/>
        </w:rPr>
        <w:t>____________________(the “</w:t>
      </w:r>
      <w:r>
        <w:rPr>
          <w:rFonts w:ascii="Arial" w:cs="Arial" w:eastAsia="Arial" w:hAnsi="Arial"/>
          <w:sz w:val="16"/>
          <w:szCs w:val="16"/>
          <w:b w:val="1"/>
          <w:bCs w:val="1"/>
          <w:color w:val="3B3C43"/>
        </w:rPr>
        <w:t>Counterparty</w:t>
      </w:r>
      <w:r>
        <w:rPr>
          <w:rFonts w:ascii="Arial" w:cs="Arial" w:eastAsia="Arial" w:hAnsi="Arial"/>
          <w:sz w:val="16"/>
          <w:szCs w:val="16"/>
          <w:color w:val="3B3C43"/>
        </w:rPr>
        <w: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B3C43"/>
        </w:rPr>
        <w:t>_____________________</w:t>
      </w:r>
    </w:p>
    <w:p>
      <w:pPr>
        <w:spacing w:after="0" w:line="19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3B3C43"/>
        </w:rPr>
        <w:t>It is agreed that the Counterparty will purchase on a principal basis interests in ordinary shares of the Company, nominal (i.e., par) value $1.00 per share (the “</w:t>
      </w:r>
      <w:r>
        <w:rPr>
          <w:rFonts w:ascii="Arial" w:cs="Arial" w:eastAsia="Arial" w:hAnsi="Arial"/>
          <w:sz w:val="16"/>
          <w:szCs w:val="16"/>
          <w:b w:val="1"/>
          <w:bCs w:val="1"/>
          <w:color w:val="3B3C43"/>
        </w:rPr>
        <w:t>Ordinary Shares</w:t>
      </w:r>
      <w:r>
        <w:rPr>
          <w:rFonts w:ascii="Arial" w:cs="Arial" w:eastAsia="Arial" w:hAnsi="Arial"/>
          <w:sz w:val="16"/>
          <w:szCs w:val="16"/>
          <w:color w:val="3B3C43"/>
        </w:rPr>
        <w:t>”), for subsequent sale and delivery to the Company under the terms of this agreement as follows:</w:t>
      </w:r>
    </w:p>
    <w:p>
      <w:pPr>
        <w:spacing w:after="0" w:line="148" w:lineRule="exact"/>
        <w:rPr>
          <w:sz w:val="20"/>
          <w:szCs w:val="20"/>
          <w:color w:val="auto"/>
        </w:rPr>
      </w:pPr>
    </w:p>
    <w:p>
      <w:pPr>
        <w:ind w:left="340" w:right="20" w:hanging="332"/>
        <w:spacing w:after="0" w:line="266" w:lineRule="auto"/>
        <w:tabs>
          <w:tab w:leader="none" w:pos="340" w:val="left"/>
        </w:tabs>
        <w:numPr>
          <w:ilvl w:val="0"/>
          <w:numId w:val="159"/>
        </w:numPr>
        <w:rPr>
          <w:rFonts w:ascii="Arial" w:cs="Arial" w:eastAsia="Arial" w:hAnsi="Arial"/>
          <w:sz w:val="16"/>
          <w:szCs w:val="16"/>
          <w:color w:val="3B3C43"/>
        </w:rPr>
      </w:pPr>
      <w:r>
        <w:rPr>
          <w:rFonts w:ascii="Arial" w:cs="Arial" w:eastAsia="Arial" w:hAnsi="Arial"/>
          <w:sz w:val="16"/>
          <w:szCs w:val="16"/>
          <w:color w:val="3B3C43"/>
        </w:rPr>
        <w:t>Ordinary Shares will be purchased up to the quantity and purchase price level advised from an authorised person at the Company (the “</w:t>
      </w:r>
      <w:r>
        <w:rPr>
          <w:rFonts w:ascii="Arial" w:cs="Arial" w:eastAsia="Arial" w:hAnsi="Arial"/>
          <w:sz w:val="16"/>
          <w:szCs w:val="16"/>
          <w:b w:val="1"/>
          <w:bCs w:val="1"/>
          <w:color w:val="3B3C43"/>
        </w:rPr>
        <w:t>Purchase</w:t>
      </w:r>
      <w:r>
        <w:rPr>
          <w:rFonts w:ascii="Arial" w:cs="Arial" w:eastAsia="Arial" w:hAnsi="Arial"/>
          <w:sz w:val="16"/>
          <w:szCs w:val="16"/>
          <w:color w:val="3B3C43"/>
        </w:rPr>
        <w:t xml:space="preserve"> </w:t>
      </w:r>
      <w:r>
        <w:rPr>
          <w:rFonts w:ascii="Arial" w:cs="Arial" w:eastAsia="Arial" w:hAnsi="Arial"/>
          <w:sz w:val="16"/>
          <w:szCs w:val="16"/>
          <w:b w:val="1"/>
          <w:bCs w:val="1"/>
          <w:color w:val="3B3C43"/>
        </w:rPr>
        <w:t>Price</w:t>
      </w:r>
      <w:r>
        <w:rPr>
          <w:rFonts w:ascii="Arial" w:cs="Arial" w:eastAsia="Arial" w:hAnsi="Arial"/>
          <w:sz w:val="16"/>
          <w:szCs w:val="16"/>
          <w:color w:val="3B3C43"/>
        </w:rPr>
        <w:t>”), in accordance with instructions in a form to be agreed to between the Company and the Counterparty, such authorised person(s) to be notified</w:t>
      </w:r>
      <w:r>
        <w:rPr>
          <w:rFonts w:ascii="Arial" w:cs="Arial" w:eastAsia="Arial" w:hAnsi="Arial"/>
          <w:sz w:val="16"/>
          <w:szCs w:val="16"/>
          <w:b w:val="1"/>
          <w:bCs w:val="1"/>
          <w:color w:val="3B3C43"/>
        </w:rPr>
        <w:t xml:space="preserve"> </w:t>
      </w:r>
      <w:r>
        <w:rPr>
          <w:rFonts w:ascii="Arial" w:cs="Arial" w:eastAsia="Arial" w:hAnsi="Arial"/>
          <w:sz w:val="16"/>
          <w:szCs w:val="16"/>
          <w:color w:val="3B3C43"/>
        </w:rPr>
        <w:t>in writing to the Counterparty by the Company from time to time (each an “</w:t>
      </w:r>
      <w:r>
        <w:rPr>
          <w:rFonts w:ascii="Arial" w:cs="Arial" w:eastAsia="Arial" w:hAnsi="Arial"/>
          <w:sz w:val="16"/>
          <w:szCs w:val="16"/>
          <w:b w:val="1"/>
          <w:bCs w:val="1"/>
          <w:color w:val="3B3C43"/>
        </w:rPr>
        <w:t>Authorised Person</w:t>
      </w:r>
      <w:r>
        <w:rPr>
          <w:rFonts w:ascii="Arial" w:cs="Arial" w:eastAsia="Arial" w:hAnsi="Arial"/>
          <w:sz w:val="16"/>
          <w:szCs w:val="16"/>
          <w:color w:val="3B3C43"/>
        </w:rPr>
        <w:t>”).</w:t>
      </w:r>
    </w:p>
    <w:p>
      <w:pPr>
        <w:spacing w:after="0" w:line="164" w:lineRule="exact"/>
        <w:rPr>
          <w:rFonts w:ascii="Arial" w:cs="Arial" w:eastAsia="Arial" w:hAnsi="Arial"/>
          <w:sz w:val="16"/>
          <w:szCs w:val="16"/>
          <w:color w:val="3B3C43"/>
        </w:rPr>
      </w:pPr>
    </w:p>
    <w:p>
      <w:pPr>
        <w:ind w:left="340" w:right="100" w:hanging="332"/>
        <w:spacing w:after="0" w:line="260" w:lineRule="auto"/>
        <w:tabs>
          <w:tab w:leader="none" w:pos="340" w:val="left"/>
        </w:tabs>
        <w:numPr>
          <w:ilvl w:val="0"/>
          <w:numId w:val="159"/>
        </w:numPr>
        <w:rPr>
          <w:rFonts w:ascii="Arial" w:cs="Arial" w:eastAsia="Arial" w:hAnsi="Arial"/>
          <w:sz w:val="16"/>
          <w:szCs w:val="16"/>
          <w:color w:val="3B3C43"/>
        </w:rPr>
      </w:pPr>
      <w:r>
        <w:rPr>
          <w:rFonts w:ascii="Arial" w:cs="Arial" w:eastAsia="Arial" w:hAnsi="Arial"/>
          <w:sz w:val="16"/>
          <w:szCs w:val="16"/>
          <w:color w:val="3B3C43"/>
        </w:rPr>
        <w:t>Unless otherwise instructed, Ordinary Shares will be purchased in accordance with all applicable laws and regulations, including (without limitation) in accordance with, as applicable:</w:t>
      </w:r>
    </w:p>
    <w:p>
      <w:pPr>
        <w:spacing w:after="0" w:line="168" w:lineRule="exact"/>
        <w:rPr>
          <w:rFonts w:ascii="Arial" w:cs="Arial" w:eastAsia="Arial" w:hAnsi="Arial"/>
          <w:sz w:val="16"/>
          <w:szCs w:val="16"/>
          <w:color w:val="3B3C43"/>
        </w:rPr>
      </w:pPr>
    </w:p>
    <w:p>
      <w:pPr>
        <w:ind w:left="380" w:hanging="183"/>
        <w:spacing w:after="0" w:line="253" w:lineRule="auto"/>
        <w:tabs>
          <w:tab w:leader="none" w:pos="380" w:val="left"/>
        </w:tabs>
        <w:numPr>
          <w:ilvl w:val="1"/>
          <w:numId w:val="159"/>
        </w:numPr>
        <w:rPr>
          <w:rFonts w:ascii="Arial" w:cs="Arial" w:eastAsia="Arial" w:hAnsi="Arial"/>
          <w:sz w:val="16"/>
          <w:szCs w:val="16"/>
          <w:color w:val="3B3C43"/>
        </w:rPr>
      </w:pPr>
      <w:r>
        <w:rPr>
          <w:rFonts w:ascii="Arial" w:cs="Arial" w:eastAsia="Arial" w:hAnsi="Arial"/>
          <w:sz w:val="16"/>
          <w:szCs w:val="16"/>
          <w:color w:val="3B3C43"/>
        </w:rPr>
        <w:t>The volume limitations of Rule 10b-18(b)(4) and 10b-18(c)(2) of the Securities Exchange Act of 1934, as may be amended or superseded from time to time (the “</w:t>
      </w:r>
      <w:r>
        <w:rPr>
          <w:rFonts w:ascii="Arial" w:cs="Arial" w:eastAsia="Arial" w:hAnsi="Arial"/>
          <w:sz w:val="16"/>
          <w:szCs w:val="16"/>
          <w:b w:val="1"/>
          <w:bCs w:val="1"/>
          <w:color w:val="3B3C43"/>
        </w:rPr>
        <w:t>Exchange Act</w:t>
      </w:r>
      <w:r>
        <w:rPr>
          <w:rFonts w:ascii="Arial" w:cs="Arial" w:eastAsia="Arial" w:hAnsi="Arial"/>
          <w:sz w:val="16"/>
          <w:szCs w:val="16"/>
          <w:color w:val="3B3C43"/>
        </w:rPr>
        <w:t>”). The maximum value of Ordinary Shares, at acquisition cost, to be purchased under this programme will be advised to the Counterparty by an Authorised Person from time to time following the execution of this Agreement;</w:t>
      </w:r>
    </w:p>
    <w:p>
      <w:pPr>
        <w:spacing w:after="0" w:line="174" w:lineRule="exact"/>
        <w:rPr>
          <w:rFonts w:ascii="Arial" w:cs="Arial" w:eastAsia="Arial" w:hAnsi="Arial"/>
          <w:sz w:val="16"/>
          <w:szCs w:val="16"/>
          <w:color w:val="3B3C43"/>
        </w:rPr>
      </w:pPr>
    </w:p>
    <w:p>
      <w:pPr>
        <w:ind w:left="380" w:hanging="183"/>
        <w:spacing w:after="0"/>
        <w:tabs>
          <w:tab w:leader="none" w:pos="380" w:val="left"/>
        </w:tabs>
        <w:numPr>
          <w:ilvl w:val="1"/>
          <w:numId w:val="159"/>
        </w:numPr>
        <w:rPr>
          <w:rFonts w:ascii="Arial" w:cs="Arial" w:eastAsia="Arial" w:hAnsi="Arial"/>
          <w:sz w:val="16"/>
          <w:szCs w:val="16"/>
          <w:color w:val="3B3C43"/>
        </w:rPr>
      </w:pPr>
      <w:r>
        <w:rPr>
          <w:rFonts w:ascii="Arial" w:cs="Arial" w:eastAsia="Arial" w:hAnsi="Arial"/>
          <w:sz w:val="16"/>
          <w:szCs w:val="16"/>
          <w:color w:val="3B3C43"/>
        </w:rPr>
        <w:t>The timing conditions of Rules 10b-18(b)(2) and 10b-18(c)(1) of the Exchange Act, as may be amended or superseded from time to time;</w:t>
      </w:r>
    </w:p>
    <w:p>
      <w:pPr>
        <w:spacing w:after="0" w:line="194" w:lineRule="exact"/>
        <w:rPr>
          <w:rFonts w:ascii="Arial" w:cs="Arial" w:eastAsia="Arial" w:hAnsi="Arial"/>
          <w:sz w:val="16"/>
          <w:szCs w:val="16"/>
          <w:color w:val="3B3C43"/>
        </w:rPr>
      </w:pPr>
    </w:p>
    <w:p>
      <w:pPr>
        <w:ind w:left="380" w:hanging="183"/>
        <w:spacing w:after="0"/>
        <w:tabs>
          <w:tab w:leader="none" w:pos="380" w:val="left"/>
        </w:tabs>
        <w:numPr>
          <w:ilvl w:val="1"/>
          <w:numId w:val="159"/>
        </w:numPr>
        <w:rPr>
          <w:rFonts w:ascii="Arial" w:cs="Arial" w:eastAsia="Arial" w:hAnsi="Arial"/>
          <w:sz w:val="16"/>
          <w:szCs w:val="16"/>
          <w:color w:val="3B3C43"/>
        </w:rPr>
      </w:pPr>
      <w:r>
        <w:rPr>
          <w:rFonts w:ascii="Arial" w:cs="Arial" w:eastAsia="Arial" w:hAnsi="Arial"/>
          <w:sz w:val="16"/>
          <w:szCs w:val="16"/>
          <w:color w:val="3B3C43"/>
        </w:rPr>
        <w:t>The price conditions of Rule 10b-18(b)(3) of the Exchange Act, as may be amended or superseded from time to time; and</w:t>
      </w:r>
    </w:p>
    <w:p>
      <w:pPr>
        <w:spacing w:after="0" w:line="194" w:lineRule="exact"/>
        <w:rPr>
          <w:rFonts w:ascii="Arial" w:cs="Arial" w:eastAsia="Arial" w:hAnsi="Arial"/>
          <w:sz w:val="16"/>
          <w:szCs w:val="16"/>
          <w:color w:val="3B3C43"/>
        </w:rPr>
      </w:pPr>
    </w:p>
    <w:p>
      <w:pPr>
        <w:ind w:left="380" w:right="280" w:hanging="183"/>
        <w:spacing w:after="0" w:line="260" w:lineRule="auto"/>
        <w:tabs>
          <w:tab w:leader="none" w:pos="380" w:val="left"/>
        </w:tabs>
        <w:numPr>
          <w:ilvl w:val="1"/>
          <w:numId w:val="159"/>
        </w:numPr>
        <w:rPr>
          <w:rFonts w:ascii="Arial" w:cs="Arial" w:eastAsia="Arial" w:hAnsi="Arial"/>
          <w:sz w:val="16"/>
          <w:szCs w:val="16"/>
          <w:color w:val="3B3C43"/>
        </w:rPr>
      </w:pPr>
      <w:r>
        <w:rPr>
          <w:rFonts w:ascii="Arial" w:cs="Arial" w:eastAsia="Arial" w:hAnsi="Arial"/>
          <w:sz w:val="16"/>
          <w:szCs w:val="16"/>
          <w:color w:val="3B3C43"/>
        </w:rPr>
        <w:t>The price and volume limits outlined under the EU Market Abuse Regulation (2014/596/EU), including any delegated regulations made thereunder (“</w:t>
      </w:r>
      <w:r>
        <w:rPr>
          <w:rFonts w:ascii="Arial" w:cs="Arial" w:eastAsia="Arial" w:hAnsi="Arial"/>
          <w:sz w:val="16"/>
          <w:szCs w:val="16"/>
          <w:b w:val="1"/>
          <w:bCs w:val="1"/>
          <w:color w:val="3B3C43"/>
        </w:rPr>
        <w:t>MAR</w:t>
      </w:r>
      <w:r>
        <w:rPr>
          <w:rFonts w:ascii="Arial" w:cs="Arial" w:eastAsia="Arial" w:hAnsi="Arial"/>
          <w:sz w:val="16"/>
          <w:szCs w:val="16"/>
          <w:color w:val="3B3C43"/>
        </w:rPr>
        <w:t>”).</w:t>
      </w:r>
    </w:p>
    <w:p>
      <w:pPr>
        <w:spacing w:after="0" w:line="168" w:lineRule="exact"/>
        <w:rPr>
          <w:rFonts w:ascii="Arial" w:cs="Arial" w:eastAsia="Arial" w:hAnsi="Arial"/>
          <w:sz w:val="16"/>
          <w:szCs w:val="16"/>
          <w:color w:val="3B3C43"/>
        </w:rPr>
      </w:pPr>
    </w:p>
    <w:p>
      <w:pPr>
        <w:ind w:left="340" w:hanging="332"/>
        <w:spacing w:after="0" w:line="253" w:lineRule="auto"/>
        <w:tabs>
          <w:tab w:leader="none" w:pos="340" w:val="left"/>
        </w:tabs>
        <w:numPr>
          <w:ilvl w:val="0"/>
          <w:numId w:val="159"/>
        </w:numPr>
        <w:rPr>
          <w:rFonts w:ascii="Arial" w:cs="Arial" w:eastAsia="Arial" w:hAnsi="Arial"/>
          <w:sz w:val="16"/>
          <w:szCs w:val="16"/>
          <w:color w:val="3B3C43"/>
        </w:rPr>
      </w:pPr>
      <w:r>
        <w:rPr>
          <w:rFonts w:ascii="Arial" w:cs="Arial" w:eastAsia="Arial" w:hAnsi="Arial"/>
          <w:sz w:val="16"/>
          <w:szCs w:val="16"/>
          <w:color w:val="3B3C43"/>
        </w:rPr>
        <w:t>All purchases will be effected pursuant to Rule 10b-18 of the Exchange Act, as may be amended or superseded from time to time, from or through only one broker or dealer on any single day or as otherwise allowed by Rule 10b-18(b) (1) of the Exchange Act, as may be amended or superseded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159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315" w:right="459"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left="340" w:right="220" w:hanging="332"/>
        <w:spacing w:after="0" w:line="260" w:lineRule="auto"/>
        <w:tabs>
          <w:tab w:leader="none" w:pos="340" w:val="left"/>
        </w:tabs>
        <w:numPr>
          <w:ilvl w:val="0"/>
          <w:numId w:val="160"/>
        </w:numPr>
        <w:rPr>
          <w:rFonts w:ascii="Arial" w:cs="Arial" w:eastAsia="Arial" w:hAnsi="Arial"/>
          <w:sz w:val="16"/>
          <w:szCs w:val="16"/>
          <w:color w:val="3B3C43"/>
        </w:rPr>
      </w:pPr>
      <w:r>
        <w:rPr>
          <w:rFonts w:ascii="Arial" w:cs="Arial" w:eastAsia="Arial" w:hAnsi="Arial"/>
          <w:sz w:val="16"/>
          <w:szCs w:val="16"/>
          <w:color w:val="3B3C43"/>
        </w:rPr>
        <w:t>Purchases may be made on any national securities exchange or international regulated market, electronic communication network (ECN), alternative trading system (ATS) or in over-the-counter (OTC) transactions.</w:t>
      </w:r>
    </w:p>
    <w:p>
      <w:pPr>
        <w:spacing w:after="0" w:line="168" w:lineRule="exact"/>
        <w:rPr>
          <w:rFonts w:ascii="Arial" w:cs="Arial" w:eastAsia="Arial" w:hAnsi="Arial"/>
          <w:sz w:val="16"/>
          <w:szCs w:val="16"/>
          <w:color w:val="3B3C43"/>
        </w:rPr>
      </w:pPr>
    </w:p>
    <w:p>
      <w:pPr>
        <w:ind w:left="340" w:right="300" w:hanging="332"/>
        <w:spacing w:after="0" w:line="260" w:lineRule="auto"/>
        <w:tabs>
          <w:tab w:leader="none" w:pos="340" w:val="left"/>
        </w:tabs>
        <w:numPr>
          <w:ilvl w:val="0"/>
          <w:numId w:val="160"/>
        </w:numPr>
        <w:rPr>
          <w:rFonts w:ascii="Arial" w:cs="Arial" w:eastAsia="Arial" w:hAnsi="Arial"/>
          <w:sz w:val="16"/>
          <w:szCs w:val="16"/>
          <w:color w:val="3B3C43"/>
        </w:rPr>
      </w:pPr>
      <w:r>
        <w:rPr>
          <w:rFonts w:ascii="Arial" w:cs="Arial" w:eastAsia="Arial" w:hAnsi="Arial"/>
          <w:sz w:val="16"/>
          <w:szCs w:val="16"/>
          <w:color w:val="3B3C43"/>
        </w:rPr>
        <w:t>Before purchases commence under this Agreement, the Company will have officially disclosed the repurchase programme to the public, including in accordance with articles 241-1 ff. of the general regulations of the French Market Authority and MAR.</w:t>
      </w:r>
    </w:p>
    <w:p>
      <w:pPr>
        <w:spacing w:after="0" w:line="168" w:lineRule="exact"/>
        <w:rPr>
          <w:rFonts w:ascii="Arial" w:cs="Arial" w:eastAsia="Arial" w:hAnsi="Arial"/>
          <w:sz w:val="16"/>
          <w:szCs w:val="16"/>
          <w:color w:val="3B3C43"/>
        </w:rPr>
      </w:pPr>
    </w:p>
    <w:p>
      <w:pPr>
        <w:ind w:left="340" w:right="300" w:hanging="332"/>
        <w:spacing w:after="0" w:line="253" w:lineRule="auto"/>
        <w:tabs>
          <w:tab w:leader="none" w:pos="340" w:val="left"/>
        </w:tabs>
        <w:numPr>
          <w:ilvl w:val="0"/>
          <w:numId w:val="160"/>
        </w:numPr>
        <w:rPr>
          <w:rFonts w:ascii="Arial" w:cs="Arial" w:eastAsia="Arial" w:hAnsi="Arial"/>
          <w:sz w:val="16"/>
          <w:szCs w:val="16"/>
          <w:color w:val="3B3C43"/>
        </w:rPr>
      </w:pPr>
      <w:r>
        <w:rPr>
          <w:rFonts w:ascii="Arial" w:cs="Arial" w:eastAsia="Arial" w:hAnsi="Arial"/>
          <w:sz w:val="16"/>
          <w:szCs w:val="16"/>
          <w:color w:val="3B3C43"/>
        </w:rPr>
        <w:t>The Company represents that the purchases of Ordinary Shares by the Counterparty pursuant to the terms of this Agreement will not violate or contravene any legal, regulatory or contractual restriction applicable to the Company or the Ordinary Shares, including Article 5 of MAR and Section 10(b) and Rule 10b-5 of the Exchange Act, if and to the extent applicable.</w:t>
      </w:r>
    </w:p>
    <w:p>
      <w:pPr>
        <w:spacing w:after="0" w:line="174" w:lineRule="exact"/>
        <w:rPr>
          <w:rFonts w:ascii="Arial" w:cs="Arial" w:eastAsia="Arial" w:hAnsi="Arial"/>
          <w:sz w:val="16"/>
          <w:szCs w:val="16"/>
          <w:color w:val="3B3C43"/>
        </w:rPr>
      </w:pPr>
    </w:p>
    <w:p>
      <w:pPr>
        <w:ind w:left="340" w:hanging="332"/>
        <w:spacing w:after="0"/>
        <w:tabs>
          <w:tab w:leader="none" w:pos="340" w:val="left"/>
        </w:tabs>
        <w:numPr>
          <w:ilvl w:val="0"/>
          <w:numId w:val="160"/>
        </w:numPr>
        <w:rPr>
          <w:rFonts w:ascii="Arial" w:cs="Arial" w:eastAsia="Arial" w:hAnsi="Arial"/>
          <w:sz w:val="16"/>
          <w:szCs w:val="16"/>
          <w:color w:val="3B3C43"/>
        </w:rPr>
      </w:pPr>
      <w:r>
        <w:rPr>
          <w:rFonts w:ascii="Arial" w:cs="Arial" w:eastAsia="Arial" w:hAnsi="Arial"/>
          <w:sz w:val="16"/>
          <w:szCs w:val="16"/>
          <w:color w:val="3B3C43"/>
        </w:rPr>
        <w:t>Daily purchase information will be provided to the Company by phone or email, and trade confirmations will be sent by email or fax the following day.</w:t>
      </w:r>
    </w:p>
    <w:p>
      <w:pPr>
        <w:spacing w:after="0" w:line="194" w:lineRule="exact"/>
        <w:rPr>
          <w:rFonts w:ascii="Arial" w:cs="Arial" w:eastAsia="Arial" w:hAnsi="Arial"/>
          <w:sz w:val="16"/>
          <w:szCs w:val="16"/>
          <w:color w:val="3B3C43"/>
        </w:rPr>
      </w:pPr>
    </w:p>
    <w:p>
      <w:pPr>
        <w:ind w:left="340" w:hanging="332"/>
        <w:spacing w:after="0"/>
        <w:tabs>
          <w:tab w:leader="none" w:pos="340" w:val="left"/>
        </w:tabs>
        <w:numPr>
          <w:ilvl w:val="0"/>
          <w:numId w:val="160"/>
        </w:numPr>
        <w:rPr>
          <w:rFonts w:ascii="Arial" w:cs="Arial" w:eastAsia="Arial" w:hAnsi="Arial"/>
          <w:sz w:val="16"/>
          <w:szCs w:val="16"/>
          <w:color w:val="3B3C43"/>
        </w:rPr>
      </w:pPr>
      <w:r>
        <w:rPr>
          <w:rFonts w:ascii="Arial" w:cs="Arial" w:eastAsia="Arial" w:hAnsi="Arial"/>
          <w:sz w:val="16"/>
          <w:szCs w:val="16"/>
          <w:color w:val="3B3C43"/>
        </w:rPr>
        <w:t>The Company’s tax identification number is ____________.</w:t>
      </w:r>
    </w:p>
    <w:p>
      <w:pPr>
        <w:spacing w:after="0" w:line="194" w:lineRule="exact"/>
        <w:rPr>
          <w:rFonts w:ascii="Arial" w:cs="Arial" w:eastAsia="Arial" w:hAnsi="Arial"/>
          <w:sz w:val="16"/>
          <w:szCs w:val="16"/>
          <w:color w:val="3B3C43"/>
        </w:rPr>
      </w:pPr>
    </w:p>
    <w:p>
      <w:pPr>
        <w:ind w:left="340" w:hanging="332"/>
        <w:spacing w:after="0" w:line="260" w:lineRule="auto"/>
        <w:tabs>
          <w:tab w:leader="none" w:pos="340" w:val="left"/>
        </w:tabs>
        <w:numPr>
          <w:ilvl w:val="0"/>
          <w:numId w:val="160"/>
        </w:numPr>
        <w:rPr>
          <w:rFonts w:ascii="Arial" w:cs="Arial" w:eastAsia="Arial" w:hAnsi="Arial"/>
          <w:sz w:val="16"/>
          <w:szCs w:val="16"/>
          <w:color w:val="3B3C43"/>
        </w:rPr>
      </w:pPr>
      <w:r>
        <w:rPr>
          <w:rFonts w:ascii="Arial" w:cs="Arial" w:eastAsia="Arial" w:hAnsi="Arial"/>
          <w:sz w:val="16"/>
          <w:szCs w:val="16"/>
          <w:color w:val="3B3C43"/>
        </w:rPr>
        <w:t>Purchases of Ordinary Shares in accordance with the instructions contained herein, will commence on the date to be agreed between the Company and the Counterparty.</w:t>
      </w:r>
    </w:p>
    <w:p>
      <w:pPr>
        <w:spacing w:after="0" w:line="168" w:lineRule="exact"/>
        <w:rPr>
          <w:rFonts w:ascii="Arial" w:cs="Arial" w:eastAsia="Arial" w:hAnsi="Arial"/>
          <w:sz w:val="16"/>
          <w:szCs w:val="16"/>
          <w:color w:val="3B3C43"/>
        </w:rPr>
      </w:pPr>
    </w:p>
    <w:p>
      <w:pPr>
        <w:ind w:left="340" w:right="6780" w:hanging="332"/>
        <w:spacing w:after="0" w:line="493" w:lineRule="auto"/>
        <w:tabs>
          <w:tab w:leader="none" w:pos="340" w:val="left"/>
        </w:tabs>
        <w:numPr>
          <w:ilvl w:val="0"/>
          <w:numId w:val="160"/>
        </w:numPr>
        <w:rPr>
          <w:rFonts w:ascii="Arial" w:cs="Arial" w:eastAsia="Arial" w:hAnsi="Arial"/>
          <w:sz w:val="16"/>
          <w:szCs w:val="16"/>
          <w:color w:val="3B3C43"/>
        </w:rPr>
      </w:pPr>
      <w:r>
        <w:rPr>
          <w:rFonts w:ascii="Arial" w:cs="Arial" w:eastAsia="Arial" w:hAnsi="Arial"/>
          <w:sz w:val="16"/>
          <w:szCs w:val="16"/>
          <w:color w:val="3B3C43"/>
        </w:rPr>
        <w:t>Notices for the attention of the Company shall be sent to: TechnipFMC plc</w:t>
      </w:r>
    </w:p>
    <w:p>
      <w:pPr>
        <w:ind w:left="340"/>
        <w:spacing w:after="0"/>
        <w:rPr>
          <w:sz w:val="20"/>
          <w:szCs w:val="20"/>
          <w:color w:val="auto"/>
        </w:rPr>
      </w:pPr>
      <w:r>
        <w:rPr>
          <w:rFonts w:ascii="Arial" w:cs="Arial" w:eastAsia="Arial" w:hAnsi="Arial"/>
          <w:sz w:val="16"/>
          <w:szCs w:val="16"/>
          <w:color w:val="3B3C43"/>
        </w:rPr>
        <w:t>Attn: _____________________</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3B3C43"/>
        </w:rPr>
        <w:t>___________________________</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3B3C43"/>
        </w:rPr>
        <w:t>___________________________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Notices for the attention of the Counterparty shall be sent to the address notified in writing to the Company by the Counterparty.</w:t>
      </w:r>
    </w:p>
    <w:p>
      <w:pPr>
        <w:spacing w:after="0" w:line="194" w:lineRule="exact"/>
        <w:rPr>
          <w:sz w:val="20"/>
          <w:szCs w:val="20"/>
          <w:color w:val="auto"/>
        </w:rPr>
      </w:pPr>
    </w:p>
    <w:p>
      <w:pPr>
        <w:ind w:left="340" w:right="20" w:hanging="332"/>
        <w:spacing w:after="0" w:line="250" w:lineRule="auto"/>
        <w:tabs>
          <w:tab w:leader="none" w:pos="340" w:val="left"/>
        </w:tabs>
        <w:numPr>
          <w:ilvl w:val="0"/>
          <w:numId w:val="161"/>
        </w:numPr>
        <w:rPr>
          <w:rFonts w:ascii="Arial" w:cs="Arial" w:eastAsia="Arial" w:hAnsi="Arial"/>
          <w:sz w:val="16"/>
          <w:szCs w:val="16"/>
          <w:color w:val="3B3C43"/>
        </w:rPr>
      </w:pPr>
      <w:r>
        <w:rPr>
          <w:rFonts w:ascii="Arial" w:cs="Arial" w:eastAsia="Arial" w:hAnsi="Arial"/>
          <w:sz w:val="16"/>
          <w:szCs w:val="16"/>
          <w:color w:val="3B3C43"/>
        </w:rPr>
        <w:t>The Counterparty shall (including, without limitation, by liaising with ____________ (or its successor or assign) as transfer agent and registrar of the Company (the “</w:t>
      </w:r>
      <w:r>
        <w:rPr>
          <w:rFonts w:ascii="Arial" w:cs="Arial" w:eastAsia="Arial" w:hAnsi="Arial"/>
          <w:sz w:val="16"/>
          <w:szCs w:val="16"/>
          <w:b w:val="1"/>
          <w:bCs w:val="1"/>
          <w:color w:val="3B3C43"/>
        </w:rPr>
        <w:t>Transfer Agent</w:t>
      </w:r>
      <w:r>
        <w:rPr>
          <w:rFonts w:ascii="Arial" w:cs="Arial" w:eastAsia="Arial" w:hAnsi="Arial"/>
          <w:sz w:val="16"/>
          <w:szCs w:val="16"/>
          <w:color w:val="3B3C43"/>
        </w:rPr>
        <w:t>”)) procure that any Ordinary Share to be sold by the Counterparty to the Company is transmitted or delivered by DWAC or similar means of transmission so that such Ordinary Share is withdrawn from the facilities of the Depositary Trust Company (the “DTC System”) (in particular by removing any Ordinary Share deposited with the nominee of the DTC System, Cede &amp; Co.) and the Company receives the Ordinary Share in record form (a “Record Share”).</w:t>
      </w:r>
    </w:p>
    <w:p>
      <w:pPr>
        <w:spacing w:after="0" w:line="175" w:lineRule="exact"/>
        <w:rPr>
          <w:rFonts w:ascii="Arial" w:cs="Arial" w:eastAsia="Arial" w:hAnsi="Arial"/>
          <w:sz w:val="16"/>
          <w:szCs w:val="16"/>
          <w:color w:val="3B3C43"/>
        </w:rPr>
      </w:pPr>
    </w:p>
    <w:p>
      <w:pPr>
        <w:ind w:left="340" w:right="60" w:hanging="332"/>
        <w:spacing w:after="0" w:line="253" w:lineRule="auto"/>
        <w:tabs>
          <w:tab w:leader="none" w:pos="340" w:val="left"/>
        </w:tabs>
        <w:numPr>
          <w:ilvl w:val="0"/>
          <w:numId w:val="161"/>
        </w:numPr>
        <w:rPr>
          <w:rFonts w:ascii="Arial" w:cs="Arial" w:eastAsia="Arial" w:hAnsi="Arial"/>
          <w:sz w:val="16"/>
          <w:szCs w:val="16"/>
          <w:color w:val="3B3C43"/>
        </w:rPr>
      </w:pPr>
      <w:r>
        <w:rPr>
          <w:rFonts w:ascii="Arial" w:cs="Arial" w:eastAsia="Arial" w:hAnsi="Arial"/>
          <w:sz w:val="16"/>
          <w:szCs w:val="16"/>
          <w:color w:val="3B3C43"/>
        </w:rPr>
        <w:t>In accordance with Paragraph 11, the Counterparty shall sell, and the Company shall purchase, such Record Shares, and following such purchase and delivery, the Company shall be registered as the record holder of such Record Shares, or such Record Shares shall otherwise be cancelled. The Company shall be responsible for any stamp duty that is due in respect of the purchase of Record Shares from the Counterparty.</w:t>
      </w:r>
    </w:p>
    <w:p>
      <w:pPr>
        <w:spacing w:after="0" w:line="174" w:lineRule="exact"/>
        <w:rPr>
          <w:rFonts w:ascii="Arial" w:cs="Arial" w:eastAsia="Arial" w:hAnsi="Arial"/>
          <w:sz w:val="16"/>
          <w:szCs w:val="16"/>
          <w:color w:val="3B3C43"/>
        </w:rPr>
      </w:pPr>
    </w:p>
    <w:p>
      <w:pPr>
        <w:ind w:left="340" w:right="60" w:hanging="332"/>
        <w:spacing w:after="0" w:line="260" w:lineRule="auto"/>
        <w:tabs>
          <w:tab w:leader="none" w:pos="340" w:val="left"/>
        </w:tabs>
        <w:numPr>
          <w:ilvl w:val="0"/>
          <w:numId w:val="161"/>
        </w:numPr>
        <w:rPr>
          <w:rFonts w:ascii="Arial" w:cs="Arial" w:eastAsia="Arial" w:hAnsi="Arial"/>
          <w:sz w:val="16"/>
          <w:szCs w:val="16"/>
          <w:color w:val="3B3C43"/>
        </w:rPr>
      </w:pPr>
      <w:r>
        <w:rPr>
          <w:rFonts w:ascii="Arial" w:cs="Arial" w:eastAsia="Arial" w:hAnsi="Arial"/>
          <w:sz w:val="16"/>
          <w:szCs w:val="16"/>
          <w:color w:val="3B3C43"/>
        </w:rPr>
        <w:t>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168" w:lineRule="exact"/>
        <w:rPr>
          <w:rFonts w:ascii="Arial" w:cs="Arial" w:eastAsia="Arial" w:hAnsi="Arial"/>
          <w:sz w:val="16"/>
          <w:szCs w:val="16"/>
          <w:color w:val="3B3C43"/>
        </w:rPr>
      </w:pPr>
    </w:p>
    <w:p>
      <w:pPr>
        <w:ind w:left="340" w:right="60" w:hanging="332"/>
        <w:spacing w:after="0" w:line="250" w:lineRule="auto"/>
        <w:tabs>
          <w:tab w:leader="none" w:pos="340" w:val="left"/>
        </w:tabs>
        <w:numPr>
          <w:ilvl w:val="0"/>
          <w:numId w:val="161"/>
        </w:numPr>
        <w:rPr>
          <w:rFonts w:ascii="Arial" w:cs="Arial" w:eastAsia="Arial" w:hAnsi="Arial"/>
          <w:sz w:val="16"/>
          <w:szCs w:val="16"/>
          <w:color w:val="3B3C43"/>
        </w:rPr>
      </w:pPr>
      <w:r>
        <w:rPr>
          <w:rFonts w:ascii="Arial" w:cs="Arial" w:eastAsia="Arial" w:hAnsi="Arial"/>
          <w:sz w:val="16"/>
          <w:szCs w:val="16"/>
          <w:color w:val="3B3C43"/>
        </w:rPr>
        <w:t>The Company will pay for any and all Record Shares purchased by it in accordance with Paragraph 12 above by a method agreeable to the Company and the Counterparty or other designee by no later than the date of delivery of Record Shares. Any commission payable by the Company in respect of the delivery of Record Shares shall be agreed in writing from time to time between the Company and the Counterparty, and shall be paid to the Counterparty by the Company on delivery of Record Shares. The relevant bank account details of the Counterparty shall be notified to the Company by the Counterparty in writing from time to time.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160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left="340" w:hanging="332"/>
        <w:spacing w:after="0"/>
        <w:tabs>
          <w:tab w:leader="none" w:pos="340" w:val="left"/>
        </w:tabs>
        <w:numPr>
          <w:ilvl w:val="0"/>
          <w:numId w:val="162"/>
        </w:numPr>
        <w:rPr>
          <w:rFonts w:ascii="Arial" w:cs="Arial" w:eastAsia="Arial" w:hAnsi="Arial"/>
          <w:sz w:val="16"/>
          <w:szCs w:val="16"/>
          <w:color w:val="3B3C43"/>
        </w:rPr>
      </w:pPr>
      <w:r>
        <w:rPr>
          <w:rFonts w:ascii="Arial" w:cs="Arial" w:eastAsia="Arial" w:hAnsi="Arial"/>
          <w:sz w:val="16"/>
          <w:szCs w:val="16"/>
          <w:color w:val="3B3C43"/>
        </w:rPr>
        <w:t>The Counterparty and the Company each acknowledge and agree that:</w:t>
      </w:r>
    </w:p>
    <w:p>
      <w:pPr>
        <w:spacing w:after="0" w:line="194" w:lineRule="exact"/>
        <w:rPr>
          <w:rFonts w:ascii="Arial" w:cs="Arial" w:eastAsia="Arial" w:hAnsi="Arial"/>
          <w:sz w:val="16"/>
          <w:szCs w:val="16"/>
          <w:color w:val="3B3C43"/>
        </w:rPr>
      </w:pPr>
    </w:p>
    <w:p>
      <w:pPr>
        <w:ind w:left="380" w:right="380" w:hanging="183"/>
        <w:spacing w:after="0" w:line="260" w:lineRule="auto"/>
        <w:tabs>
          <w:tab w:leader="none" w:pos="380" w:val="left"/>
        </w:tabs>
        <w:numPr>
          <w:ilvl w:val="1"/>
          <w:numId w:val="162"/>
        </w:numPr>
        <w:rPr>
          <w:rFonts w:ascii="Arial" w:cs="Arial" w:eastAsia="Arial" w:hAnsi="Arial"/>
          <w:sz w:val="16"/>
          <w:szCs w:val="16"/>
          <w:color w:val="3B3C43"/>
        </w:rPr>
      </w:pPr>
      <w:r>
        <w:rPr>
          <w:rFonts w:ascii="Arial" w:cs="Arial" w:eastAsia="Arial" w:hAnsi="Arial"/>
          <w:sz w:val="16"/>
          <w:szCs w:val="16"/>
          <w:color w:val="3B3C43"/>
        </w:rPr>
        <w:t>Prior to an acquisition by the Company under Paragraph 12 hereof, the Company shall not acquire, nor have any legal or beneficial interest in, any Ordinary Share purchased by the Counterparty pursuant to this Agreement;</w:t>
      </w:r>
    </w:p>
    <w:p>
      <w:pPr>
        <w:spacing w:after="0" w:line="168" w:lineRule="exact"/>
        <w:rPr>
          <w:rFonts w:ascii="Arial" w:cs="Arial" w:eastAsia="Arial" w:hAnsi="Arial"/>
          <w:sz w:val="16"/>
          <w:szCs w:val="16"/>
          <w:color w:val="3B3C43"/>
        </w:rPr>
      </w:pPr>
    </w:p>
    <w:p>
      <w:pPr>
        <w:ind w:left="380" w:right="280" w:hanging="183"/>
        <w:spacing w:after="0" w:line="260" w:lineRule="auto"/>
        <w:tabs>
          <w:tab w:leader="none" w:pos="380" w:val="left"/>
        </w:tabs>
        <w:numPr>
          <w:ilvl w:val="1"/>
          <w:numId w:val="162"/>
        </w:numPr>
        <w:rPr>
          <w:rFonts w:ascii="Arial" w:cs="Arial" w:eastAsia="Arial" w:hAnsi="Arial"/>
          <w:sz w:val="16"/>
          <w:szCs w:val="16"/>
          <w:color w:val="3B3C43"/>
        </w:rPr>
      </w:pPr>
      <w:r>
        <w:rPr>
          <w:rFonts w:ascii="Arial" w:cs="Arial" w:eastAsia="Arial" w:hAnsi="Arial"/>
          <w:sz w:val="16"/>
          <w:szCs w:val="16"/>
          <w:color w:val="3B3C43"/>
        </w:rPr>
        <w:t>Nothing in this letter is or shall constitute a party acting as the agent of the other for any purpose. Neither party shall describe itself as an agent or in any way hold itself out as being an agent of the other; and</w:t>
      </w:r>
    </w:p>
    <w:p>
      <w:pPr>
        <w:spacing w:after="0" w:line="168" w:lineRule="exact"/>
        <w:rPr>
          <w:rFonts w:ascii="Arial" w:cs="Arial" w:eastAsia="Arial" w:hAnsi="Arial"/>
          <w:sz w:val="16"/>
          <w:szCs w:val="16"/>
          <w:color w:val="3B3C43"/>
        </w:rPr>
      </w:pPr>
    </w:p>
    <w:p>
      <w:pPr>
        <w:ind w:left="380" w:right="240" w:hanging="183"/>
        <w:spacing w:after="0" w:line="260" w:lineRule="auto"/>
        <w:tabs>
          <w:tab w:leader="none" w:pos="380" w:val="left"/>
        </w:tabs>
        <w:numPr>
          <w:ilvl w:val="1"/>
          <w:numId w:val="162"/>
        </w:numPr>
        <w:rPr>
          <w:rFonts w:ascii="Arial" w:cs="Arial" w:eastAsia="Arial" w:hAnsi="Arial"/>
          <w:sz w:val="16"/>
          <w:szCs w:val="16"/>
          <w:color w:val="3B3C43"/>
        </w:rPr>
      </w:pPr>
      <w:r>
        <w:rPr>
          <w:rFonts w:ascii="Arial" w:cs="Arial" w:eastAsia="Arial" w:hAnsi="Arial"/>
          <w:sz w:val="16"/>
          <w:szCs w:val="16"/>
          <w:color w:val="3B3C43"/>
        </w:rPr>
        <w:t>The Counterparty shall act as principal in respect of its acquisition of the Ordinary Shares and shall effect purchases of shares hereunder in “riskless principal transactions” as defined in Rule 10b-18(a)(12) of the Exchange Act.</w:t>
      </w:r>
    </w:p>
    <w:p>
      <w:pPr>
        <w:spacing w:after="0" w:line="168" w:lineRule="exact"/>
        <w:rPr>
          <w:rFonts w:ascii="Arial" w:cs="Arial" w:eastAsia="Arial" w:hAnsi="Arial"/>
          <w:sz w:val="16"/>
          <w:szCs w:val="16"/>
          <w:color w:val="3B3C43"/>
        </w:rPr>
      </w:pPr>
    </w:p>
    <w:p>
      <w:pPr>
        <w:ind w:left="340" w:hanging="332"/>
        <w:spacing w:after="0"/>
        <w:tabs>
          <w:tab w:leader="none" w:pos="340" w:val="left"/>
        </w:tabs>
        <w:numPr>
          <w:ilvl w:val="0"/>
          <w:numId w:val="162"/>
        </w:numPr>
        <w:rPr>
          <w:rFonts w:ascii="Arial" w:cs="Arial" w:eastAsia="Arial" w:hAnsi="Arial"/>
          <w:sz w:val="16"/>
          <w:szCs w:val="16"/>
          <w:color w:val="3B3C43"/>
        </w:rPr>
      </w:pPr>
      <w:r>
        <w:rPr>
          <w:rFonts w:ascii="Arial" w:cs="Arial" w:eastAsia="Arial" w:hAnsi="Arial"/>
          <w:sz w:val="16"/>
          <w:szCs w:val="16"/>
          <w:color w:val="3B3C43"/>
        </w:rPr>
        <w:t>This Agreement will be governed by and construed in accordance with the internal laws of the State of New York.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20"/>
                <w:szCs w:val="20"/>
                <w:color w:val="auto"/>
              </w:rPr>
            </w:pPr>
            <w:r>
              <w:rPr>
                <w:rFonts w:ascii="Arial" w:cs="Arial" w:eastAsia="Arial" w:hAnsi="Arial"/>
                <w:sz w:val="16"/>
                <w:szCs w:val="16"/>
                <w:b w:val="1"/>
                <w:bCs w:val="1"/>
                <w:color w:val="3B3C43"/>
              </w:rPr>
              <w:t>TechnipFMC plc</w:t>
            </w:r>
          </w:p>
        </w:tc>
        <w:tc>
          <w:tcPr>
            <w:tcW w:w="2820" w:type="dxa"/>
            <w:vAlign w:val="bottom"/>
          </w:tcPr>
          <w:p>
            <w:pPr>
              <w:spacing w:after="0"/>
              <w:rPr>
                <w:sz w:val="18"/>
                <w:szCs w:val="18"/>
                <w:color w:val="auto"/>
              </w:rPr>
            </w:pPr>
          </w:p>
        </w:tc>
        <w:tc>
          <w:tcPr>
            <w:tcW w:w="6720" w:type="dxa"/>
            <w:vAlign w:val="bottom"/>
            <w:gridSpan w:val="2"/>
          </w:tcPr>
          <w:p>
            <w:pPr>
              <w:ind w:left="2240"/>
              <w:spacing w:after="0"/>
              <w:rPr>
                <w:sz w:val="20"/>
                <w:szCs w:val="20"/>
                <w:color w:val="auto"/>
              </w:rPr>
            </w:pPr>
            <w:r>
              <w:rPr>
                <w:rFonts w:ascii="Arial" w:cs="Arial" w:eastAsia="Arial" w:hAnsi="Arial"/>
                <w:sz w:val="16"/>
                <w:szCs w:val="16"/>
                <w:b w:val="1"/>
                <w:bCs w:val="1"/>
                <w:color w:val="3B3C43"/>
              </w:rPr>
              <w:t>Counterparty</w:t>
            </w:r>
          </w:p>
        </w:tc>
      </w:tr>
      <w:tr>
        <w:trPr>
          <w:trHeight w:val="370"/>
        </w:trPr>
        <w:tc>
          <w:tcPr>
            <w:tcW w:w="1700" w:type="dxa"/>
            <w:vAlign w:val="bottom"/>
          </w:tcPr>
          <w:p>
            <w:pPr>
              <w:spacing w:after="0"/>
              <w:rPr>
                <w:sz w:val="20"/>
                <w:szCs w:val="20"/>
                <w:color w:val="auto"/>
              </w:rPr>
            </w:pPr>
            <w:r>
              <w:rPr>
                <w:rFonts w:ascii="Arial" w:cs="Arial" w:eastAsia="Arial" w:hAnsi="Arial"/>
                <w:sz w:val="16"/>
                <w:szCs w:val="16"/>
                <w:color w:val="3B3C43"/>
              </w:rPr>
              <w:t>By:</w:t>
            </w:r>
          </w:p>
        </w:tc>
        <w:tc>
          <w:tcPr>
            <w:tcW w:w="2820" w:type="dxa"/>
            <w:vAlign w:val="bottom"/>
          </w:tcPr>
          <w:p>
            <w:pPr>
              <w:spacing w:after="0"/>
              <w:rPr>
                <w:sz w:val="24"/>
                <w:szCs w:val="24"/>
                <w:color w:val="auto"/>
              </w:rPr>
            </w:pPr>
          </w:p>
        </w:tc>
        <w:tc>
          <w:tcPr>
            <w:tcW w:w="6720" w:type="dxa"/>
            <w:vAlign w:val="bottom"/>
            <w:gridSpan w:val="2"/>
          </w:tcPr>
          <w:p>
            <w:pPr>
              <w:ind w:left="2240"/>
              <w:spacing w:after="0"/>
              <w:rPr>
                <w:sz w:val="20"/>
                <w:szCs w:val="20"/>
                <w:color w:val="auto"/>
              </w:rPr>
            </w:pPr>
            <w:r>
              <w:rPr>
                <w:rFonts w:ascii="Arial" w:cs="Arial" w:eastAsia="Arial" w:hAnsi="Arial"/>
                <w:sz w:val="16"/>
                <w:szCs w:val="16"/>
                <w:color w:val="3B3C43"/>
              </w:rPr>
              <w:t>By:</w:t>
            </w:r>
          </w:p>
        </w:tc>
      </w:tr>
      <w:tr>
        <w:trPr>
          <w:trHeight w:val="177"/>
        </w:trPr>
        <w:tc>
          <w:tcPr>
            <w:tcW w:w="1700" w:type="dxa"/>
            <w:vAlign w:val="bottom"/>
          </w:tcPr>
          <w:p>
            <w:pPr>
              <w:spacing w:after="0" w:line="177" w:lineRule="exact"/>
              <w:rPr>
                <w:sz w:val="20"/>
                <w:szCs w:val="20"/>
                <w:color w:val="auto"/>
              </w:rPr>
            </w:pPr>
            <w:r>
              <w:rPr>
                <w:rFonts w:ascii="Arial" w:cs="Arial" w:eastAsia="Arial" w:hAnsi="Arial"/>
                <w:sz w:val="16"/>
                <w:szCs w:val="16"/>
                <w:color w:val="3B3C43"/>
              </w:rPr>
              <w:t>Name:</w:t>
            </w:r>
          </w:p>
        </w:tc>
        <w:tc>
          <w:tcPr>
            <w:tcW w:w="2820" w:type="dxa"/>
            <w:vAlign w:val="bottom"/>
            <w:tcBorders>
              <w:top w:val="single" w:sz="8" w:color="auto"/>
              <w:bottom w:val="single" w:sz="8" w:color="auto"/>
            </w:tcBorders>
          </w:tcPr>
          <w:p>
            <w:pPr>
              <w:spacing w:after="0"/>
              <w:rPr>
                <w:sz w:val="15"/>
                <w:szCs w:val="15"/>
                <w:color w:val="auto"/>
              </w:rPr>
            </w:pPr>
          </w:p>
        </w:tc>
        <w:tc>
          <w:tcPr>
            <w:tcW w:w="3920" w:type="dxa"/>
            <w:vAlign w:val="bottom"/>
          </w:tcPr>
          <w:p>
            <w:pPr>
              <w:ind w:left="2240"/>
              <w:spacing w:after="0" w:line="177" w:lineRule="exact"/>
              <w:rPr>
                <w:sz w:val="20"/>
                <w:szCs w:val="20"/>
                <w:color w:val="auto"/>
              </w:rPr>
            </w:pPr>
            <w:r>
              <w:rPr>
                <w:rFonts w:ascii="Arial" w:cs="Arial" w:eastAsia="Arial" w:hAnsi="Arial"/>
                <w:sz w:val="16"/>
                <w:szCs w:val="16"/>
                <w:color w:val="3B3C43"/>
              </w:rPr>
              <w:t>Name:</w:t>
            </w:r>
          </w:p>
        </w:tc>
        <w:tc>
          <w:tcPr>
            <w:tcW w:w="2800" w:type="dxa"/>
            <w:vAlign w:val="bottom"/>
            <w:tcBorders>
              <w:top w:val="single" w:sz="8" w:color="auto"/>
              <w:bottom w:val="single" w:sz="8" w:color="auto"/>
            </w:tcBorders>
          </w:tcPr>
          <w:p>
            <w:pPr>
              <w:spacing w:after="0"/>
              <w:rPr>
                <w:sz w:val="15"/>
                <w:szCs w:val="15"/>
                <w:color w:val="auto"/>
              </w:rPr>
            </w:pPr>
          </w:p>
        </w:tc>
      </w:tr>
      <w:tr>
        <w:trPr>
          <w:trHeight w:val="183"/>
        </w:trPr>
        <w:tc>
          <w:tcPr>
            <w:tcW w:w="1700" w:type="dxa"/>
            <w:vAlign w:val="bottom"/>
          </w:tcPr>
          <w:p>
            <w:pPr>
              <w:spacing w:after="0" w:line="183" w:lineRule="exact"/>
              <w:rPr>
                <w:sz w:val="20"/>
                <w:szCs w:val="20"/>
                <w:color w:val="auto"/>
              </w:rPr>
            </w:pPr>
            <w:r>
              <w:rPr>
                <w:rFonts w:ascii="Arial" w:cs="Arial" w:eastAsia="Arial" w:hAnsi="Arial"/>
                <w:sz w:val="16"/>
                <w:szCs w:val="16"/>
                <w:color w:val="3B3C43"/>
              </w:rPr>
              <w:t>Title:</w:t>
            </w:r>
          </w:p>
        </w:tc>
        <w:tc>
          <w:tcPr>
            <w:tcW w:w="2820" w:type="dxa"/>
            <w:vAlign w:val="bottom"/>
            <w:tcBorders>
              <w:bottom w:val="single" w:sz="8" w:color="auto"/>
            </w:tcBorders>
          </w:tcPr>
          <w:p>
            <w:pPr>
              <w:spacing w:after="0"/>
              <w:rPr>
                <w:sz w:val="15"/>
                <w:szCs w:val="15"/>
                <w:color w:val="auto"/>
              </w:rPr>
            </w:pPr>
          </w:p>
        </w:tc>
        <w:tc>
          <w:tcPr>
            <w:tcW w:w="3920" w:type="dxa"/>
            <w:vAlign w:val="bottom"/>
          </w:tcPr>
          <w:p>
            <w:pPr>
              <w:ind w:left="2240"/>
              <w:spacing w:after="0" w:line="183" w:lineRule="exact"/>
              <w:rPr>
                <w:sz w:val="20"/>
                <w:szCs w:val="20"/>
                <w:color w:val="auto"/>
              </w:rPr>
            </w:pPr>
            <w:r>
              <w:rPr>
                <w:rFonts w:ascii="Arial" w:cs="Arial" w:eastAsia="Arial" w:hAnsi="Arial"/>
                <w:sz w:val="16"/>
                <w:szCs w:val="16"/>
                <w:color w:val="3B3C43"/>
              </w:rPr>
              <w:t>Title:</w:t>
            </w:r>
          </w:p>
        </w:tc>
        <w:tc>
          <w:tcPr>
            <w:tcW w:w="2800" w:type="dxa"/>
            <w:vAlign w:val="bottom"/>
            <w:tcBorders>
              <w:bottom w:val="single" w:sz="8" w:color="auto"/>
            </w:tcBorders>
          </w:tcPr>
          <w:p>
            <w:pPr>
              <w:spacing w:after="0"/>
              <w:rPr>
                <w:sz w:val="15"/>
                <w:szCs w:val="15"/>
                <w:color w:val="auto"/>
              </w:rPr>
            </w:pPr>
          </w:p>
        </w:tc>
      </w:tr>
      <w:tr>
        <w:trPr>
          <w:trHeight w:val="365"/>
        </w:trPr>
        <w:tc>
          <w:tcPr>
            <w:tcW w:w="1700" w:type="dxa"/>
            <w:vAlign w:val="bottom"/>
          </w:tcPr>
          <w:p>
            <w:pPr>
              <w:spacing w:after="0"/>
              <w:rPr>
                <w:sz w:val="20"/>
                <w:szCs w:val="20"/>
                <w:color w:val="auto"/>
              </w:rPr>
            </w:pPr>
            <w:r>
              <w:rPr>
                <w:rFonts w:ascii="Arial" w:cs="Arial" w:eastAsia="Arial" w:hAnsi="Arial"/>
                <w:sz w:val="14"/>
                <w:szCs w:val="14"/>
                <w:color w:val="auto"/>
              </w:rPr>
              <w:t>161 TechnipFMC</w:t>
            </w:r>
          </w:p>
        </w:tc>
        <w:tc>
          <w:tcPr>
            <w:tcW w:w="28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606"/>
        </w:trPr>
        <w:tc>
          <w:tcPr>
            <w:tcW w:w="1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15" w:right="33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67"/>
          <w:szCs w:val="67"/>
          <w:color w:val="4B1F68"/>
        </w:rPr>
        <w:t>Appendix B — Form</w:t>
      </w:r>
    </w:p>
    <w:p>
      <w:pPr>
        <w:spacing w:after="0"/>
        <w:rPr>
          <w:sz w:val="20"/>
          <w:szCs w:val="20"/>
          <w:color w:val="auto"/>
        </w:rPr>
      </w:pPr>
      <w:r>
        <w:rPr>
          <w:rFonts w:ascii="Arial" w:cs="Arial" w:eastAsia="Arial" w:hAnsi="Arial"/>
          <w:sz w:val="67"/>
          <w:szCs w:val="67"/>
          <w:color w:val="4B1F68"/>
        </w:rPr>
        <w:t>of Rule 10b-5 Share Repurchase</w:t>
      </w:r>
    </w:p>
    <w:p>
      <w:pPr>
        <w:spacing w:after="0"/>
        <w:rPr>
          <w:sz w:val="20"/>
          <w:szCs w:val="20"/>
          <w:color w:val="auto"/>
        </w:rPr>
      </w:pPr>
      <w:r>
        <w:rPr>
          <w:rFonts w:ascii="Arial" w:cs="Arial" w:eastAsia="Arial" w:hAnsi="Arial"/>
          <w:sz w:val="67"/>
          <w:szCs w:val="67"/>
          <w:color w:val="4B1F68"/>
        </w:rPr>
        <w:t>Contract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3B3C43"/>
        </w:rPr>
        <w:t>Repurchase Plan, dated ________(the “</w:t>
      </w:r>
      <w:r>
        <w:rPr>
          <w:rFonts w:ascii="Arial" w:cs="Arial" w:eastAsia="Arial" w:hAnsi="Arial"/>
          <w:sz w:val="16"/>
          <w:szCs w:val="16"/>
          <w:b w:val="1"/>
          <w:bCs w:val="1"/>
          <w:color w:val="3B3C43"/>
        </w:rPr>
        <w:t>Repurchase Plan</w:t>
      </w:r>
      <w:r>
        <w:rPr>
          <w:rFonts w:ascii="Arial" w:cs="Arial" w:eastAsia="Arial" w:hAnsi="Arial"/>
          <w:sz w:val="16"/>
          <w:szCs w:val="16"/>
          <w:color w:val="3B3C43"/>
        </w:rPr>
        <w:t>”), between TechnipFMC plc (the “</w:t>
      </w:r>
      <w:r>
        <w:rPr>
          <w:rFonts w:ascii="Arial" w:cs="Arial" w:eastAsia="Arial" w:hAnsi="Arial"/>
          <w:sz w:val="16"/>
          <w:szCs w:val="16"/>
          <w:b w:val="1"/>
          <w:bCs w:val="1"/>
          <w:color w:val="3B3C43"/>
        </w:rPr>
        <w:t>Company</w:t>
      </w:r>
      <w:r>
        <w:rPr>
          <w:rFonts w:ascii="Arial" w:cs="Arial" w:eastAsia="Arial" w:hAnsi="Arial"/>
          <w:sz w:val="16"/>
          <w:szCs w:val="16"/>
          <w:color w:val="3B3C43"/>
        </w:rPr>
        <w:t>”) and _______(the “</w:t>
      </w:r>
      <w:r>
        <w:rPr>
          <w:rFonts w:ascii="Arial" w:cs="Arial" w:eastAsia="Arial" w:hAnsi="Arial"/>
          <w:sz w:val="16"/>
          <w:szCs w:val="16"/>
          <w:b w:val="1"/>
          <w:bCs w:val="1"/>
          <w:color w:val="3B3C43"/>
        </w:rPr>
        <w:t>Counterparty</w:t>
      </w:r>
      <w:r>
        <w:rPr>
          <w:rFonts w:ascii="Arial" w:cs="Arial" w:eastAsia="Arial" w:hAnsi="Arial"/>
          <w:sz w:val="16"/>
          <w:szCs w:val="16"/>
          <w:color w:val="3B3C43"/>
        </w:rPr>
        <w:t>”). Capitalised</w:t>
      </w:r>
    </w:p>
    <w:p>
      <w:pPr>
        <w:spacing w:after="0" w:line="25" w:lineRule="exact"/>
        <w:rPr>
          <w:sz w:val="20"/>
          <w:szCs w:val="20"/>
          <w:color w:val="auto"/>
        </w:rPr>
      </w:pPr>
    </w:p>
    <w:p>
      <w:pPr>
        <w:ind w:right="720"/>
        <w:spacing w:after="0" w:line="260" w:lineRule="auto"/>
        <w:rPr>
          <w:sz w:val="20"/>
          <w:szCs w:val="20"/>
          <w:color w:val="auto"/>
        </w:rPr>
      </w:pPr>
      <w:r>
        <w:rPr>
          <w:rFonts w:ascii="Arial" w:cs="Arial" w:eastAsia="Arial" w:hAnsi="Arial"/>
          <w:sz w:val="16"/>
          <w:szCs w:val="16"/>
          <w:color w:val="3B3C43"/>
        </w:rPr>
        <w:t>terms used and not otherwise defined in the body of this Repurchase Plan shall have the meaning given to such terms in Exhibit A hereto, which is incorporated herein and made part of this Repurchase Plan.</w:t>
      </w:r>
    </w:p>
    <w:p>
      <w:pPr>
        <w:spacing w:after="0" w:line="148"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3B3C43"/>
        </w:rPr>
        <w:t>WHEREAS, the Company desires to establish this Repurchase Plan to purchase its Ordinary Shares, nominal value $1.00 per share (the “</w:t>
      </w:r>
      <w:r>
        <w:rPr>
          <w:rFonts w:ascii="Arial" w:cs="Arial" w:eastAsia="Arial" w:hAnsi="Arial"/>
          <w:sz w:val="16"/>
          <w:szCs w:val="16"/>
          <w:b w:val="1"/>
          <w:bCs w:val="1"/>
          <w:color w:val="3B3C43"/>
        </w:rPr>
        <w:t>Ordinary</w:t>
      </w:r>
      <w:r>
        <w:rPr>
          <w:rFonts w:ascii="Arial" w:cs="Arial" w:eastAsia="Arial" w:hAnsi="Arial"/>
          <w:sz w:val="16"/>
          <w:szCs w:val="16"/>
          <w:color w:val="3B3C43"/>
        </w:rPr>
        <w:t xml:space="preserve"> </w:t>
      </w:r>
      <w:r>
        <w:rPr>
          <w:rFonts w:ascii="Arial" w:cs="Arial" w:eastAsia="Arial" w:hAnsi="Arial"/>
          <w:sz w:val="16"/>
          <w:szCs w:val="16"/>
          <w:b w:val="1"/>
          <w:bCs w:val="1"/>
          <w:color w:val="3B3C43"/>
        </w:rPr>
        <w:t>Shares</w:t>
      </w:r>
      <w:r>
        <w:rPr>
          <w:rFonts w:ascii="Arial" w:cs="Arial" w:eastAsia="Arial" w:hAnsi="Arial"/>
          <w:sz w:val="16"/>
          <w:szCs w:val="16"/>
          <w:color w:val="3B3C43"/>
        </w:rPr>
        <w:t>”); and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3B3C43"/>
        </w:rPr>
        <w:t>WHEREAS, the Company desires to purchase Ordinary Shares from the Counterparty in accordance with this Repurchase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NOW, THEREFORE, the Company and the Counterparty hereby agree as follows:</w:t>
      </w:r>
    </w:p>
    <w:p>
      <w:pPr>
        <w:spacing w:after="0" w:line="194" w:lineRule="exact"/>
        <w:rPr>
          <w:sz w:val="20"/>
          <w:szCs w:val="20"/>
          <w:color w:val="auto"/>
        </w:rPr>
      </w:pPr>
    </w:p>
    <w:p>
      <w:pPr>
        <w:ind w:left="340" w:right="200" w:hanging="332"/>
        <w:spacing w:after="0" w:line="260" w:lineRule="auto"/>
        <w:tabs>
          <w:tab w:leader="none" w:pos="340" w:val="left"/>
        </w:tabs>
        <w:numPr>
          <w:ilvl w:val="0"/>
          <w:numId w:val="163"/>
        </w:numPr>
        <w:rPr>
          <w:rFonts w:ascii="Arial" w:cs="Arial" w:eastAsia="Arial" w:hAnsi="Arial"/>
          <w:sz w:val="16"/>
          <w:szCs w:val="16"/>
          <w:color w:val="3B3C43"/>
        </w:rPr>
      </w:pPr>
      <w:r>
        <w:rPr>
          <w:rFonts w:ascii="Arial" w:cs="Arial" w:eastAsia="Arial" w:hAnsi="Arial"/>
          <w:sz w:val="16"/>
          <w:szCs w:val="16"/>
          <w:color w:val="3B3C43"/>
        </w:rPr>
        <w:t>Prior to the commencement of transactions contemplated by this Repurchase Plan the parties shall agree in writing in a form substantially as set forth on Exhibit A hereto to certain terms in respect of the proposed repurchase.</w:t>
      </w:r>
    </w:p>
    <w:p>
      <w:pPr>
        <w:spacing w:after="0" w:line="168" w:lineRule="exact"/>
        <w:rPr>
          <w:rFonts w:ascii="Arial" w:cs="Arial" w:eastAsia="Arial" w:hAnsi="Arial"/>
          <w:sz w:val="16"/>
          <w:szCs w:val="16"/>
          <w:color w:val="3B3C43"/>
        </w:rPr>
      </w:pPr>
    </w:p>
    <w:p>
      <w:pPr>
        <w:ind w:left="340" w:right="60" w:hanging="332"/>
        <w:spacing w:after="0" w:line="249" w:lineRule="auto"/>
        <w:tabs>
          <w:tab w:leader="none" w:pos="340" w:val="left"/>
        </w:tabs>
        <w:numPr>
          <w:ilvl w:val="0"/>
          <w:numId w:val="163"/>
        </w:numPr>
        <w:rPr>
          <w:rFonts w:ascii="Arial" w:cs="Arial" w:eastAsia="Arial" w:hAnsi="Arial"/>
          <w:sz w:val="16"/>
          <w:szCs w:val="16"/>
          <w:color w:val="3B3C43"/>
        </w:rPr>
      </w:pPr>
      <w:r>
        <w:rPr>
          <w:rFonts w:ascii="Arial" w:cs="Arial" w:eastAsia="Arial" w:hAnsi="Arial"/>
          <w:sz w:val="16"/>
          <w:szCs w:val="16"/>
          <w:color w:val="3B3C43"/>
        </w:rPr>
        <w:t>During the Trading Period, the Counterparty shall purchase as principal Ordinary Shares having a maximum aggregate value of no more than the Total Repurchase Amount. On each day (each, a “</w:t>
      </w:r>
      <w:r>
        <w:rPr>
          <w:rFonts w:ascii="Arial" w:cs="Arial" w:eastAsia="Arial" w:hAnsi="Arial"/>
          <w:sz w:val="16"/>
          <w:szCs w:val="16"/>
          <w:b w:val="1"/>
          <w:bCs w:val="1"/>
          <w:color w:val="3B3C43"/>
        </w:rPr>
        <w:t>Trading Day</w:t>
      </w:r>
      <w:r>
        <w:rPr>
          <w:rFonts w:ascii="Arial" w:cs="Arial" w:eastAsia="Arial" w:hAnsi="Arial"/>
          <w:sz w:val="16"/>
          <w:szCs w:val="16"/>
          <w:color w:val="3B3C43"/>
        </w:rPr>
        <w:t>”) during the Trading Period on which the relevant Exchange is open for trading the Counterparty shall purchase that number of Ordinary Shares having an aggregate value of up to the Maximum Amount, plus or minus up to $1,000, using its reasonable efforts to purchase such Ordinary Shares at a price equal to the volume weighted average price for such day’s trading session and otherwise in accordance with instructions in a form to be agreed to between the Company and the Counterparty. Notwithstanding the foregoing, the Counterparty shall not purchase any Ordinary Shares at a price exceeding the Limit Price.</w:t>
      </w:r>
    </w:p>
    <w:p>
      <w:pPr>
        <w:spacing w:after="0" w:line="177" w:lineRule="exact"/>
        <w:rPr>
          <w:rFonts w:ascii="Arial" w:cs="Arial" w:eastAsia="Arial" w:hAnsi="Arial"/>
          <w:sz w:val="16"/>
          <w:szCs w:val="16"/>
          <w:color w:val="3B3C43"/>
        </w:rPr>
      </w:pPr>
    </w:p>
    <w:p>
      <w:pPr>
        <w:ind w:left="340" w:hanging="332"/>
        <w:spacing w:after="0" w:line="250" w:lineRule="auto"/>
        <w:tabs>
          <w:tab w:leader="none" w:pos="340" w:val="left"/>
        </w:tabs>
        <w:numPr>
          <w:ilvl w:val="0"/>
          <w:numId w:val="163"/>
        </w:numPr>
        <w:rPr>
          <w:rFonts w:ascii="Arial" w:cs="Arial" w:eastAsia="Arial" w:hAnsi="Arial"/>
          <w:sz w:val="16"/>
          <w:szCs w:val="16"/>
          <w:color w:val="3B3C43"/>
        </w:rPr>
      </w:pPr>
      <w:r>
        <w:rPr>
          <w:rFonts w:ascii="Arial" w:cs="Arial" w:eastAsia="Arial" w:hAnsi="Arial"/>
          <w:sz w:val="16"/>
          <w:szCs w:val="16"/>
          <w:color w:val="3B3C43"/>
        </w:rPr>
        <w:t>The Counterparty shall (including without limitation, by liaising with ________________ (or its successor or assign) as transfer agent and registrar of the Company (the “</w:t>
      </w:r>
      <w:r>
        <w:rPr>
          <w:rFonts w:ascii="Arial" w:cs="Arial" w:eastAsia="Arial" w:hAnsi="Arial"/>
          <w:sz w:val="16"/>
          <w:szCs w:val="16"/>
          <w:b w:val="1"/>
          <w:bCs w:val="1"/>
          <w:color w:val="3B3C43"/>
        </w:rPr>
        <w:t>Transfer Agent</w:t>
      </w:r>
      <w:r>
        <w:rPr>
          <w:rFonts w:ascii="Arial" w:cs="Arial" w:eastAsia="Arial" w:hAnsi="Arial"/>
          <w:sz w:val="16"/>
          <w:szCs w:val="16"/>
          <w:color w:val="3B3C43"/>
        </w:rPr>
        <w:t>”)) procure that any Ordinary Share to be sold by the Counterparty to the Company is transmitted or delivered by DWAC or similar means of transmission so that such Ordinary Share is withdrawn from the facilities of the Depositary Trust Company (the “</w:t>
      </w:r>
      <w:r>
        <w:rPr>
          <w:rFonts w:ascii="Arial" w:cs="Arial" w:eastAsia="Arial" w:hAnsi="Arial"/>
          <w:sz w:val="16"/>
          <w:szCs w:val="16"/>
          <w:b w:val="1"/>
          <w:bCs w:val="1"/>
          <w:color w:val="3B3C43"/>
        </w:rPr>
        <w:t>DTC System</w:t>
      </w:r>
      <w:r>
        <w:rPr>
          <w:rFonts w:ascii="Arial" w:cs="Arial" w:eastAsia="Arial" w:hAnsi="Arial"/>
          <w:sz w:val="16"/>
          <w:szCs w:val="16"/>
          <w:color w:val="3B3C43"/>
        </w:rPr>
        <w:t>”) (in particular by removing any Ordinary Share deposited with the nominee of the DTC System, Cede &amp; Co.) and the Company receives the Ordinary Share in record form (a “</w:t>
      </w:r>
      <w:r>
        <w:rPr>
          <w:rFonts w:ascii="Arial" w:cs="Arial" w:eastAsia="Arial" w:hAnsi="Arial"/>
          <w:sz w:val="16"/>
          <w:szCs w:val="16"/>
          <w:b w:val="1"/>
          <w:bCs w:val="1"/>
          <w:color w:val="3B3C43"/>
        </w:rPr>
        <w:t>Record Share</w:t>
      </w:r>
      <w:r>
        <w:rPr>
          <w:rFonts w:ascii="Arial" w:cs="Arial" w:eastAsia="Arial" w:hAnsi="Arial"/>
          <w:sz w:val="16"/>
          <w:szCs w:val="16"/>
          <w:color w:val="3B3C43"/>
        </w:rPr>
        <w:t>”).</w:t>
      </w:r>
    </w:p>
    <w:p>
      <w:pPr>
        <w:spacing w:after="0" w:line="175" w:lineRule="exact"/>
        <w:rPr>
          <w:rFonts w:ascii="Arial" w:cs="Arial" w:eastAsia="Arial" w:hAnsi="Arial"/>
          <w:sz w:val="16"/>
          <w:szCs w:val="16"/>
          <w:color w:val="3B3C43"/>
        </w:rPr>
      </w:pPr>
    </w:p>
    <w:p>
      <w:pPr>
        <w:ind w:left="340" w:hanging="332"/>
        <w:spacing w:after="0" w:line="250" w:lineRule="auto"/>
        <w:tabs>
          <w:tab w:leader="none" w:pos="340" w:val="left"/>
        </w:tabs>
        <w:numPr>
          <w:ilvl w:val="0"/>
          <w:numId w:val="163"/>
        </w:numPr>
        <w:rPr>
          <w:rFonts w:ascii="Arial" w:cs="Arial" w:eastAsia="Arial" w:hAnsi="Arial"/>
          <w:sz w:val="16"/>
          <w:szCs w:val="16"/>
          <w:color w:val="3B3C43"/>
        </w:rPr>
      </w:pPr>
      <w:r>
        <w:rPr>
          <w:rFonts w:ascii="Arial" w:cs="Arial" w:eastAsia="Arial" w:hAnsi="Arial"/>
          <w:sz w:val="16"/>
          <w:szCs w:val="16"/>
          <w:color w:val="3B3C43"/>
        </w:rPr>
        <w:t>In accordance with Paragraph 3, the Counterparty shall sell, and the Company shall purchase all such Record Shares, and following such purchase and delivery, the Company shall be registered as the record holder of such Record Shares or such Record Shares shall otherwise be cancelled. The Company shall be responsible for any stamp duty that is due in respect of the purchase of Record Shares from the Counterparty. 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162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left="340" w:right="100" w:hanging="332"/>
        <w:spacing w:after="0" w:line="251" w:lineRule="auto"/>
        <w:tabs>
          <w:tab w:leader="none" w:pos="340" w:val="left"/>
        </w:tabs>
        <w:numPr>
          <w:ilvl w:val="0"/>
          <w:numId w:val="164"/>
        </w:numPr>
        <w:rPr>
          <w:rFonts w:ascii="Arial" w:cs="Arial" w:eastAsia="Arial" w:hAnsi="Arial"/>
          <w:sz w:val="16"/>
          <w:szCs w:val="16"/>
          <w:color w:val="3B3C43"/>
        </w:rPr>
      </w:pPr>
      <w:r>
        <w:rPr>
          <w:rFonts w:ascii="Arial" w:cs="Arial" w:eastAsia="Arial" w:hAnsi="Arial"/>
          <w:sz w:val="16"/>
          <w:szCs w:val="16"/>
          <w:color w:val="3B3C43"/>
        </w:rPr>
        <w:t>The Company will pay for any Record Shares purchased by it in accordance with Paragraph 4 above by a method agreeable to the Company and the Counterparty by no later than the date of delivery of the Record Shares. Any commission payable by the Company in respect of the delivery of Record Shares shall be set forth on Exhibit A, and shall be paid to the Counterparty by the Company on delivery of the Record Shares. The relevant bank account details of the Counterparty or its designee shall be notified to the Company by the Counterparty in writing from time to time.</w:t>
      </w:r>
    </w:p>
    <w:p>
      <w:pPr>
        <w:spacing w:after="0" w:line="175" w:lineRule="exact"/>
        <w:rPr>
          <w:rFonts w:ascii="Arial" w:cs="Arial" w:eastAsia="Arial" w:hAnsi="Arial"/>
          <w:sz w:val="16"/>
          <w:szCs w:val="16"/>
          <w:color w:val="3B3C43"/>
        </w:rPr>
      </w:pPr>
    </w:p>
    <w:p>
      <w:pPr>
        <w:ind w:left="340" w:hanging="332"/>
        <w:spacing w:after="0"/>
        <w:tabs>
          <w:tab w:leader="none" w:pos="340" w:val="left"/>
        </w:tabs>
        <w:numPr>
          <w:ilvl w:val="0"/>
          <w:numId w:val="164"/>
        </w:numPr>
        <w:rPr>
          <w:rFonts w:ascii="Arial" w:cs="Arial" w:eastAsia="Arial" w:hAnsi="Arial"/>
          <w:sz w:val="16"/>
          <w:szCs w:val="16"/>
          <w:color w:val="3B3C43"/>
        </w:rPr>
      </w:pPr>
      <w:r>
        <w:rPr>
          <w:rFonts w:ascii="Arial" w:cs="Arial" w:eastAsia="Arial" w:hAnsi="Arial"/>
          <w:sz w:val="16"/>
          <w:szCs w:val="16"/>
          <w:color w:val="3B3C43"/>
        </w:rPr>
        <w:t>The Repurchase Plan shall terminate upon the earliest of:</w:t>
      </w:r>
    </w:p>
    <w:p>
      <w:pPr>
        <w:spacing w:after="0" w:line="194" w:lineRule="exact"/>
        <w:rPr>
          <w:rFonts w:ascii="Arial" w:cs="Arial" w:eastAsia="Arial" w:hAnsi="Arial"/>
          <w:sz w:val="16"/>
          <w:szCs w:val="16"/>
          <w:color w:val="3B3C43"/>
        </w:rPr>
      </w:pPr>
    </w:p>
    <w:p>
      <w:pPr>
        <w:ind w:left="380" w:hanging="183"/>
        <w:spacing w:after="0"/>
        <w:tabs>
          <w:tab w:leader="none" w:pos="380" w:val="left"/>
        </w:tabs>
        <w:numPr>
          <w:ilvl w:val="1"/>
          <w:numId w:val="164"/>
        </w:numPr>
        <w:rPr>
          <w:rFonts w:ascii="Arial" w:cs="Arial" w:eastAsia="Arial" w:hAnsi="Arial"/>
          <w:sz w:val="16"/>
          <w:szCs w:val="16"/>
          <w:color w:val="3B3C43"/>
        </w:rPr>
      </w:pPr>
      <w:r>
        <w:rPr>
          <w:rFonts w:ascii="Arial" w:cs="Arial" w:eastAsia="Arial" w:hAnsi="Arial"/>
          <w:sz w:val="16"/>
          <w:szCs w:val="16"/>
          <w:color w:val="3B3C43"/>
        </w:rPr>
        <w:t>the repurchase of the Total Repurchase Amount contemplated by the Repurchase Plan, as set forth in Paragraph 2;</w:t>
      </w:r>
    </w:p>
    <w:p>
      <w:pPr>
        <w:spacing w:after="0" w:line="194" w:lineRule="exact"/>
        <w:rPr>
          <w:rFonts w:ascii="Arial" w:cs="Arial" w:eastAsia="Arial" w:hAnsi="Arial"/>
          <w:sz w:val="16"/>
          <w:szCs w:val="16"/>
          <w:color w:val="3B3C43"/>
        </w:rPr>
      </w:pPr>
    </w:p>
    <w:p>
      <w:pPr>
        <w:ind w:left="380" w:hanging="183"/>
        <w:spacing w:after="0"/>
        <w:tabs>
          <w:tab w:leader="none" w:pos="380" w:val="left"/>
        </w:tabs>
        <w:numPr>
          <w:ilvl w:val="1"/>
          <w:numId w:val="164"/>
        </w:numPr>
        <w:rPr>
          <w:rFonts w:ascii="Arial" w:cs="Arial" w:eastAsia="Arial" w:hAnsi="Arial"/>
          <w:sz w:val="16"/>
          <w:szCs w:val="16"/>
          <w:color w:val="3B3C43"/>
        </w:rPr>
      </w:pPr>
      <w:r>
        <w:rPr>
          <w:rFonts w:ascii="Arial" w:cs="Arial" w:eastAsia="Arial" w:hAnsi="Arial"/>
          <w:sz w:val="16"/>
          <w:szCs w:val="16"/>
          <w:color w:val="3B3C43"/>
        </w:rPr>
        <w:t>the close of business on the last day of the Trading Period;</w:t>
      </w:r>
    </w:p>
    <w:p>
      <w:pPr>
        <w:spacing w:after="0" w:line="194" w:lineRule="exact"/>
        <w:rPr>
          <w:rFonts w:ascii="Arial" w:cs="Arial" w:eastAsia="Arial" w:hAnsi="Arial"/>
          <w:sz w:val="16"/>
          <w:szCs w:val="16"/>
          <w:color w:val="3B3C43"/>
        </w:rPr>
      </w:pPr>
    </w:p>
    <w:p>
      <w:pPr>
        <w:ind w:left="380" w:right="420" w:hanging="183"/>
        <w:spacing w:after="0" w:line="260" w:lineRule="auto"/>
        <w:tabs>
          <w:tab w:leader="none" w:pos="380" w:val="left"/>
        </w:tabs>
        <w:numPr>
          <w:ilvl w:val="1"/>
          <w:numId w:val="164"/>
        </w:numPr>
        <w:rPr>
          <w:rFonts w:ascii="Arial" w:cs="Arial" w:eastAsia="Arial" w:hAnsi="Arial"/>
          <w:sz w:val="16"/>
          <w:szCs w:val="16"/>
          <w:color w:val="3B3C43"/>
        </w:rPr>
      </w:pPr>
      <w:r>
        <w:rPr>
          <w:rFonts w:ascii="Arial" w:cs="Arial" w:eastAsia="Arial" w:hAnsi="Arial"/>
          <w:sz w:val="16"/>
          <w:szCs w:val="16"/>
          <w:color w:val="3B3C43"/>
        </w:rPr>
        <w:t>the close of business on the second business day following the date of receipt by the Counterparty of notice of early termination, delivered by the Company by facsimile to __________ attention: ___________ or by email to ___________;</w:t>
      </w:r>
    </w:p>
    <w:p>
      <w:pPr>
        <w:spacing w:after="0" w:line="168" w:lineRule="exact"/>
        <w:rPr>
          <w:rFonts w:ascii="Arial" w:cs="Arial" w:eastAsia="Arial" w:hAnsi="Arial"/>
          <w:sz w:val="16"/>
          <w:szCs w:val="16"/>
          <w:color w:val="3B3C43"/>
        </w:rPr>
      </w:pPr>
    </w:p>
    <w:p>
      <w:pPr>
        <w:ind w:left="380" w:hanging="183"/>
        <w:spacing w:after="0" w:line="253" w:lineRule="auto"/>
        <w:tabs>
          <w:tab w:leader="none" w:pos="380" w:val="left"/>
        </w:tabs>
        <w:numPr>
          <w:ilvl w:val="1"/>
          <w:numId w:val="164"/>
        </w:numPr>
        <w:rPr>
          <w:rFonts w:ascii="Arial" w:cs="Arial" w:eastAsia="Arial" w:hAnsi="Arial"/>
          <w:sz w:val="16"/>
          <w:szCs w:val="16"/>
          <w:color w:val="3B3C43"/>
        </w:rPr>
      </w:pPr>
      <w:r>
        <w:rPr>
          <w:rFonts w:ascii="Arial" w:cs="Arial" w:eastAsia="Arial" w:hAnsi="Arial"/>
          <w:sz w:val="16"/>
          <w:szCs w:val="16"/>
          <w:color w:val="3B3C43"/>
        </w:rPr>
        <w:t>the commencement of any voluntary or involuntary case or other proceeding seeking liquidation, reorganisation or other relief under any bankruptcy, insolvency or similar law or seeking the appointment of a trustee, receiver or other similar official, or the taking of any corporate action by the Company to authorise or commence any of the foregoing; and</w:t>
      </w:r>
    </w:p>
    <w:p>
      <w:pPr>
        <w:spacing w:after="0" w:line="174" w:lineRule="exact"/>
        <w:rPr>
          <w:rFonts w:ascii="Arial" w:cs="Arial" w:eastAsia="Arial" w:hAnsi="Arial"/>
          <w:sz w:val="16"/>
          <w:szCs w:val="16"/>
          <w:color w:val="3B3C43"/>
        </w:rPr>
      </w:pPr>
    </w:p>
    <w:p>
      <w:pPr>
        <w:ind w:left="380" w:right="260" w:hanging="183"/>
        <w:spacing w:after="0" w:line="260" w:lineRule="auto"/>
        <w:tabs>
          <w:tab w:leader="none" w:pos="380" w:val="left"/>
        </w:tabs>
        <w:numPr>
          <w:ilvl w:val="1"/>
          <w:numId w:val="164"/>
        </w:numPr>
        <w:rPr>
          <w:rFonts w:ascii="Arial" w:cs="Arial" w:eastAsia="Arial" w:hAnsi="Arial"/>
          <w:sz w:val="16"/>
          <w:szCs w:val="16"/>
          <w:color w:val="3B3C43"/>
        </w:rPr>
      </w:pPr>
      <w:r>
        <w:rPr>
          <w:rFonts w:ascii="Arial" w:cs="Arial" w:eastAsia="Arial" w:hAnsi="Arial"/>
          <w:sz w:val="16"/>
          <w:szCs w:val="16"/>
          <w:color w:val="3B3C43"/>
        </w:rPr>
        <w:t>the public announcement of a tender or exchange offer for the Ordinary Shares or of a merger, acquisition, recapitalisation or other similar business combination or transaction as a result of which the Ordinary Shares would be exchanged for or converted into cash, securities or other property.</w:t>
      </w:r>
    </w:p>
    <w:p>
      <w:pPr>
        <w:spacing w:after="0" w:line="168" w:lineRule="exact"/>
        <w:rPr>
          <w:rFonts w:ascii="Arial" w:cs="Arial" w:eastAsia="Arial" w:hAnsi="Arial"/>
          <w:sz w:val="16"/>
          <w:szCs w:val="16"/>
          <w:color w:val="3B3C43"/>
        </w:rPr>
      </w:pPr>
    </w:p>
    <w:p>
      <w:pPr>
        <w:ind w:left="340" w:right="140" w:hanging="332"/>
        <w:spacing w:after="0" w:line="250" w:lineRule="auto"/>
        <w:tabs>
          <w:tab w:leader="none" w:pos="340" w:val="left"/>
        </w:tabs>
        <w:numPr>
          <w:ilvl w:val="0"/>
          <w:numId w:val="164"/>
        </w:numPr>
        <w:rPr>
          <w:rFonts w:ascii="Arial" w:cs="Arial" w:eastAsia="Arial" w:hAnsi="Arial"/>
          <w:sz w:val="16"/>
          <w:szCs w:val="16"/>
          <w:color w:val="3B3C43"/>
        </w:rPr>
      </w:pPr>
      <w:r>
        <w:rPr>
          <w:rFonts w:ascii="Arial" w:cs="Arial" w:eastAsia="Arial" w:hAnsi="Arial"/>
          <w:sz w:val="16"/>
          <w:szCs w:val="16"/>
          <w:color w:val="3B3C43"/>
        </w:rPr>
        <w:t>The Counterparty shall comply with the requirements of paragraph (b)(2), (b)(3) and (b)(4) of Rule 10b-18 under the Securities Exchange Act of 1934, as may be amended or superseded from time to time (the “</w:t>
      </w:r>
      <w:r>
        <w:rPr>
          <w:rFonts w:ascii="Arial" w:cs="Arial" w:eastAsia="Arial" w:hAnsi="Arial"/>
          <w:sz w:val="16"/>
          <w:szCs w:val="16"/>
          <w:b w:val="1"/>
          <w:bCs w:val="1"/>
          <w:color w:val="3B3C43"/>
        </w:rPr>
        <w:t>Exchange Act</w:t>
      </w:r>
      <w:r>
        <w:rPr>
          <w:rFonts w:ascii="Arial" w:cs="Arial" w:eastAsia="Arial" w:hAnsi="Arial"/>
          <w:sz w:val="16"/>
          <w:szCs w:val="16"/>
          <w:color w:val="3B3C43"/>
        </w:rPr>
        <w:t>”) in connection with purchases of the Ordinary Shares in the open market pursuant to this Repurchase Plan. The Counterparty shall also comply with all requirements necessary to ensure the Repurchase Plan and the purchases thereunder fall under the safe harbour of Article 5 of MAR. The Company agrees not to take any action that would cause purchases not to comply with Rule 10b-18, Rule 10b5-1 or Regulation M of the Exchange Act.</w:t>
      </w:r>
    </w:p>
    <w:p>
      <w:pPr>
        <w:spacing w:after="0" w:line="175" w:lineRule="exact"/>
        <w:rPr>
          <w:rFonts w:ascii="Arial" w:cs="Arial" w:eastAsia="Arial" w:hAnsi="Arial"/>
          <w:sz w:val="16"/>
          <w:szCs w:val="16"/>
          <w:color w:val="3B3C43"/>
        </w:rPr>
      </w:pPr>
    </w:p>
    <w:p>
      <w:pPr>
        <w:ind w:left="340" w:hanging="332"/>
        <w:spacing w:after="0" w:line="248" w:lineRule="auto"/>
        <w:tabs>
          <w:tab w:leader="none" w:pos="340" w:val="left"/>
        </w:tabs>
        <w:numPr>
          <w:ilvl w:val="0"/>
          <w:numId w:val="164"/>
        </w:numPr>
        <w:rPr>
          <w:rFonts w:ascii="Arial" w:cs="Arial" w:eastAsia="Arial" w:hAnsi="Arial"/>
          <w:sz w:val="16"/>
          <w:szCs w:val="16"/>
          <w:color w:val="3B3C43"/>
        </w:rPr>
      </w:pPr>
      <w:r>
        <w:rPr>
          <w:rFonts w:ascii="Arial" w:cs="Arial" w:eastAsia="Arial" w:hAnsi="Arial"/>
          <w:sz w:val="16"/>
          <w:szCs w:val="16"/>
          <w:color w:val="3B3C43"/>
        </w:rPr>
        <w:t>The Company confirms that, on the date hereof that (a) it is not aware of material, non-public information or “inside information” as defined in MAR with respect to the Company or the Ordinary Shares, (b) it is entering into this Repurchase Plan in good faith, in full compliance with the applicable requirements under MAR, and not as part of a plan or scheme to evade the prohibitions of Rule 10b5-1 under the Exchange Act or other applicable securities laws, (c) it understands the proscriptions of Rule 10b5-1 in respect of offsetting and hedging transactions, (d) it will not disclose to any persons at the Counterparty effecting purchases under the Repurchase Plan any information regarding the Company that might influence the execution of the Repurchase Plan and (e) it will inform the Counterparty as soon as possible of any subsequent legal or contractual restrictions affecting the execution of the Repurchase Plan by the Counterparty or by the Company and of the occurrence of any event that would cause the Repurchase Plan to end or be suspended as contemplated in Paragraph 6.</w:t>
      </w:r>
    </w:p>
    <w:p>
      <w:pPr>
        <w:spacing w:after="0" w:line="180" w:lineRule="exact"/>
        <w:rPr>
          <w:rFonts w:ascii="Arial" w:cs="Arial" w:eastAsia="Arial" w:hAnsi="Arial"/>
          <w:sz w:val="16"/>
          <w:szCs w:val="16"/>
          <w:color w:val="3B3C43"/>
        </w:rPr>
      </w:pPr>
    </w:p>
    <w:p>
      <w:pPr>
        <w:ind w:left="340" w:hanging="332"/>
        <w:spacing w:after="0"/>
        <w:tabs>
          <w:tab w:leader="none" w:pos="340" w:val="left"/>
        </w:tabs>
        <w:numPr>
          <w:ilvl w:val="0"/>
          <w:numId w:val="164"/>
        </w:numPr>
        <w:rPr>
          <w:rFonts w:ascii="Arial" w:cs="Arial" w:eastAsia="Arial" w:hAnsi="Arial"/>
          <w:sz w:val="16"/>
          <w:szCs w:val="16"/>
          <w:color w:val="3B3C43"/>
        </w:rPr>
      </w:pPr>
      <w:r>
        <w:rPr>
          <w:rFonts w:ascii="Arial" w:cs="Arial" w:eastAsia="Arial" w:hAnsi="Arial"/>
          <w:sz w:val="16"/>
          <w:szCs w:val="16"/>
          <w:color w:val="3B3C43"/>
        </w:rPr>
        <w:t>If the Counterparty must suspend purchases of Ordinary Shares under this Repurchase Plan on a particular day for any of the following reasons:</w:t>
      </w:r>
    </w:p>
    <w:p>
      <w:pPr>
        <w:spacing w:after="0" w:line="194" w:lineRule="exact"/>
        <w:rPr>
          <w:rFonts w:ascii="Arial" w:cs="Arial" w:eastAsia="Arial" w:hAnsi="Arial"/>
          <w:sz w:val="16"/>
          <w:szCs w:val="16"/>
          <w:color w:val="3B3C43"/>
        </w:rPr>
      </w:pPr>
    </w:p>
    <w:p>
      <w:pPr>
        <w:ind w:left="380" w:hanging="183"/>
        <w:spacing w:after="0"/>
        <w:tabs>
          <w:tab w:leader="none" w:pos="380" w:val="left"/>
        </w:tabs>
        <w:numPr>
          <w:ilvl w:val="1"/>
          <w:numId w:val="164"/>
        </w:numPr>
        <w:rPr>
          <w:rFonts w:ascii="Arial" w:cs="Arial" w:eastAsia="Arial" w:hAnsi="Arial"/>
          <w:sz w:val="16"/>
          <w:szCs w:val="16"/>
          <w:color w:val="3B3C43"/>
        </w:rPr>
      </w:pPr>
      <w:r>
        <w:rPr>
          <w:rFonts w:ascii="Arial" w:cs="Arial" w:eastAsia="Arial" w:hAnsi="Arial"/>
          <w:sz w:val="16"/>
          <w:szCs w:val="16"/>
          <w:color w:val="3B3C43"/>
        </w:rPr>
        <w:t>a day specified by the Repurchase Plan is not a day on which the Ordinary Shares trade regular way on the relevant Exchange;</w:t>
      </w:r>
    </w:p>
    <w:p>
      <w:pPr>
        <w:spacing w:after="0" w:line="194" w:lineRule="exact"/>
        <w:rPr>
          <w:rFonts w:ascii="Arial" w:cs="Arial" w:eastAsia="Arial" w:hAnsi="Arial"/>
          <w:sz w:val="16"/>
          <w:szCs w:val="16"/>
          <w:color w:val="3B3C43"/>
        </w:rPr>
      </w:pPr>
    </w:p>
    <w:p>
      <w:pPr>
        <w:ind w:left="380" w:hanging="183"/>
        <w:spacing w:after="0"/>
        <w:tabs>
          <w:tab w:leader="none" w:pos="380" w:val="left"/>
        </w:tabs>
        <w:numPr>
          <w:ilvl w:val="1"/>
          <w:numId w:val="164"/>
        </w:numPr>
        <w:rPr>
          <w:rFonts w:ascii="Arial" w:cs="Arial" w:eastAsia="Arial" w:hAnsi="Arial"/>
          <w:sz w:val="16"/>
          <w:szCs w:val="16"/>
          <w:color w:val="3B3C43"/>
        </w:rPr>
      </w:pPr>
      <w:r>
        <w:rPr>
          <w:rFonts w:ascii="Arial" w:cs="Arial" w:eastAsia="Arial" w:hAnsi="Arial"/>
          <w:sz w:val="16"/>
          <w:szCs w:val="16"/>
          <w:color w:val="3B3C43"/>
        </w:rPr>
        <w:t>trading of the Ordinary Shares on the relevant Exchange is suspended for any reason; or</w:t>
      </w:r>
    </w:p>
    <w:p>
      <w:pPr>
        <w:spacing w:after="0" w:line="194" w:lineRule="exact"/>
        <w:rPr>
          <w:rFonts w:ascii="Arial" w:cs="Arial" w:eastAsia="Arial" w:hAnsi="Arial"/>
          <w:sz w:val="16"/>
          <w:szCs w:val="16"/>
          <w:color w:val="3B3C43"/>
        </w:rPr>
      </w:pPr>
    </w:p>
    <w:p>
      <w:pPr>
        <w:ind w:left="380" w:right="360" w:hanging="183"/>
        <w:spacing w:after="0" w:line="260" w:lineRule="auto"/>
        <w:tabs>
          <w:tab w:leader="none" w:pos="380" w:val="left"/>
        </w:tabs>
        <w:numPr>
          <w:ilvl w:val="1"/>
          <w:numId w:val="164"/>
        </w:numPr>
        <w:rPr>
          <w:rFonts w:ascii="Arial" w:cs="Arial" w:eastAsia="Arial" w:hAnsi="Arial"/>
          <w:sz w:val="16"/>
          <w:szCs w:val="16"/>
          <w:color w:val="3B3C43"/>
        </w:rPr>
      </w:pPr>
      <w:r>
        <w:rPr>
          <w:rFonts w:ascii="Arial" w:cs="Arial" w:eastAsia="Arial" w:hAnsi="Arial"/>
          <w:sz w:val="16"/>
          <w:szCs w:val="16"/>
          <w:color w:val="3B3C43"/>
        </w:rPr>
        <w:t>the Counterparty cannot effect a purchase of Ordinary Shares due to legal, regulatory or contractual restrictions applicable to it or to the Company (including without limitation, Regulation M, Rule 10b-5 or Rule 10b-18 and MAR);</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163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15" w:right="399"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ind w:left="380" w:right="340"/>
        <w:spacing w:after="0" w:line="260" w:lineRule="auto"/>
        <w:rPr>
          <w:sz w:val="20"/>
          <w:szCs w:val="20"/>
          <w:color w:val="auto"/>
        </w:rPr>
      </w:pPr>
      <w:r>
        <w:rPr>
          <w:rFonts w:ascii="Arial" w:cs="Arial" w:eastAsia="Arial" w:hAnsi="Arial"/>
          <w:sz w:val="16"/>
          <w:szCs w:val="16"/>
          <w:color w:val="3B3C43"/>
        </w:rPr>
        <w:t>If purchases have been so suspended, the Counterparty will resume purchases in accordance with this Agreement on the next day specified in the Repurchase Plan after the condition causing the suspension of purchases has been resolved.</w:t>
      </w:r>
    </w:p>
    <w:p>
      <w:pPr>
        <w:spacing w:after="0" w:line="168" w:lineRule="exact"/>
        <w:rPr>
          <w:sz w:val="20"/>
          <w:szCs w:val="20"/>
          <w:color w:val="auto"/>
        </w:rPr>
      </w:pPr>
    </w:p>
    <w:p>
      <w:pPr>
        <w:ind w:left="340" w:hanging="332"/>
        <w:spacing w:after="0" w:line="260" w:lineRule="auto"/>
        <w:tabs>
          <w:tab w:leader="none" w:pos="340" w:val="left"/>
        </w:tabs>
        <w:numPr>
          <w:ilvl w:val="0"/>
          <w:numId w:val="165"/>
        </w:numPr>
        <w:rPr>
          <w:rFonts w:ascii="Arial" w:cs="Arial" w:eastAsia="Arial" w:hAnsi="Arial"/>
          <w:sz w:val="16"/>
          <w:szCs w:val="16"/>
          <w:color w:val="3B3C43"/>
        </w:rPr>
      </w:pPr>
      <w:r>
        <w:rPr>
          <w:rFonts w:ascii="Arial" w:cs="Arial" w:eastAsia="Arial" w:hAnsi="Arial"/>
          <w:sz w:val="16"/>
          <w:szCs w:val="16"/>
          <w:color w:val="3B3C43"/>
        </w:rPr>
        <w:t>It is the intent of the Company and the Counterparty that this Repurchase Plan comply with the requirements of Rule 10b5-1(c)(1)(i)(B) and Rule 10b-18 under the Exchange Act and MAR, and this Repurchase Plan shall be interpreted to comply with the requirements thereof.</w:t>
      </w:r>
    </w:p>
    <w:p>
      <w:pPr>
        <w:spacing w:after="0" w:line="168" w:lineRule="exact"/>
        <w:rPr>
          <w:rFonts w:ascii="Arial" w:cs="Arial" w:eastAsia="Arial" w:hAnsi="Arial"/>
          <w:sz w:val="16"/>
          <w:szCs w:val="16"/>
          <w:color w:val="3B3C43"/>
        </w:rPr>
      </w:pPr>
    </w:p>
    <w:p>
      <w:pPr>
        <w:ind w:left="340" w:hanging="332"/>
        <w:spacing w:after="0"/>
        <w:tabs>
          <w:tab w:leader="none" w:pos="340" w:val="left"/>
        </w:tabs>
        <w:numPr>
          <w:ilvl w:val="0"/>
          <w:numId w:val="165"/>
        </w:numPr>
        <w:rPr>
          <w:rFonts w:ascii="Arial" w:cs="Arial" w:eastAsia="Arial" w:hAnsi="Arial"/>
          <w:sz w:val="16"/>
          <w:szCs w:val="16"/>
          <w:color w:val="3B3C43"/>
        </w:rPr>
      </w:pPr>
      <w:r>
        <w:rPr>
          <w:rFonts w:ascii="Arial" w:cs="Arial" w:eastAsia="Arial" w:hAnsi="Arial"/>
          <w:sz w:val="16"/>
          <w:szCs w:val="16"/>
          <w:color w:val="3B3C43"/>
        </w:rPr>
        <w:t>The Repurchase Plan may be signed in counterparts, each of which will be an original.</w:t>
      </w:r>
    </w:p>
    <w:p>
      <w:pPr>
        <w:spacing w:after="0" w:line="194" w:lineRule="exact"/>
        <w:rPr>
          <w:rFonts w:ascii="Arial" w:cs="Arial" w:eastAsia="Arial" w:hAnsi="Arial"/>
          <w:sz w:val="16"/>
          <w:szCs w:val="16"/>
          <w:color w:val="3B3C43"/>
        </w:rPr>
      </w:pPr>
    </w:p>
    <w:p>
      <w:pPr>
        <w:ind w:left="340" w:right="260" w:hanging="332"/>
        <w:spacing w:after="0" w:line="260" w:lineRule="auto"/>
        <w:tabs>
          <w:tab w:leader="none" w:pos="340" w:val="left"/>
        </w:tabs>
        <w:numPr>
          <w:ilvl w:val="0"/>
          <w:numId w:val="165"/>
        </w:numPr>
        <w:rPr>
          <w:rFonts w:ascii="Arial" w:cs="Arial" w:eastAsia="Arial" w:hAnsi="Arial"/>
          <w:sz w:val="16"/>
          <w:szCs w:val="16"/>
          <w:color w:val="3B3C43"/>
        </w:rPr>
      </w:pPr>
      <w:r>
        <w:rPr>
          <w:rFonts w:ascii="Arial" w:cs="Arial" w:eastAsia="Arial" w:hAnsi="Arial"/>
          <w:sz w:val="16"/>
          <w:szCs w:val="16"/>
          <w:color w:val="3B3C43"/>
        </w:rPr>
        <w:t>The Repurchase Plan and any attachment together constitute the entire agreement between the Company and the Counterparty and supersede any prior agreements or understandings regarding the Repurchase Plan.</w:t>
      </w:r>
    </w:p>
    <w:p>
      <w:pPr>
        <w:spacing w:after="0" w:line="168" w:lineRule="exact"/>
        <w:rPr>
          <w:rFonts w:ascii="Arial" w:cs="Arial" w:eastAsia="Arial" w:hAnsi="Arial"/>
          <w:sz w:val="16"/>
          <w:szCs w:val="16"/>
          <w:color w:val="3B3C43"/>
        </w:rPr>
      </w:pPr>
    </w:p>
    <w:p>
      <w:pPr>
        <w:ind w:left="340" w:hanging="332"/>
        <w:spacing w:after="0"/>
        <w:tabs>
          <w:tab w:leader="none" w:pos="340" w:val="left"/>
        </w:tabs>
        <w:numPr>
          <w:ilvl w:val="0"/>
          <w:numId w:val="165"/>
        </w:numPr>
        <w:rPr>
          <w:rFonts w:ascii="Arial" w:cs="Arial" w:eastAsia="Arial" w:hAnsi="Arial"/>
          <w:sz w:val="16"/>
          <w:szCs w:val="16"/>
          <w:color w:val="3B3C43"/>
        </w:rPr>
      </w:pPr>
      <w:r>
        <w:rPr>
          <w:rFonts w:ascii="Arial" w:cs="Arial" w:eastAsia="Arial" w:hAnsi="Arial"/>
          <w:sz w:val="16"/>
          <w:szCs w:val="16"/>
          <w:color w:val="3B3C43"/>
        </w:rPr>
        <w:t>All notices given by the parties under this Repurchase Plan will be as follows:</w:t>
      </w:r>
    </w:p>
    <w:p>
      <w:pPr>
        <w:spacing w:after="0" w:line="194" w:lineRule="exact"/>
        <w:rPr>
          <w:rFonts w:ascii="Arial" w:cs="Arial" w:eastAsia="Arial" w:hAnsi="Arial"/>
          <w:sz w:val="16"/>
          <w:szCs w:val="16"/>
          <w:color w:val="3B3C43"/>
        </w:rPr>
      </w:pPr>
    </w:p>
    <w:p>
      <w:pPr>
        <w:ind w:left="660" w:right="8980" w:hanging="328"/>
        <w:spacing w:after="0" w:line="501" w:lineRule="auto"/>
        <w:tabs>
          <w:tab w:leader="none" w:pos="660" w:val="left"/>
        </w:tabs>
        <w:numPr>
          <w:ilvl w:val="2"/>
          <w:numId w:val="165"/>
        </w:numPr>
        <w:rPr>
          <w:rFonts w:ascii="Arial" w:cs="Arial" w:eastAsia="Arial" w:hAnsi="Arial"/>
          <w:sz w:val="16"/>
          <w:szCs w:val="16"/>
          <w:color w:val="auto"/>
        </w:rPr>
      </w:pPr>
      <w:r>
        <w:rPr>
          <w:rFonts w:ascii="Arial" w:cs="Arial" w:eastAsia="Arial" w:hAnsi="Arial"/>
          <w:sz w:val="16"/>
          <w:szCs w:val="16"/>
          <w:color w:val="auto"/>
        </w:rPr>
        <w:t>If to the Counterparty: Address:</w:t>
      </w:r>
    </w:p>
    <w:p>
      <w:pPr>
        <w:spacing w:after="0" w:line="1" w:lineRule="exact"/>
        <w:rPr>
          <w:rFonts w:ascii="Arial" w:cs="Arial" w:eastAsia="Arial" w:hAnsi="Arial"/>
          <w:sz w:val="16"/>
          <w:szCs w:val="16"/>
          <w:color w:val="auto"/>
        </w:rPr>
      </w:pPr>
    </w:p>
    <w:p>
      <w:pPr>
        <w:ind w:left="660" w:right="9860"/>
        <w:spacing w:after="0" w:line="510" w:lineRule="auto"/>
        <w:rPr>
          <w:rFonts w:ascii="Arial" w:cs="Arial" w:eastAsia="Arial" w:hAnsi="Arial"/>
          <w:sz w:val="16"/>
          <w:szCs w:val="16"/>
          <w:color w:val="auto"/>
        </w:rPr>
      </w:pPr>
      <w:r>
        <w:rPr>
          <w:rFonts w:ascii="Arial" w:cs="Arial" w:eastAsia="Arial" w:hAnsi="Arial"/>
          <w:sz w:val="16"/>
          <w:szCs w:val="16"/>
          <w:color w:val="auto"/>
        </w:rPr>
        <w:t>Attention: Fax no:</w:t>
      </w:r>
    </w:p>
    <w:p>
      <w:pPr>
        <w:spacing w:after="0" w:line="1" w:lineRule="exact"/>
        <w:rPr>
          <w:rFonts w:ascii="Arial" w:cs="Arial" w:eastAsia="Arial" w:hAnsi="Arial"/>
          <w:sz w:val="16"/>
          <w:szCs w:val="16"/>
          <w:color w:val="auto"/>
        </w:rPr>
      </w:pPr>
    </w:p>
    <w:p>
      <w:pPr>
        <w:ind w:left="660" w:right="8980" w:hanging="328"/>
        <w:spacing w:after="0" w:line="501" w:lineRule="auto"/>
        <w:tabs>
          <w:tab w:leader="none" w:pos="660" w:val="left"/>
        </w:tabs>
        <w:numPr>
          <w:ilvl w:val="2"/>
          <w:numId w:val="165"/>
        </w:numPr>
        <w:rPr>
          <w:rFonts w:ascii="Arial" w:cs="Arial" w:eastAsia="Arial" w:hAnsi="Arial"/>
          <w:sz w:val="16"/>
          <w:szCs w:val="16"/>
          <w:color w:val="auto"/>
        </w:rPr>
      </w:pPr>
      <w:r>
        <w:rPr>
          <w:rFonts w:ascii="Arial" w:cs="Arial" w:eastAsia="Arial" w:hAnsi="Arial"/>
          <w:sz w:val="16"/>
          <w:szCs w:val="16"/>
          <w:color w:val="auto"/>
        </w:rPr>
        <w:t>If to the Counterparty: Address:</w:t>
      </w:r>
    </w:p>
    <w:p>
      <w:pPr>
        <w:spacing w:after="0" w:line="1" w:lineRule="exact"/>
        <w:rPr>
          <w:rFonts w:ascii="Arial" w:cs="Arial" w:eastAsia="Arial" w:hAnsi="Arial"/>
          <w:sz w:val="16"/>
          <w:szCs w:val="16"/>
          <w:color w:val="auto"/>
        </w:rPr>
      </w:pPr>
    </w:p>
    <w:p>
      <w:pPr>
        <w:ind w:left="660" w:right="9860"/>
        <w:spacing w:after="0" w:line="510" w:lineRule="auto"/>
        <w:rPr>
          <w:rFonts w:ascii="Arial" w:cs="Arial" w:eastAsia="Arial" w:hAnsi="Arial"/>
          <w:sz w:val="16"/>
          <w:szCs w:val="16"/>
          <w:color w:val="auto"/>
        </w:rPr>
      </w:pPr>
      <w:r>
        <w:rPr>
          <w:rFonts w:ascii="Arial" w:cs="Arial" w:eastAsia="Arial" w:hAnsi="Arial"/>
          <w:sz w:val="16"/>
          <w:szCs w:val="16"/>
          <w:color w:val="auto"/>
        </w:rPr>
        <w:t>Attention: Fax no:</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65"/>
        </w:numPr>
        <w:rPr>
          <w:rFonts w:ascii="Arial" w:cs="Arial" w:eastAsia="Arial" w:hAnsi="Arial"/>
          <w:sz w:val="16"/>
          <w:szCs w:val="16"/>
          <w:color w:val="3B3C43"/>
        </w:rPr>
      </w:pPr>
      <w:r>
        <w:rPr>
          <w:rFonts w:ascii="Arial" w:cs="Arial" w:eastAsia="Arial" w:hAnsi="Arial"/>
          <w:sz w:val="16"/>
          <w:szCs w:val="16"/>
          <w:color w:val="3B3C43"/>
        </w:rPr>
        <w:t>This Repurchase Plan will be governed by and construed in accordance with the internal laws of the State of New York.</w:t>
      </w:r>
    </w:p>
    <w:p>
      <w:pPr>
        <w:spacing w:after="0" w:line="194" w:lineRule="exact"/>
        <w:rPr>
          <w:rFonts w:ascii="Arial" w:cs="Arial" w:eastAsia="Arial" w:hAnsi="Arial"/>
          <w:sz w:val="16"/>
          <w:szCs w:val="16"/>
          <w:color w:val="3B3C43"/>
        </w:rPr>
      </w:pPr>
    </w:p>
    <w:p>
      <w:pPr>
        <w:ind w:left="340" w:right="60" w:hanging="332"/>
        <w:spacing w:after="0" w:line="253" w:lineRule="auto"/>
        <w:tabs>
          <w:tab w:leader="none" w:pos="340" w:val="left"/>
        </w:tabs>
        <w:numPr>
          <w:ilvl w:val="0"/>
          <w:numId w:val="165"/>
        </w:numPr>
        <w:rPr>
          <w:rFonts w:ascii="Arial" w:cs="Arial" w:eastAsia="Arial" w:hAnsi="Arial"/>
          <w:sz w:val="16"/>
          <w:szCs w:val="16"/>
          <w:color w:val="3B3C43"/>
        </w:rPr>
      </w:pPr>
      <w:r>
        <w:rPr>
          <w:rFonts w:ascii="Arial" w:cs="Arial" w:eastAsia="Arial" w:hAnsi="Arial"/>
          <w:sz w:val="16"/>
          <w:szCs w:val="16"/>
          <w:color w:val="3B3C43"/>
        </w:rPr>
        <w:t>The number of Ordinary Shares, together with other share amounts and prices, if applicable, as set forth in Paragraph 2 shall be adjusted automatically on a proportionate basis to take into account any stock split, reverse stock split or stock dividend with respect to the Ordinary Shares or any change in capitalisation with respect to the Company that occurs during the term of this Repurchase Plan.</w:t>
      </w:r>
    </w:p>
    <w:p>
      <w:pPr>
        <w:spacing w:after="0" w:line="174" w:lineRule="exact"/>
        <w:rPr>
          <w:rFonts w:ascii="Arial" w:cs="Arial" w:eastAsia="Arial" w:hAnsi="Arial"/>
          <w:sz w:val="16"/>
          <w:szCs w:val="16"/>
          <w:color w:val="3B3C43"/>
        </w:rPr>
      </w:pPr>
    </w:p>
    <w:p>
      <w:pPr>
        <w:ind w:left="340" w:right="80" w:hanging="332"/>
        <w:spacing w:after="0" w:line="260" w:lineRule="auto"/>
        <w:tabs>
          <w:tab w:leader="none" w:pos="340" w:val="left"/>
        </w:tabs>
        <w:numPr>
          <w:ilvl w:val="0"/>
          <w:numId w:val="165"/>
        </w:numPr>
        <w:rPr>
          <w:rFonts w:ascii="Arial" w:cs="Arial" w:eastAsia="Arial" w:hAnsi="Arial"/>
          <w:sz w:val="16"/>
          <w:szCs w:val="16"/>
          <w:color w:val="3B3C43"/>
        </w:rPr>
      </w:pPr>
      <w:r>
        <w:rPr>
          <w:rFonts w:ascii="Arial" w:cs="Arial" w:eastAsia="Arial" w:hAnsi="Arial"/>
          <w:sz w:val="16"/>
          <w:szCs w:val="16"/>
          <w:color w:val="3B3C43"/>
        </w:rPr>
        <w:t>Except as otherwise set forth in this Repurchase Plan, the Company acknowledges and agrees that it does not have authority, influence or control over any purchase executed by the Counterparty pursuant to this Repurchase Plan.</w:t>
      </w:r>
    </w:p>
    <w:p>
      <w:pPr>
        <w:spacing w:after="0" w:line="168" w:lineRule="exact"/>
        <w:rPr>
          <w:rFonts w:ascii="Arial" w:cs="Arial" w:eastAsia="Arial" w:hAnsi="Arial"/>
          <w:sz w:val="16"/>
          <w:szCs w:val="16"/>
          <w:color w:val="3B3C43"/>
        </w:rPr>
      </w:pPr>
    </w:p>
    <w:p>
      <w:pPr>
        <w:ind w:left="340" w:hanging="332"/>
        <w:spacing w:after="0"/>
        <w:tabs>
          <w:tab w:leader="none" w:pos="340" w:val="left"/>
        </w:tabs>
        <w:numPr>
          <w:ilvl w:val="0"/>
          <w:numId w:val="165"/>
        </w:numPr>
        <w:rPr>
          <w:rFonts w:ascii="Arial" w:cs="Arial" w:eastAsia="Arial" w:hAnsi="Arial"/>
          <w:sz w:val="16"/>
          <w:szCs w:val="16"/>
          <w:color w:val="3B3C43"/>
        </w:rPr>
      </w:pPr>
      <w:r>
        <w:rPr>
          <w:rFonts w:ascii="Arial" w:cs="Arial" w:eastAsia="Arial" w:hAnsi="Arial"/>
          <w:sz w:val="16"/>
          <w:szCs w:val="16"/>
          <w:color w:val="3B3C43"/>
        </w:rPr>
        <w:t>The Counterparty and the Company each acknowledges and agrees that:</w:t>
      </w:r>
    </w:p>
    <w:p>
      <w:pPr>
        <w:spacing w:after="0" w:line="194" w:lineRule="exact"/>
        <w:rPr>
          <w:rFonts w:ascii="Arial" w:cs="Arial" w:eastAsia="Arial" w:hAnsi="Arial"/>
          <w:sz w:val="16"/>
          <w:szCs w:val="16"/>
          <w:color w:val="3B3C43"/>
        </w:rPr>
      </w:pPr>
    </w:p>
    <w:p>
      <w:pPr>
        <w:ind w:left="380" w:right="440" w:hanging="183"/>
        <w:spacing w:after="0" w:line="260" w:lineRule="auto"/>
        <w:tabs>
          <w:tab w:leader="none" w:pos="380" w:val="left"/>
        </w:tabs>
        <w:numPr>
          <w:ilvl w:val="1"/>
          <w:numId w:val="165"/>
        </w:numPr>
        <w:rPr>
          <w:rFonts w:ascii="Arial" w:cs="Arial" w:eastAsia="Arial" w:hAnsi="Arial"/>
          <w:sz w:val="16"/>
          <w:szCs w:val="16"/>
          <w:color w:val="3B3C43"/>
        </w:rPr>
      </w:pPr>
      <w:r>
        <w:rPr>
          <w:rFonts w:ascii="Arial" w:cs="Arial" w:eastAsia="Arial" w:hAnsi="Arial"/>
          <w:sz w:val="16"/>
          <w:szCs w:val="16"/>
          <w:color w:val="3B3C43"/>
        </w:rPr>
        <w:t>Prior to any acquisition by the Company pursuant to Paragraph 4, the Company shall not acquire, nor have any legal or beneficial interest in, any Ordinary Shares purchased by the Counterparty pursuant to this Repurchase Plan;</w:t>
      </w:r>
    </w:p>
    <w:p>
      <w:pPr>
        <w:spacing w:after="0" w:line="168" w:lineRule="exact"/>
        <w:rPr>
          <w:rFonts w:ascii="Arial" w:cs="Arial" w:eastAsia="Arial" w:hAnsi="Arial"/>
          <w:sz w:val="16"/>
          <w:szCs w:val="16"/>
          <w:color w:val="3B3C43"/>
        </w:rPr>
      </w:pPr>
    </w:p>
    <w:p>
      <w:pPr>
        <w:ind w:left="380" w:right="180" w:hanging="183"/>
        <w:spacing w:after="0" w:line="260" w:lineRule="auto"/>
        <w:tabs>
          <w:tab w:leader="none" w:pos="380" w:val="left"/>
        </w:tabs>
        <w:numPr>
          <w:ilvl w:val="1"/>
          <w:numId w:val="165"/>
        </w:numPr>
        <w:rPr>
          <w:rFonts w:ascii="Arial" w:cs="Arial" w:eastAsia="Arial" w:hAnsi="Arial"/>
          <w:sz w:val="16"/>
          <w:szCs w:val="16"/>
          <w:color w:val="3B3C43"/>
        </w:rPr>
      </w:pPr>
      <w:r>
        <w:rPr>
          <w:rFonts w:ascii="Arial" w:cs="Arial" w:eastAsia="Arial" w:hAnsi="Arial"/>
          <w:sz w:val="16"/>
          <w:szCs w:val="16"/>
          <w:color w:val="3B3C43"/>
        </w:rPr>
        <w:t>Nothing in this Repurchase Plan is or shall constitute a party acting as the agent of the other for any purpose. Neither party shall describe itself as an agent or in any way hold itself out as being an agent of the other; and</w:t>
      </w:r>
    </w:p>
    <w:p>
      <w:pPr>
        <w:spacing w:after="0" w:line="168" w:lineRule="exact"/>
        <w:rPr>
          <w:rFonts w:ascii="Arial" w:cs="Arial" w:eastAsia="Arial" w:hAnsi="Arial"/>
          <w:sz w:val="16"/>
          <w:szCs w:val="16"/>
          <w:color w:val="3B3C43"/>
        </w:rPr>
      </w:pPr>
    </w:p>
    <w:p>
      <w:pPr>
        <w:ind w:left="380" w:right="420" w:hanging="183"/>
        <w:spacing w:after="0" w:line="260" w:lineRule="auto"/>
        <w:tabs>
          <w:tab w:leader="none" w:pos="380" w:val="left"/>
        </w:tabs>
        <w:numPr>
          <w:ilvl w:val="1"/>
          <w:numId w:val="165"/>
        </w:numPr>
        <w:rPr>
          <w:rFonts w:ascii="Arial" w:cs="Arial" w:eastAsia="Arial" w:hAnsi="Arial"/>
          <w:sz w:val="16"/>
          <w:szCs w:val="16"/>
          <w:color w:val="3B3C43"/>
        </w:rPr>
      </w:pPr>
      <w:r>
        <w:rPr>
          <w:rFonts w:ascii="Arial" w:cs="Arial" w:eastAsia="Arial" w:hAnsi="Arial"/>
          <w:sz w:val="16"/>
          <w:szCs w:val="16"/>
          <w:color w:val="3B3C43"/>
        </w:rPr>
        <w:t>The Counterparty shall act as principal in respect of its acquisition of Ordinary Shares and shall effect purchases of Ordinary Shares hereunder in “riskless principal transactions” as defined in Rule 10b-18(a)(12)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-3408680</wp:posOffset>
            </wp:positionV>
            <wp:extent cx="13716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-3656965</wp:posOffset>
            </wp:positionV>
            <wp:extent cx="13716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-3905885</wp:posOffset>
            </wp:positionV>
            <wp:extent cx="13716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-2422525</wp:posOffset>
            </wp:positionV>
            <wp:extent cx="13716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-2671445</wp:posOffset>
            </wp:positionV>
            <wp:extent cx="13716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-2919730</wp:posOffset>
            </wp:positionV>
            <wp:extent cx="13716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164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3B3C43"/>
        </w:rPr>
        <w:t>IN WITNESS WHEREOF, the parties hereto have executed this Repurchase Plan as of the date first written above.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00" w:type="dxa"/>
            <w:vAlign w:val="bottom"/>
          </w:tcPr>
          <w:p>
            <w:pPr>
              <w:spacing w:after="0"/>
              <w:rPr>
                <w:sz w:val="20"/>
                <w:szCs w:val="20"/>
                <w:color w:val="auto"/>
              </w:rPr>
            </w:pPr>
            <w:r>
              <w:rPr>
                <w:rFonts w:ascii="Arial" w:cs="Arial" w:eastAsia="Arial" w:hAnsi="Arial"/>
                <w:sz w:val="16"/>
                <w:szCs w:val="16"/>
                <w:b w:val="1"/>
                <w:bCs w:val="1"/>
                <w:color w:val="3B3C43"/>
              </w:rPr>
              <w:t>TechnipFMC plc</w:t>
            </w:r>
          </w:p>
        </w:tc>
        <w:tc>
          <w:tcPr>
            <w:tcW w:w="2820" w:type="dxa"/>
            <w:vAlign w:val="bottom"/>
          </w:tcPr>
          <w:p>
            <w:pPr>
              <w:spacing w:after="0"/>
              <w:rPr>
                <w:sz w:val="18"/>
                <w:szCs w:val="18"/>
                <w:color w:val="auto"/>
              </w:rPr>
            </w:pPr>
          </w:p>
        </w:tc>
        <w:tc>
          <w:tcPr>
            <w:tcW w:w="6720" w:type="dxa"/>
            <w:vAlign w:val="bottom"/>
            <w:gridSpan w:val="2"/>
          </w:tcPr>
          <w:p>
            <w:pPr>
              <w:ind w:left="2240"/>
              <w:spacing w:after="0"/>
              <w:rPr>
                <w:sz w:val="20"/>
                <w:szCs w:val="20"/>
                <w:color w:val="auto"/>
              </w:rPr>
            </w:pPr>
            <w:r>
              <w:rPr>
                <w:rFonts w:ascii="Arial" w:cs="Arial" w:eastAsia="Arial" w:hAnsi="Arial"/>
                <w:sz w:val="16"/>
                <w:szCs w:val="16"/>
                <w:b w:val="1"/>
                <w:bCs w:val="1"/>
                <w:color w:val="3B3C43"/>
              </w:rPr>
              <w:t>Counterparty</w:t>
            </w:r>
          </w:p>
        </w:tc>
      </w:tr>
      <w:tr>
        <w:trPr>
          <w:trHeight w:val="187"/>
        </w:trPr>
        <w:tc>
          <w:tcPr>
            <w:tcW w:w="1700" w:type="dxa"/>
            <w:vAlign w:val="bottom"/>
          </w:tcPr>
          <w:p>
            <w:pPr>
              <w:spacing w:after="0"/>
              <w:rPr>
                <w:sz w:val="20"/>
                <w:szCs w:val="20"/>
                <w:color w:val="auto"/>
              </w:rPr>
            </w:pPr>
            <w:r>
              <w:rPr>
                <w:rFonts w:ascii="Arial" w:cs="Arial" w:eastAsia="Arial" w:hAnsi="Arial"/>
                <w:sz w:val="16"/>
                <w:szCs w:val="16"/>
                <w:color w:val="3B3C43"/>
              </w:rPr>
              <w:t>By:</w:t>
            </w:r>
          </w:p>
        </w:tc>
        <w:tc>
          <w:tcPr>
            <w:tcW w:w="2820" w:type="dxa"/>
            <w:vAlign w:val="bottom"/>
          </w:tcPr>
          <w:p>
            <w:pPr>
              <w:spacing w:after="0"/>
              <w:rPr>
                <w:sz w:val="16"/>
                <w:szCs w:val="16"/>
                <w:color w:val="auto"/>
              </w:rPr>
            </w:pPr>
          </w:p>
        </w:tc>
        <w:tc>
          <w:tcPr>
            <w:tcW w:w="6720" w:type="dxa"/>
            <w:vAlign w:val="bottom"/>
            <w:gridSpan w:val="2"/>
          </w:tcPr>
          <w:p>
            <w:pPr>
              <w:ind w:left="2240"/>
              <w:spacing w:after="0"/>
              <w:rPr>
                <w:sz w:val="20"/>
                <w:szCs w:val="20"/>
                <w:color w:val="auto"/>
              </w:rPr>
            </w:pPr>
            <w:r>
              <w:rPr>
                <w:rFonts w:ascii="Arial" w:cs="Arial" w:eastAsia="Arial" w:hAnsi="Arial"/>
                <w:sz w:val="16"/>
                <w:szCs w:val="16"/>
                <w:color w:val="3B3C43"/>
              </w:rPr>
              <w:t>By:</w:t>
            </w:r>
          </w:p>
        </w:tc>
      </w:tr>
      <w:tr>
        <w:trPr>
          <w:trHeight w:val="177"/>
        </w:trPr>
        <w:tc>
          <w:tcPr>
            <w:tcW w:w="1700" w:type="dxa"/>
            <w:vAlign w:val="bottom"/>
          </w:tcPr>
          <w:p>
            <w:pPr>
              <w:spacing w:after="0" w:line="177" w:lineRule="exact"/>
              <w:rPr>
                <w:sz w:val="20"/>
                <w:szCs w:val="20"/>
                <w:color w:val="auto"/>
              </w:rPr>
            </w:pPr>
            <w:r>
              <w:rPr>
                <w:rFonts w:ascii="Arial" w:cs="Arial" w:eastAsia="Arial" w:hAnsi="Arial"/>
                <w:sz w:val="16"/>
                <w:szCs w:val="16"/>
                <w:color w:val="3B3C43"/>
              </w:rPr>
              <w:t>Name:</w:t>
            </w:r>
          </w:p>
        </w:tc>
        <w:tc>
          <w:tcPr>
            <w:tcW w:w="2820" w:type="dxa"/>
            <w:vAlign w:val="bottom"/>
            <w:tcBorders>
              <w:top w:val="single" w:sz="8" w:color="auto"/>
              <w:bottom w:val="single" w:sz="8" w:color="auto"/>
            </w:tcBorders>
          </w:tcPr>
          <w:p>
            <w:pPr>
              <w:spacing w:after="0"/>
              <w:rPr>
                <w:sz w:val="15"/>
                <w:szCs w:val="15"/>
                <w:color w:val="auto"/>
              </w:rPr>
            </w:pPr>
          </w:p>
        </w:tc>
        <w:tc>
          <w:tcPr>
            <w:tcW w:w="3920" w:type="dxa"/>
            <w:vAlign w:val="bottom"/>
          </w:tcPr>
          <w:p>
            <w:pPr>
              <w:ind w:left="2240"/>
              <w:spacing w:after="0" w:line="177" w:lineRule="exact"/>
              <w:rPr>
                <w:sz w:val="20"/>
                <w:szCs w:val="20"/>
                <w:color w:val="auto"/>
              </w:rPr>
            </w:pPr>
            <w:r>
              <w:rPr>
                <w:rFonts w:ascii="Arial" w:cs="Arial" w:eastAsia="Arial" w:hAnsi="Arial"/>
                <w:sz w:val="16"/>
                <w:szCs w:val="16"/>
                <w:color w:val="3B3C43"/>
              </w:rPr>
              <w:t>Name:</w:t>
            </w:r>
          </w:p>
        </w:tc>
        <w:tc>
          <w:tcPr>
            <w:tcW w:w="2800" w:type="dxa"/>
            <w:vAlign w:val="bottom"/>
            <w:tcBorders>
              <w:top w:val="single" w:sz="8" w:color="auto"/>
              <w:bottom w:val="single" w:sz="8" w:color="auto"/>
            </w:tcBorders>
          </w:tcPr>
          <w:p>
            <w:pPr>
              <w:spacing w:after="0"/>
              <w:rPr>
                <w:sz w:val="15"/>
                <w:szCs w:val="15"/>
                <w:color w:val="auto"/>
              </w:rPr>
            </w:pPr>
          </w:p>
        </w:tc>
      </w:tr>
      <w:tr>
        <w:trPr>
          <w:trHeight w:val="183"/>
        </w:trPr>
        <w:tc>
          <w:tcPr>
            <w:tcW w:w="1700" w:type="dxa"/>
            <w:vAlign w:val="bottom"/>
          </w:tcPr>
          <w:p>
            <w:pPr>
              <w:spacing w:after="0" w:line="183" w:lineRule="exact"/>
              <w:rPr>
                <w:sz w:val="20"/>
                <w:szCs w:val="20"/>
                <w:color w:val="auto"/>
              </w:rPr>
            </w:pPr>
            <w:r>
              <w:rPr>
                <w:rFonts w:ascii="Arial" w:cs="Arial" w:eastAsia="Arial" w:hAnsi="Arial"/>
                <w:sz w:val="16"/>
                <w:szCs w:val="16"/>
                <w:color w:val="3B3C43"/>
              </w:rPr>
              <w:t>Title:</w:t>
            </w:r>
          </w:p>
        </w:tc>
        <w:tc>
          <w:tcPr>
            <w:tcW w:w="2820" w:type="dxa"/>
            <w:vAlign w:val="bottom"/>
            <w:tcBorders>
              <w:bottom w:val="single" w:sz="8" w:color="auto"/>
            </w:tcBorders>
          </w:tcPr>
          <w:p>
            <w:pPr>
              <w:spacing w:after="0"/>
              <w:rPr>
                <w:sz w:val="15"/>
                <w:szCs w:val="15"/>
                <w:color w:val="auto"/>
              </w:rPr>
            </w:pPr>
          </w:p>
        </w:tc>
        <w:tc>
          <w:tcPr>
            <w:tcW w:w="3920" w:type="dxa"/>
            <w:vAlign w:val="bottom"/>
          </w:tcPr>
          <w:p>
            <w:pPr>
              <w:ind w:left="2240"/>
              <w:spacing w:after="0" w:line="183" w:lineRule="exact"/>
              <w:rPr>
                <w:sz w:val="20"/>
                <w:szCs w:val="20"/>
                <w:color w:val="auto"/>
              </w:rPr>
            </w:pPr>
            <w:r>
              <w:rPr>
                <w:rFonts w:ascii="Arial" w:cs="Arial" w:eastAsia="Arial" w:hAnsi="Arial"/>
                <w:sz w:val="16"/>
                <w:szCs w:val="16"/>
                <w:color w:val="3B3C43"/>
              </w:rPr>
              <w:t>Title:</w:t>
            </w:r>
          </w:p>
        </w:tc>
        <w:tc>
          <w:tcPr>
            <w:tcW w:w="2800" w:type="dxa"/>
            <w:vAlign w:val="bottom"/>
            <w:tcBorders>
              <w:bottom w:val="single" w:sz="8" w:color="auto"/>
            </w:tcBorders>
          </w:tcPr>
          <w:p>
            <w:pPr>
              <w:spacing w:after="0"/>
              <w:rPr>
                <w:sz w:val="15"/>
                <w:szCs w:val="15"/>
                <w:color w:val="auto"/>
              </w:rPr>
            </w:pPr>
          </w:p>
        </w:tc>
      </w:tr>
      <w:tr>
        <w:trPr>
          <w:trHeight w:val="365"/>
        </w:trPr>
        <w:tc>
          <w:tcPr>
            <w:tcW w:w="1700" w:type="dxa"/>
            <w:vAlign w:val="bottom"/>
          </w:tcPr>
          <w:p>
            <w:pPr>
              <w:spacing w:after="0"/>
              <w:rPr>
                <w:sz w:val="20"/>
                <w:szCs w:val="20"/>
                <w:color w:val="auto"/>
              </w:rPr>
            </w:pPr>
            <w:r>
              <w:rPr>
                <w:rFonts w:ascii="Arial" w:cs="Arial" w:eastAsia="Arial" w:hAnsi="Arial"/>
                <w:sz w:val="14"/>
                <w:szCs w:val="14"/>
                <w:color w:val="auto"/>
              </w:rPr>
              <w:t>165 TechnipFMC</w:t>
            </w:r>
          </w:p>
        </w:tc>
        <w:tc>
          <w:tcPr>
            <w:tcW w:w="28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606"/>
        </w:trPr>
        <w:tc>
          <w:tcPr>
            <w:tcW w:w="1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15" w:right="33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b w:val="1"/>
          <w:bCs w:val="1"/>
          <w:color w:val="4B1F68"/>
        </w:rPr>
        <w:t>TechnipFMC Proxy Statement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67"/>
          <w:szCs w:val="67"/>
          <w:color w:val="4B1F68"/>
        </w:rPr>
        <w:t>Exhibit A to Form</w:t>
      </w:r>
    </w:p>
    <w:p>
      <w:pPr>
        <w:spacing w:after="0" w:line="1" w:lineRule="exact"/>
        <w:rPr>
          <w:sz w:val="20"/>
          <w:szCs w:val="20"/>
          <w:color w:val="auto"/>
        </w:rPr>
      </w:pPr>
    </w:p>
    <w:p>
      <w:pPr>
        <w:ind w:right="1400"/>
        <w:spacing w:after="0" w:line="249" w:lineRule="auto"/>
        <w:rPr>
          <w:sz w:val="20"/>
          <w:szCs w:val="20"/>
          <w:color w:val="auto"/>
        </w:rPr>
      </w:pPr>
      <w:r>
        <w:rPr>
          <w:rFonts w:ascii="Arial" w:cs="Arial" w:eastAsia="Arial" w:hAnsi="Arial"/>
          <w:sz w:val="67"/>
          <w:szCs w:val="67"/>
          <w:color w:val="4B1F68"/>
        </w:rPr>
        <w:t>of Rule 10b-5 Share Repurchase Contract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3B3C43"/>
        </w:rPr>
        <w:t>The Counterparty and the Company hereby agree that the following terms shall have the following meanings: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3B3C43"/>
        </w:rPr>
        <w:t>“</w:t>
      </w:r>
      <w:r>
        <w:rPr>
          <w:rFonts w:ascii="Arial" w:cs="Arial" w:eastAsia="Arial" w:hAnsi="Arial"/>
          <w:sz w:val="16"/>
          <w:szCs w:val="16"/>
          <w:b w:val="1"/>
          <w:bCs w:val="1"/>
          <w:color w:val="3B3C43"/>
        </w:rPr>
        <w:t>Exchange</w:t>
      </w:r>
      <w:r>
        <w:rPr>
          <w:rFonts w:ascii="Arial" w:cs="Arial" w:eastAsia="Arial" w:hAnsi="Arial"/>
          <w:sz w:val="16"/>
          <w:szCs w:val="16"/>
          <w:color w:val="3B3C43"/>
        </w:rPr>
        <w:t>” shall mean the NYSE and/or Euronext Paris, as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w:t>
      </w:r>
      <w:r>
        <w:rPr>
          <w:rFonts w:ascii="Arial" w:cs="Arial" w:eastAsia="Arial" w:hAnsi="Arial"/>
          <w:sz w:val="16"/>
          <w:szCs w:val="16"/>
          <w:b w:val="1"/>
          <w:bCs w:val="1"/>
          <w:color w:val="3B3C43"/>
        </w:rPr>
        <w:t>Euronext Paris</w:t>
      </w:r>
      <w:r>
        <w:rPr>
          <w:rFonts w:ascii="Arial" w:cs="Arial" w:eastAsia="Arial" w:hAnsi="Arial"/>
          <w:sz w:val="16"/>
          <w:szCs w:val="16"/>
          <w:color w:val="3B3C43"/>
        </w:rPr>
        <w:t>” means the regulated market of Euronext in Paris;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w:t>
      </w:r>
      <w:r>
        <w:rPr>
          <w:rFonts w:ascii="Arial" w:cs="Arial" w:eastAsia="Arial" w:hAnsi="Arial"/>
          <w:sz w:val="16"/>
          <w:szCs w:val="16"/>
          <w:b w:val="1"/>
          <w:bCs w:val="1"/>
          <w:color w:val="3B3C43"/>
        </w:rPr>
        <w:t>Limit Price</w:t>
      </w:r>
      <w:r>
        <w:rPr>
          <w:rFonts w:ascii="Arial" w:cs="Arial" w:eastAsia="Arial" w:hAnsi="Arial"/>
          <w:sz w:val="16"/>
          <w:szCs w:val="16"/>
          <w:color w:val="3B3C43"/>
        </w:rPr>
        <w:t>” shall mean the lesser of a per share price of [US$][€]______or the price permitted under MAR;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w:t>
      </w:r>
      <w:r>
        <w:rPr>
          <w:rFonts w:ascii="Arial" w:cs="Arial" w:eastAsia="Arial" w:hAnsi="Arial"/>
          <w:sz w:val="16"/>
          <w:szCs w:val="16"/>
          <w:b w:val="1"/>
          <w:bCs w:val="1"/>
          <w:color w:val="3B3C43"/>
        </w:rPr>
        <w:t>Maximum Amount</w:t>
      </w:r>
      <w:r>
        <w:rPr>
          <w:rFonts w:ascii="Arial" w:cs="Arial" w:eastAsia="Arial" w:hAnsi="Arial"/>
          <w:sz w:val="16"/>
          <w:szCs w:val="16"/>
          <w:color w:val="3B3C43"/>
        </w:rPr>
        <w:t>” is the maximum purchase amount in a single trading day and shall mean the lesser of [US$][€]______or the maximum price permitted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under MAR;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3B3C43"/>
        </w:rPr>
        <w:t>“</w:t>
      </w:r>
      <w:r>
        <w:rPr>
          <w:rFonts w:ascii="Arial" w:cs="Arial" w:eastAsia="Arial" w:hAnsi="Arial"/>
          <w:sz w:val="16"/>
          <w:szCs w:val="16"/>
          <w:b w:val="1"/>
          <w:bCs w:val="1"/>
          <w:color w:val="3B3C43"/>
        </w:rPr>
        <w:t>NYSE</w:t>
      </w:r>
      <w:r>
        <w:rPr>
          <w:rFonts w:ascii="Arial" w:cs="Arial" w:eastAsia="Arial" w:hAnsi="Arial"/>
          <w:sz w:val="16"/>
          <w:szCs w:val="16"/>
          <w:color w:val="3B3C43"/>
        </w:rPr>
        <w:t>” means the New York Stock Exchange;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w:t>
      </w:r>
      <w:r>
        <w:rPr>
          <w:rFonts w:ascii="Arial" w:cs="Arial" w:eastAsia="Arial" w:hAnsi="Arial"/>
          <w:sz w:val="16"/>
          <w:szCs w:val="16"/>
          <w:b w:val="1"/>
          <w:bCs w:val="1"/>
          <w:color w:val="3B3C43"/>
        </w:rPr>
        <w:t>Trading Period</w:t>
      </w:r>
      <w:r>
        <w:rPr>
          <w:rFonts w:ascii="Arial" w:cs="Arial" w:eastAsia="Arial" w:hAnsi="Arial"/>
          <w:sz w:val="16"/>
          <w:szCs w:val="16"/>
          <w:color w:val="3B3C43"/>
        </w:rPr>
        <w:t>” shall mean the period commencing on________ and terminating at close of business on_______; and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w:t>
      </w:r>
      <w:r>
        <w:rPr>
          <w:rFonts w:ascii="Arial" w:cs="Arial" w:eastAsia="Arial" w:hAnsi="Arial"/>
          <w:sz w:val="16"/>
          <w:szCs w:val="16"/>
          <w:b w:val="1"/>
          <w:bCs w:val="1"/>
          <w:color w:val="3B3C43"/>
        </w:rPr>
        <w:t>Total Repurchase Amount</w:t>
      </w:r>
      <w:r>
        <w:rPr>
          <w:rFonts w:ascii="Arial" w:cs="Arial" w:eastAsia="Arial" w:hAnsi="Arial"/>
          <w:sz w:val="16"/>
          <w:szCs w:val="16"/>
          <w:color w:val="3B3C43"/>
        </w:rPr>
        <w:t>” is the maximum aggregate purchase amount in the Trading Period and shall mean the lesser of [US$][€]_________and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3B3C43"/>
        </w:rPr>
        <w:t>maximum aggregate purchase price permitted under MAR.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3B3C43"/>
        </w:rPr>
        <w:t>Commission paid under this Repurchase Plan shall equal [[US$][€]______or______ basis points] per Record Share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B3C43"/>
        </w:rPr>
        <w:t>to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166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315" w:right="439" w:bottom="1440"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91128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0327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0327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o"/>
      <w:numFmt w:val="bullet"/>
      <w:start w:val="1"/>
    </w:lvl>
  </w:abstractNum>
  <w:abstractNum w:abstractNumId="1">
    <w:nsid w:val="71EA1109"/>
    <w:multiLevelType w:val="hybridMultilevel"/>
    <w:lvl w:ilvl="0">
      <w:lvlJc w:val="left"/>
      <w:lvlText w:val="x"/>
      <w:numFmt w:val="bullet"/>
      <w:start w:val="1"/>
    </w:lvl>
  </w:abstractNum>
  <w:abstractNum w:abstractNumId="2">
    <w:nsid w:val="100F59DC"/>
    <w:multiLevelType w:val="hybridMultilevel"/>
    <w:lvl w:ilvl="0">
      <w:lvlJc w:val="left"/>
      <w:lvlText w:val="o"/>
      <w:numFmt w:val="bullet"/>
      <w:start w:val="1"/>
    </w:lvl>
  </w:abstractNum>
  <w:abstractNum w:abstractNumId="3">
    <w:nsid w:val="7FB7E0AA"/>
    <w:multiLevelType w:val="hybridMultilevel"/>
    <w:lvl w:ilvl="0">
      <w:lvlJc w:val="left"/>
      <w:lvlText w:val="x"/>
      <w:numFmt w:val="bullet"/>
      <w:start w:val="1"/>
    </w:lvl>
  </w:abstractNum>
  <w:abstractNum w:abstractNumId="4">
    <w:nsid w:val="6EB5BD4"/>
    <w:multiLevelType w:val="hybridMultilevel"/>
    <w:lvl w:ilvl="0">
      <w:lvlJc w:val="left"/>
      <w:lvlText w:val="o"/>
      <w:numFmt w:val="bullet"/>
      <w:start w:val="1"/>
    </w:lvl>
    <w:lvl w:ilvl="1">
      <w:lvlJc w:val="left"/>
      <w:lvlText w:val="(%2)"/>
      <w:numFmt w:val="decimal"/>
      <w:start w:val="1"/>
    </w:lvl>
  </w:abstractNum>
  <w:abstractNum w:abstractNumId="5">
    <w:nsid w:val="6F6DD9AC"/>
    <w:multiLevelType w:val="hybridMultilevel"/>
    <w:lvl w:ilvl="0">
      <w:lvlJc w:val="left"/>
      <w:lvlText w:val="2"/>
      <w:numFmt w:val="bullet"/>
      <w:start w:val="1"/>
    </w:lvl>
  </w:abstractNum>
  <w:abstractNum w:abstractNumId="6">
    <w:nsid w:val="94211F2"/>
    <w:multiLevelType w:val="hybridMultilevel"/>
    <w:lvl w:ilvl="0">
      <w:lvlJc w:val="left"/>
      <w:lvlText w:val="3"/>
      <w:numFmt w:val="bullet"/>
      <w:start w:val="1"/>
    </w:lvl>
  </w:abstractNum>
  <w:abstractNum w:abstractNumId="7">
    <w:nsid w:val="885E1B"/>
    <w:multiLevelType w:val="hybridMultilevel"/>
    <w:lvl w:ilvl="0">
      <w:lvlJc w:val="left"/>
      <w:lvlText w:val="4"/>
      <w:numFmt w:val="bullet"/>
      <w:start w:val="1"/>
    </w:lvl>
  </w:abstractNum>
  <w:abstractNum w:abstractNumId="8">
    <w:nsid w:val="76272110"/>
    <w:multiLevelType w:val="hybridMultilevel"/>
    <w:lvl w:ilvl="0">
      <w:lvlJc w:val="left"/>
      <w:lvlText w:val="%1"/>
      <w:numFmt w:val="lowerRoman"/>
      <w:start w:val="1"/>
    </w:lvl>
    <w:lvl w:ilvl="1">
      <w:lvlJc w:val="left"/>
      <w:lvlText w:val="5"/>
      <w:numFmt w:val="bullet"/>
      <w:start w:val="1"/>
    </w:lvl>
  </w:abstractNum>
  <w:abstractNum w:abstractNumId="9">
    <w:nsid w:val="4C04A8AF"/>
    <w:multiLevelType w:val="hybridMultilevel"/>
    <w:lvl w:ilvl="0">
      <w:lvlJc w:val="left"/>
      <w:lvlText w:val="6"/>
      <w:numFmt w:val="bullet"/>
      <w:start w:val="1"/>
    </w:lvl>
  </w:abstractNum>
  <w:abstractNum w:abstractNumId="10">
    <w:nsid w:val="1716703B"/>
    <w:multiLevelType w:val="hybridMultilevel"/>
    <w:lvl w:ilvl="0">
      <w:lvlJc w:val="left"/>
      <w:lvlText w:val="7"/>
      <w:numFmt w:val="bullet"/>
      <w:start w:val="1"/>
    </w:lvl>
  </w:abstractNum>
  <w:abstractNum w:abstractNumId="11">
    <w:nsid w:val="14E17E33"/>
    <w:multiLevelType w:val="hybridMultilevel"/>
    <w:lvl w:ilvl="0">
      <w:lvlJc w:val="left"/>
      <w:lvlText w:val="8"/>
      <w:numFmt w:val="bullet"/>
      <w:start w:val="1"/>
    </w:lvl>
  </w:abstractNum>
  <w:abstractNum w:abstractNumId="12">
    <w:nsid w:val="3222E7CD"/>
    <w:multiLevelType w:val="hybridMultilevel"/>
    <w:lvl w:ilvl="0">
      <w:lvlJc w:val="left"/>
      <w:lvlText w:val="9"/>
      <w:numFmt w:val="bullet"/>
      <w:start w:val="1"/>
    </w:lvl>
  </w:abstractNum>
  <w:abstractNum w:abstractNumId="13">
    <w:nsid w:val="74DE0EE3"/>
    <w:multiLevelType w:val="hybridMultilevel"/>
    <w:lvl w:ilvl="0">
      <w:lvlJc w:val="left"/>
      <w:lvlText w:val="%1"/>
      <w:numFmt w:val="decimal"/>
      <w:start w:val="10"/>
    </w:lvl>
  </w:abstractNum>
  <w:abstractNum w:abstractNumId="14">
    <w:nsid w:val="68EBC550"/>
    <w:multiLevelType w:val="hybridMultilevel"/>
    <w:lvl w:ilvl="0">
      <w:lvlJc w:val="left"/>
      <w:lvlText w:val="%1"/>
      <w:numFmt w:val="decimal"/>
      <w:start w:val="11"/>
    </w:lvl>
  </w:abstractNum>
  <w:abstractNum w:abstractNumId="15">
    <w:nsid w:val="2DF6D648"/>
    <w:multiLevelType w:val="hybridMultilevel"/>
    <w:lvl w:ilvl="0">
      <w:lvlJc w:val="left"/>
      <w:lvlText w:val="v"/>
      <w:numFmt w:val="bullet"/>
      <w:start w:val="1"/>
    </w:lvl>
  </w:abstractNum>
  <w:abstractNum w:abstractNumId="16">
    <w:nsid w:val="46B7D447"/>
    <w:multiLevelType w:val="hybridMultilevel"/>
    <w:lvl w:ilvl="0">
      <w:lvlJc w:val="left"/>
      <w:lvlText w:val="1"/>
      <w:numFmt w:val="bullet"/>
      <w:start w:val="1"/>
    </w:lvl>
  </w:abstractNum>
  <w:abstractNum w:abstractNumId="17">
    <w:nsid w:val="4A2AC315"/>
    <w:multiLevelType w:val="hybridMultilevel"/>
    <w:lvl w:ilvl="0">
      <w:lvlJc w:val="left"/>
      <w:lvlText w:val="2"/>
      <w:numFmt w:val="bullet"/>
      <w:start w:val="1"/>
    </w:lvl>
  </w:abstractNum>
  <w:abstractNum w:abstractNumId="18">
    <w:nsid w:val="39EE015C"/>
    <w:multiLevelType w:val="hybridMultilevel"/>
    <w:lvl w:ilvl="0">
      <w:lvlJc w:val="left"/>
      <w:lvlText w:val="3"/>
      <w:numFmt w:val="bullet"/>
      <w:start w:val="1"/>
    </w:lvl>
  </w:abstractNum>
  <w:abstractNum w:abstractNumId="19">
    <w:nsid w:val="57FC4FBB"/>
    <w:multiLevelType w:val="hybridMultilevel"/>
    <w:lvl w:ilvl="0">
      <w:lvlJc w:val="left"/>
      <w:lvlText w:val="4"/>
      <w:numFmt w:val="bullet"/>
      <w:start w:val="1"/>
    </w:lvl>
  </w:abstractNum>
  <w:abstractNum w:abstractNumId="20">
    <w:nsid w:val="CC1016F"/>
    <w:multiLevelType w:val="hybridMultilevel"/>
    <w:lvl w:ilvl="0">
      <w:lvlJc w:val="left"/>
      <w:lvlText w:val="5"/>
      <w:numFmt w:val="bullet"/>
      <w:start w:val="1"/>
    </w:lvl>
  </w:abstractNum>
  <w:abstractNum w:abstractNumId="21">
    <w:nsid w:val="43F18422"/>
    <w:multiLevelType w:val="hybridMultilevel"/>
    <w:lvl w:ilvl="0">
      <w:lvlJc w:val="left"/>
      <w:lvlText w:val="6"/>
      <w:numFmt w:val="bullet"/>
      <w:start w:val="1"/>
    </w:lvl>
  </w:abstractNum>
  <w:abstractNum w:abstractNumId="22">
    <w:nsid w:val="60EF0119"/>
    <w:multiLevelType w:val="hybridMultilevel"/>
    <w:lvl w:ilvl="0">
      <w:lvlJc w:val="left"/>
      <w:lvlText w:val="7"/>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8"/>
      <w:numFmt w:val="bullet"/>
      <w:start w:val="1"/>
    </w:lvl>
  </w:abstractNum>
  <w:abstractNum w:abstractNumId="25">
    <w:nsid w:val="49DA307D"/>
    <w:multiLevelType w:val="hybridMultilevel"/>
    <w:lvl w:ilvl="0">
      <w:lvlJc w:val="left"/>
      <w:lvlText w:val="(%1)"/>
      <w:numFmt w:val="decimal"/>
      <w:start w:val="1"/>
    </w:lvl>
  </w:abstractNum>
  <w:abstractNum w:abstractNumId="26">
    <w:nsid w:val="7055A5F5"/>
    <w:multiLevelType w:val="hybridMultilevel"/>
    <w:lvl w:ilvl="0">
      <w:lvlJc w:val="left"/>
      <w:lvlText w:val="9"/>
      <w:numFmt w:val="bullet"/>
      <w:start w:val="1"/>
    </w:lvl>
  </w:abstractNum>
  <w:abstractNum w:abstractNumId="27">
    <w:nsid w:val="5FB8370B"/>
    <w:multiLevelType w:val="hybridMultilevel"/>
    <w:lvl w:ilvl="0">
      <w:lvlJc w:val="left"/>
      <w:lvlText w:val="►"/>
      <w:numFmt w:val="bullet"/>
      <w:start w:val="1"/>
    </w:lvl>
    <w:lvl w:ilvl="1">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amp;"/>
      <w:numFmt w:val="bullet"/>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1"/>
      <w:numFmt w:val="decimal"/>
      <w:start w:val="19"/>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
      <w:numFmt w:val="bullet"/>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
      <w:numFmt w:val="bullet"/>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1)"/>
      <w:numFmt w:val="decimal"/>
      <w:start w:val="1"/>
    </w:lvl>
  </w:abstractNum>
  <w:abstractNum w:abstractNumId="63">
    <w:nsid w:val="3C5991AA"/>
    <w:multiLevelType w:val="hybridMultilevel"/>
    <w:lvl w:ilvl="0">
      <w:lvlJc w:val="left"/>
      <w:lvlText w:val="►"/>
      <w:numFmt w:val="bullet"/>
      <w:start w:val="1"/>
    </w:lvl>
  </w:abstractNum>
  <w:abstractNum w:abstractNumId="64">
    <w:nsid w:val="4BD8591A"/>
    <w:multiLevelType w:val="hybridMultilevel"/>
    <w:lvl w:ilvl="0">
      <w:lvlJc w:val="left"/>
      <w:lvlText w:val="(%1)"/>
      <w:numFmt w:val="decimal"/>
      <w:start w:val="1"/>
    </w:lvl>
  </w:abstractNum>
  <w:abstractNum w:abstractNumId="65">
    <w:nsid w:val="78DF6A55"/>
    <w:multiLevelType w:val="hybridMultilevel"/>
    <w:lvl w:ilvl="0">
      <w:lvlJc w:val="left"/>
      <w:lvlText w:val="►"/>
      <w:numFmt w:val="bullet"/>
      <w:start w:val="1"/>
    </w:lvl>
    <w:lvl w:ilvl="1">
      <w:lvlJc w:val="left"/>
      <w:lvlText w:val="►"/>
      <w:numFmt w:val="bullet"/>
      <w:start w:val="1"/>
    </w:lvl>
  </w:abstractNum>
  <w:abstractNum w:abstractNumId="66">
    <w:nsid w:val="39B7AAA2"/>
    <w:multiLevelType w:val="hybridMultilevel"/>
    <w:lvl w:ilvl="0">
      <w:lvlJc w:val="left"/>
      <w:lvlText w:val="►"/>
      <w:numFmt w:val="bullet"/>
      <w:start w:val="1"/>
    </w:lvl>
    <w:lvl w:ilvl="1">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
      <w:numFmt w:val="bullet"/>
      <w:start w:val="1"/>
    </w:lvl>
    <w:lvl w:ilvl="1">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1)"/>
      <w:numFmt w:val="decimal"/>
      <w:start w:val="1"/>
    </w:lvl>
  </w:abstractNum>
  <w:abstractNum w:abstractNumId="72">
    <w:nsid w:val="4C9B0904"/>
    <w:multiLevelType w:val="hybridMultilevel"/>
    <w:lvl w:ilvl="0">
      <w:lvlJc w:val="left"/>
      <w:lvlText w:val="►"/>
      <w:numFmt w:val="bullet"/>
      <w:start w:val="1"/>
    </w:lvl>
    <w:lvl w:ilvl="1">
      <w:lvlJc w:val="left"/>
      <w:lvlText w:val="►"/>
      <w:numFmt w:val="bullet"/>
      <w:start w:val="1"/>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1)"/>
      <w:numFmt w:val="decimal"/>
    </w:lvl>
    <w:lvl w:ilvl="1">
      <w:lvlJc w:val="left"/>
      <w:lvlText w:val="►"/>
      <w:numFmt w:val="bullet"/>
      <w:start w:val="1"/>
    </w:lvl>
  </w:abstractNum>
  <w:abstractNum w:abstractNumId="76">
    <w:nsid w:val="3DD15094"/>
    <w:multiLevelType w:val="hybridMultilevel"/>
    <w:lvl w:ilvl="0">
      <w:lvlJc w:val="left"/>
      <w:lvlText w:val="►"/>
      <w:numFmt w:val="bullet"/>
      <w:start w:val="1"/>
    </w:lvl>
    <w:lvl w:ilvl="1">
      <w:lvlJc w:val="left"/>
      <w:lvlText w:val="►"/>
      <w:numFmt w:val="bullet"/>
      <w:start w:val="1"/>
    </w:lvl>
  </w:abstractNum>
  <w:abstractNum w:abstractNumId="77">
    <w:nsid w:val="3DB012B3"/>
    <w:multiLevelType w:val="hybridMultilevel"/>
    <w:lvl w:ilvl="0">
      <w:lvlJc w:val="left"/>
      <w:lvlText w:val="►"/>
      <w:numFmt w:val="bullet"/>
      <w:start w:val="1"/>
    </w:lvl>
    <w:lvl w:ilvl="1">
      <w:lvlJc w:val="left"/>
      <w:lvlText w:val="►"/>
      <w:numFmt w:val="bullet"/>
      <w:start w:val="1"/>
    </w:lvl>
  </w:abstractNum>
  <w:abstractNum w:abstractNumId="78">
    <w:nsid w:val="2708C9AF"/>
    <w:multiLevelType w:val="hybridMultilevel"/>
    <w:lvl w:ilvl="0">
      <w:lvlJc w:val="left"/>
      <w:lvlText w:val="►"/>
      <w:numFmt w:val="bullet"/>
      <w:start w:val="1"/>
    </w:lvl>
    <w:lvl w:ilvl="1">
      <w:lvlJc w:val="left"/>
      <w:lvlText w:val="►"/>
      <w:numFmt w:val="bullet"/>
      <w:start w:val="1"/>
    </w:lvl>
  </w:abstractNum>
  <w:abstractNum w:abstractNumId="79">
    <w:nsid w:val="5B25ACE2"/>
    <w:multiLevelType w:val="hybridMultilevel"/>
    <w:lvl w:ilvl="0">
      <w:lvlJc w:val="left"/>
      <w:lvlText w:val="►"/>
      <w:numFmt w:val="bullet"/>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1)"/>
      <w:numFmt w:val="decimal"/>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lvl w:ilvl="1">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
      <w:numFmt w:val="bullet"/>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
      <w:numFmt w:val="bullet"/>
      <w:start w:val="1"/>
    </w:lvl>
  </w:abstractNum>
  <w:abstractNum w:abstractNumId="89">
    <w:nsid w:val="4DF72E4E"/>
    <w:multiLevelType w:val="hybridMultilevel"/>
    <w:lvl w:ilvl="0">
      <w:lvlJc w:val="left"/>
      <w:lvlText w:val="►"/>
      <w:numFmt w:val="bullet"/>
      <w:start w:val="1"/>
    </w:lvl>
  </w:abstractNum>
  <w:abstractNum w:abstractNumId="90">
    <w:nsid w:val="5046B5A9"/>
    <w:multiLevelType w:val="hybridMultilevel"/>
    <w:lvl w:ilvl="0">
      <w:lvlJc w:val="left"/>
      <w:lvlText w:val="(%1)"/>
      <w:numFmt w:val="decimal"/>
      <w:start w:val="1"/>
    </w:lvl>
    <w:lvl w:ilvl="1">
      <w:lvlJc w:val="left"/>
      <w:lvlText w:val="(%2)"/>
      <w:numFmt w:val="decimal"/>
      <w:start w:val="3"/>
    </w:lvl>
  </w:abstractNum>
  <w:abstractNum w:abstractNumId="91">
    <w:nsid w:val="5D888A08"/>
    <w:multiLevelType w:val="hybridMultilevel"/>
    <w:lvl w:ilvl="0">
      <w:lvlJc w:val="left"/>
      <w:lvlText w:val="(%1)"/>
      <w:numFmt w:val="decimal"/>
      <w:start w:val="4"/>
    </w:lvl>
  </w:abstractNum>
  <w:abstractNum w:abstractNumId="92">
    <w:nsid w:val="2A082C70"/>
    <w:multiLevelType w:val="hybridMultilevel"/>
    <w:lvl w:ilvl="0">
      <w:lvlJc w:val="left"/>
      <w:lvlText w:val="(%1)"/>
      <w:numFmt w:val="decimal"/>
      <w:start w:val="1"/>
    </w:lvl>
  </w:abstractNum>
  <w:abstractNum w:abstractNumId="93">
    <w:nsid w:val="5EC6AFD4"/>
    <w:multiLevelType w:val="hybridMultilevel"/>
    <w:lvl w:ilvl="0">
      <w:lvlJc w:val="left"/>
      <w:lvlText w:val="►"/>
      <w:numFmt w:val="bullet"/>
      <w:start w:val="1"/>
    </w:lvl>
  </w:abstractNum>
  <w:abstractNum w:abstractNumId="94">
    <w:nsid w:val="19E21BB2"/>
    <w:multiLevelType w:val="hybridMultilevel"/>
    <w:lvl w:ilvl="0">
      <w:lvlJc w:val="left"/>
      <w:lvlText w:val="►"/>
      <w:numFmt w:val="bullet"/>
      <w:start w:val="1"/>
    </w:lvl>
  </w:abstractNum>
  <w:abstractNum w:abstractNumId="95">
    <w:nsid w:val="75E0858A"/>
    <w:multiLevelType w:val="hybridMultilevel"/>
    <w:lvl w:ilvl="0">
      <w:lvlJc w:val="left"/>
      <w:lvlText w:val="►"/>
      <w:numFmt w:val="bullet"/>
      <w:start w:val="1"/>
    </w:lvl>
    <w:lvl w:ilvl="1">
      <w:lvlJc w:val="left"/>
      <w:lvlText w:val="►"/>
      <w:numFmt w:val="bullet"/>
      <w:start w:val="1"/>
    </w:lvl>
  </w:abstractNum>
  <w:abstractNum w:abstractNumId="96">
    <w:nsid w:val="57A61A29"/>
    <w:multiLevelType w:val="hybridMultilevel"/>
    <w:lvl w:ilvl="0">
      <w:lvlJc w:val="left"/>
      <w:lvlText w:val="(%1)"/>
      <w:numFmt w:val="decimal"/>
      <w:start w:val="1"/>
    </w:lvl>
  </w:abstractNum>
  <w:abstractNum w:abstractNumId="97">
    <w:nsid w:val="5399C654"/>
    <w:multiLevelType w:val="hybridMultilevel"/>
    <w:lvl w:ilvl="0">
      <w:lvlJc w:val="left"/>
      <w:lvlText w:val="►"/>
      <w:numFmt w:val="bullet"/>
      <w:start w:val="1"/>
    </w:lvl>
  </w:abstractNum>
  <w:abstractNum w:abstractNumId="98">
    <w:nsid w:val="20EE1348"/>
    <w:multiLevelType w:val="hybridMultilevel"/>
    <w:lvl w:ilvl="0">
      <w:lvlJc w:val="left"/>
      <w:lvlText w:val="►"/>
      <w:numFmt w:val="bullet"/>
      <w:start w:val="1"/>
    </w:lvl>
  </w:abstractNum>
  <w:abstractNum w:abstractNumId="99">
    <w:nsid w:val="4427069A"/>
    <w:multiLevelType w:val="hybridMultilevel"/>
    <w:lvl w:ilvl="0">
      <w:lvlJc w:val="left"/>
      <w:lvlText w:val="►"/>
      <w:numFmt w:val="bullet"/>
      <w:start w:val="1"/>
    </w:lvl>
  </w:abstractNum>
  <w:abstractNum w:abstractNumId="100">
    <w:nsid w:val="B37E80A"/>
    <w:multiLevelType w:val="hybridMultilevel"/>
    <w:lvl w:ilvl="0">
      <w:lvlJc w:val="left"/>
      <w:lvlText w:val="(%1)"/>
      <w:numFmt w:val="decimal"/>
      <w:start w:val="1"/>
    </w:lvl>
  </w:abstractNum>
  <w:abstractNum w:abstractNumId="101">
    <w:nsid w:val="2157F6BC"/>
    <w:multiLevelType w:val="hybridMultilevel"/>
    <w:lvl w:ilvl="0">
      <w:lvlJc w:val="left"/>
      <w:lvlText w:val="►"/>
      <w:numFmt w:val="bullet"/>
      <w:start w:val="1"/>
    </w:lvl>
  </w:abstractNum>
  <w:abstractNum w:abstractNumId="102">
    <w:nsid w:val="704E1DD5"/>
    <w:multiLevelType w:val="hybridMultilevel"/>
    <w:lvl w:ilvl="0">
      <w:lvlJc w:val="left"/>
      <w:lvlText w:val="►"/>
      <w:numFmt w:val="bullet"/>
      <w:start w:val="1"/>
    </w:lvl>
  </w:abstractNum>
  <w:abstractNum w:abstractNumId="103">
    <w:nsid w:val="57D2F10E"/>
    <w:multiLevelType w:val="hybridMultilevel"/>
    <w:lvl w:ilvl="0">
      <w:lvlJc w:val="left"/>
      <w:lvlText w:val="►"/>
      <w:numFmt w:val="bullet"/>
      <w:start w:val="1"/>
    </w:lvl>
  </w:abstractNum>
  <w:abstractNum w:abstractNumId="104">
    <w:nsid w:val="BFFAE18"/>
    <w:multiLevelType w:val="hybridMultilevel"/>
    <w:lvl w:ilvl="0">
      <w:lvlJc w:val="left"/>
      <w:lvlText w:val="►"/>
      <w:numFmt w:val="bullet"/>
      <w:start w:val="1"/>
    </w:lvl>
  </w:abstractNum>
  <w:abstractNum w:abstractNumId="105">
    <w:nsid w:val="E3E47A8"/>
    <w:multiLevelType w:val="hybridMultilevel"/>
    <w:lvl w:ilvl="0">
      <w:lvlJc w:val="left"/>
      <w:lvlText w:val="(%1)"/>
      <w:numFmt w:val="decimal"/>
      <w:start w:val="1"/>
    </w:lvl>
  </w:abstractNum>
  <w:abstractNum w:abstractNumId="106">
    <w:nsid w:val="2E48F044"/>
    <w:multiLevelType w:val="hybridMultilevel"/>
    <w:lvl w:ilvl="0">
      <w:lvlJc w:val="left"/>
      <w:lvlText w:val="(%1)"/>
      <w:numFmt w:val="decimal"/>
      <w:start w:val="2"/>
    </w:lvl>
  </w:abstractNum>
  <w:abstractNum w:abstractNumId="107">
    <w:nsid w:val="49D0FEAC"/>
    <w:multiLevelType w:val="hybridMultilevel"/>
    <w:lvl w:ilvl="0">
      <w:lvlJc w:val="left"/>
      <w:lvlText w:val="(%1)"/>
      <w:numFmt w:val="decimal"/>
      <w:start w:val="5"/>
    </w:lvl>
  </w:abstractNum>
  <w:abstractNum w:abstractNumId="108">
    <w:nsid w:val="4BEE5A5B"/>
    <w:multiLevelType w:val="hybridMultilevel"/>
    <w:lvl w:ilvl="0">
      <w:lvlJc w:val="left"/>
      <w:lvlText w:val="(%1)"/>
      <w:numFmt w:val="decimal"/>
      <w:start w:val="1"/>
    </w:lvl>
  </w:abstractNum>
  <w:abstractNum w:abstractNumId="109">
    <w:nsid w:val="5551B9F3"/>
    <w:multiLevelType w:val="hybridMultilevel"/>
    <w:lvl w:ilvl="0">
      <w:lvlJc w:val="left"/>
      <w:lvlText w:val="(%1)"/>
      <w:numFmt w:val="decimal"/>
      <w:start w:val="1"/>
    </w:lvl>
  </w:abstractNum>
  <w:abstractNum w:abstractNumId="110">
    <w:nsid w:val="24F6AB8E"/>
    <w:multiLevelType w:val="hybridMultilevel"/>
    <w:lvl w:ilvl="0">
      <w:lvlJc w:val="left"/>
      <w:lvlText w:val="(%1)"/>
      <w:numFmt w:val="decimal"/>
      <w:start w:val="1"/>
    </w:lvl>
  </w:abstractNum>
  <w:abstractNum w:abstractNumId="111">
    <w:nsid w:val="634C574C"/>
    <w:multiLevelType w:val="hybridMultilevel"/>
    <w:lvl w:ilvl="0">
      <w:lvlJc w:val="left"/>
      <w:lvlText w:val="(%1)"/>
      <w:numFmt w:val="decimal"/>
      <w:start w:val="1"/>
    </w:lvl>
    <w:lvl w:ilvl="1">
      <w:lvlJc w:val="left"/>
      <w:lvlText w:val="-"/>
      <w:numFmt w:val="bullet"/>
      <w:start w:val="1"/>
    </w:lvl>
  </w:abstractNum>
  <w:abstractNum w:abstractNumId="112">
    <w:nsid w:val="24E99DD7"/>
    <w:multiLevelType w:val="hybridMultilevel"/>
    <w:lvl w:ilvl="0">
      <w:lvlJc w:val="left"/>
      <w:lvlText w:val="(%1)"/>
      <w:numFmt w:val="lowerLetter"/>
      <w:start w:val="1"/>
    </w:lvl>
    <w:lvl w:ilvl="1">
      <w:lvlJc w:val="left"/>
      <w:lvlText w:val="%2."/>
      <w:numFmt w:val="lowerRoman"/>
      <w:start w:val="1"/>
    </w:lvl>
  </w:abstractNum>
  <w:abstractNum w:abstractNumId="113">
    <w:nsid w:val="2A31B62D"/>
    <w:multiLevelType w:val="hybridMultilevel"/>
    <w:lvl w:ilvl="0">
      <w:lvlJc w:val="left"/>
      <w:lvlText w:val="%1"/>
      <w:numFmt w:val="lowerLetter"/>
      <w:start w:val="1"/>
    </w:lvl>
    <w:lvl w:ilvl="1">
      <w:lvlJc w:val="left"/>
      <w:lvlText w:val="%2."/>
      <w:numFmt w:val="lowerRoman"/>
      <w:start w:val="2"/>
    </w:lvl>
  </w:abstractNum>
  <w:abstractNum w:abstractNumId="114">
    <w:nsid w:val="1849C29B"/>
    <w:multiLevelType w:val="hybridMultilevel"/>
    <w:lvl w:ilvl="0">
      <w:lvlJc w:val="left"/>
      <w:lvlText w:val="(%1)"/>
      <w:numFmt w:val="lowerLetter"/>
      <w:start w:val="2"/>
    </w:lvl>
    <w:lvl w:ilvl="1">
      <w:lvlJc w:val="left"/>
      <w:lvlText w:val="%2"/>
      <w:numFmt w:val="lowerRoman"/>
      <w:start w:val="1"/>
    </w:lvl>
  </w:abstractNum>
  <w:abstractNum w:abstractNumId="115">
    <w:nsid w:val="7DFF9D09"/>
    <w:multiLevelType w:val="hybridMultilevel"/>
    <w:lvl w:ilvl="0">
      <w:lvlJc w:val="left"/>
      <w:lvlText w:val="(%1)"/>
      <w:numFmt w:val="decimal"/>
      <w:start w:val="1"/>
    </w:lvl>
  </w:abstractNum>
  <w:abstractNum w:abstractNumId="116">
    <w:nsid w:val="754342"/>
    <w:multiLevelType w:val="hybridMultilevel"/>
    <w:lvl w:ilvl="0">
      <w:lvlJc w:val="left"/>
      <w:lvlText w:val="(%1)"/>
      <w:numFmt w:val="decimal"/>
      <w:start w:val="1"/>
    </w:lvl>
  </w:abstractNum>
  <w:abstractNum w:abstractNumId="117">
    <w:nsid w:val="69E7F3E5"/>
    <w:multiLevelType w:val="hybridMultilevel"/>
    <w:lvl w:ilvl="0">
      <w:lvlJc w:val="left"/>
      <w:lvlText w:val="(%1)"/>
      <w:numFmt w:val="decimal"/>
      <w:start w:val="1"/>
    </w:lvl>
  </w:abstractNum>
  <w:abstractNum w:abstractNumId="118">
    <w:nsid w:val="2A6DE806"/>
    <w:multiLevelType w:val="hybridMultilevel"/>
    <w:lvl w:ilvl="0">
      <w:lvlJc w:val="left"/>
      <w:lvlText w:val="(%1)"/>
      <w:numFmt w:val="decimal"/>
      <w:start w:val="1"/>
    </w:lvl>
  </w:abstractNum>
  <w:abstractNum w:abstractNumId="119">
    <w:nsid w:val="1816F8C4"/>
    <w:multiLevelType w:val="hybridMultilevel"/>
    <w:lvl w:ilvl="0">
      <w:lvlJc w:val="left"/>
      <w:lvlText w:val="►"/>
      <w:numFmt w:val="bullet"/>
      <w:start w:val="1"/>
    </w:lvl>
  </w:abstractNum>
  <w:abstractNum w:abstractNumId="120">
    <w:nsid w:val="37DF2233"/>
    <w:multiLevelType w:val="hybridMultilevel"/>
    <w:lvl w:ilvl="0">
      <w:lvlJc w:val="left"/>
      <w:lvlText w:val="(%1)"/>
      <w:numFmt w:val="decimal"/>
      <w:start w:val="1"/>
    </w:lvl>
  </w:abstractNum>
  <w:abstractNum w:abstractNumId="121">
    <w:nsid w:val="7AB49DAF"/>
    <w:multiLevelType w:val="hybridMultilevel"/>
    <w:lvl w:ilvl="0">
      <w:lvlJc w:val="left"/>
      <w:lvlText w:val="►"/>
      <w:numFmt w:val="bullet"/>
      <w:start w:val="1"/>
    </w:lvl>
  </w:abstractNum>
  <w:abstractNum w:abstractNumId="122">
    <w:nsid w:val="759F82CD"/>
    <w:multiLevelType w:val="hybridMultilevel"/>
    <w:lvl w:ilvl="0">
      <w:lvlJc w:val="left"/>
      <w:lvlText w:val="►"/>
      <w:numFmt w:val="bullet"/>
      <w:start w:val="1"/>
    </w:lvl>
  </w:abstractNum>
  <w:abstractNum w:abstractNumId="123">
    <w:nsid w:val="61E74EA3"/>
    <w:multiLevelType w:val="hybridMultilevel"/>
    <w:lvl w:ilvl="0">
      <w:lvlJc w:val="left"/>
      <w:lvlText w:val="►"/>
      <w:numFmt w:val="bullet"/>
      <w:start w:val="1"/>
    </w:lvl>
  </w:abstractNum>
  <w:abstractNum w:abstractNumId="124">
    <w:nsid w:val="597B4D84"/>
    <w:multiLevelType w:val="hybridMultilevel"/>
    <w:lvl w:ilvl="0">
      <w:lvlJc w:val="left"/>
      <w:lvlText w:val="►"/>
      <w:numFmt w:val="bullet"/>
      <w:start w:val="1"/>
    </w:lvl>
  </w:abstractNum>
  <w:abstractNum w:abstractNumId="125">
    <w:nsid w:val="F819E7F"/>
    <w:multiLevelType w:val="hybridMultilevel"/>
    <w:lvl w:ilvl="0">
      <w:lvlJc w:val="left"/>
      <w:lvlText w:val="►"/>
      <w:numFmt w:val="bullet"/>
      <w:start w:val="1"/>
    </w:lvl>
  </w:abstractNum>
  <w:abstractNum w:abstractNumId="126">
    <w:nsid w:val="57C7D42D"/>
    <w:multiLevelType w:val="hybridMultilevel"/>
    <w:lvl w:ilvl="0">
      <w:lvlJc w:val="left"/>
      <w:lvlText w:val="►"/>
      <w:numFmt w:val="bullet"/>
      <w:start w:val="1"/>
    </w:lvl>
  </w:abstractNum>
  <w:abstractNum w:abstractNumId="127">
    <w:nsid w:val="312167AD"/>
    <w:multiLevelType w:val="hybridMultilevel"/>
    <w:lvl w:ilvl="0">
      <w:lvlJc w:val="left"/>
      <w:lvlText w:val="►"/>
      <w:numFmt w:val="bullet"/>
      <w:start w:val="1"/>
    </w:lvl>
  </w:abstractNum>
  <w:abstractNum w:abstractNumId="128">
    <w:nsid w:val="631B64D4"/>
    <w:multiLevelType w:val="hybridMultilevel"/>
    <w:lvl w:ilvl="0">
      <w:lvlJc w:val="left"/>
      <w:lvlText w:val="►"/>
      <w:numFmt w:val="bullet"/>
      <w:start w:val="1"/>
    </w:lvl>
  </w:abstractNum>
  <w:abstractNum w:abstractNumId="129">
    <w:nsid w:val="78B5E776"/>
    <w:multiLevelType w:val="hybridMultilevel"/>
    <w:lvl w:ilvl="0">
      <w:lvlJc w:val="left"/>
      <w:lvlText w:val="►"/>
      <w:numFmt w:val="bullet"/>
      <w:start w:val="1"/>
    </w:lvl>
  </w:abstractNum>
  <w:abstractNum w:abstractNumId="130">
    <w:nsid w:val="75486E47"/>
    <w:multiLevelType w:val="hybridMultilevel"/>
    <w:lvl w:ilvl="0">
      <w:lvlJc w:val="left"/>
      <w:lvlText w:val="►"/>
      <w:numFmt w:val="bullet"/>
      <w:start w:val="1"/>
    </w:lvl>
  </w:abstractNum>
  <w:abstractNum w:abstractNumId="131">
    <w:nsid w:val="6E534CDE"/>
    <w:multiLevelType w:val="hybridMultilevel"/>
    <w:lvl w:ilvl="0">
      <w:lvlJc w:val="left"/>
      <w:lvlText w:val="►"/>
      <w:numFmt w:val="bullet"/>
      <w:start w:val="1"/>
    </w:lvl>
  </w:abstractNum>
  <w:abstractNum w:abstractNumId="132">
    <w:nsid w:val="1A0DDE32"/>
    <w:multiLevelType w:val="hybridMultilevel"/>
    <w:lvl w:ilvl="0">
      <w:lvlJc w:val="left"/>
      <w:lvlText w:val="►"/>
      <w:numFmt w:val="bullet"/>
      <w:start w:val="1"/>
    </w:lvl>
  </w:abstractNum>
  <w:abstractNum w:abstractNumId="133">
    <w:nsid w:val="65968C1C"/>
    <w:multiLevelType w:val="hybridMultilevel"/>
    <w:lvl w:ilvl="0">
      <w:lvlJc w:val="left"/>
      <w:lvlText w:val="►"/>
      <w:numFmt w:val="bullet"/>
      <w:start w:val="1"/>
    </w:lvl>
  </w:abstractNum>
  <w:abstractNum w:abstractNumId="134">
    <w:nsid w:val="46263DEC"/>
    <w:multiLevelType w:val="hybridMultilevel"/>
    <w:lvl w:ilvl="0">
      <w:lvlJc w:val="left"/>
      <w:lvlText w:val="►"/>
      <w:numFmt w:val="bullet"/>
      <w:start w:val="1"/>
    </w:lvl>
  </w:abstractNum>
  <w:abstractNum w:abstractNumId="135">
    <w:nsid w:val="260D8C4A"/>
    <w:multiLevelType w:val="hybridMultilevel"/>
    <w:lvl w:ilvl="0">
      <w:lvlJc w:val="left"/>
      <w:lvlText w:val="►"/>
      <w:numFmt w:val="bullet"/>
      <w:start w:val="1"/>
    </w:lvl>
  </w:abstractNum>
  <w:abstractNum w:abstractNumId="136">
    <w:nsid w:val="73D4D3C4"/>
    <w:multiLevelType w:val="hybridMultilevel"/>
    <w:lvl w:ilvl="0">
      <w:lvlJc w:val="left"/>
      <w:lvlText w:val="►"/>
      <w:numFmt w:val="bullet"/>
      <w:start w:val="1"/>
    </w:lvl>
  </w:abstractNum>
  <w:abstractNum w:abstractNumId="137">
    <w:nsid w:val="746F2E30"/>
    <w:multiLevelType w:val="hybridMultilevel"/>
    <w:lvl w:ilvl="0">
      <w:lvlJc w:val="left"/>
      <w:lvlText w:val="►"/>
      <w:numFmt w:val="bullet"/>
      <w:start w:val="1"/>
    </w:lvl>
  </w:abstractNum>
  <w:abstractNum w:abstractNumId="138">
    <w:nsid w:val="6FDE8AF6"/>
    <w:multiLevelType w:val="hybridMultilevel"/>
    <w:lvl w:ilvl="0">
      <w:lvlJc w:val="left"/>
      <w:lvlText w:val="►"/>
      <w:numFmt w:val="bullet"/>
      <w:start w:val="1"/>
    </w:lvl>
  </w:abstractNum>
  <w:abstractNum w:abstractNumId="139">
    <w:nsid w:val="3FC32E20"/>
    <w:multiLevelType w:val="hybridMultilevel"/>
    <w:lvl w:ilvl="0">
      <w:lvlJc w:val="left"/>
      <w:lvlText w:val="►"/>
      <w:numFmt w:val="bullet"/>
      <w:start w:val="1"/>
    </w:lvl>
  </w:abstractNum>
  <w:abstractNum w:abstractNumId="140">
    <w:nsid w:val="49C0E823"/>
    <w:multiLevelType w:val="hybridMultilevel"/>
    <w:lvl w:ilvl="0">
      <w:lvlJc w:val="left"/>
      <w:lvlText w:val="►"/>
      <w:numFmt w:val="bullet"/>
      <w:start w:val="1"/>
    </w:lvl>
  </w:abstractNum>
  <w:abstractNum w:abstractNumId="141">
    <w:nsid w:val="14D53685"/>
    <w:multiLevelType w:val="hybridMultilevel"/>
    <w:lvl w:ilvl="0">
      <w:lvlJc w:val="left"/>
      <w:lvlText w:val="►"/>
      <w:numFmt w:val="bullet"/>
      <w:start w:val="1"/>
    </w:lvl>
  </w:abstractNum>
  <w:abstractNum w:abstractNumId="142">
    <w:nsid w:val="230F856C"/>
    <w:multiLevelType w:val="hybridMultilevel"/>
    <w:lvl w:ilvl="0">
      <w:lvlJc w:val="left"/>
      <w:lvlText w:val="►"/>
      <w:numFmt w:val="bullet"/>
      <w:start w:val="1"/>
    </w:lvl>
  </w:abstractNum>
  <w:abstractNum w:abstractNumId="143">
    <w:nsid w:val="6EAA85FB"/>
    <w:multiLevelType w:val="hybridMultilevel"/>
    <w:lvl w:ilvl="0">
      <w:lvlJc w:val="left"/>
      <w:lvlText w:val="►"/>
      <w:numFmt w:val="bullet"/>
      <w:start w:val="1"/>
    </w:lvl>
  </w:abstractNum>
  <w:abstractNum w:abstractNumId="144">
    <w:nsid w:val="3F06ECB2"/>
    <w:multiLevelType w:val="hybridMultilevel"/>
    <w:lvl w:ilvl="0">
      <w:lvlJc w:val="left"/>
      <w:lvlText w:val="►"/>
      <w:numFmt w:val="bullet"/>
      <w:start w:val="1"/>
    </w:lvl>
  </w:abstractNum>
  <w:abstractNum w:abstractNumId="145">
    <w:nsid w:val="3B594807"/>
    <w:multiLevelType w:val="hybridMultilevel"/>
    <w:lvl w:ilvl="0">
      <w:lvlJc w:val="left"/>
      <w:lvlText w:val="►"/>
      <w:numFmt w:val="bullet"/>
      <w:start w:val="1"/>
    </w:lvl>
  </w:abstractNum>
  <w:abstractNum w:abstractNumId="146">
    <w:nsid w:val="6CAA2304"/>
    <w:multiLevelType w:val="hybridMultilevel"/>
    <w:lvl w:ilvl="0">
      <w:lvlJc w:val="left"/>
      <w:lvlText w:val="(%1)"/>
      <w:numFmt w:val="lowerLetter"/>
      <w:start w:val="2"/>
    </w:lvl>
  </w:abstractNum>
  <w:abstractNum w:abstractNumId="147">
    <w:nsid w:val="3F7C2FF4"/>
    <w:multiLevelType w:val="hybridMultilevel"/>
    <w:lvl w:ilvl="0">
      <w:lvlJc w:val="left"/>
      <w:lvlText w:val="►"/>
      <w:numFmt w:val="bullet"/>
      <w:start w:val="1"/>
    </w:lvl>
  </w:abstractNum>
  <w:abstractNum w:abstractNumId="148">
    <w:nsid w:val="25413BEC"/>
    <w:multiLevelType w:val="hybridMultilevel"/>
    <w:lvl w:ilvl="0">
      <w:lvlJc w:val="left"/>
      <w:lvlText w:val="(%1)"/>
      <w:numFmt w:val="lowerLetter"/>
      <w:start w:val="1"/>
    </w:lvl>
  </w:abstractNum>
  <w:abstractNum w:abstractNumId="149">
    <w:nsid w:val="17180B0B"/>
    <w:multiLevelType w:val="hybridMultilevel"/>
    <w:lvl w:ilvl="0">
      <w:lvlJc w:val="left"/>
      <w:lvlText w:val="►"/>
      <w:numFmt w:val="bullet"/>
      <w:start w:val="1"/>
    </w:lvl>
    <w:lvl w:ilvl="1">
      <w:lvlJc w:val="left"/>
      <w:lvlText w:val="(%2)"/>
      <w:numFmt w:val="lowerLetter"/>
      <w:start w:val="1"/>
    </w:lvl>
  </w:abstractNum>
  <w:abstractNum w:abstractNumId="150">
    <w:nsid w:val="579328B9"/>
    <w:multiLevelType w:val="hybridMultilevel"/>
    <w:lvl w:ilvl="0">
      <w:lvlJc w:val="left"/>
      <w:lvlText w:val="(%1)"/>
      <w:numFmt w:val="lowerLetter"/>
      <w:start w:val="1"/>
    </w:lvl>
    <w:lvl w:ilvl="1">
      <w:lvlJc w:val="left"/>
      <w:lvlText w:val="►"/>
      <w:numFmt w:val="bullet"/>
      <w:start w:val="1"/>
    </w:lvl>
  </w:abstractNum>
  <w:abstractNum w:abstractNumId="151">
    <w:nsid w:val="5D205E20"/>
    <w:multiLevelType w:val="hybridMultilevel"/>
    <w:lvl w:ilvl="0">
      <w:lvlJc w:val="left"/>
      <w:lvlText w:val="(%1)"/>
      <w:numFmt w:val="lowerLetter"/>
      <w:start w:val="1"/>
    </w:lvl>
  </w:abstractNum>
  <w:abstractNum w:abstractNumId="152">
    <w:nsid w:val="11CCA8BA"/>
    <w:multiLevelType w:val="hybridMultilevel"/>
    <w:lvl w:ilvl="0">
      <w:lvlJc w:val="left"/>
      <w:lvlText w:val="(%1)"/>
      <w:numFmt w:val="decimal"/>
      <w:start w:val="1"/>
    </w:lvl>
  </w:abstractNum>
  <w:abstractNum w:abstractNumId="153">
    <w:nsid w:val="4D32AB86"/>
    <w:multiLevelType w:val="hybridMultilevel"/>
    <w:lvl w:ilvl="0">
      <w:lvlJc w:val="left"/>
      <w:lvlText w:val="(%1)"/>
      <w:numFmt w:val="decimal"/>
      <w:start w:val="1"/>
    </w:lvl>
  </w:abstractNum>
  <w:abstractNum w:abstractNumId="154">
    <w:nsid w:val="3F07ACC3"/>
    <w:multiLevelType w:val="hybridMultilevel"/>
    <w:lvl w:ilvl="0">
      <w:lvlJc w:val="left"/>
      <w:lvlText w:val="►"/>
      <w:numFmt w:val="bullet"/>
      <w:start w:val="1"/>
    </w:lvl>
  </w:abstractNum>
  <w:abstractNum w:abstractNumId="155">
    <w:nsid w:val="6B47F63E"/>
    <w:multiLevelType w:val="hybridMultilevel"/>
    <w:lvl w:ilvl="0">
      <w:lvlJc w:val="left"/>
      <w:lvlText w:val="►"/>
      <w:numFmt w:val="bullet"/>
      <w:start w:val="1"/>
    </w:lvl>
  </w:abstractNum>
  <w:abstractNum w:abstractNumId="156">
    <w:nsid w:val="5CB44A05"/>
    <w:multiLevelType w:val="hybridMultilevel"/>
    <w:lvl w:ilvl="0">
      <w:lvlJc w:val="left"/>
      <w:lvlText w:val="►"/>
      <w:numFmt w:val="bullet"/>
      <w:start w:val="1"/>
    </w:lvl>
  </w:abstractNum>
  <w:abstractNum w:abstractNumId="157">
    <w:nsid w:val="16CF80F1"/>
    <w:multiLevelType w:val="hybridMultilevel"/>
    <w:lvl w:ilvl="0">
      <w:lvlJc w:val="left"/>
      <w:lvlText w:val="►"/>
      <w:numFmt w:val="bullet"/>
      <w:start w:val="1"/>
    </w:lvl>
  </w:abstractNum>
  <w:abstractNum w:abstractNumId="158">
    <w:nsid w:val="1C695DEC"/>
    <w:multiLevelType w:val="hybridMultilevel"/>
    <w:lvl w:ilvl="0">
      <w:lvlJc w:val="left"/>
      <w:lvlText w:val="%1."/>
      <w:numFmt w:val="decimal"/>
      <w:start w:val="1"/>
    </w:lvl>
    <w:lvl w:ilvl="1">
      <w:lvlJc w:val="left"/>
      <w:lvlText w:val="%2."/>
      <w:numFmt w:val="lowerLetter"/>
      <w:start w:val="1"/>
    </w:lvl>
  </w:abstractNum>
  <w:abstractNum w:abstractNumId="159">
    <w:nsid w:val="3FCFAED9"/>
    <w:multiLevelType w:val="hybridMultilevel"/>
    <w:lvl w:ilvl="0">
      <w:lvlJc w:val="left"/>
      <w:lvlText w:val="%1."/>
      <w:numFmt w:val="decimal"/>
      <w:start w:val="4"/>
    </w:lvl>
  </w:abstractNum>
  <w:abstractNum w:abstractNumId="160">
    <w:nsid w:val="F856867"/>
    <w:multiLevelType w:val="hybridMultilevel"/>
    <w:lvl w:ilvl="0">
      <w:lvlJc w:val="left"/>
      <w:lvlText w:val="%1."/>
      <w:numFmt w:val="decimal"/>
      <w:start w:val="11"/>
    </w:lvl>
  </w:abstractNum>
  <w:abstractNum w:abstractNumId="161">
    <w:nsid w:val="11B1CC33"/>
    <w:multiLevelType w:val="hybridMultilevel"/>
    <w:lvl w:ilvl="0">
      <w:lvlJc w:val="left"/>
      <w:lvlText w:val="%1."/>
      <w:numFmt w:val="decimal"/>
      <w:start w:val="15"/>
    </w:lvl>
    <w:lvl w:ilvl="1">
      <w:lvlJc w:val="left"/>
      <w:lvlText w:val="%2."/>
      <w:numFmt w:val="lowerLetter"/>
      <w:start w:val="1"/>
    </w:lvl>
  </w:abstractNum>
  <w:abstractNum w:abstractNumId="162">
    <w:nsid w:val="2E22FBB7"/>
    <w:multiLevelType w:val="hybridMultilevel"/>
    <w:lvl w:ilvl="0">
      <w:lvlJc w:val="left"/>
      <w:lvlText w:val="%1."/>
      <w:numFmt w:val="decimal"/>
      <w:start w:val="1"/>
    </w:lvl>
  </w:abstractNum>
  <w:abstractNum w:abstractNumId="163">
    <w:nsid w:val="29934699"/>
    <w:multiLevelType w:val="hybridMultilevel"/>
    <w:lvl w:ilvl="0">
      <w:lvlJc w:val="left"/>
      <w:lvlText w:val="%1."/>
      <w:numFmt w:val="decimal"/>
      <w:start w:val="5"/>
    </w:lvl>
    <w:lvl w:ilvl="1">
      <w:lvlJc w:val="left"/>
      <w:lvlText w:val="%2."/>
      <w:numFmt w:val="lowerLetter"/>
      <w:start w:val="1"/>
    </w:lvl>
  </w:abstractNum>
  <w:abstractNum w:abstractNumId="164">
    <w:nsid w:val="7748585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2021-04-09T15:11:20Z</dcterms:created>
  <dcterms:modified xsi:type="dcterms:W3CDTF">2021-04-09T15:11:20Z</dcterms:modified>
</cp:coreProperties>
</file>