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378" w:lineRule="exact"/>
        <w:rPr>
          <w:sz w:val="24"/>
          <w:szCs w:val="24"/>
          <w:color w:val="auto"/>
        </w:rPr>
      </w:pPr>
    </w:p>
    <w:p>
      <w:pPr>
        <w:ind w:left="4580"/>
        <w:spacing w:after="0"/>
        <w:rPr>
          <w:sz w:val="20"/>
          <w:szCs w:val="20"/>
          <w:color w:val="auto"/>
        </w:rPr>
      </w:pPr>
      <w:r>
        <w:rPr>
          <w:rFonts w:ascii="Arial" w:cs="Arial" w:eastAsia="Arial" w:hAnsi="Arial"/>
          <w:sz w:val="20"/>
          <w:szCs w:val="20"/>
          <w:u w:val="single" w:color="auto"/>
          <w:color w:val="auto"/>
        </w:rPr>
        <w:t>___________________</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FORM SD</w:t>
      </w:r>
    </w:p>
    <w:p>
      <w:pPr>
        <w:spacing w:after="0" w:line="51" w:lineRule="exact"/>
        <w:rPr>
          <w:sz w:val="24"/>
          <w:szCs w:val="24"/>
          <w:color w:val="auto"/>
        </w:rPr>
      </w:pPr>
    </w:p>
    <w:p>
      <w:pPr>
        <w:ind w:left="4580"/>
        <w:spacing w:after="0"/>
        <w:rPr>
          <w:sz w:val="20"/>
          <w:szCs w:val="20"/>
          <w:color w:val="auto"/>
        </w:rPr>
      </w:pPr>
      <w:r>
        <w:rPr>
          <w:rFonts w:ascii="Arial" w:cs="Arial" w:eastAsia="Arial" w:hAnsi="Arial"/>
          <w:sz w:val="20"/>
          <w:szCs w:val="20"/>
          <w:u w:val="single" w:color="auto"/>
          <w:color w:val="auto"/>
        </w:rPr>
        <w:t>___________________</w:t>
      </w:r>
    </w:p>
    <w:p>
      <w:pPr>
        <w:spacing w:after="0" w:line="27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SPECIALIZED DISCLOSURE REPORT</w:t>
      </w:r>
    </w:p>
    <w:p>
      <w:pPr>
        <w:spacing w:after="0" w:line="200" w:lineRule="exact"/>
        <w:rPr>
          <w:sz w:val="24"/>
          <w:szCs w:val="24"/>
          <w:color w:val="auto"/>
        </w:rPr>
      </w:pPr>
    </w:p>
    <w:p>
      <w:pPr>
        <w:spacing w:after="0" w:line="317"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3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2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9"/>
              </w:rPr>
              <w:t>TechnipFMC plc</w:t>
            </w:r>
          </w:p>
        </w:tc>
        <w:tc>
          <w:tcPr>
            <w:tcW w:w="1940" w:type="dxa"/>
            <w:vAlign w:val="bottom"/>
          </w:tcPr>
          <w:p>
            <w:pPr>
              <w:spacing w:after="0"/>
              <w:rPr>
                <w:sz w:val="20"/>
                <w:szCs w:val="20"/>
                <w:color w:val="auto"/>
              </w:rPr>
            </w:pPr>
          </w:p>
        </w:tc>
      </w:tr>
      <w:tr>
        <w:trPr>
          <w:trHeight w:val="423"/>
        </w:trPr>
        <w:tc>
          <w:tcPr>
            <w:tcW w:w="3140" w:type="dxa"/>
            <w:vAlign w:val="bottom"/>
          </w:tcPr>
          <w:p>
            <w:pPr>
              <w:spacing w:after="0"/>
              <w:rPr>
                <w:sz w:val="24"/>
                <w:szCs w:val="24"/>
                <w:color w:val="auto"/>
              </w:rPr>
            </w:pPr>
          </w:p>
        </w:tc>
        <w:tc>
          <w:tcPr>
            <w:tcW w:w="5100" w:type="dxa"/>
            <w:vAlign w:val="bottom"/>
            <w:gridSpan w:val="3"/>
          </w:tcPr>
          <w:p>
            <w:pPr>
              <w:jc w:val="center"/>
              <w:ind w:right="260"/>
              <w:spacing w:after="0"/>
              <w:rPr>
                <w:sz w:val="20"/>
                <w:szCs w:val="20"/>
                <w:color w:val="auto"/>
              </w:rPr>
            </w:pPr>
            <w:r>
              <w:rPr>
                <w:rFonts w:ascii="Arial" w:cs="Arial" w:eastAsia="Arial" w:hAnsi="Arial"/>
                <w:sz w:val="20"/>
                <w:szCs w:val="20"/>
                <w:color w:val="auto"/>
                <w:w w:val="99"/>
              </w:rPr>
              <w:t>(Exact name of registrant as specified in its charter)</w:t>
            </w:r>
          </w:p>
        </w:tc>
        <w:tc>
          <w:tcPr>
            <w:tcW w:w="1940" w:type="dxa"/>
            <w:vAlign w:val="bottom"/>
          </w:tcPr>
          <w:p>
            <w:pPr>
              <w:spacing w:after="0"/>
              <w:rPr>
                <w:sz w:val="24"/>
                <w:szCs w:val="24"/>
                <w:color w:val="auto"/>
              </w:rPr>
            </w:pPr>
          </w:p>
        </w:tc>
      </w:tr>
      <w:tr>
        <w:trPr>
          <w:trHeight w:val="468"/>
        </w:trPr>
        <w:tc>
          <w:tcPr>
            <w:tcW w:w="3140" w:type="dxa"/>
            <w:vAlign w:val="bottom"/>
          </w:tcPr>
          <w:p>
            <w:pPr>
              <w:spacing w:after="0"/>
              <w:rPr>
                <w:sz w:val="24"/>
                <w:szCs w:val="24"/>
                <w:color w:val="auto"/>
              </w:rPr>
            </w:pPr>
          </w:p>
        </w:tc>
        <w:tc>
          <w:tcPr>
            <w:tcW w:w="5100" w:type="dxa"/>
            <w:vAlign w:val="bottom"/>
            <w:gridSpan w:val="3"/>
          </w:tcPr>
          <w:p>
            <w:pPr>
              <w:jc w:val="right"/>
              <w:ind w:right="1640"/>
              <w:spacing w:after="0"/>
              <w:rPr>
                <w:sz w:val="20"/>
                <w:szCs w:val="20"/>
                <w:color w:val="auto"/>
              </w:rPr>
            </w:pPr>
            <w:r>
              <w:rPr>
                <w:rFonts w:ascii="Arial" w:cs="Arial" w:eastAsia="Arial" w:hAnsi="Arial"/>
                <w:sz w:val="20"/>
                <w:szCs w:val="20"/>
                <w:color w:val="auto"/>
              </w:rPr>
              <w:t>___________________</w:t>
            </w:r>
          </w:p>
        </w:tc>
        <w:tc>
          <w:tcPr>
            <w:tcW w:w="1940" w:type="dxa"/>
            <w:vAlign w:val="bottom"/>
          </w:tcPr>
          <w:p>
            <w:pPr>
              <w:spacing w:after="0"/>
              <w:rPr>
                <w:sz w:val="24"/>
                <w:szCs w:val="24"/>
                <w:color w:val="auto"/>
              </w:rPr>
            </w:pPr>
          </w:p>
        </w:tc>
      </w:tr>
      <w:tr>
        <w:trPr>
          <w:trHeight w:val="551"/>
        </w:trPr>
        <w:tc>
          <w:tcPr>
            <w:tcW w:w="3140" w:type="dxa"/>
            <w:vAlign w:val="bottom"/>
          </w:tcPr>
          <w:p>
            <w:pPr>
              <w:jc w:val="center"/>
              <w:ind w:left="201"/>
              <w:spacing w:after="0"/>
              <w:rPr>
                <w:sz w:val="20"/>
                <w:szCs w:val="20"/>
                <w:color w:val="auto"/>
              </w:rPr>
            </w:pPr>
            <w:r>
              <w:rPr>
                <w:rFonts w:ascii="Arial" w:cs="Arial" w:eastAsia="Arial" w:hAnsi="Arial"/>
                <w:sz w:val="20"/>
                <w:szCs w:val="20"/>
                <w:b w:val="1"/>
                <w:bCs w:val="1"/>
                <w:color w:val="auto"/>
                <w:w w:val="98"/>
              </w:rPr>
              <w:t>England and Wales</w:t>
            </w:r>
          </w:p>
        </w:tc>
        <w:tc>
          <w:tcPr>
            <w:tcW w:w="1380" w:type="dxa"/>
            <w:vAlign w:val="bottom"/>
          </w:tcPr>
          <w:p>
            <w:pPr>
              <w:spacing w:after="0"/>
              <w:rPr>
                <w:sz w:val="24"/>
                <w:szCs w:val="24"/>
                <w:color w:val="auto"/>
              </w:rPr>
            </w:pPr>
          </w:p>
        </w:tc>
        <w:tc>
          <w:tcPr>
            <w:tcW w:w="2080" w:type="dxa"/>
            <w:vAlign w:val="bottom"/>
            <w:tcBorders>
              <w:top w:val="single" w:sz="8" w:color="auto"/>
            </w:tcBorders>
          </w:tcPr>
          <w:p>
            <w:pPr>
              <w:jc w:val="right"/>
              <w:ind w:right="466"/>
              <w:spacing w:after="0"/>
              <w:rPr>
                <w:sz w:val="20"/>
                <w:szCs w:val="20"/>
                <w:color w:val="auto"/>
              </w:rPr>
            </w:pPr>
            <w:r>
              <w:rPr>
                <w:rFonts w:ascii="Arial" w:cs="Arial" w:eastAsia="Arial" w:hAnsi="Arial"/>
                <w:sz w:val="20"/>
                <w:szCs w:val="20"/>
                <w:b w:val="1"/>
                <w:bCs w:val="1"/>
                <w:color w:val="auto"/>
              </w:rPr>
              <w:t>001-37983</w:t>
            </w:r>
          </w:p>
        </w:tc>
        <w:tc>
          <w:tcPr>
            <w:tcW w:w="1640" w:type="dxa"/>
            <w:vAlign w:val="bottom"/>
          </w:tcPr>
          <w:p>
            <w:pPr>
              <w:spacing w:after="0"/>
              <w:rPr>
                <w:sz w:val="24"/>
                <w:szCs w:val="24"/>
                <w:color w:val="auto"/>
              </w:rPr>
            </w:pPr>
          </w:p>
        </w:tc>
        <w:tc>
          <w:tcPr>
            <w:tcW w:w="1940" w:type="dxa"/>
            <w:vAlign w:val="bottom"/>
          </w:tcPr>
          <w:p>
            <w:pPr>
              <w:ind w:left="640"/>
              <w:spacing w:after="0"/>
              <w:rPr>
                <w:sz w:val="20"/>
                <w:szCs w:val="20"/>
                <w:color w:val="auto"/>
              </w:rPr>
            </w:pPr>
            <w:r>
              <w:rPr>
                <w:rFonts w:ascii="Arial" w:cs="Arial" w:eastAsia="Arial" w:hAnsi="Arial"/>
                <w:sz w:val="20"/>
                <w:szCs w:val="20"/>
                <w:b w:val="1"/>
                <w:bCs w:val="1"/>
                <w:color w:val="auto"/>
              </w:rPr>
              <w:t>98-1283037</w:t>
            </w:r>
          </w:p>
        </w:tc>
      </w:tr>
      <w:tr>
        <w:trPr>
          <w:trHeight w:val="195"/>
        </w:trPr>
        <w:tc>
          <w:tcPr>
            <w:tcW w:w="3140" w:type="dxa"/>
            <w:vAlign w:val="bottom"/>
          </w:tcPr>
          <w:p>
            <w:pPr>
              <w:jc w:val="center"/>
              <w:ind w:left="141"/>
              <w:spacing w:after="0" w:line="195" w:lineRule="exact"/>
              <w:rPr>
                <w:sz w:val="20"/>
                <w:szCs w:val="20"/>
                <w:color w:val="auto"/>
              </w:rPr>
            </w:pPr>
            <w:r>
              <w:rPr>
                <w:rFonts w:ascii="Arial" w:cs="Arial" w:eastAsia="Arial" w:hAnsi="Arial"/>
                <w:sz w:val="20"/>
                <w:szCs w:val="20"/>
                <w:color w:val="auto"/>
                <w:w w:val="99"/>
              </w:rPr>
              <w:t>(State or other jurisdiction</w:t>
            </w:r>
          </w:p>
        </w:tc>
        <w:tc>
          <w:tcPr>
            <w:tcW w:w="5100" w:type="dxa"/>
            <w:vAlign w:val="bottom"/>
            <w:gridSpan w:val="3"/>
          </w:tcPr>
          <w:p>
            <w:pPr>
              <w:jc w:val="center"/>
              <w:ind w:right="260"/>
              <w:spacing w:after="0" w:line="195" w:lineRule="exact"/>
              <w:rPr>
                <w:sz w:val="20"/>
                <w:szCs w:val="20"/>
                <w:color w:val="auto"/>
              </w:rPr>
            </w:pPr>
            <w:r>
              <w:rPr>
                <w:rFonts w:ascii="Arial" w:cs="Arial" w:eastAsia="Arial" w:hAnsi="Arial"/>
                <w:sz w:val="20"/>
                <w:szCs w:val="20"/>
                <w:color w:val="auto"/>
                <w:w w:val="99"/>
              </w:rPr>
              <w:t>(Commission File Number)</w:t>
            </w:r>
          </w:p>
        </w:tc>
        <w:tc>
          <w:tcPr>
            <w:tcW w:w="1940" w:type="dxa"/>
            <w:vAlign w:val="bottom"/>
          </w:tcPr>
          <w:p>
            <w:pPr>
              <w:jc w:val="center"/>
              <w:ind w:left="241"/>
              <w:spacing w:after="0" w:line="195" w:lineRule="exact"/>
              <w:rPr>
                <w:sz w:val="20"/>
                <w:szCs w:val="20"/>
                <w:color w:val="auto"/>
              </w:rPr>
            </w:pPr>
            <w:r>
              <w:rPr>
                <w:rFonts w:ascii="Arial" w:cs="Arial" w:eastAsia="Arial" w:hAnsi="Arial"/>
                <w:sz w:val="20"/>
                <w:szCs w:val="20"/>
                <w:color w:val="auto"/>
                <w:w w:val="98"/>
              </w:rPr>
              <w:t>(I.R.S. Employer</w:t>
            </w:r>
          </w:p>
        </w:tc>
      </w:tr>
      <w:tr>
        <w:trPr>
          <w:trHeight w:val="237"/>
        </w:trPr>
        <w:tc>
          <w:tcPr>
            <w:tcW w:w="3140" w:type="dxa"/>
            <w:vAlign w:val="bottom"/>
          </w:tcPr>
          <w:p>
            <w:pPr>
              <w:jc w:val="center"/>
              <w:ind w:left="201"/>
              <w:spacing w:after="0"/>
              <w:rPr>
                <w:sz w:val="20"/>
                <w:szCs w:val="20"/>
                <w:color w:val="auto"/>
              </w:rPr>
            </w:pPr>
            <w:r>
              <w:rPr>
                <w:rFonts w:ascii="Arial" w:cs="Arial" w:eastAsia="Arial" w:hAnsi="Arial"/>
                <w:sz w:val="20"/>
                <w:szCs w:val="20"/>
                <w:color w:val="auto"/>
                <w:w w:val="99"/>
              </w:rPr>
              <w:t>of incorporation)</w:t>
            </w:r>
          </w:p>
        </w:tc>
        <w:tc>
          <w:tcPr>
            <w:tcW w:w="1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40" w:type="dxa"/>
            <w:vAlign w:val="bottom"/>
          </w:tcPr>
          <w:p>
            <w:pPr>
              <w:jc w:val="center"/>
              <w:ind w:left="301"/>
              <w:spacing w:after="0"/>
              <w:rPr>
                <w:sz w:val="20"/>
                <w:szCs w:val="20"/>
                <w:color w:val="auto"/>
              </w:rPr>
            </w:pPr>
            <w:r>
              <w:rPr>
                <w:rFonts w:ascii="Arial" w:cs="Arial" w:eastAsia="Arial" w:hAnsi="Arial"/>
                <w:sz w:val="20"/>
                <w:szCs w:val="20"/>
                <w:color w:val="auto"/>
                <w:w w:val="98"/>
              </w:rPr>
              <w:t>Identification No.)</w:t>
            </w:r>
          </w:p>
        </w:tc>
      </w:tr>
      <w:tr>
        <w:trPr>
          <w:trHeight w:val="684"/>
        </w:trPr>
        <w:tc>
          <w:tcPr>
            <w:tcW w:w="3140" w:type="dxa"/>
            <w:vAlign w:val="bottom"/>
          </w:tcPr>
          <w:p>
            <w:pPr>
              <w:jc w:val="center"/>
              <w:ind w:left="241"/>
              <w:spacing w:after="0"/>
              <w:rPr>
                <w:sz w:val="20"/>
                <w:szCs w:val="20"/>
                <w:color w:val="auto"/>
              </w:rPr>
            </w:pPr>
            <w:r>
              <w:rPr>
                <w:rFonts w:ascii="Arial" w:cs="Arial" w:eastAsia="Arial" w:hAnsi="Arial"/>
                <w:sz w:val="20"/>
                <w:szCs w:val="20"/>
                <w:b w:val="1"/>
                <w:bCs w:val="1"/>
                <w:color w:val="auto"/>
                <w:w w:val="98"/>
              </w:rPr>
              <w:t>One St. Paul’s Churchyard</w:t>
            </w: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88"/>
        </w:trPr>
        <w:tc>
          <w:tcPr>
            <w:tcW w:w="3140" w:type="dxa"/>
            <w:vAlign w:val="bottom"/>
          </w:tcPr>
          <w:p>
            <w:pPr>
              <w:jc w:val="center"/>
              <w:ind w:left="241"/>
              <w:spacing w:after="0"/>
              <w:rPr>
                <w:sz w:val="20"/>
                <w:szCs w:val="20"/>
                <w:color w:val="auto"/>
              </w:rPr>
            </w:pPr>
            <w:r>
              <w:rPr>
                <w:rFonts w:ascii="Arial" w:cs="Arial" w:eastAsia="Arial" w:hAnsi="Arial"/>
                <w:sz w:val="20"/>
                <w:szCs w:val="20"/>
                <w:b w:val="1"/>
                <w:bCs w:val="1"/>
                <w:color w:val="auto"/>
                <w:w w:val="98"/>
              </w:rPr>
              <w:t>London, United Kingdom</w:t>
            </w: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ind w:left="640"/>
              <w:spacing w:after="0"/>
              <w:rPr>
                <w:sz w:val="20"/>
                <w:szCs w:val="20"/>
                <w:color w:val="auto"/>
              </w:rPr>
            </w:pPr>
            <w:r>
              <w:rPr>
                <w:rFonts w:ascii="Arial" w:cs="Arial" w:eastAsia="Arial" w:hAnsi="Arial"/>
                <w:sz w:val="20"/>
                <w:szCs w:val="20"/>
                <w:b w:val="1"/>
                <w:bCs w:val="1"/>
                <w:color w:val="auto"/>
              </w:rPr>
              <w:t>EC4M 8AP</w:t>
            </w:r>
          </w:p>
        </w:tc>
      </w:tr>
      <w:tr>
        <w:trPr>
          <w:trHeight w:val="243"/>
        </w:trPr>
        <w:tc>
          <w:tcPr>
            <w:tcW w:w="8240" w:type="dxa"/>
            <w:vAlign w:val="bottom"/>
            <w:gridSpan w:val="4"/>
          </w:tcPr>
          <w:p>
            <w:pPr>
              <w:jc w:val="center"/>
              <w:ind w:right="4760"/>
              <w:spacing w:after="0"/>
              <w:rPr>
                <w:sz w:val="20"/>
                <w:szCs w:val="20"/>
                <w:color w:val="auto"/>
              </w:rPr>
            </w:pPr>
            <w:r>
              <w:rPr>
                <w:rFonts w:ascii="Arial" w:cs="Arial" w:eastAsia="Arial" w:hAnsi="Arial"/>
                <w:sz w:val="20"/>
                <w:szCs w:val="20"/>
                <w:color w:val="auto"/>
                <w:w w:val="99"/>
              </w:rPr>
              <w:t>(Address of Principal Executive Offices)</w:t>
            </w:r>
          </w:p>
        </w:tc>
        <w:tc>
          <w:tcPr>
            <w:tcW w:w="1940" w:type="dxa"/>
            <w:vAlign w:val="bottom"/>
          </w:tcPr>
          <w:p>
            <w:pPr>
              <w:jc w:val="center"/>
              <w:ind w:left="241"/>
              <w:spacing w:after="0"/>
              <w:rPr>
                <w:sz w:val="20"/>
                <w:szCs w:val="20"/>
                <w:color w:val="auto"/>
              </w:rPr>
            </w:pPr>
            <w:r>
              <w:rPr>
                <w:rFonts w:ascii="Arial" w:cs="Arial" w:eastAsia="Arial" w:hAnsi="Arial"/>
                <w:sz w:val="20"/>
                <w:szCs w:val="20"/>
                <w:color w:val="auto"/>
                <w:w w:val="97"/>
              </w:rPr>
              <w:t>(Zip Code)</w:t>
            </w:r>
          </w:p>
        </w:tc>
      </w:tr>
    </w:tbl>
    <w:p>
      <w:pPr>
        <w:spacing w:after="0" w:line="76"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Lisa P. Wang</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Vice President, Corporate Legal</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(281) 591-4000</w:t>
      </w:r>
    </w:p>
    <w:p>
      <w:pPr>
        <w:spacing w:after="0" w:line="64" w:lineRule="exact"/>
        <w:rPr>
          <w:sz w:val="24"/>
          <w:szCs w:val="24"/>
          <w:color w:val="auto"/>
        </w:rPr>
      </w:pPr>
    </w:p>
    <w:p>
      <w:pPr>
        <w:ind w:right="300" w:firstLine="941"/>
        <w:spacing w:after="0" w:line="285" w:lineRule="auto"/>
        <w:rPr>
          <w:sz w:val="20"/>
          <w:szCs w:val="20"/>
          <w:color w:val="auto"/>
        </w:rPr>
      </w:pPr>
      <w:r>
        <w:rPr>
          <w:rFonts w:ascii="Arial" w:cs="Arial" w:eastAsia="Arial" w:hAnsi="Arial"/>
          <w:sz w:val="20"/>
          <w:szCs w:val="20"/>
          <w:color w:val="auto"/>
        </w:rPr>
        <w:t>(Name and telephone number, including area code, of the person to contact in connection with this report.) Check the appropriate box to indicate the rule pursuant to which this form is being filed, and provide the period to which the information in this form applies:</w:t>
      </w:r>
    </w:p>
    <w:p>
      <w:pPr>
        <w:spacing w:after="0" w:line="180" w:lineRule="exact"/>
        <w:rPr>
          <w:sz w:val="24"/>
          <w:szCs w:val="24"/>
          <w:color w:val="auto"/>
        </w:rPr>
      </w:pPr>
    </w:p>
    <w:p>
      <w:pPr>
        <w:ind w:firstLine="8"/>
        <w:spacing w:after="0" w:line="289" w:lineRule="auto"/>
        <w:tabs>
          <w:tab w:leader="none" w:pos="23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1 – Conflict Minerals Disclosure</w:t>
      </w:r>
    </w:p>
    <w:p>
      <w:pPr>
        <w:spacing w:after="0" w:line="216"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9"/>
          <w:szCs w:val="19"/>
          <w:b w:val="1"/>
          <w:bCs w:val="1"/>
          <w:color w:val="auto"/>
        </w:rPr>
        <w:t>Conflict Minerals Disclosure and Report</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accordance with the requirements of Rule 13p-1 of the Securities Exchange Act of 1934, as amended, TechnipFMC plc (the “Company,” “TechnipFMC,” “we,” “us,” and “our”), through a good faith reasonable country of origin inquiry (an “RCOI”) and subsequent due diligence, as further outlined in the Conflict Minerals Report attached at Exhibit 1.01 (the “CMR”), evaluated its product lines and determined that certain products that it manufactures or contracts to manufacture may contain tin, tungsten, tantalum, and/or gold (“3TG”) originating in the Democratic Republic of the Congo or an adjoining country (the “Covered Countries”) and are necessary to the functionality or production of such product(s).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copy of this Form SD and CMR are publicly available on TechnipFMC’s internet web site at </w:t>
      </w:r>
      <w:r>
        <w:rPr>
          <w:rFonts w:ascii="Arial" w:cs="Arial" w:eastAsia="Arial" w:hAnsi="Arial"/>
          <w:sz w:val="20"/>
          <w:szCs w:val="20"/>
          <w:color w:val="0000FF"/>
        </w:rPr>
        <w:t>www.technipfmc.com</w:t>
      </w:r>
      <w:r>
        <w:rPr>
          <w:rFonts w:ascii="Arial" w:cs="Arial" w:eastAsia="Arial" w:hAnsi="Arial"/>
          <w:sz w:val="20"/>
          <w:szCs w:val="20"/>
          <w:color w:val="auto"/>
        </w:rPr>
        <w: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1.02 Exhibit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TechnipFMC’s CMR is filed as Exhibit 1.01 hereto.</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 Exhibits</w:t>
      </w:r>
    </w:p>
    <w:p>
      <w:pPr>
        <w:spacing w:after="0" w:line="229" w:lineRule="exact"/>
        <w:rPr>
          <w:sz w:val="20"/>
          <w:szCs w:val="20"/>
          <w:color w:val="auto"/>
        </w:rPr>
      </w:pPr>
    </w:p>
    <w:p>
      <w:pPr>
        <w:spacing w:after="0"/>
        <w:tabs>
          <w:tab w:leader="none" w:pos="1100" w:val="left"/>
        </w:tabs>
        <w:rPr>
          <w:sz w:val="20"/>
          <w:szCs w:val="20"/>
          <w:color w:val="auto"/>
        </w:rPr>
      </w:pPr>
      <w:r>
        <w:rPr>
          <w:rFonts w:ascii="Arial" w:cs="Arial" w:eastAsia="Arial" w:hAnsi="Arial"/>
          <w:sz w:val="20"/>
          <w:szCs w:val="20"/>
          <w:b w:val="1"/>
          <w:bCs w:val="1"/>
          <w:color w:val="auto"/>
        </w:rPr>
        <w:t>Item 2.01</w:t>
        <w:tab/>
        <w:t>Exhibits</w:t>
      </w:r>
    </w:p>
    <w:p>
      <w:pPr>
        <w:spacing w:after="0" w:line="240" w:lineRule="exact"/>
        <w:rPr>
          <w:sz w:val="20"/>
          <w:szCs w:val="20"/>
          <w:color w:val="auto"/>
        </w:rPr>
      </w:pPr>
    </w:p>
    <w:p>
      <w:pPr>
        <w:spacing w:after="0"/>
        <w:tabs>
          <w:tab w:leader="none" w:pos="1220" w:val="left"/>
        </w:tabs>
        <w:rPr>
          <w:sz w:val="20"/>
          <w:szCs w:val="20"/>
          <w:color w:val="auto"/>
        </w:rPr>
      </w:pPr>
      <w:r>
        <w:rPr>
          <w:rFonts w:ascii="Arial" w:cs="Arial" w:eastAsia="Arial" w:hAnsi="Arial"/>
          <w:sz w:val="20"/>
          <w:szCs w:val="20"/>
          <w:u w:val="single" w:color="auto"/>
          <w:color w:val="auto"/>
        </w:rPr>
        <w:t>Exhibit No.</w:t>
      </w:r>
      <w:r>
        <w:rPr>
          <w:sz w:val="20"/>
          <w:szCs w:val="20"/>
          <w:color w:val="auto"/>
        </w:rPr>
        <w:tab/>
      </w:r>
      <w:r>
        <w:rPr>
          <w:rFonts w:ascii="Arial" w:cs="Arial" w:eastAsia="Arial" w:hAnsi="Arial"/>
          <w:sz w:val="19"/>
          <w:szCs w:val="19"/>
          <w:u w:val="single" w:color="auto"/>
          <w:color w:val="auto"/>
        </w:rPr>
        <w:t>Description of Exhibit</w:t>
      </w:r>
    </w:p>
    <w:p>
      <w:pPr>
        <w:spacing w:after="0" w:line="216" w:lineRule="exact"/>
        <w:rPr>
          <w:sz w:val="20"/>
          <w:szCs w:val="20"/>
          <w:color w:val="auto"/>
        </w:rPr>
      </w:pPr>
    </w:p>
    <w:p>
      <w:pPr>
        <w:spacing w:after="0"/>
        <w:tabs>
          <w:tab w:leader="none" w:pos="860" w:val="left"/>
        </w:tabs>
        <w:rPr>
          <w:rFonts w:ascii="Arial" w:cs="Arial" w:eastAsia="Arial" w:hAnsi="Arial"/>
          <w:sz w:val="19"/>
          <w:szCs w:val="19"/>
          <w:u w:val="single" w:color="auto"/>
          <w:color w:val="0000FF"/>
        </w:rPr>
      </w:pPr>
      <w:r>
        <w:rPr>
          <w:rFonts w:ascii="Arial" w:cs="Arial" w:eastAsia="Arial" w:hAnsi="Arial"/>
          <w:sz w:val="20"/>
          <w:szCs w:val="20"/>
          <w:color w:val="auto"/>
        </w:rPr>
        <w:t>1.01</w:t>
      </w:r>
      <w:r>
        <w:rPr>
          <w:sz w:val="20"/>
          <w:szCs w:val="20"/>
          <w:color w:val="auto"/>
        </w:rPr>
        <w:tab/>
      </w:r>
      <w:hyperlink w:anchor="page4">
        <w:r>
          <w:rPr>
            <w:rFonts w:ascii="Arial" w:cs="Arial" w:eastAsia="Arial" w:hAnsi="Arial"/>
            <w:sz w:val="19"/>
            <w:szCs w:val="19"/>
            <w:u w:val="single" w:color="auto"/>
            <w:color w:val="0000FF"/>
          </w:rPr>
          <w:t>CMR as required by Items 1.01 and 1.02 of this Form</w:t>
        </w:r>
      </w:hyperlink>
    </w:p>
    <w:p>
      <w:pPr>
        <w:sectPr>
          <w:pgSz w:w="11900" w:h="16838" w:orient="portrait"/>
          <w:cols w:equalWidth="0" w:num="1">
            <w:col w:w="11240"/>
          </w:cols>
          <w:pgMar w:left="320" w:top="143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0"/>
          <w:szCs w:val="20"/>
          <w:b w:val="1"/>
          <w:bCs w:val="1"/>
          <w:color w:val="auto"/>
        </w:rPr>
        <w:t>SIGNATURES</w:t>
      </w:r>
    </w:p>
    <w:p>
      <w:pPr>
        <w:spacing w:after="0" w:line="26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TechnipFMC plc</w:t>
      </w:r>
    </w:p>
    <w:p>
      <w:pPr>
        <w:spacing w:after="0" w:line="3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(Registrant)</w:t>
      </w:r>
    </w:p>
    <w:p>
      <w:pPr>
        <w:spacing w:after="0" w:line="292"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 /s/ Victoria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6350</wp:posOffset>
            </wp:positionV>
            <wp:extent cx="3745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3740"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7"/>
          <w:szCs w:val="17"/>
          <w:color w:val="auto"/>
        </w:rPr>
        <w:t>Name: Victoria Lazar</w:t>
      </w:r>
    </w:p>
    <w:p>
      <w:pPr>
        <w:spacing w:after="0" w:line="50"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Title: Executive Vice President, Chief Legal Officer</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and Secretary</w:t>
      </w:r>
    </w:p>
    <w:p>
      <w:pPr>
        <w:sectPr>
          <w:pgSz w:w="11900" w:h="16838" w:orient="portrait"/>
          <w:cols w:equalWidth="0" w:num="1">
            <w:col w:w="11200"/>
          </w:cols>
          <w:pgMar w:left="320" w:top="1408"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TechnipFMC plc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Year Ended December 31, 2020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Background</w:t>
      </w: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U.S. Congress passed the Conflict Minerals Rule (the “Rule”) in 2010 under the Dodd-Frank Wall Street Reform and Consumer Protection Act. The Rule seeks to address the trade of minerals originating from Covered Countries that finances conflict characterized by gross human rights abuses, such as child labor, sexual violence and exploitation, and extreme levels of violence.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Company Overview and Applicability of Rule 13p-1</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TechnipFMC is a public limited company incorporated and organized under the laws of England and Wales, with registered number 09909709, and with registered office at One St. Paul’s Churchyard, London EC4M 8AP, United Kingdom. The Company has operational headquarters in Houston, Texas, United States.</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TechnipFMC is a leading technology provider to the traditional and new energy industries; delivering fully integrated projects, products, and services. With our proprietary technologies and comprehensive solutions, we are transforming our clients’ project economics, helping them unlock new possibilities to develop energy resources while reducing carbon intensity and supporting their energy transition ambitions.</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2020 and prior to our spin-off of our Technip Energies segment (the “Spin-off”), we operated in three business segments: Subsea, Technip Energies, and Surface Technologies. As such, this Form SD and CMR report on our three segments prior to the Spin-off. Subsequent to the Spin-off, we now operate across two business segments: Subsea and Surface Technologies. Through these two segments we advance the industry with our pioneering integrated ecosystems (such as iEPCI™, iFEED™ and iComplete™), technology leadership, and digital innovation.</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have a unique and comprehensive set of capabilities to serve the oil and gas industry. With our proprietary technologies and production systems, integration expertise, and comprehensive solutions, we are transforming our clients’ project economics. We are also committed to the energy transition, including by delivering renewable energy infrastructure and sustainable energy solutions today.</w:t>
      </w:r>
    </w:p>
    <w:p>
      <w:pPr>
        <w:spacing w:after="0" w:line="23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After evaluating our product lines, we have determined that certain products that we manufacture or contract to manufacture contain 3TG and that such 3TG are necessary to the functionality or production of such product(s). These products include, but are not limited to, subsea production and processing systems, surface wellhead production systems, high pressure fluid control equipment, measurement solutions, marine loading systems, remotely operating vehicle systems, manipulator systems, subsea control systems, fracturing flowback services, and umbilical systems for the energy industry.</w:t>
      </w:r>
    </w:p>
    <w:p>
      <w:pPr>
        <w:sectPr>
          <w:pgSz w:w="11900" w:h="16838" w:orient="portrait"/>
          <w:cols w:equalWidth="0" w:num="1">
            <w:col w:w="11240"/>
          </w:cols>
          <w:pgMar w:left="320" w:top="1408" w:right="339" w:bottom="1440" w:gutter="0" w:footer="0" w:header="0"/>
        </w:sectPr>
      </w:pPr>
    </w:p>
    <w:bookmarkStart w:id="4" w:name="page5"/>
    <w:bookmarkEnd w:id="4"/>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Reasonable Country of Origin Inquiry</w:t>
      </w:r>
    </w:p>
    <w:p>
      <w:pPr>
        <w:spacing w:after="0" w:line="2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TechnipFMC is a global company with a complex and multi-tiered supply chain. Because of this complexity, we rely on those suppliers that deliver directly to TechnipFMC (the “Tier 1 Suppliers”) to provide input regarding the source of conflict minerals in both the raw materials and parts that we purchase to use in the manufacture of our products. We expect those Tier 1 Suppliers to implement policies and procedures comparable to ours in order to obtain thorough and accurate chain of custody information to inform this reporting.</w:t>
      </w:r>
    </w:p>
    <w:p>
      <w:pPr>
        <w:spacing w:after="0" w:line="23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With the assistance of the third-party vendor Source Intelligence (“SI”), TechnipFMC filters its product offerings to identify those offerings that are in-scope for the purposes of regulatory reporting, and then conducts an RCOI to establish a list of Tier 1 Suppliers that are in-scope for regulatory reporting purposes based on TechnipFMC’s influence over the manufacturing process and potential use of 3TG.</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then collect information from those suppliers regarding the presence and sourcing of 3TG used in the products and components they supplied to TechnipFMC.</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RCOI process is further detailed in Appendix “I” to this CMR.</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Based on our RCOI inquiry, we believe that certain of our products may contain 3TG that originated in the Covered Countries and were not from recycled or scrap sources. As such, we then proceeded to exercise due diligence on the source and chain of custody of such 3TG.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Due Diligence</w:t>
      </w:r>
    </w:p>
    <w:p>
      <w:pPr>
        <w:spacing w:after="0" w:line="267"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color w:val="auto"/>
        </w:rPr>
        <w:t>For those supply chains with 3TG smelters or refiners (the “SOR”) that are known or thought to be sourcing from Covered Countries, additional investigation is needed to determine the source and chain-of-custody of the regulated metals.</w:t>
      </w:r>
      <w:r>
        <w:rPr>
          <w:rFonts w:ascii="Arial" w:cs="Arial" w:eastAsia="Arial" w:hAnsi="Arial"/>
          <w:sz w:val="25"/>
          <w:szCs w:val="25"/>
          <w:color w:val="auto"/>
          <w:vertAlign w:val="superscript"/>
        </w:rPr>
        <w:t>1</w:t>
      </w:r>
    </w:p>
    <w:p>
      <w:pPr>
        <w:spacing w:after="0" w:line="1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Source Intelligence has become an official vendor member of the Responsible Minerals Initiative (“RMI”) to further facilitate the exchange of supply chain data and technical information in the quest for global ethical sourcing of materials. This membership provides Source Intelligence access to the following working groups: Engage with the CMRT Development Team, Smelter Engagement Team, Smelter Data Management Team, RMI Stakeholders Call, and RMI Plenary.</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20"/>
          <w:szCs w:val="20"/>
          <w:color w:val="auto"/>
        </w:rPr>
        <w:t>If the SOR is not certified by these internationally-recognized schemes, Source Intelligence attempts to contact the SOR to gain more information about their sourcing practices, including countries of origin and transfer, and whether there are any internal due diligence procedures in place or other processes the SOR takes to track the chain-of-custody on the source of its mineral ores. Relevant information to review includes whether the SOR has any of the following: a documented, effective, and communicated conflict-free policy, an accounting system to support a mass balance of materials processed, and traceability documentation. Internet research is also performed to determine whether there are any outside sources of information regarding the SOR’s sourcing practices. Up to three contact attempts are made by SI to the SOR to gather information on mine country of origin and sourcing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5" w:lineRule="exact"/>
        <w:rPr>
          <w:sz w:val="20"/>
          <w:szCs w:val="20"/>
          <w:color w:val="auto"/>
        </w:rPr>
      </w:pPr>
    </w:p>
    <w:p>
      <w:pPr>
        <w:jc w:val="both"/>
        <w:ind w:firstLine="8"/>
        <w:spacing w:after="0" w:line="225" w:lineRule="auto"/>
        <w:tabs>
          <w:tab w:leader="none" w:pos="126"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Source Intelligence relies on the following internationally accepted audit standards to determine which SORs are considered “DRC Conflict Free”: the Responsible Minerals Assurance Process (RMAP), the London Bullion Market Association Good Delivery Program and the Responsible Jewellery Council Chain-of-Custody Certification.</w:t>
      </w:r>
    </w:p>
    <w:p>
      <w:pPr>
        <w:sectPr>
          <w:pgSz w:w="11900" w:h="16838" w:orient="portrait"/>
          <w:cols w:equalWidth="0" w:num="1">
            <w:col w:w="11240"/>
          </w:cols>
          <w:pgMar w:left="320" w:top="1440" w:right="339" w:bottom="1440" w:gutter="0" w:footer="0" w:header="0"/>
        </w:sectPr>
      </w:pPr>
    </w:p>
    <w:bookmarkStart w:id="5" w:name="page6"/>
    <w:bookmarkEnd w:id="5"/>
    <w:p>
      <w:pPr>
        <w:spacing w:after="0" w:line="235" w:lineRule="exact"/>
        <w:rPr>
          <w:sz w:val="20"/>
          <w:szCs w:val="20"/>
          <w:color w:val="auto"/>
        </w:rPr>
      </w:pPr>
    </w:p>
    <w:p>
      <w:pPr>
        <w:jc w:val="both"/>
        <w:spacing w:after="0"/>
        <w:rPr>
          <w:sz w:val="20"/>
          <w:szCs w:val="20"/>
          <w:color w:val="auto"/>
        </w:rPr>
      </w:pPr>
      <w:r>
        <w:rPr>
          <w:rFonts w:ascii="Arial" w:cs="Arial" w:eastAsia="Arial" w:hAnsi="Arial"/>
          <w:sz w:val="20"/>
          <w:szCs w:val="20"/>
          <w:color w:val="auto"/>
        </w:rPr>
        <w:t>TechnipFMC’s due diligence measures can only provide a reasonable, and not absolute, assurance regarding the source and custody of conflict minerals. Our due diligence process is based on the necessity to obtain information from our Tier 1 Suppliers and those suppliers seeking similar information within their supply chains to identify the original sources of the necessary conflict minerals. Such sources of information may yield inaccurate or incomplete information, may not respond, and some may be subject to fraud. However, we have taken measures to verify responses and minimize these limitations but cannot guarantee the accuracy of the responses provided.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Appendix “II” to this CMR lists, as of April 13, 2021, the Company’s SORs with indications of certification status.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Risk Mitigation for Future Due Diligence</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moving to improve our due diligence and further mitigate the risk of benefiting armed groups, we have taken as of December 31, 2020, or intend to take, the following steps:</w:t>
      </w:r>
    </w:p>
    <w:p>
      <w:pPr>
        <w:spacing w:after="0" w:line="231"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Implement updates and improvements to the Company’s conflict minerals policies and procedures;</w:t>
      </w:r>
    </w:p>
    <w:p>
      <w:pPr>
        <w:spacing w:after="0" w:line="242"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Communicate the Company’s conflict minerals expectations and requirements to our key suppliers, particularly as it relates to transparency and responsible mineral sourcing;</w:t>
      </w:r>
    </w:p>
    <w:p>
      <w:pPr>
        <w:spacing w:after="0" w:line="230"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steps to motivate our suppliers to respond to our RCOI process by conducting an internal information campaign and implementing improved corrective action plans for non-responsive suppliers; and</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Provide assistance and education to suppliers regarding the Rule.</w:t>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APPENDIX “I”</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TechnipFMC provided Source Intelligence with at least one method of contact for each Tier 1 Supplier designated as in-scope (e.g., email address, telephone number, facsimile number, or mailing address). Email was the preferred method of communication.</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RCOI began with an introductory email from TechnipFMC to suppliers describing the Conflict Minerals Compliance Program (the “CMCP”) requirements and identifying Source Intelligence as a partner in the process. Following that introduction email, Source Intelligence sent a subsequent email to suppliers containing a registration and survey request link for the on-line data collection platform.</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Subsequent engagement followed these steps:</w:t>
      </w:r>
    </w:p>
    <w:p>
      <w:pPr>
        <w:spacing w:after="0" w:line="243" w:lineRule="exact"/>
        <w:rPr>
          <w:sz w:val="20"/>
          <w:szCs w:val="20"/>
          <w:color w:val="auto"/>
        </w:rPr>
      </w:pPr>
    </w:p>
    <w:p>
      <w:pPr>
        <w:ind w:left="660" w:hanging="328"/>
        <w:spacing w:after="0" w:line="24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Following the initial introductions to the CMCP and information request, up to three reminder emails were sent to each non-responsive supplier requesting survey completion.</w:t>
      </w:r>
    </w:p>
    <w:p>
      <w:pPr>
        <w:spacing w:after="0" w:line="230" w:lineRule="exact"/>
        <w:rPr>
          <w:rFonts w:ascii="Arial" w:cs="Arial" w:eastAsia="Arial" w:hAnsi="Arial"/>
          <w:sz w:val="20"/>
          <w:szCs w:val="20"/>
          <w:color w:val="auto"/>
        </w:rPr>
      </w:pPr>
    </w:p>
    <w:p>
      <w:pPr>
        <w:jc w:val="both"/>
        <w:ind w:left="660" w:hanging="328"/>
        <w:spacing w:after="0" w:line="24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Suppliers who remained non-responsive to these email reminders were contacted by telephone and offered assistance. This assistance included, but was not limited to, further information about the CMCP, an explanation of why the information was being collected, a review of how the information would be used, and clarification regarding how the information needed could be provided.</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Deadline for Responses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recognition that the information requested is time consuming to collect and aggregate, suppliers were given a firm deadline of April 1, 2021 to provide information about the metal processors present in their supply chains for the 2020 reporting year.</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Information Requested</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Suppliers were asked to provide information regarding the sourcing of their materials with the ultimate goal of identifying SORs and associated mine countries of origin. Suppliers who had already performed an RCOI through the use of the Conflict-Free Sourcing Initiative’s Conflict Minerals Reporting Template, version 4.0 or higher (the “CMRT”), were asked to upload this document into the Source Intelligence system or to provide this information in the online survey version.</w:t>
      </w:r>
    </w:p>
    <w:p>
      <w:pPr>
        <w:spacing w:after="0" w:line="237" w:lineRule="exact"/>
        <w:rPr>
          <w:sz w:val="20"/>
          <w:szCs w:val="20"/>
          <w:color w:val="auto"/>
        </w:rPr>
      </w:pPr>
    </w:p>
    <w:p>
      <w:pPr>
        <w:jc w:val="both"/>
        <w:spacing w:after="0"/>
        <w:rPr>
          <w:sz w:val="20"/>
          <w:szCs w:val="20"/>
          <w:color w:val="auto"/>
        </w:rPr>
      </w:pPr>
      <w:r>
        <w:rPr>
          <w:rFonts w:ascii="Arial" w:cs="Arial" w:eastAsia="Arial" w:hAnsi="Arial"/>
          <w:sz w:val="20"/>
          <w:szCs w:val="20"/>
          <w:color w:val="auto"/>
        </w:rPr>
        <w:t>Where a supplier was unable to provide a CMRT, Source Intelligence requested information on its suppliers of products or components that may require 3TG for their production or functionality. These Tier 2 suppliers, and subsequent tiers of suppliers as needed, were then engaged following the contact procedures explained above. When contact information was provided, Tier 2 and beyond suppliers were contacted via email or phone in order to build a chain-of-custody back to the 3TG SOR. Every effort was made to address and meet the concerns of suppliers regarding their need to maintain the confidentiality of their data. In order to address this concern, Source Intelligence executed non-disclosure agreements with TechnipFMC suppliers when requested.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TechnipFMC chose to give their suppliers the ability to share information at a level with which they were most comfortable, (i.e., company, product, or user-defined, but the declaration scope had to be specified). Suppliers were requested to provide an electronic signature before submitting their data to</w:t>
      </w:r>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TechnipFMC to verify that all responses submitted were accurate to the best of the supplier’s knowledge.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Quality Assurance</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Supplier responses were evaluated for plausibility, consistency, and gaps. If any of the following quality control flags were raised, suppliers were automatically contacted by the Source Intelligence platform on a bi-weekly basis up to three times:</w:t>
      </w:r>
    </w:p>
    <w:p>
      <w:pPr>
        <w:spacing w:after="0" w:line="23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One or more SORs were listed for an unused metal;</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SOR information was not provided for a used metal, or SOR information provided was not a verified metal processor;</w:t>
      </w:r>
    </w:p>
    <w:p>
      <w:pPr>
        <w:spacing w:after="0" w:line="242"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Supplier answered “yes” to sourcing from the Covered Countries, but none of the SORs listed were known to source from the region;</w:t>
      </w:r>
    </w:p>
    <w:p>
      <w:pPr>
        <w:spacing w:after="0" w:line="230"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Supplier indicated that they have not received conflict minerals data for each metal from all relevant suppliers;</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Supplier indicated they have not identified all of the SORs used for the products included in the declaration scope;</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Supplier indicated they have not provided all applicable SOR information received; and/or</w:t>
      </w:r>
    </w:p>
    <w:p>
      <w:pPr>
        <w:spacing w:after="0" w:line="242"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Supplier indicated 100% of the 3TG for products covered by the declaration originates from scrap/recycled sources, but one or more SORs listed are not known to be exclusive recyclers.</w:t>
      </w:r>
    </w:p>
    <w:p>
      <w:pPr>
        <w:sectPr>
          <w:pgSz w:w="11900" w:h="16838" w:orient="portrait"/>
          <w:cols w:equalWidth="0" w:num="1">
            <w:col w:w="11240"/>
          </w:cols>
          <w:pgMar w:left="320" w:top="1432"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APPENDIX “II”</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auto"/>
            </w:tcBorders>
          </w:tcPr>
          <w:p>
            <w:pPr>
              <w:spacing w:after="0"/>
              <w:rPr>
                <w:sz w:val="21"/>
                <w:szCs w:val="21"/>
                <w:color w:val="auto"/>
              </w:rPr>
            </w:pPr>
          </w:p>
        </w:tc>
        <w:tc>
          <w:tcPr>
            <w:tcW w:w="644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Certified</w:t>
            </w: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Metal</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Official Smelter Name</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Country of Origin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Smelter</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8"/>
              </w:rPr>
              <w:t>No known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African Gold Refinery</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country of origin.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Almalyk Mining and Metallurgical Complex (AMMC)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Almalyk Mining and Metallurgical Complex (AMMC)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Asaka Riken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Asaka Riken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CCR Refinery - Glencore Canada Corporation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CCR Refinery - Glencore Canada Corporation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Jiangxi Copper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Mitsubishi Materials Corporation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Nihon Material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Nihon Material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Prioksky Plant of Non-Ferrous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Rand Refinery (Pty)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Rand Refinery (Pty)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Gold</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Samduck Precious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Changsha South Tantalum Niobium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F&amp;X Electro-Materials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08" w:right="319" w:bottom="1440" w:gutter="0" w:footer="0" w:header="0"/>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auto"/>
            </w:tcBorders>
          </w:tcPr>
          <w:p>
            <w:pPr>
              <w:spacing w:after="0"/>
              <w:rPr>
                <w:sz w:val="21"/>
                <w:szCs w:val="21"/>
                <w:color w:val="auto"/>
              </w:rPr>
            </w:pPr>
          </w:p>
        </w:tc>
        <w:tc>
          <w:tcPr>
            <w:tcW w:w="644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top w:val="single" w:sz="8" w:color="auto"/>
              <w:right w:val="single" w:sz="8" w:color="auto"/>
            </w:tcBorders>
          </w:tcPr>
          <w:p>
            <w:pPr>
              <w:spacing w:after="0"/>
              <w:rPr>
                <w:sz w:val="21"/>
                <w:szCs w:val="21"/>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Aizu</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Global Advanced Metals Boyertown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Guangdong Rising Rare Metals-EO Materials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Guangdong Zhiyuan New Material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Guangdong Zhiyuan New Material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H.C. Starck Hermsdorf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auto"/>
            </w:tcBorders>
          </w:tcPr>
          <w:p>
            <w:pPr>
              <w:spacing w:after="0"/>
              <w:rPr>
                <w:sz w:val="21"/>
                <w:szCs w:val="21"/>
                <w:color w:val="auto"/>
              </w:rPr>
            </w:pPr>
          </w:p>
        </w:tc>
        <w:tc>
          <w:tcPr>
            <w:tcW w:w="644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top w:val="single" w:sz="8" w:color="auto"/>
              <w:right w:val="single" w:sz="8" w:color="auto"/>
            </w:tcBorders>
          </w:tcPr>
          <w:p>
            <w:pPr>
              <w:spacing w:after="0"/>
              <w:rPr>
                <w:sz w:val="21"/>
                <w:szCs w:val="21"/>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H.C. Starck Hermsdorf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H.C. Starck Hermsdorf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H.C. Starck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H.C. Starck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H.C. Starck Inc.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JiuJiang JinXin Nonferrous Metals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Tanbre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Jiujiang Zhongao Tantalum &amp; Niobium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auto"/>
            </w:tcBorders>
          </w:tcPr>
          <w:p>
            <w:pPr>
              <w:spacing w:after="0"/>
              <w:rPr>
                <w:sz w:val="21"/>
                <w:szCs w:val="21"/>
                <w:color w:val="auto"/>
              </w:rPr>
            </w:pPr>
          </w:p>
        </w:tc>
        <w:tc>
          <w:tcPr>
            <w:tcW w:w="644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top w:val="single" w:sz="8" w:color="auto"/>
              <w:right w:val="single" w:sz="8" w:color="auto"/>
            </w:tcBorders>
          </w:tcPr>
          <w:p>
            <w:pPr>
              <w:spacing w:after="0"/>
              <w:rPr>
                <w:sz w:val="21"/>
                <w:szCs w:val="21"/>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KEMET Blue Metals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LSM Brasil S.A.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Ningxia Orient Tantalum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Taki Chemical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20"/>
                <w:szCs w:val="20"/>
                <w:b w:val="1"/>
                <w:bCs w:val="1"/>
                <w:color w:val="auto"/>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ind w:left="600"/>
              <w:spacing w:after="0"/>
              <w:rPr>
                <w:sz w:val="20"/>
                <w:szCs w:val="20"/>
                <w:color w:val="auto"/>
              </w:rPr>
            </w:pPr>
            <w:r>
              <w:rPr>
                <w:rFonts w:ascii="Arial" w:cs="Arial" w:eastAsia="Arial" w:hAnsi="Arial"/>
                <w:sz w:val="20"/>
                <w:szCs w:val="20"/>
                <w:b w:val="1"/>
                <w:bCs w:val="1"/>
                <w:color w:val="auto"/>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Japan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Smelting GmbH &amp; Co. KG</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Smelting GmbH &amp; Co. KG</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Smelting GmbH &amp; Co. KG</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TANIOBIS Smelting GmbH &amp; Co. KG</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Tantalum</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Ulba Metallurgical Plant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CV Venus Inti Perkasa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EM Vinto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EM Vinto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auto"/>
            </w:tcBorders>
          </w:tcPr>
          <w:p>
            <w:pPr>
              <w:spacing w:after="0"/>
              <w:rPr>
                <w:sz w:val="21"/>
                <w:szCs w:val="21"/>
                <w:color w:val="auto"/>
              </w:rPr>
            </w:pPr>
          </w:p>
        </w:tc>
        <w:tc>
          <w:tcPr>
            <w:tcW w:w="644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No known</w:t>
            </w:r>
          </w:p>
        </w:tc>
        <w:tc>
          <w:tcPr>
            <w:tcW w:w="1620" w:type="dxa"/>
            <w:vAlign w:val="bottom"/>
            <w:tcBorders>
              <w:top w:val="single" w:sz="8" w:color="auto"/>
              <w:right w:val="single" w:sz="8" w:color="auto"/>
            </w:tcBorders>
          </w:tcPr>
          <w:p>
            <w:pPr>
              <w:spacing w:after="0"/>
              <w:rPr>
                <w:sz w:val="21"/>
                <w:szCs w:val="21"/>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Luna Smelter,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country of origin.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Magnu's Minerais Metais e Ligas Ltda.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Malaysia Smelting Corporation (MSC)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Metallo Belgium N.V.</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Operaciones Metalurgicas S.A.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Bukit Timah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Stanindo Inti Perkasa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Timah Nusantara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Timah Nusantara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Timah Nusantara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Timah Nusantara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Tinindo Inter Nusa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PT Tinindo Inter Nusa</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ind w:left="580"/>
              <w:spacing w:after="0"/>
              <w:rPr>
                <w:sz w:val="20"/>
                <w:szCs w:val="20"/>
                <w:color w:val="auto"/>
              </w:rPr>
            </w:pPr>
            <w:r>
              <w:rPr>
                <w:rFonts w:ascii="Arial" w:cs="Arial" w:eastAsia="Arial" w:hAnsi="Arial"/>
                <w:sz w:val="20"/>
                <w:szCs w:val="20"/>
                <w:b w:val="1"/>
                <w:bCs w:val="1"/>
                <w:color w:val="auto"/>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440" w:right="319" w:bottom="1440" w:gutter="0" w:footer="0" w:header="0"/>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Thaisarco</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Tin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VQB Mineral and Trading Group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A.L.M.T. TUNGSTEN Corp.</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A.L.M.T. TUNGSTEN Corp.</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A.L.M.T. TUNGSTEN Corp.</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Angola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Central African</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Republic</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7"/>
              </w:rPr>
              <w:t>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(Brazzaville)</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South Sudan</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Tanzania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Uganda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Asia Tungsten Products Vietnam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Zambia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Chongyi Zhangyuan Tungsten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Ganzhou Huaxing Tungsten Products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Ganzhou Jiangwu Ferrotungsten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H.C. Starck Tungsten GmbH</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Hydrometallurg, JSC</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Jiangxi Xinsheng Tungsten Industry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Xiamen Tungsten (H.C.)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Burundi</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Xiamen Tungsten (H.C.)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r>
        <w:trPr>
          <w:trHeight w:val="222"/>
        </w:trPr>
        <w:tc>
          <w:tcPr>
            <w:tcW w:w="1440" w:type="dxa"/>
            <w:vAlign w:val="bottom"/>
            <w:tcBorders>
              <w:left w:val="single" w:sz="8" w:color="auto"/>
              <w:right w:val="single" w:sz="8" w:color="auto"/>
            </w:tcBorders>
          </w:tcPr>
          <w:p>
            <w:pPr>
              <w:spacing w:after="0"/>
              <w:rPr>
                <w:sz w:val="19"/>
                <w:szCs w:val="19"/>
                <w:color w:val="auto"/>
              </w:rPr>
            </w:pPr>
          </w:p>
        </w:tc>
        <w:tc>
          <w:tcPr>
            <w:tcW w:w="644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9"/>
              </w:rPr>
              <w:t>DRC- Congo</w:t>
            </w:r>
          </w:p>
        </w:tc>
        <w:tc>
          <w:tcPr>
            <w:tcW w:w="1620" w:type="dxa"/>
            <w:vAlign w:val="bottom"/>
            <w:tcBorders>
              <w:right w:val="single" w:sz="8" w:color="auto"/>
            </w:tcBorders>
          </w:tcPr>
          <w:p>
            <w:pPr>
              <w:spacing w:after="0"/>
              <w:rPr>
                <w:sz w:val="19"/>
                <w:szCs w:val="19"/>
                <w:color w:val="auto"/>
              </w:rPr>
            </w:pPr>
          </w:p>
        </w:tc>
      </w:tr>
      <w:tr>
        <w:trPr>
          <w:trHeight w:val="261"/>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Xiamen Tungsten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(Kinshasa)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3"/>
        </w:trPr>
        <w:tc>
          <w:tcPr>
            <w:tcW w:w="1440" w:type="dxa"/>
            <w:vAlign w:val="bottom"/>
            <w:tcBorders>
              <w:left w:val="single" w:sz="8" w:color="auto"/>
              <w:bottom w:val="single" w:sz="8" w:color="auto"/>
              <w:right w:val="single" w:sz="8" w:color="auto"/>
            </w:tcBorders>
          </w:tcPr>
          <w:p>
            <w:pPr>
              <w:spacing w:after="0"/>
              <w:rPr>
                <w:sz w:val="2"/>
                <w:szCs w:val="2"/>
                <w:color w:val="auto"/>
              </w:rPr>
            </w:pPr>
          </w:p>
        </w:tc>
        <w:tc>
          <w:tcPr>
            <w:tcW w:w="644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55"/>
        </w:trPr>
        <w:tc>
          <w:tcPr>
            <w:tcW w:w="14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Tungsten</w:t>
            </w:r>
          </w:p>
        </w:tc>
        <w:tc>
          <w:tcPr>
            <w:tcW w:w="64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Xiamen Tungsten Co., Ltd.</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Rwanda</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YES</w:t>
            </w:r>
          </w:p>
        </w:tc>
      </w:tr>
      <w:tr>
        <w:trPr>
          <w:trHeight w:val="22"/>
        </w:trPr>
        <w:tc>
          <w:tcPr>
            <w:tcW w:w="14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40" w:type="dxa"/>
            <w:vAlign w:val="bottom"/>
            <w:tcBorders>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2021-05-21T15:36:26Z</dcterms:created>
  <dcterms:modified xsi:type="dcterms:W3CDTF">2021-05-21T15:36:26Z</dcterms:modified>
</cp:coreProperties>
</file>