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3,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Reynolds</w:t>
      </w:r>
    </w:p>
    <w:p>
      <w:pPr>
        <w:spacing w:after="0" w:line="238" w:lineRule="exact"/>
        <w:rPr>
          <w:sz w:val="24"/>
          <w:szCs w:val="24"/>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color w:val="auto"/>
        </w:rPr>
        <w:t>TechnipFMC plc</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Registration Statement on Form S-4</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SEC File No. 333-224117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80" w:firstLine="441"/>
        <w:spacing w:after="0" w:line="259" w:lineRule="auto"/>
        <w:rPr>
          <w:sz w:val="20"/>
          <w:szCs w:val="20"/>
          <w:color w:val="auto"/>
        </w:rPr>
      </w:pPr>
      <w:r>
        <w:rPr>
          <w:rFonts w:ascii="Arial" w:cs="Arial" w:eastAsia="Arial" w:hAnsi="Arial"/>
          <w:sz w:val="18"/>
          <w:szCs w:val="18"/>
          <w:color w:val="auto"/>
        </w:rPr>
        <w:t>In connection with the above-referenced Registration Statement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TechnipFMC plc (the “</w:t>
      </w:r>
      <w:r>
        <w:rPr>
          <w:rFonts w:ascii="Arial" w:cs="Arial" w:eastAsia="Arial" w:hAnsi="Arial"/>
          <w:sz w:val="18"/>
          <w:szCs w:val="18"/>
          <w:u w:val="single" w:color="auto"/>
          <w:color w:val="auto"/>
        </w:rPr>
        <w:t>Company</w:t>
      </w:r>
      <w:r>
        <w:rPr>
          <w:rFonts w:ascii="Arial" w:cs="Arial" w:eastAsia="Arial" w:hAnsi="Arial"/>
          <w:sz w:val="18"/>
          <w:szCs w:val="18"/>
          <w:color w:val="auto"/>
        </w:rPr>
        <w:t>”) relating to a proposed offer (the “</w:t>
      </w:r>
      <w:r>
        <w:rPr>
          <w:rFonts w:ascii="Arial" w:cs="Arial" w:eastAsia="Arial" w:hAnsi="Arial"/>
          <w:sz w:val="18"/>
          <w:szCs w:val="18"/>
          <w:u w:val="single" w:color="auto"/>
          <w:color w:val="auto"/>
        </w:rPr>
        <w:t>Exchange Offer</w:t>
      </w:r>
      <w:r>
        <w:rPr>
          <w:rFonts w:ascii="Arial" w:cs="Arial" w:eastAsia="Arial" w:hAnsi="Arial"/>
          <w:sz w:val="18"/>
          <w:szCs w:val="18"/>
          <w:color w:val="auto"/>
        </w:rPr>
        <w:t>”) by the Company to exchange up to $459,764,000 in aggregate principal amount of the Company’s 3.45% Senior Notes due 2022, Series B (the “</w:t>
      </w:r>
      <w:r>
        <w:rPr>
          <w:rFonts w:ascii="Arial" w:cs="Arial" w:eastAsia="Arial" w:hAnsi="Arial"/>
          <w:sz w:val="18"/>
          <w:szCs w:val="18"/>
          <w:u w:val="single" w:color="auto"/>
          <w:color w:val="auto"/>
        </w:rPr>
        <w:t>Exchange Notes</w:t>
      </w:r>
      <w:r>
        <w:rPr>
          <w:rFonts w:ascii="Arial" w:cs="Arial" w:eastAsia="Arial" w:hAnsi="Arial"/>
          <w:sz w:val="18"/>
          <w:szCs w:val="18"/>
          <w:color w:val="auto"/>
        </w:rPr>
        <w:t>”), for any and all of the Company’s outstanding restricted 3.45% Senior Notes due 2022, Series A (the “</w:t>
      </w:r>
      <w:r>
        <w:rPr>
          <w:rFonts w:ascii="Arial" w:cs="Arial" w:eastAsia="Arial" w:hAnsi="Arial"/>
          <w:sz w:val="18"/>
          <w:szCs w:val="18"/>
          <w:u w:val="single" w:color="auto"/>
          <w:color w:val="auto"/>
        </w:rPr>
        <w:t>Outstanding Notes</w:t>
      </w:r>
      <w:r>
        <w:rPr>
          <w:rFonts w:ascii="Arial" w:cs="Arial" w:eastAsia="Arial" w:hAnsi="Arial"/>
          <w:sz w:val="18"/>
          <w:szCs w:val="18"/>
          <w:color w:val="auto"/>
        </w:rPr>
        <w:t>”), I am writing to advise you, on a supplemental basis, that:</w:t>
      </w:r>
    </w:p>
    <w:p>
      <w:pPr>
        <w:spacing w:after="0" w:line="92" w:lineRule="exact"/>
        <w:rPr>
          <w:sz w:val="24"/>
          <w:szCs w:val="24"/>
          <w:color w:val="auto"/>
        </w:rPr>
      </w:pPr>
    </w:p>
    <w:p>
      <w:pPr>
        <w:ind w:left="1080" w:right="160" w:hanging="536"/>
        <w:spacing w:after="0" w:line="264"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is registering the Exchange Offer in reliance on the position of the staff of the Commission (the “</w:t>
      </w:r>
      <w:r>
        <w:rPr>
          <w:rFonts w:ascii="Arial" w:cs="Arial" w:eastAsia="Arial" w:hAnsi="Arial"/>
          <w:sz w:val="18"/>
          <w:szCs w:val="18"/>
          <w:u w:val="single" w:color="auto"/>
          <w:color w:val="auto"/>
        </w:rPr>
        <w:t>Staff</w:t>
      </w:r>
      <w:r>
        <w:rPr>
          <w:rFonts w:ascii="Arial" w:cs="Arial" w:eastAsia="Arial" w:hAnsi="Arial"/>
          <w:sz w:val="18"/>
          <w:szCs w:val="18"/>
          <w:color w:val="auto"/>
        </w:rPr>
        <w:t xml:space="preserve">”) enunciated in </w:t>
      </w:r>
      <w:r>
        <w:rPr>
          <w:rFonts w:ascii="Arial" w:cs="Arial" w:eastAsia="Arial" w:hAnsi="Arial"/>
          <w:sz w:val="18"/>
          <w:szCs w:val="18"/>
          <w:i w:val="1"/>
          <w:iCs w:val="1"/>
          <w:color w:val="auto"/>
        </w:rPr>
        <w:t xml:space="preserve">Exxon Capital Holdings Corporation </w:t>
      </w:r>
      <w:r>
        <w:rPr>
          <w:rFonts w:ascii="Arial" w:cs="Arial" w:eastAsia="Arial" w:hAnsi="Arial"/>
          <w:sz w:val="18"/>
          <w:szCs w:val="18"/>
          <w:color w:val="auto"/>
        </w:rPr>
        <w:t>(available May 13, 1988), as interpreted in the Commission’s letter to</w:t>
      </w:r>
      <w:r>
        <w:rPr>
          <w:rFonts w:ascii="Arial" w:cs="Arial" w:eastAsia="Arial" w:hAnsi="Arial"/>
          <w:sz w:val="18"/>
          <w:szCs w:val="18"/>
          <w:i w:val="1"/>
          <w:iCs w:val="1"/>
          <w:color w:val="auto"/>
        </w:rPr>
        <w:t xml:space="preserve"> Shearman &amp; Sterling </w:t>
      </w:r>
      <w:r>
        <w:rPr>
          <w:rFonts w:ascii="Arial" w:cs="Arial" w:eastAsia="Arial" w:hAnsi="Arial"/>
          <w:sz w:val="18"/>
          <w:szCs w:val="18"/>
          <w:color w:val="auto"/>
        </w:rPr>
        <w:t>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July 2, 1993, and </w:t>
      </w:r>
      <w:r>
        <w:rPr>
          <w:rFonts w:ascii="Arial" w:cs="Arial" w:eastAsia="Arial" w:hAnsi="Arial"/>
          <w:sz w:val="18"/>
          <w:szCs w:val="18"/>
          <w:i w:val="1"/>
          <w:iCs w:val="1"/>
          <w:color w:val="auto"/>
        </w:rPr>
        <w:t>Morgan Stanley &amp; Co. Inc.</w:t>
      </w:r>
      <w:r>
        <w:rPr>
          <w:rFonts w:ascii="Arial" w:cs="Arial" w:eastAsia="Arial" w:hAnsi="Arial"/>
          <w:sz w:val="18"/>
          <w:szCs w:val="18"/>
          <w:color w:val="auto"/>
        </w:rPr>
        <w:t xml:space="preserve"> (available June 5, 1991);</w:t>
      </w:r>
    </w:p>
    <w:p>
      <w:pPr>
        <w:spacing w:after="0" w:line="86" w:lineRule="exact"/>
        <w:rPr>
          <w:rFonts w:ascii="Arial" w:cs="Arial" w:eastAsia="Arial" w:hAnsi="Arial"/>
          <w:sz w:val="18"/>
          <w:szCs w:val="18"/>
          <w:color w:val="auto"/>
        </w:rPr>
      </w:pPr>
    </w:p>
    <w:p>
      <w:pPr>
        <w:ind w:left="1080" w:hanging="536"/>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has not entered into any arrangement or understanding with any person to distribute the Exchange Notes and, to the best of the Company’s information and belief, each person participating in the Exchange Offer is acquiring the securities in its ordinary course of business and has no arrangement or understanding with any person to participate in the distribution of the securities to be received in the Exchange Offer;</w:t>
      </w:r>
    </w:p>
    <w:p>
      <w:pPr>
        <w:spacing w:after="0" w:line="92" w:lineRule="exact"/>
        <w:rPr>
          <w:rFonts w:ascii="Arial" w:cs="Arial" w:eastAsia="Arial" w:hAnsi="Arial"/>
          <w:sz w:val="18"/>
          <w:szCs w:val="18"/>
          <w:color w:val="auto"/>
        </w:rPr>
      </w:pPr>
    </w:p>
    <w:p>
      <w:pPr>
        <w:ind w:left="1080" w:right="40" w:hanging="536"/>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will make each person participating in the Exchange Offer aware, through the prospectus forming a part of the Registration Statement (the “</w:t>
      </w:r>
      <w:r>
        <w:rPr>
          <w:rFonts w:ascii="Arial" w:cs="Arial" w:eastAsia="Arial" w:hAnsi="Arial"/>
          <w:sz w:val="18"/>
          <w:szCs w:val="18"/>
          <w:u w:val="single" w:color="auto"/>
          <w:color w:val="auto"/>
        </w:rPr>
        <w:t>Prospectus</w:t>
      </w:r>
      <w:r>
        <w:rPr>
          <w:rFonts w:ascii="Arial" w:cs="Arial" w:eastAsia="Arial" w:hAnsi="Arial"/>
          <w:sz w:val="18"/>
          <w:szCs w:val="18"/>
          <w:color w:val="auto"/>
        </w:rPr>
        <w:t>”), that:</w:t>
      </w:r>
    </w:p>
    <w:p>
      <w:pPr>
        <w:spacing w:after="0" w:line="75" w:lineRule="exact"/>
        <w:rPr>
          <w:rFonts w:ascii="Arial" w:cs="Arial" w:eastAsia="Arial" w:hAnsi="Arial"/>
          <w:sz w:val="18"/>
          <w:szCs w:val="18"/>
          <w:color w:val="auto"/>
        </w:rPr>
      </w:pPr>
    </w:p>
    <w:p>
      <w:pPr>
        <w:ind w:left="1740" w:right="200" w:hanging="642"/>
        <w:spacing w:after="0" w:line="291" w:lineRule="auto"/>
        <w:tabs>
          <w:tab w:leader="none" w:pos="1740" w:val="left"/>
        </w:tabs>
        <w:numPr>
          <w:ilvl w:val="1"/>
          <w:numId w:val="1"/>
        </w:numPr>
        <w:rPr>
          <w:rFonts w:ascii="Arial" w:cs="Arial" w:eastAsia="Arial" w:hAnsi="Arial"/>
          <w:sz w:val="16"/>
          <w:szCs w:val="16"/>
          <w:color w:val="auto"/>
        </w:rPr>
      </w:pPr>
      <w:r>
        <w:rPr>
          <w:rFonts w:ascii="Arial" w:cs="Arial" w:eastAsia="Arial" w:hAnsi="Arial"/>
          <w:sz w:val="16"/>
          <w:szCs w:val="16"/>
          <w:color w:val="auto"/>
        </w:rPr>
        <w:t xml:space="preserve">any broker-dealer and any noteholder using the Prospectus to participate in a distribution of the Exchange Notes (x) could not rely on the Staff position enunciated in </w:t>
      </w:r>
      <w:r>
        <w:rPr>
          <w:rFonts w:ascii="Arial" w:cs="Arial" w:eastAsia="Arial" w:hAnsi="Arial"/>
          <w:sz w:val="16"/>
          <w:szCs w:val="16"/>
          <w:i w:val="1"/>
          <w:iCs w:val="1"/>
          <w:color w:val="auto"/>
        </w:rPr>
        <w:t>Exxon Capital Holdings Corporation</w:t>
      </w:r>
      <w:r>
        <w:rPr>
          <w:rFonts w:ascii="Arial" w:cs="Arial" w:eastAsia="Arial" w:hAnsi="Arial"/>
          <w:sz w:val="16"/>
          <w:szCs w:val="16"/>
          <w:color w:val="auto"/>
        </w:rPr>
        <w:t xml:space="preserve"> (available May 13, 1988) or similar letters,</w:t>
      </w:r>
    </w:p>
    <w:p>
      <w:pPr>
        <w:ind w:left="1740" w:right="460" w:firstLine="6"/>
        <w:spacing w:after="0" w:line="255" w:lineRule="auto"/>
        <w:tabs>
          <w:tab w:leader="none" w:pos="1995" w:val="left"/>
        </w:tabs>
        <w:numPr>
          <w:ilvl w:val="0"/>
          <w:numId w:val="2"/>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in connection with a secondary resale transaction and (z) must be identified as an underwriter in the Prospectus; and</w:t>
      </w:r>
    </w:p>
    <w:p>
      <w:pPr>
        <w:sectPr>
          <w:pgSz w:w="11900" w:h="16838" w:orient="portrait"/>
          <w:cols w:equalWidth="0" w:num="1">
            <w:col w:w="11000"/>
          </w:cols>
          <w:pgMar w:left="440" w:top="233" w:right="459" w:bottom="1440" w:gutter="0" w:footer="0" w:header="0"/>
        </w:sectPr>
      </w:pPr>
    </w:p>
    <w:bookmarkStart w:id="1" w:name="page2"/>
    <w:bookmarkEnd w:id="1"/>
    <w:p>
      <w:pPr>
        <w:ind w:left="1200" w:right="100" w:hanging="642"/>
        <w:spacing w:after="0" w:line="259"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broker-dealer who holds Outstanding Notes acquired for its own account as a result of market-making activities or other trading activities, and who receives Exchange Notes in exchange for such Outstanding Notes pursuant to the Exchange Offer, may be a statutory underwriter and must deliver a prospectus meeting the requirements of the Securities Act in connection with any resale of such Exchange Notes;</w:t>
      </w:r>
    </w:p>
    <w:p>
      <w:pPr>
        <w:spacing w:after="0" w:line="92" w:lineRule="exact"/>
        <w:rPr>
          <w:rFonts w:ascii="Arial" w:cs="Arial" w:eastAsia="Arial" w:hAnsi="Arial"/>
          <w:sz w:val="18"/>
          <w:szCs w:val="18"/>
          <w:color w:val="auto"/>
        </w:rPr>
      </w:pPr>
    </w:p>
    <w:p>
      <w:pPr>
        <w:ind w:left="540" w:hanging="53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acknowledges that any secondary resale transaction, as described in clause (iii)(A) above, should be covered by an effective registration statement containing the selling noteholder information required by Item 507 of Regulation S-K;</w:t>
      </w:r>
    </w:p>
    <w:p>
      <w:pPr>
        <w:spacing w:after="0" w:line="75" w:lineRule="exact"/>
        <w:rPr>
          <w:rFonts w:ascii="Arial" w:cs="Arial" w:eastAsia="Arial" w:hAnsi="Arial"/>
          <w:sz w:val="18"/>
          <w:szCs w:val="18"/>
          <w:color w:val="auto"/>
        </w:rPr>
      </w:pPr>
    </w:p>
    <w:p>
      <w:pPr>
        <w:ind w:left="540" w:hanging="53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will require a representation to the Company from each tendering noteholder that elects to participate in the Exchange Offer that:</w:t>
      </w:r>
    </w:p>
    <w:p>
      <w:pPr>
        <w:spacing w:after="0" w:line="75" w:lineRule="exact"/>
        <w:rPr>
          <w:rFonts w:ascii="Arial" w:cs="Arial" w:eastAsia="Arial" w:hAnsi="Arial"/>
          <w:sz w:val="18"/>
          <w:szCs w:val="18"/>
          <w:color w:val="auto"/>
        </w:rPr>
      </w:pPr>
    </w:p>
    <w:p>
      <w:pPr>
        <w:ind w:left="1200" w:right="320" w:hanging="642"/>
        <w:spacing w:after="0" w:line="312" w:lineRule="auto"/>
        <w:tabs>
          <w:tab w:leader="none" w:pos="12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Exchange Notes or book-entry interests therein to be acquired by such holder and any beneficial owner(s) of such Outstanding Notes or interests therein (“</w:t>
      </w:r>
      <w:r>
        <w:rPr>
          <w:rFonts w:ascii="Arial" w:cs="Arial" w:eastAsia="Arial" w:hAnsi="Arial"/>
          <w:sz w:val="16"/>
          <w:szCs w:val="16"/>
          <w:u w:val="single" w:color="auto"/>
          <w:color w:val="auto"/>
        </w:rPr>
        <w:t>Beneficial Owner(s)</w:t>
      </w:r>
      <w:r>
        <w:rPr>
          <w:rFonts w:ascii="Arial" w:cs="Arial" w:eastAsia="Arial" w:hAnsi="Arial"/>
          <w:sz w:val="16"/>
          <w:szCs w:val="16"/>
          <w:color w:val="auto"/>
        </w:rPr>
        <w:t>”) in connection with the Exchange Offer are being acquired by such holder and any Beneficial Owner(s) in the ordinary course of business of the holder and any Beneficial Owner(s);</w:t>
      </w:r>
    </w:p>
    <w:p>
      <w:pPr>
        <w:spacing w:after="0" w:line="52" w:lineRule="exact"/>
        <w:rPr>
          <w:rFonts w:ascii="Arial" w:cs="Arial" w:eastAsia="Arial" w:hAnsi="Arial"/>
          <w:sz w:val="16"/>
          <w:szCs w:val="16"/>
          <w:color w:val="auto"/>
        </w:rPr>
      </w:pPr>
    </w:p>
    <w:p>
      <w:pPr>
        <w:ind w:left="1200" w:hanging="642"/>
        <w:spacing w:after="0" w:line="277"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holder and each Beneficial Owner are not engaging, do not intend to engage, and have no arrangement or understanding with any person to participate, in the distribution of the Exchange Notes;</w:t>
      </w:r>
    </w:p>
    <w:p>
      <w:pPr>
        <w:spacing w:after="0" w:line="75" w:lineRule="exact"/>
        <w:rPr>
          <w:rFonts w:ascii="Arial" w:cs="Arial" w:eastAsia="Arial" w:hAnsi="Arial"/>
          <w:sz w:val="18"/>
          <w:szCs w:val="18"/>
          <w:color w:val="auto"/>
        </w:rPr>
      </w:pPr>
    </w:p>
    <w:p>
      <w:pPr>
        <w:ind w:left="1200" w:right="40" w:hanging="642"/>
        <w:spacing w:after="0" w:line="276" w:lineRule="auto"/>
        <w:tabs>
          <w:tab w:leader="none" w:pos="120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holder and each Beneficial Owner acknowledge and agree that any person who is a broker-dealer registered under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position of the Staff set forth in certain no-action letters;</w:t>
      </w:r>
    </w:p>
    <w:p>
      <w:pPr>
        <w:spacing w:after="0" w:line="77" w:lineRule="exact"/>
        <w:rPr>
          <w:rFonts w:ascii="Arial" w:cs="Arial" w:eastAsia="Arial" w:hAnsi="Arial"/>
          <w:sz w:val="17"/>
          <w:szCs w:val="17"/>
          <w:color w:val="auto"/>
        </w:rPr>
      </w:pPr>
    </w:p>
    <w:p>
      <w:pPr>
        <w:ind w:left="1200" w:right="140" w:hanging="642"/>
        <w:spacing w:after="0" w:line="257"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holder and each Beneficial Owner understands that a secondary resale transaction described in clause (v)(C) above and any resales of the Exchange Notes or interests therein obtained by such holder in exchange for the Outstanding Notes or interests therein originally acquired by such holder directly from the Company should be covered by an effective registration statement containing the selling security holder information required by Item 507 or Item 508, as applicable, of Regulation S-K of the Commission;</w:t>
      </w:r>
    </w:p>
    <w:p>
      <w:pPr>
        <w:spacing w:after="0" w:line="93" w:lineRule="exact"/>
        <w:rPr>
          <w:rFonts w:ascii="Arial" w:cs="Arial" w:eastAsia="Arial" w:hAnsi="Arial"/>
          <w:sz w:val="18"/>
          <w:szCs w:val="18"/>
          <w:color w:val="auto"/>
        </w:rPr>
      </w:pPr>
    </w:p>
    <w:p>
      <w:pPr>
        <w:ind w:left="1200" w:right="780" w:hanging="642"/>
        <w:spacing w:after="0" w:line="277" w:lineRule="auto"/>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neither the holder nor any Beneficial Owner(s) is an “affiliate,” as defined in Rule 405 under the Securities Act, of the Company; and</w:t>
      </w:r>
    </w:p>
    <w:p>
      <w:pPr>
        <w:spacing w:after="0" w:line="10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980" w:top="274" w:right="439" w:bottom="1440" w:gutter="0" w:footer="0" w:header="0"/>
        </w:sectPr>
      </w:pPr>
    </w:p>
    <w:bookmarkStart w:id="2" w:name="page3"/>
    <w:bookmarkEnd w:id="2"/>
    <w:p>
      <w:pPr>
        <w:ind w:left="1300" w:hanging="642"/>
        <w:spacing w:after="0" w:line="25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such holder is a broker-dealer (whether or not it is also an “affiliate”) that will receive Exchange Notes for its own account pursuant to the Exchange Offer, the Outstanding Notes tendered in the Exchange Offer were acquired by such broker-dealer as a result of market-making activities or other trading activities, and such holder acknowledges that it will deliver a prospectus meeting the requirements of the Securities Act in connection with any resale of such Exchange Notes; however, by so acknowledging and by delivering a Prospectus, the holder will not be deemed to admit that it is an “underwriter” within the meaning of the Securities Act;</w:t>
      </w:r>
    </w:p>
    <w:p>
      <w:pPr>
        <w:spacing w:after="0" w:line="98" w:lineRule="exact"/>
        <w:rPr>
          <w:rFonts w:ascii="Arial" w:cs="Arial" w:eastAsia="Arial" w:hAnsi="Arial"/>
          <w:sz w:val="18"/>
          <w:szCs w:val="18"/>
          <w:color w:val="auto"/>
        </w:rPr>
      </w:pPr>
    </w:p>
    <w:p>
      <w:pPr>
        <w:ind w:left="640" w:hanging="53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will commence the Exchange Offer when the Registration Statement is declared effective by the Commission;</w:t>
      </w:r>
    </w:p>
    <w:p>
      <w:pPr>
        <w:spacing w:after="0" w:line="142" w:lineRule="exact"/>
        <w:rPr>
          <w:rFonts w:ascii="Arial" w:cs="Arial" w:eastAsia="Arial" w:hAnsi="Arial"/>
          <w:sz w:val="17"/>
          <w:szCs w:val="17"/>
          <w:color w:val="auto"/>
        </w:rPr>
      </w:pPr>
    </w:p>
    <w:p>
      <w:pPr>
        <w:ind w:left="640" w:right="20" w:hanging="5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will remain in effect for a limited time and, except with respect to broker-dealers who tender in the Exchange Offer will not require the Company to maintain an “evergreen” registration statement; and</w:t>
      </w:r>
    </w:p>
    <w:p>
      <w:pPr>
        <w:spacing w:after="0" w:line="75" w:lineRule="exact"/>
        <w:rPr>
          <w:rFonts w:ascii="Arial" w:cs="Arial" w:eastAsia="Arial" w:hAnsi="Arial"/>
          <w:sz w:val="18"/>
          <w:szCs w:val="18"/>
          <w:color w:val="auto"/>
        </w:rPr>
      </w:pPr>
    </w:p>
    <w:p>
      <w:pPr>
        <w:ind w:left="640" w:right="120" w:hanging="536"/>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will be conducted by the Company in compliance with the Exchange Act and any applicable rules and regulations promulgated thereunder.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or comments, please contact Ryan Maierson of Latham &amp; Watkins LLP at (713) 546-7420.</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TechnipFMC plc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Maryann T. Mannen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-130810</wp:posOffset>
            </wp:positionV>
            <wp:extent cx="26155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Executive Vice President and Chief Financial Officer</w:t>
      </w:r>
    </w:p>
    <w:p>
      <w:pPr>
        <w:spacing w:after="0" w:line="16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sectPr>
      <w:pgSz w:w="11900" w:h="16838" w:orient="portrait"/>
      <w:cols w:equalWidth="0" w:num="1">
        <w:col w:w="10420"/>
      </w:cols>
      <w:pgMar w:left="88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
    </w:lvl>
    <w:lvl w:ilvl="1">
      <w:lvlJc w:val="left"/>
      <w:lvlText w:val="(%2)"/>
      <w:numFmt w:val="upperLetter"/>
      <w:start w:val="1"/>
    </w:lvl>
  </w:abstractNum>
  <w:abstractNum w:abstractNumId="1">
    <w:nsid w:val="625558EC"/>
    <w:multiLevelType w:val="hybridMultilevel"/>
    <w:lvl w:ilvl="0">
      <w:lvlJc w:val="left"/>
      <w:lvlText w:val="(%1)"/>
      <w:numFmt w:val="lowerLetter"/>
      <w:start w:val="25"/>
    </w:lvl>
  </w:abstractNum>
  <w:abstractNum w:abstractNumId="2">
    <w:nsid w:val="238E1F29"/>
    <w:multiLevelType w:val="hybridMultilevel"/>
    <w:lvl w:ilvl="0">
      <w:lvlJc w:val="left"/>
      <w:lvlText w:val="%1"/>
      <w:numFmt w:val="lowerRoman"/>
      <w:start w:val="1"/>
    </w:lvl>
    <w:lvl w:ilvl="1">
      <w:lvlJc w:val="left"/>
      <w:lvlText w:val="(%2)"/>
      <w:numFmt w:val="upperLetter"/>
      <w:start w:val="2"/>
    </w:lvl>
  </w:abstractNum>
  <w:abstractNum w:abstractNumId="3">
    <w:nsid w:val="46E87CCD"/>
    <w:multiLevelType w:val="hybridMultilevel"/>
    <w:lvl w:ilvl="0">
      <w:lvlJc w:val="left"/>
      <w:lvlText w:val="(%1)"/>
      <w:numFmt w:val="lowerRoman"/>
      <w:start w:val="4"/>
    </w:lvl>
    <w:lvl w:ilvl="1">
      <w:lvlJc w:val="left"/>
      <w:lvlText w:val="(%2)"/>
      <w:numFmt w:val="upperLetter"/>
      <w:start w:val="1"/>
    </w:lvl>
  </w:abstractNum>
  <w:abstractNum w:abstractNumId="4">
    <w:nsid w:val="3D1B58BA"/>
    <w:multiLevelType w:val="hybridMultilevel"/>
    <w:lvl w:ilvl="0">
      <w:lvlJc w:val="left"/>
      <w:lvlText w:val="%1"/>
      <w:numFmt w:val="lowerRoman"/>
      <w:start w:val="1"/>
    </w:lvl>
    <w:lvl w:ilvl="1">
      <w:lvlJc w:val="left"/>
      <w:lvlText w:val="(%2)"/>
      <w:numFmt w:val="upperLetter"/>
      <w:start w:val="6"/>
    </w:lvl>
  </w:abstractNum>
  <w:abstractNum w:abstractNumId="5">
    <w:nsid w:val="507ED7AB"/>
    <w:multiLevelType w:val="hybridMultilevel"/>
    <w:lvl w:ilvl="0">
      <w:lvlJc w:val="left"/>
      <w:lvlText w:val="(%1)"/>
      <w:numFmt w:val="lowerRoman"/>
      <w:start w:val="6"/>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2019-12-08T15:08:35Z</dcterms:created>
  <dcterms:modified xsi:type="dcterms:W3CDTF">2019-12-08T15:08:35Z</dcterms:modified>
</cp:coreProperties>
</file>