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8, 2021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38"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880" w:type="dxa"/>
            <w:vAlign w:val="bottom"/>
          </w:tcPr>
          <w:p>
            <w:pPr>
              <w:jc w:val="center"/>
              <w:ind w:right="75"/>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right"/>
              <w:ind w:right="1940"/>
              <w:spacing w:after="0"/>
              <w:rPr>
                <w:sz w:val="20"/>
                <w:szCs w:val="20"/>
                <w:color w:val="auto"/>
              </w:rPr>
            </w:pPr>
            <w:r>
              <w:rPr>
                <w:rFonts w:ascii="Arial" w:cs="Arial" w:eastAsia="Arial" w:hAnsi="Arial"/>
                <w:sz w:val="18"/>
                <w:szCs w:val="18"/>
                <w:b w:val="1"/>
                <w:bCs w:val="1"/>
                <w:color w:val="auto"/>
              </w:rPr>
              <w:t>001-37983</w:t>
            </w:r>
          </w:p>
        </w:tc>
        <w:tc>
          <w:tcPr>
            <w:tcW w:w="248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98-1283037</w:t>
            </w:r>
          </w:p>
        </w:tc>
      </w:tr>
      <w:tr>
        <w:trPr>
          <w:trHeight w:val="190"/>
        </w:trPr>
        <w:tc>
          <w:tcPr>
            <w:tcW w:w="2880" w:type="dxa"/>
            <w:vAlign w:val="bottom"/>
          </w:tcPr>
          <w:p>
            <w:pPr>
              <w:jc w:val="center"/>
              <w:ind w:right="75"/>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60"/>
              <w:spacing w:after="0"/>
              <w:rPr>
                <w:sz w:val="20"/>
                <w:szCs w:val="20"/>
                <w:color w:val="auto"/>
              </w:rPr>
            </w:pPr>
            <w:r>
              <w:rPr>
                <w:rFonts w:ascii="Arial" w:cs="Arial" w:eastAsia="Arial" w:hAnsi="Arial"/>
                <w:sz w:val="14"/>
                <w:szCs w:val="14"/>
                <w:color w:val="auto"/>
              </w:rPr>
              <w:t>(Commission File Number)</w:t>
            </w:r>
          </w:p>
        </w:tc>
        <w:tc>
          <w:tcPr>
            <w:tcW w:w="248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552"/>
        </w:trPr>
        <w:tc>
          <w:tcPr>
            <w:tcW w:w="2880" w:type="dxa"/>
            <w:vAlign w:val="bottom"/>
          </w:tcPr>
          <w:p>
            <w:pPr>
              <w:jc w:val="center"/>
              <w:ind w:right="115"/>
              <w:spacing w:after="0"/>
              <w:rPr>
                <w:sz w:val="20"/>
                <w:szCs w:val="20"/>
                <w:color w:val="auto"/>
              </w:rPr>
            </w:pPr>
            <w:r>
              <w:rPr>
                <w:rFonts w:ascii="Arial" w:cs="Arial" w:eastAsia="Arial" w:hAnsi="Arial"/>
                <w:sz w:val="18"/>
                <w:szCs w:val="18"/>
                <w:b w:val="1"/>
                <w:bCs w:val="1"/>
                <w:color w:val="auto"/>
                <w:w w:val="99"/>
              </w:rPr>
              <w:t>Hadrian House,</w:t>
            </w:r>
          </w:p>
        </w:tc>
        <w:tc>
          <w:tcPr>
            <w:tcW w:w="4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0"/>
        </w:trPr>
        <w:tc>
          <w:tcPr>
            <w:tcW w:w="2880" w:type="dxa"/>
            <w:vAlign w:val="bottom"/>
          </w:tcPr>
          <w:p>
            <w:pPr>
              <w:jc w:val="center"/>
              <w:ind w:right="55"/>
              <w:spacing w:after="0"/>
              <w:rPr>
                <w:sz w:val="20"/>
                <w:szCs w:val="20"/>
                <w:color w:val="auto"/>
              </w:rPr>
            </w:pPr>
            <w:r>
              <w:rPr>
                <w:rFonts w:ascii="Arial" w:cs="Arial" w:eastAsia="Arial" w:hAnsi="Arial"/>
                <w:sz w:val="18"/>
                <w:szCs w:val="18"/>
                <w:b w:val="1"/>
                <w:bCs w:val="1"/>
                <w:color w:val="auto"/>
                <w:w w:val="98"/>
              </w:rPr>
              <w:t>Wincomblee Road</w:t>
            </w:r>
          </w:p>
        </w:tc>
        <w:tc>
          <w:tcPr>
            <w:tcW w:w="47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29"/>
        </w:trPr>
        <w:tc>
          <w:tcPr>
            <w:tcW w:w="2880" w:type="dxa"/>
            <w:vAlign w:val="bottom"/>
          </w:tcPr>
          <w:p>
            <w:pPr>
              <w:jc w:val="center"/>
              <w:ind w:right="55"/>
              <w:spacing w:after="0"/>
              <w:rPr>
                <w:sz w:val="20"/>
                <w:szCs w:val="20"/>
                <w:color w:val="auto"/>
              </w:rPr>
            </w:pPr>
            <w:r>
              <w:rPr>
                <w:rFonts w:ascii="Arial" w:cs="Arial" w:eastAsia="Arial" w:hAnsi="Arial"/>
                <w:sz w:val="18"/>
                <w:szCs w:val="18"/>
                <w:b w:val="1"/>
                <w:bCs w:val="1"/>
                <w:color w:val="auto"/>
                <w:w w:val="99"/>
              </w:rPr>
              <w:t>Newcastle Upon Tyne</w:t>
            </w:r>
          </w:p>
        </w:tc>
        <w:tc>
          <w:tcPr>
            <w:tcW w:w="47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39"/>
        </w:trPr>
        <w:tc>
          <w:tcPr>
            <w:tcW w:w="2880" w:type="dxa"/>
            <w:vAlign w:val="bottom"/>
          </w:tcPr>
          <w:p>
            <w:pPr>
              <w:jc w:val="center"/>
              <w:ind w:right="55"/>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0"/>
                <w:szCs w:val="20"/>
                <w:color w:val="auto"/>
              </w:rPr>
            </w:pPr>
          </w:p>
        </w:tc>
        <w:tc>
          <w:tcPr>
            <w:tcW w:w="2480" w:type="dxa"/>
            <w:vAlign w:val="bottom"/>
          </w:tcPr>
          <w:p>
            <w:pPr>
              <w:jc w:val="center"/>
              <w:ind w:left="159"/>
              <w:spacing w:after="0"/>
              <w:rPr>
                <w:sz w:val="20"/>
                <w:szCs w:val="20"/>
                <w:color w:val="auto"/>
              </w:rPr>
            </w:pPr>
            <w:r>
              <w:rPr>
                <w:rFonts w:ascii="Arial" w:cs="Arial" w:eastAsia="Arial" w:hAnsi="Arial"/>
                <w:sz w:val="18"/>
                <w:szCs w:val="18"/>
                <w:b w:val="1"/>
                <w:bCs w:val="1"/>
                <w:color w:val="auto"/>
                <w:w w:val="98"/>
              </w:rPr>
              <w:t>NE6 3PL</w:t>
            </w:r>
          </w:p>
        </w:tc>
      </w:tr>
      <w:tr>
        <w:trPr>
          <w:trHeight w:val="190"/>
        </w:trPr>
        <w:tc>
          <w:tcPr>
            <w:tcW w:w="2880" w:type="dxa"/>
            <w:vAlign w:val="bottom"/>
          </w:tcPr>
          <w:p>
            <w:pPr>
              <w:jc w:val="center"/>
              <w:ind w:right="55"/>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6"/>
                <w:szCs w:val="16"/>
                <w:color w:val="auto"/>
              </w:rPr>
            </w:pPr>
          </w:p>
        </w:tc>
        <w:tc>
          <w:tcPr>
            <w:tcW w:w="2480" w:type="dxa"/>
            <w:vAlign w:val="bottom"/>
          </w:tcPr>
          <w:p>
            <w:pPr>
              <w:jc w:val="center"/>
              <w:ind w:left="159"/>
              <w:spacing w:after="0"/>
              <w:rPr>
                <w:sz w:val="20"/>
                <w:szCs w:val="20"/>
                <w:color w:val="auto"/>
              </w:rPr>
            </w:pPr>
            <w:r>
              <w:rPr>
                <w:rFonts w:ascii="Arial" w:cs="Arial" w:eastAsia="Arial" w:hAnsi="Arial"/>
                <w:sz w:val="14"/>
                <w:szCs w:val="14"/>
                <w:color w:val="auto"/>
              </w:rPr>
              <w:t>(Zip Code)</w:t>
            </w:r>
          </w:p>
        </w:tc>
      </w:tr>
      <w:tr>
        <w:trPr>
          <w:trHeight w:val="350"/>
        </w:trPr>
        <w:tc>
          <w:tcPr>
            <w:tcW w:w="2880" w:type="dxa"/>
            <w:vAlign w:val="bottom"/>
          </w:tcPr>
          <w:p>
            <w:pPr>
              <w:spacing w:after="0"/>
              <w:rPr>
                <w:sz w:val="24"/>
                <w:szCs w:val="24"/>
                <w:color w:val="auto"/>
              </w:rPr>
            </w:pPr>
          </w:p>
        </w:tc>
        <w:tc>
          <w:tcPr>
            <w:tcW w:w="4740" w:type="dxa"/>
            <w:vAlign w:val="bottom"/>
          </w:tcPr>
          <w:p>
            <w:pPr>
              <w:jc w:val="right"/>
              <w:ind w:right="1620"/>
              <w:spacing w:after="0"/>
              <w:rPr>
                <w:sz w:val="20"/>
                <w:szCs w:val="20"/>
                <w:color w:val="auto"/>
              </w:rPr>
            </w:pPr>
            <w:r>
              <w:rPr>
                <w:rFonts w:ascii="Arial" w:cs="Arial" w:eastAsia="Arial" w:hAnsi="Arial"/>
                <w:sz w:val="18"/>
                <w:szCs w:val="18"/>
                <w:b w:val="1"/>
                <w:bCs w:val="1"/>
                <w:color w:val="auto"/>
              </w:rPr>
              <w:t>+44 191-295-0303</w:t>
            </w:r>
          </w:p>
        </w:tc>
        <w:tc>
          <w:tcPr>
            <w:tcW w:w="2480" w:type="dxa"/>
            <w:vAlign w:val="bottom"/>
          </w:tcPr>
          <w:p>
            <w:pPr>
              <w:spacing w:after="0"/>
              <w:rPr>
                <w:sz w:val="24"/>
                <w:szCs w:val="24"/>
                <w:color w:val="auto"/>
              </w:rPr>
            </w:pPr>
          </w:p>
        </w:tc>
      </w:tr>
      <w:tr>
        <w:trPr>
          <w:trHeight w:val="217"/>
        </w:trPr>
        <w:tc>
          <w:tcPr>
            <w:tcW w:w="2880" w:type="dxa"/>
            <w:vAlign w:val="bottom"/>
          </w:tcPr>
          <w:p>
            <w:pPr>
              <w:spacing w:after="0"/>
              <w:rPr>
                <w:sz w:val="18"/>
                <w:szCs w:val="18"/>
                <w:color w:val="auto"/>
              </w:rPr>
            </w:pPr>
          </w:p>
        </w:tc>
        <w:tc>
          <w:tcPr>
            <w:tcW w:w="4740" w:type="dxa"/>
            <w:vAlign w:val="bottom"/>
          </w:tcPr>
          <w:p>
            <w:pPr>
              <w:jc w:val="center"/>
              <w:ind w:right="60"/>
              <w:spacing w:after="0"/>
              <w:rPr>
                <w:sz w:val="20"/>
                <w:szCs w:val="20"/>
                <w:color w:val="auto"/>
              </w:rPr>
            </w:pPr>
            <w:r>
              <w:rPr>
                <w:rFonts w:ascii="Arial" w:cs="Arial" w:eastAsia="Arial" w:hAnsi="Arial"/>
                <w:sz w:val="14"/>
                <w:szCs w:val="14"/>
                <w:color w:val="auto"/>
              </w:rPr>
              <w:t>(Registrant's telephone number, including area code)</w:t>
            </w:r>
          </w:p>
        </w:tc>
        <w:tc>
          <w:tcPr>
            <w:tcW w:w="2480" w:type="dxa"/>
            <w:vAlign w:val="bottom"/>
          </w:tcPr>
          <w:p>
            <w:pPr>
              <w:spacing w:after="0"/>
              <w:rPr>
                <w:sz w:val="18"/>
                <w:szCs w:val="18"/>
                <w:color w:val="auto"/>
              </w:rPr>
            </w:pPr>
          </w:p>
        </w:tc>
      </w:tr>
      <w:tr>
        <w:trPr>
          <w:trHeight w:val="444"/>
        </w:trPr>
        <w:tc>
          <w:tcPr>
            <w:tcW w:w="2880" w:type="dxa"/>
            <w:vAlign w:val="bottom"/>
          </w:tcPr>
          <w:p>
            <w:pPr>
              <w:spacing w:after="0"/>
              <w:rPr>
                <w:sz w:val="24"/>
                <w:szCs w:val="24"/>
                <w:color w:val="auto"/>
              </w:rPr>
            </w:pPr>
          </w:p>
        </w:tc>
        <w:tc>
          <w:tcPr>
            <w:tcW w:w="4740" w:type="dxa"/>
            <w:vAlign w:val="bottom"/>
          </w:tcPr>
          <w:p>
            <w:pPr>
              <w:jc w:val="center"/>
              <w:ind w:right="40"/>
              <w:spacing w:after="0"/>
              <w:rPr>
                <w:sz w:val="20"/>
                <w:szCs w:val="20"/>
                <w:color w:val="auto"/>
              </w:rPr>
            </w:pPr>
            <w:r>
              <w:rPr>
                <w:rFonts w:ascii="Arial" w:cs="Arial" w:eastAsia="Arial" w:hAnsi="Arial"/>
                <w:sz w:val="18"/>
                <w:szCs w:val="18"/>
                <w:b w:val="1"/>
                <w:bCs w:val="1"/>
                <w:color w:val="auto"/>
                <w:w w:val="99"/>
              </w:rPr>
              <w:t>Not Applicable</w:t>
            </w:r>
          </w:p>
        </w:tc>
        <w:tc>
          <w:tcPr>
            <w:tcW w:w="2480" w:type="dxa"/>
            <w:vAlign w:val="bottom"/>
          </w:tcPr>
          <w:p>
            <w:pPr>
              <w:spacing w:after="0"/>
              <w:rPr>
                <w:sz w:val="24"/>
                <w:szCs w:val="24"/>
                <w:color w:val="auto"/>
              </w:rPr>
            </w:pPr>
          </w:p>
        </w:tc>
      </w:tr>
      <w:tr>
        <w:trPr>
          <w:trHeight w:val="153"/>
        </w:trPr>
        <w:tc>
          <w:tcPr>
            <w:tcW w:w="2880" w:type="dxa"/>
            <w:vAlign w:val="bottom"/>
          </w:tcPr>
          <w:p>
            <w:pPr>
              <w:spacing w:after="0"/>
              <w:rPr>
                <w:sz w:val="13"/>
                <w:szCs w:val="13"/>
                <w:color w:val="auto"/>
              </w:rPr>
            </w:pPr>
          </w:p>
        </w:tc>
        <w:tc>
          <w:tcPr>
            <w:tcW w:w="4740" w:type="dxa"/>
            <w:vAlign w:val="bottom"/>
          </w:tcPr>
          <w:p>
            <w:pPr>
              <w:jc w:val="center"/>
              <w:ind w:right="40"/>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480" w:type="dxa"/>
            <w:vAlign w:val="bottom"/>
          </w:tcPr>
          <w:p>
            <w:pPr>
              <w:spacing w:after="0"/>
              <w:rPr>
                <w:sz w:val="13"/>
                <w:szCs w:val="13"/>
                <w:color w:val="auto"/>
              </w:rPr>
            </w:pPr>
          </w:p>
        </w:tc>
      </w:tr>
      <w:tr>
        <w:trPr>
          <w:trHeight w:val="172"/>
        </w:trPr>
        <w:tc>
          <w:tcPr>
            <w:tcW w:w="2880" w:type="dxa"/>
            <w:vAlign w:val="bottom"/>
          </w:tcPr>
          <w:p>
            <w:pPr>
              <w:spacing w:after="0"/>
              <w:rPr>
                <w:sz w:val="14"/>
                <w:szCs w:val="14"/>
                <w:color w:val="auto"/>
              </w:rPr>
            </w:pPr>
          </w:p>
        </w:tc>
        <w:tc>
          <w:tcPr>
            <w:tcW w:w="4740" w:type="dxa"/>
            <w:vAlign w:val="bottom"/>
          </w:tcPr>
          <w:p>
            <w:pPr>
              <w:jc w:val="right"/>
              <w:ind w:right="200"/>
              <w:spacing w:after="0"/>
              <w:rPr>
                <w:sz w:val="20"/>
                <w:szCs w:val="20"/>
                <w:color w:val="auto"/>
              </w:rPr>
            </w:pPr>
            <w:r>
              <w:rPr>
                <w:rFonts w:ascii="Arial" w:cs="Arial" w:eastAsia="Arial" w:hAnsi="Arial"/>
                <w:sz w:val="14"/>
                <w:szCs w:val="14"/>
                <w:color w:val="auto"/>
              </w:rPr>
              <w:t>______________________________________________________</w:t>
            </w:r>
          </w:p>
        </w:tc>
        <w:tc>
          <w:tcPr>
            <w:tcW w:w="2480" w:type="dxa"/>
            <w:vAlign w:val="bottom"/>
          </w:tcPr>
          <w:p>
            <w:pPr>
              <w:spacing w:after="0"/>
              <w:rPr>
                <w:sz w:val="14"/>
                <w:szCs w:val="14"/>
                <w:color w:val="auto"/>
              </w:rPr>
            </w:pPr>
          </w:p>
        </w:tc>
      </w:tr>
    </w:tbl>
    <w:p>
      <w:pPr>
        <w:spacing w:after="0" w:line="81"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9" w:lineRule="exact"/>
        <w:rPr>
          <w:sz w:val="24"/>
          <w:szCs w:val="24"/>
          <w:color w:val="auto"/>
        </w:rPr>
      </w:pPr>
    </w:p>
    <w:p>
      <w:pPr>
        <w:ind w:left="920" w:right="720" w:firstLine="733"/>
        <w:spacing w:after="0" w:line="281" w:lineRule="auto"/>
        <w:rPr>
          <w:sz w:val="20"/>
          <w:szCs w:val="20"/>
          <w:color w:val="auto"/>
        </w:rPr>
      </w:pPr>
      <w:r>
        <w:rPr>
          <w:rFonts w:ascii="Arial" w:cs="Arial" w:eastAsia="Arial" w:hAnsi="Arial"/>
          <w:sz w:val="14"/>
          <w:szCs w:val="14"/>
          <w:b w:val="1"/>
          <w:bCs w:val="1"/>
          <w:color w:val="auto"/>
        </w:rPr>
        <w:t xml:space="preserve">Title of Each Class Trading Symbol Name of Each Exchange on Which Registered </w:t>
      </w:r>
      <w:r>
        <w:rPr>
          <w:rFonts w:ascii="Arial" w:cs="Arial" w:eastAsia="Arial" w:hAnsi="Arial"/>
          <w:sz w:val="14"/>
          <w:szCs w:val="14"/>
          <w:color w:val="auto"/>
        </w:rPr>
        <w:t>Ordinary shares, $1.00 par value per share FTI New York Stock Exchange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104775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TechnipFMC plc (the "Company") is filing this Current Report on Form 8-K solely to revise certain financial information and related disclosures included in the Company's Annual Report on Form 10-K for the fiscal year ended December 31, 2020 originally filed with the U.S. Securities and Exchange Commission (the “SEC”) on March 5, 2021 (the “2020 Form 10-K”).</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16, 2021, the Company completed the separation of its former Technip Energies business segment. The transaction was structured as a spin-off (the “Spin-off”), which occurred by way of a pro rata dividend (the “Distribution”) to its shareholders of 50.1 percent of the outstanding shares of Technip Energies N.V. Each shareholder of the Company received one ordinary share of Technip Energies N.V. for every five ordinary shares of the Company held at 5:00 p.m., New York City time on the record date, February 17, 2021. For all periods presented in this Form 8-K, the historical results of operations of the former Technip Energies reportable segment and its assets and liabilities have been included within discontinued operations in the Company's consolidated financial statements.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Form 8-K is being filed solely to recast financial information to revise certain related disclosures contained in the 2020 Form 10-K to reflect the Spin-off and to reflect the retrospective changes for all periods presented. The following items of the 2020 Form 10-K are being revised (collectively, the "Revised Sections") as reflected in Exhibit 99.1 to this Current Report on Form 8-K.</w:t>
      </w:r>
    </w:p>
    <w:p>
      <w:pPr>
        <w:spacing w:after="0" w:line="1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Item 7A. Quantitative and Qualitative Disclosures about Market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Item 8. Financial Statements and Supplementary Data;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IV, Item 15(a)(2), Financial Statement Schedule</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disclosures in the Revised Sections were updated to reflect the Company’s results as if the discontinued operations criteria for its former Technip Energies reportable segment had been met during the periods being presented. Other than Note 25 of Part II, Item 8 "Financial Statements and Supplementary Data," the Revised Sections, including Management’s Discussion and Analysis of Financial Condition and Results of Operations and the Company’s Business Outlook contained therein, do not reflect events occurring after the filing of the 2020 Form 10-K and do not modify or update the disclosures therein in any way for any information, uncertainties, transactions, risks, events or trends occurring, or known to management, other than as specifically required to reflect the discontinued operations presentation. Other than the Revised Sections filed with this Current Report on Form 8-K, all other information in the 2020 Form 10-K remains unchanged and has not been otherwise updated for events occurring after the filing of the 2020 Form 10-K, and continues to speak only as of the original filing date.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 recent information, including risk factors, is contained in the Company’s quarterly reports on Form 10-Q for the quarterly periods ended March 31, 2021 (the "Q1 Form 10-Q") and June 30, 2021 (the "Q2 Form 10-Q") and other filings made by the Company with the SEC. Such filings contain important information regarding events, developments, and updates affecting the Company and its expectations, including those that have occurred since the filing of the 2020 Form 10-K. Accordingly, this Current Report on Form 8-K should be read in conjunction with the Q1 Form 10-Q, Q2 Form 10-Q and other filings made by the Company with the SEC subsequent to the filing of the 2020 Form 10-K.</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4">
        <w:r>
          <w:rPr>
            <w:rFonts w:ascii="Arial" w:cs="Arial" w:eastAsia="Arial" w:hAnsi="Arial"/>
            <w:sz w:val="17"/>
            <w:szCs w:val="17"/>
            <w:u w:val="single" w:color="auto"/>
            <w:color w:val="0000FF"/>
          </w:rPr>
          <w:t>Consent of the Independent Registered Public Accounting Firm</w:t>
        </w:r>
      </w:hyperlink>
    </w:p>
    <w:p>
      <w:pPr>
        <w:spacing w:after="0" w:line="252"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7"/>
            <w:szCs w:val="17"/>
            <w:u w:val="single" w:color="auto"/>
            <w:color w:val="0000FF"/>
          </w:rPr>
          <w:t>Revised Sections of the 2020 Form 10-K</w:t>
        </w:r>
      </w:hyperlink>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8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6350</wp:posOffset>
            </wp:positionV>
            <wp:extent cx="4071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800" w:val="left"/>
          <w:tab w:leader="none" w:pos="3980" w:val="left"/>
        </w:tabs>
        <w:rPr>
          <w:sz w:val="20"/>
          <w:szCs w:val="20"/>
          <w:color w:val="auto"/>
        </w:rPr>
      </w:pPr>
      <w:r>
        <w:rPr>
          <w:rFonts w:ascii="Arial" w:cs="Arial" w:eastAsia="Arial" w:hAnsi="Arial"/>
          <w:sz w:val="18"/>
          <w:szCs w:val="18"/>
          <w:color w:val="auto"/>
        </w:rPr>
        <w:t>Dated:</w:t>
        <w:tab/>
        <w:t>September 8, 2021</w:t>
      </w:r>
      <w:r>
        <w:rPr>
          <w:sz w:val="20"/>
          <w:szCs w:val="20"/>
          <w:color w:val="auto"/>
        </w:rPr>
        <w:tab/>
      </w:r>
      <w:r>
        <w:rPr>
          <w:rFonts w:ascii="Arial" w:cs="Arial" w:eastAsia="Arial" w:hAnsi="Arial"/>
          <w:sz w:val="17"/>
          <w:szCs w:val="17"/>
          <w:color w:val="auto"/>
        </w:rPr>
        <w:t>Name: Alf Melin</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886" w:right="359" w:bottom="1440" w:gutter="0" w:footer="0" w:header="0"/>
        </w:sectPr>
      </w:pPr>
    </w:p>
    <w:bookmarkStart w:id="3" w:name="page4"/>
    <w:bookmarkEnd w:id="3"/>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We hereby consent to the incorporation by reference in the Registration Statement on Form S-3 (No. 333-240355) of TechnipFMC plc of our report dated March 5, 2021, except with respect to our opinion on the consolidated financial statements insofar as it relates to the effects of discontinued operations discussed in Note 2, as to which the date is September 8, 2021, relating to the financial statements and financial statement schedule and the effectiveness of internal control over financial reporting, which appears in this Current Report on Form 8-K.</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All references to “TechnipFMC,” the “Company,” “we,” or “our” refer to TechnipFMC plc, a public limited company incorporated and organized under the laws of England and Wales, with registered number 09909709, and with its registered office at Hadrian House, Wincomblee Road, Newcastle Upon Tyne, NE6 3PL, United Kingdom.</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TechnipFMC plc (the "Company") is filing this Current Report on Form 8-K (including this Exhibit 99.1, the “Form 8-K”) solely to revise certain financial information and related disclosures included in the Company's Annual Report on Form 10-K for the fiscal year ended December 31, 2020 originally filed with the U.S. Securities and Exchange Commission (the “SEC”) on March 5, 2021 (the “2020 Form 10-K”).</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16, 2021, the Company completed the separation of its former Technip Energies business segment. The transaction was structured as a spin-off (the “Spin-off”), which occurred by way of a pro rata dividend (the “Distribution”) to its shareholders of 50.1 percent of the outstanding shares of Technip Energies N.V. Each shareholder of the Company received one ordinary share of Technip Energies N.V. for every five ordinary shares of the Company held at 5:00 p.m., New York City time on the record date, February 17, 2021. For all periods presented in this Form 8-K, the historical results of operations of the former Technip Energies reportable segment and its assets and liabilities have been included within discontinued operations in the Company's consolidated financial statements.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Form 8-K is being filed solely to recast financial information to revise certain related disclosures contained in the 2020 Form 10-K to reflect the Spin-off and to reflect the retrospective changes for all periods presented. The following items of the 2020 Form 10-K are being revised (collectively, the "Revised Sections") as reflected in Exhibit 99.1 to this Current Report on Form 8-K.</w:t>
      </w:r>
    </w:p>
    <w:p>
      <w:pPr>
        <w:spacing w:after="0" w:line="1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7A. Quantitative and Qualitative Disclosures about Market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8. Financial Statements and Supplementary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IV, Item 15(a)(2), Financial Statement Schedule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a global leader in energy projects, technologies, systems and services. We have manufacturing operations worldwide, strategically located to facilitate efficient delivery of these products, technologies, systems and services to our customers. We report our results of operations in the following segments: Subsea and Surface Technologies. Management’s determination of our reporting segments was made on the basis of our strategic priorities and corresponds to the manner in which our Chief Executive Officer reviews and evaluates operating performance to make decisions about resource allocations to each segment.</w:t>
      </w:r>
    </w:p>
    <w:p>
      <w:pPr>
        <w:spacing w:after="0" w:line="151"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A summarized description of our products and services and annual financial data for each segment can be found in Note 7 to our consolidated financial statements.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focus on economic and industry-specific drivers and key risk factors affecting our business segments as we formulate our strategic plans and make decisions related to allocating capital and human resources. The results of our segments are primarily driven by changes in capital spending by oil and gas companies, which largely depend upon current and anticipated future crude oil and natural gas demand, production volumes, and consequently, commodity prices. We use crude oil and natural gas prices as an indicator of demand. Additionally, we use both onshore and offshore rig count as an indicator of demand, which consequently influences the level of worldwide production activity and spending decisions. We also focus on key risk factors when determining our overall strategy and making decisions for capital allocation. These factors include risks associated with the global economic outlook, product obsolescence and the competitive environment. We address these risks in our business strategies, which incorporate continuing development of leading edge technologies and cultivating strong customer relationships.</w:t>
      </w:r>
    </w:p>
    <w:p>
      <w:pPr>
        <w:spacing w:after="0" w:line="15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Subsea segment is affected by changes in commodity prices and trends in deepwater oil and natural gas production and benefits from the current market fundamentals supporting the demand for new liquefied natural gas facilities.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8" w:right="339" w:bottom="1440" w:gutter="0" w:footer="0" w:header="0"/>
        </w:sectPr>
      </w:pPr>
    </w:p>
    <w:bookmarkStart w:id="5" w:name="page6"/>
    <w:bookmarkEnd w:id="5"/>
    <w:p>
      <w:pPr>
        <w:ind w:right="20"/>
        <w:spacing w:after="0" w:line="253" w:lineRule="auto"/>
        <w:rPr>
          <w:sz w:val="20"/>
          <w:szCs w:val="20"/>
          <w:color w:val="auto"/>
        </w:rPr>
      </w:pPr>
      <w:r>
        <w:rPr>
          <w:rFonts w:ascii="Arial" w:cs="Arial" w:eastAsia="Arial" w:hAnsi="Arial"/>
          <w:sz w:val="18"/>
          <w:szCs w:val="18"/>
          <w:color w:val="auto"/>
        </w:rPr>
        <w:t>Our Surface Technologies segment is primarily affected by changes in commodity prices and trends in land-based and shallow water oil and natural gas production. We have developed close working relationships with our customers. Our results reflect our ability to build long-term alliances with oil and natural gas companies and to provide solutions for their needs in a timely and cost-effective manner. We believe that by closely working with our customers, we enhance our competitive advantage, improve our operating results and strengthen our market positions.</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we evaluate our operating results, we consider business segment performance indicators like segment revenue, operating profit and capital employed, in addition to the level of inbound orders and order backlog. A significant proportion of our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We aim to structure our contracts to receive advance payments that we typically use to fund engineering efforts and inventory purchases. Working capital (excluding cash) and net debt are therefore key performance indicators of cash flows.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both of our segments, we serve customers from around the world. During 2020, approximately 80 percent of our total sales were recognized outside of the United States. We evaluate international markets and pursue opportunities that fit our technological capabilities and strategies.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16, 2021, we completed the separation of the Technip Energies business segment. The transaction was structured as a spin-off (the “Spin-off”), which occurred by way of a pro rata dividend (the “Distribution”) to our shareholders of 50.1 percent of the outstanding shares of Technip Energies N.V. Each of our shareholders received one ordinary share of Technip Energies N.V. for every five ordinary shares of TechnipFMC held at 5:00 p.m., New York City time on the record date, February 17, 2021. Technip Energies N.V. is now an independent public company and its shares trade under the ticker symbol “TE” on the Euronext Paris stock exchange.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i w:val="1"/>
          <w:iCs w:val="1"/>
          <w:color w:val="auto"/>
        </w:rPr>
        <w:t xml:space="preserve">Overall outlook </w:t>
      </w:r>
      <w:r>
        <w:rPr>
          <w:rFonts w:ascii="Arial" w:cs="Arial" w:eastAsia="Arial" w:hAnsi="Arial"/>
          <w:sz w:val="18"/>
          <w:szCs w:val="18"/>
          <w:color w:val="auto"/>
        </w:rPr>
        <w:t>– While economic activity continues to be impacted by the COVID-19 pandemic, the short-term outlook for crude oil has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as the OPEC+ countries better manage the oversupplied market. Long-term demand for energy is still forecast to rise, and we believe this outlook will ultimately provide our customers with the confidence to increase investments in new sources of oil and natural gas production.</w:t>
      </w:r>
    </w:p>
    <w:p>
      <w:pPr>
        <w:spacing w:after="0" w:line="2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Subsea </w:t>
      </w:r>
      <w:r>
        <w:rPr>
          <w:rFonts w:ascii="Arial" w:cs="Arial" w:eastAsia="Arial" w:hAnsi="Arial"/>
          <w:sz w:val="18"/>
          <w:szCs w:val="18"/>
          <w:color w:val="auto"/>
        </w:rPr>
        <w:t>– The volatile, and generally low crude oil price environment of the last several years led many of our customers to reduce their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plans and defer new deepwater projects. Order activity in 2020 was particularly impacted by the sharp decline in commodity prices, driven in part by the reduced economic activity, and the general uncertainty related to the pandemic. The reduction and deferral of new projects resulted in delayed subsea project inbound for the industry.</w:t>
      </w:r>
    </w:p>
    <w:p>
      <w:pPr>
        <w:spacing w:after="0" w:line="211"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trajectory and pace of further recovery and expansion in the subsea market is subject to more stringent capital discipline and the allocation of capital our clients dedicate to developing offshore oil and gas fields amongst their entire portfolio of projects. The risk of project sanctioning delays still exists in the current environment; however, innovative approaches to subsea projects, like our unique integrated offering, iEPCI™ (“iEPCI”) solution, have improved project economics, and many offshore discoveries can be developed economically at today’s crude oil prices. In the long-term, deepwater development is expected to remain a significant part of many of our customers’ portfolios.</w:t>
      </w:r>
    </w:p>
    <w:p>
      <w:pPr>
        <w:spacing w:after="0" w:line="23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As the subsea industry continues to evolve, we have taken actions to further streamline our organization, achieve standardization, and reduce cycle times. The rationalization of our global footprint will also further leverage the benefits of our integrated offering. We aim to continuously align our operations with activity levels, while preserving our core capacity in order to deliver current projects in backlog and future order activity.</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experienced renewed operator confidence in advancing subsea activity as a result of the improved economic outlook, lower market volatility and higher oil price. With crude now trending back above $50 per barrel, the opportunity set of large subsea projects to be sanctioned over the next 24 months has expanded.</w:t>
      </w:r>
    </w:p>
    <w:p>
      <w:pPr>
        <w:spacing w:after="0" w:line="215"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Front-end engineering and design (“FEED”) activity is also improving, with solid momentum experienced in the second half of 2020. FEED activity in the current year is expected to return to the more robust levels seen in 2019, which further supports our view of a sustainable recovery for deepwater. We expect at least 60% of the projects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08" w:right="339" w:bottom="1440" w:gutter="0" w:footer="0" w:header="0"/>
        </w:sectPr>
      </w:pPr>
    </w:p>
    <w:bookmarkStart w:id="6" w:name="page7"/>
    <w:bookmarkEnd w:id="6"/>
    <w:p>
      <w:pPr>
        <w:ind w:right="580"/>
        <w:spacing w:after="0" w:line="235" w:lineRule="auto"/>
        <w:rPr>
          <w:sz w:val="20"/>
          <w:szCs w:val="20"/>
          <w:color w:val="auto"/>
        </w:rPr>
      </w:pPr>
      <w:r>
        <w:rPr>
          <w:rFonts w:ascii="Arial" w:cs="Arial" w:eastAsia="Arial" w:hAnsi="Arial"/>
          <w:sz w:val="18"/>
          <w:szCs w:val="18"/>
          <w:color w:val="auto"/>
        </w:rPr>
        <w:t>undergoing studies in 2021 to include an iEPCI solution, many of which could be directly awarded to our Company upon reaching final investment decision.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TechnipFMC is increasingly less dependent on larger, publicly tendered projects.</w:t>
      </w: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anticipate that an increasing share of our inbound orders will result from projects that will be directly awarded to our Company, many of which come from our alliance partners;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anticipate higher activity in subsea services, with the industry’s largest installed base; and</w:t>
      </w:r>
    </w:p>
    <w:p>
      <w:pPr>
        <w:spacing w:after="0" w:line="238" w:lineRule="exact"/>
        <w:rPr>
          <w:rFonts w:ascii="Arial" w:cs="Arial" w:eastAsia="Arial" w:hAnsi="Arial"/>
          <w:sz w:val="18"/>
          <w:szCs w:val="18"/>
          <w:color w:val="auto"/>
        </w:rPr>
      </w:pPr>
    </w:p>
    <w:p>
      <w:pPr>
        <w:ind w:left="660" w:right="72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a higher mix of iEPCI project awards, demonstrating strong geographic diversity and new adopters of our unique, integrated approach to subsea development.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2021, we believe that Subsea inbound orders will meet or exceed the $4 billion achieved in 2020. We expect Brazil to be the most active region of the world for new project orders, driven by continued investment in the pre-salt field discoveries. We anticipate additional market growth potential coming from the North Sea, Asia Pacific and Africa. The strong front end activity we are experiencing today should further support project award momentum into 2022.</w:t>
      </w:r>
    </w:p>
    <w:p>
      <w:pPr>
        <w:spacing w:after="0" w:line="213"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Surface Technologies’ performance is typically driven by variations in global drilling activity, creating a dynamic</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Operating results can be further impacted by stimulation activity and the completions intensity of shale applications in the Americas.</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North America shale market is sensitive to oil price fluctuations. The average rig count declined by just over 50 percent in 2020, with drilling and completion spending estimated to have declined by a similar amount. North America activity improved over the second half of the year as the rig count increased following the rising oil price. The rig count exited 2020 below prior year-end levels but has experienced further improvement in the current year.</w:t>
      </w:r>
    </w:p>
    <w:p>
      <w:pPr>
        <w:spacing w:after="0" w:line="21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2021, we expect our completions-related revenue to outperform the overall market, driven by increased market adoption of iComplete™ – our fully integrated, digitally-enabled pressure control system. iComplete™ has already achieved significant market penetration since its introduction in the third quarter of 2020, with 10 customers utilizing the new integrated system.</w:t>
      </w:r>
    </w:p>
    <w:p>
      <w:pPr>
        <w:spacing w:after="0" w:line="2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Despite the sequential improvement in market activity, full year revenue for North America is expected to be flat to down modestly versus 2020.</w:t>
      </w:r>
    </w:p>
    <w:p>
      <w:pPr>
        <w:spacing w:after="0" w:line="22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Drilling activity in international markets is less cyclical than North America as most activity is driven by national oil companies, which tend to maintain a longer term view that exhibits less variability in capital spend. Additionally, we continue to benefit from our exposure to the Middle East and Asia Pacific, both of which are being supported by strong gas-related activity.</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recent years, our international revenue has become a greater proportion of total segment revenue. We expect a gradual and steady recovery in well count in 2021 to drive modest international market growth, with spending increases led by national oil companies, particularly in the Middle East.</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unique capabilities in the international markets, which demand higher specification equipment, global services and local content, provide a platform for us to extend our leadership positions. We remain levered to these more resilient markets where we expect to source approximately 65% of our full year Surface Technologies revenue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5"/>
                <w:szCs w:val="15"/>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4"/>
          </w:tcPr>
          <w:p>
            <w:pPr>
              <w:ind w:left="320"/>
              <w:spacing w:after="0"/>
              <w:rPr>
                <w:sz w:val="20"/>
                <w:szCs w:val="20"/>
                <w:color w:val="auto"/>
              </w:rPr>
            </w:pPr>
            <w:r>
              <w:rPr>
                <w:rFonts w:ascii="Arial" w:cs="Arial" w:eastAsia="Arial" w:hAnsi="Arial"/>
                <w:sz w:val="14"/>
                <w:szCs w:val="14"/>
                <w:b w:val="1"/>
                <w:bCs w:val="1"/>
                <w:color w:val="auto"/>
              </w:rPr>
              <w:t>2020 vs. 2019</w:t>
            </w:r>
          </w:p>
        </w:tc>
        <w:tc>
          <w:tcPr>
            <w:tcW w:w="320" w:type="dxa"/>
            <w:vAlign w:val="bottom"/>
          </w:tcPr>
          <w:p>
            <w:pPr>
              <w:spacing w:after="0"/>
              <w:rPr>
                <w:sz w:val="15"/>
                <w:szCs w:val="15"/>
                <w:color w:val="auto"/>
              </w:rPr>
            </w:pPr>
          </w:p>
        </w:tc>
        <w:tc>
          <w:tcPr>
            <w:tcW w:w="182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8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6,530.6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6,950.2</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6,271.7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(419.6)</w:t>
            </w: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678.5</w:t>
            </w: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5,835.8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5,127.7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764.4</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9"/>
        </w:trPr>
        <w:tc>
          <w:tcPr>
            <w:tcW w:w="368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945.3</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641.3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35.3 %</w:t>
            </w:r>
          </w:p>
        </w:tc>
        <w:tc>
          <w:tcPr>
            <w:tcW w:w="0" w:type="dxa"/>
            <w:vAlign w:val="bottom"/>
          </w:tcPr>
          <w:p>
            <w:pPr>
              <w:spacing w:after="0"/>
              <w:rPr>
                <w:sz w:val="1"/>
                <w:szCs w:val="1"/>
                <w:color w:val="auto"/>
              </w:rPr>
            </w:pPr>
          </w:p>
        </w:tc>
      </w:tr>
      <w:tr>
        <w:trPr>
          <w:trHeight w:val="189"/>
        </w:trPr>
        <w:tc>
          <w:tcPr>
            <w:tcW w:w="3680" w:type="dxa"/>
            <w:vAlign w:val="bottom"/>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10,037.2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9,308.2</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7,895.4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729.0</w:t>
            </w: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1,412.8</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(expense), net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89"/>
        </w:trPr>
        <w:tc>
          <w:tcPr>
            <w:tcW w:w="3680" w:type="dxa"/>
            <w:vAlign w:val="bottom"/>
          </w:tcPr>
          <w:p>
            <w:pPr>
              <w:ind w:left="220"/>
              <w:spacing w:after="0"/>
              <w:rPr>
                <w:sz w:val="20"/>
                <w:szCs w:val="20"/>
                <w:color w:val="auto"/>
              </w:rPr>
            </w:pPr>
            <w:r>
              <w:rPr>
                <w:rFonts w:ascii="Arial" w:cs="Arial" w:eastAsia="Arial" w:hAnsi="Arial"/>
                <w:sz w:val="14"/>
                <w:szCs w:val="14"/>
                <w:color w:val="auto"/>
              </w:rPr>
              <w:t>Income from equity affiliates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expense</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10.4 %</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19.5 %</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(3,498.7)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(2,571.1)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(847.9)</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(3,518.1)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(868.0)</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(855.6)</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(Income) loss from continuing operations attributable to</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142.2 %</w:t>
            </w: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Loss from continuing operations attributable to</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(3,552.6)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(2,645.5)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(1,805.4)</w:t>
            </w:r>
          </w:p>
        </w:tc>
        <w:tc>
          <w:tcPr>
            <w:tcW w:w="10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(907.1)</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1"/>
                <w:szCs w:val="11"/>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(840.1)</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76"/>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TechnipFMC plc</w:t>
            </w: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304.6 %</w:t>
            </w:r>
          </w:p>
        </w:tc>
        <w:tc>
          <w:tcPr>
            <w:tcW w:w="0" w:type="dxa"/>
            <w:vAlign w:val="bottom"/>
          </w:tcPr>
          <w:p>
            <w:pPr>
              <w:spacing w:after="0"/>
              <w:rPr>
                <w:sz w:val="1"/>
                <w:szCs w:val="1"/>
                <w:color w:val="auto"/>
              </w:rPr>
            </w:pPr>
          </w:p>
        </w:tc>
      </w:tr>
      <w:tr>
        <w:trPr>
          <w:trHeight w:val="153"/>
        </w:trPr>
        <w:tc>
          <w:tcPr>
            <w:tcW w:w="3680" w:type="dxa"/>
            <w:vAlign w:val="bottom"/>
          </w:tcPr>
          <w:p>
            <w:pPr>
              <w:ind w:left="20"/>
              <w:spacing w:after="0" w:line="153" w:lineRule="exact"/>
              <w:rPr>
                <w:sz w:val="20"/>
                <w:szCs w:val="20"/>
                <w:color w:val="auto"/>
              </w:rPr>
            </w:pPr>
            <w:r>
              <w:rPr>
                <w:rFonts w:ascii="Arial" w:cs="Arial" w:eastAsia="Arial" w:hAnsi="Arial"/>
                <w:sz w:val="14"/>
                <w:szCs w:val="14"/>
                <w:color w:val="auto"/>
              </w:rPr>
              <w:t>(Income) loss from discontinued operations attributable</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(7,800.0)%</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 non-controlling interests</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TechnipFMC plc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(872.4)</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(493.6)</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in 2020 Compared to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 decreased by $419.6 million in 2020 compared to 2019. Subsea revenue remained flat year-over-year. Surface Technologies revenue decreased, primarily as a result of the significant decline in operator activity in North America, with partial positive impact from order intake timing in international markets. In addition, our consolidated revenues were negatively impacted by operational challenges associated with the COVID-19 related disruptions.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Gross profit (revenue less cost of sales) as a percentage of sales decreased to 10.6% in 2020 compared to 15.2% in 2019. Subsea gross profit decreased due to a more competitively priced backlog and the negative operational impacts related to COVID-19. Surface Technologies gross profit was negatively impacted by the year-over-year decline in North American drilling and completions activity, which was partially offset by the lower costs from our accelerated cost reduction initiative implemented during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Selling, general and administrative expense decreased by $ 71.6 million year-over-year, primarily as a result of decreased corporate expenses. During the beginning of 2020, in response to the deteriorated market environment, driven in part by the COVID-19 pandemic, we implemented a series of cost reduction initiatives that resulted in significant savings and extended to both business segments and support functions.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incurred $3,402.0 million of restructuring, impairment and other expenses in 2020. These charges primarily included $3,083.4 million of goodwill impairment, $190.4 million of long-lived assets impairment, $57.8 million of COVID-19 related expenses, and $70.4 million for restructuring and severance expenses. 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During 2019, we incurred $2,456.7 million of restructuring, impairment and other expenses, which included $1,988.7 million and $491.6 million of goodwill and long-lived assets impairments, respectively. See Note 19 to our consolidated financial statements for further details.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80"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Prior to the initial announcement of the planned Spin-off of Technip Energies in August 2019, we incurred merger transaction and integration costs of $14.2 million during the first half of 2019 relating to the continuation of the integration activities following the merger of equals between FMC Technologies, Inc., a U.S. Delaware corporation and Technip S.A., a French société anonyme, completed on January 16, 2017 (the “Merger”). No such costs were incurred subsequently in 2019 or in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gains and losses on sales of property, plant and equipment and other non-operating gains and losses. During 2020, we recognized $25.1 million of other income, which primarily included $23.1 million of gains on sales of property, plant and equipment and other assets. During 2019, we recognized $181.6 million of other expenses, which primarily included $135.5 million of net foreign exchange losses and $33.0 million of legal provision, net of settlements. The change in foreign exchange losses is primarily due to a reduction in foreign exchange losses from unhedged currencies, more favorable hedging costs, and the effects of a weakened U.S. dollar on naturally hedged projects.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decreased $9.5 million in 2020 compared to 2019, primarily as a result of lower outstanding debt balances during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provision for income taxes for 2020 and 2019 reflected effective tax rates of (0.6)% and (3.1)%, respectively. The year-over-year change in the effective tax rate was primarily due to the impact of nondeductible goodwill impairments, increase in adjustment on prior year taxes, offset in part by the amount of tax expense associated with movements in valuation allowances.</w:t>
      </w:r>
    </w:p>
    <w:p>
      <w:pPr>
        <w:spacing w:after="0" w:line="14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effective tax rate can fluctuate depending on our country mix of earnings, which may change based on changes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886" w:right="359" w:bottom="1440" w:gutter="0" w:footer="0" w:header="0"/>
        </w:sectPr>
      </w:pPr>
    </w:p>
    <w:bookmarkStart w:id="9" w:name="page10"/>
    <w:bookmarkEnd w:id="9"/>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in 2019 Compared to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 increased by $678.5 million in 2019 compared to 2018, primarily as a result of improved project activity. Subsea revenue increased year-over-year with higher project-related activity, including increased revenue from iEPCI and increased demand in subsea services. Surface Technologies revenue increased primarily as a result of improved order backlog from international markets, primarily in the Middle East and Asia Pacific regions.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(revenue less cost of sales) as a percentage of sales decreased to 15.2% in 2019 compared to 18.2% in 2018. Subsea gross profit decreased due to a more competitively priced backlog and Surface Technologies gross profit was negatively impacted by the year-over-year decline in North American drilling and completions activity.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Selling, general and administrative expense increased by $19.1 million year-over-year, primarily as a result of increased corporate expense driven largely by accelerated IT spending as well as additional performance incentive compensation awards.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incurred $2,456.7 million of restructuring, impairment and other expenses in 2019, which included $1,988.7 million and $491.6 million of goodwill and long-lived assets impairments, respectively. See Note 19 to our consolidated financial statements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Prior to the initial announcement of the planned Spin-off of Technip Energies in August 2019, we incurred merger transaction and integration costs of $14.2 million during the first half of 2019, compared to $18.4 million incurred during 2018, relating to the continuation of the integration activities following the Merger.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gains and losses on sales of property, plant and equipment and other non-operating gains and losses. During 2019, we recognized $181.6 million of other expenses, which primarily included $135.5 million of net foreign exchange losses. During 2018, we recognized $67.0 million of other expenses, which primarily included $72.0 million of net foreign exchange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Net interest expense decreased $22.1 million in 2019 compared to 2018, primarily as a result of lower outstanding debt balances during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provision for income taxes for 2019 and 2018 reflected effective tax rates of (3.1)% and (4.1)%, respectively. The year-over-year change in the effective tax rate was primarily due to the impact of nondeductible goodwill impairments and an increase in the adjustment on prior year taxes, partially offset by the amount of tax expense associated with movements in valuation allowances.</w:t>
      </w:r>
    </w:p>
    <w:p>
      <w:pPr>
        <w:spacing w:after="0" w:line="14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effective tax rate can fluctuate depending on our country mix of earnings, which may change based on changes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OPERATING RESULTS OF BUSINESS SEGMENTS</w:t>
      </w:r>
    </w:p>
    <w:p>
      <w:pPr>
        <w:spacing w:after="0" w:line="193"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7 to our consolidated financial statements for further details.</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report our results of operations in U.S. dollars; however, our earnings are generated in various currencies worldwide.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728"/>
              <w:spacing w:after="0"/>
              <w:rPr>
                <w:sz w:val="20"/>
                <w:szCs w:val="20"/>
                <w:color w:val="auto"/>
              </w:rPr>
            </w:pPr>
            <w:r>
              <w:rPr>
                <w:rFonts w:ascii="Arial" w:cs="Arial" w:eastAsia="Arial" w:hAnsi="Arial"/>
                <w:sz w:val="14"/>
                <w:szCs w:val="14"/>
                <w:b w:val="1"/>
                <w:bCs w:val="1"/>
                <w:color w:val="auto"/>
              </w:rPr>
              <w:t>Favorable/(Unfavorable)</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8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2020 vs. 2019</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vs. 2018</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8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5,471.4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5,419.5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4,762.8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51.9</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656.7</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13.8</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(2,815.5)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(1,442.7)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(1,540.6)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(1,372.8)</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(95.2)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48"/>
              <w:spacing w:after="0"/>
              <w:rPr>
                <w:sz w:val="20"/>
                <w:szCs w:val="20"/>
                <w:color w:val="auto"/>
              </w:rPr>
            </w:pPr>
            <w:r>
              <w:rPr>
                <w:rFonts w:ascii="Arial" w:cs="Arial" w:eastAsia="Arial" w:hAnsi="Arial"/>
                <w:sz w:val="14"/>
                <w:szCs w:val="14"/>
                <w:color w:val="auto"/>
              </w:rPr>
              <w:t>97.9</w:t>
            </w:r>
          </w:p>
        </w:tc>
        <w:tc>
          <w:tcPr>
            <w:tcW w:w="320" w:type="dxa"/>
            <w:vAlign w:val="bottom"/>
          </w:tcPr>
          <w:p>
            <w:pPr>
              <w:jc w:val="right"/>
              <w:spacing w:after="0"/>
              <w:rPr>
                <w:sz w:val="20"/>
                <w:szCs w:val="20"/>
                <w:color w:val="auto"/>
              </w:rPr>
            </w:pPr>
            <w:r>
              <w:rPr>
                <w:rFonts w:ascii="Arial" w:cs="Arial" w:eastAsia="Arial" w:hAnsi="Arial"/>
                <w:sz w:val="14"/>
                <w:szCs w:val="14"/>
                <w:color w:val="auto"/>
              </w:rPr>
              <w:t>6.4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3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Operating loss as a percentage of revenue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(24.9) pts.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c>
          <w:tcPr>
            <w:tcW w:w="300" w:type="dxa"/>
            <w:vAlign w:val="bottom"/>
          </w:tcPr>
          <w:p>
            <w:pPr>
              <w:jc w:val="right"/>
              <w:spacing w:after="0"/>
              <w:rPr>
                <w:sz w:val="20"/>
                <w:szCs w:val="20"/>
                <w:color w:val="auto"/>
              </w:rPr>
            </w:pPr>
            <w:r>
              <w:rPr>
                <w:rFonts w:ascii="Arial" w:cs="Arial" w:eastAsia="Arial" w:hAnsi="Arial"/>
                <w:sz w:val="14"/>
                <w:szCs w:val="14"/>
                <w:color w:val="auto"/>
              </w:rPr>
              <w:t>pts.</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19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Subsea revenue remained flat at $5.5 billion, primarily due to operational challenges driven by the COVID-19 pandemic. However, despite these challenges and related disruptions, we continued to demonstrate strong execution of our backlog.</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Subsea operating loss is primarily due to significant impairment and other non-recurring charges. The operating loss included $2,957.5 million of goodwill and long-lived assets impairments, restructuring and other charges and COVID-19 related expenses compared to $1,748.4 million in 2019. Non-recurring charges incurred related to COVID-19 disruptions during 2020 were $50.1 million. See Note 19 to our consolidated financial statements for further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Subsea revenue increased $656.7 million year-over-year, primarily due to increased project revenue from iEPCI, particularly projects in Asia, the North Sea and the Mediterranean that progressed towards completion, partially offset by decreased activity in Australia. The increase of Subsea Services activity across the globe further added to the year-over-year growth in revenue.</w:t>
      </w: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Subsea operating loss improved primarily due to a more competitively priced backlog being executed. This operating loss included $1,748.4 million of asset impairment charges primarily related to the impairment of goodwill and long-lived assets compared to $1,797.6 million in 2018. See Note 19 to our consolidated financial statements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Favorable/(Unfavorable)</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2020 vs. 2019</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2019 vs. 2018</w:t>
            </w:r>
          </w:p>
        </w:tc>
        <w:tc>
          <w:tcPr>
            <w:tcW w:w="220" w:type="dxa"/>
            <w:vAlign w:val="bottom"/>
            <w:tcBorders>
              <w:bottom w:val="single" w:sz="8" w:color="auto"/>
            </w:tcBorders>
          </w:tcPr>
          <w:p>
            <w:pPr>
              <w:spacing w:after="0"/>
              <w:rPr>
                <w:sz w:val="15"/>
                <w:szCs w:val="15"/>
                <w:color w:val="auto"/>
              </w:rPr>
            </w:pPr>
          </w:p>
        </w:tc>
      </w:tr>
      <w:tr>
        <w:trPr>
          <w:trHeight w:val="18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1,530.7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(471.5)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21.8</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(429.3)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(662.7)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233.4</w:t>
            </w:r>
          </w:p>
        </w:tc>
        <w:tc>
          <w:tcPr>
            <w:tcW w:w="740" w:type="dxa"/>
            <w:vAlign w:val="bottom"/>
          </w:tcPr>
          <w:p>
            <w:pPr>
              <w:jc w:val="right"/>
              <w:spacing w:after="0"/>
              <w:rPr>
                <w:sz w:val="20"/>
                <w:szCs w:val="20"/>
                <w:color w:val="auto"/>
              </w:rPr>
            </w:pPr>
            <w:r>
              <w:rPr>
                <w:rFonts w:ascii="Arial" w:cs="Arial" w:eastAsia="Arial" w:hAnsi="Arial"/>
                <w:sz w:val="14"/>
                <w:szCs w:val="14"/>
                <w:color w:val="auto"/>
              </w:rPr>
              <w:t>35.2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(825.9)</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3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14"/>
                <w:szCs w:val="14"/>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pts.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(54.1) pts.</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4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Surface Technologies revenue decreased $471.5 million, or 30.8% year-over-year, primarily driven by the significant reduction in operator activity in North America. Revenue outside of North America displayed resilience, with a more modest decline due to reduced activity levels. Nearly 62% of total segment revenue was generated outside of North America in the period.</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Surface Technologies operating loss was primarily due to impairment and other non-recurring charges. The operating loss included $440.2 million of goodwill and long-lived assets impairments, restructuring and other charges and COVID-19 related expenses compared to $725.3 million incurred in 2019. Operating loss was also negatively impacted by the reduced demand in North America driven by the significant decline in rig count and completions-related activity, which was partially offset by lower costs from our accelerated cost reduction actions initiated in the first quarter of 2020. Non-recurring charges incurred related to COVID-19 disruptions during the period were $7.7 million. See Note 19 to our consolidated financial statements for further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Surface Technologies revenue increased $21.8 million year-over-year primarily driven by increased activity in the Middle East &amp; Asia Pacific markets primarily driven by increased demand for drilling and completion and pressure control equipment and services, partially offset by negative drilling and completions market activity in North America as customers curbed capital spending.</w:t>
      </w:r>
    </w:p>
    <w:p>
      <w:pPr>
        <w:spacing w:after="0" w:line="22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Surface Technologies operating profit as a percent of revenue decreased significantly year-over-year. The decrease was primarily due to a $725.3 million charge for impairment and restructuring and other charges, in particular related to goodwill. This compared to a $11.9 million charge in the prior year. See Note 19 to our consolidated financial statements for further details.</w:t>
      </w:r>
    </w:p>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Operating profit was also negatively impacted by reduced demand for flowline, hydraulic fracturing services, wellhead systems and pressure control equipment in North America, partially offset by increased demand for products and services in the Middle East and Asia Pacific.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Refer to :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jc w:val="right"/>
              <w:ind w:right="728"/>
              <w:spacing w:after="0"/>
              <w:rPr>
                <w:sz w:val="20"/>
                <w:szCs w:val="20"/>
                <w:color w:val="auto"/>
              </w:rPr>
            </w:pPr>
            <w:r>
              <w:rPr>
                <w:rFonts w:ascii="Arial" w:cs="Arial" w:eastAsia="Arial" w:hAnsi="Arial"/>
                <w:sz w:val="14"/>
                <w:szCs w:val="14"/>
                <w:b w:val="1"/>
                <w:bCs w:val="1"/>
                <w:color w:val="auto"/>
              </w:rPr>
              <w:t>Favorable/(Unfavorable)</w:t>
            </w:r>
          </w:p>
        </w:tc>
        <w:tc>
          <w:tcPr>
            <w:tcW w:w="560" w:type="dxa"/>
            <w:vAlign w:val="bottom"/>
            <w:tcBorders>
              <w:bottom w:val="single" w:sz="8" w:color="auto"/>
            </w:tcBorders>
          </w:tcPr>
          <w:p>
            <w:pPr>
              <w:spacing w:after="0"/>
              <w:rPr>
                <w:sz w:val="16"/>
                <w:szCs w:val="16"/>
                <w:color w:val="auto"/>
              </w:rPr>
            </w:pPr>
          </w:p>
        </w:tc>
      </w:tr>
      <w:tr>
        <w:trPr>
          <w:trHeight w:val="18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 vs. 2019</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vs. 2018</w:t>
            </w:r>
          </w:p>
        </w:tc>
        <w:tc>
          <w:tcPr>
            <w:tcW w:w="560" w:type="dxa"/>
            <w:vAlign w:val="bottom"/>
            <w:tcBorders>
              <w:bottom w:val="single" w:sz="8" w:color="auto"/>
            </w:tcBorders>
          </w:tcPr>
          <w:p>
            <w:pPr>
              <w:spacing w:after="0"/>
              <w:rPr>
                <w:sz w:val="15"/>
                <w:szCs w:val="15"/>
                <w:color w:val="auto"/>
              </w:rPr>
            </w:pPr>
          </w:p>
        </w:tc>
      </w:tr>
      <w:tr>
        <w:trPr>
          <w:trHeight w:val="18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107.0</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44.8 %  $</w:t>
            </w:r>
          </w:p>
        </w:tc>
        <w:tc>
          <w:tcPr>
            <w:tcW w:w="12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(78.5)</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Corporate expenses decreased by $107.0 million, or 44.8%, during 2020. The reduction in corporate expenses is primarily due to a $33.0 million decrease in legal provision, net of settlements; a $55.9 million decrease due to lower activity and the impact of cost reductions implemented in 2020 and a $16.6 million decrease in integration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Corporate expenses increased by $78.5 million, or 48.9%, during 2019 primarily as a result of accelerated IT spending as well as additional performance incentive compensation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more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9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144" w:lineRule="exact"/>
        <w:rPr>
          <w:sz w:val="20"/>
          <w:szCs w:val="20"/>
          <w:color w:val="auto"/>
        </w:rPr>
      </w:pPr>
    </w:p>
    <w:p>
      <w:pPr>
        <w:ind w:left="660" w:hanging="324"/>
        <w:spacing w:after="0" w:line="261" w:lineRule="auto"/>
        <w:rPr>
          <w:sz w:val="20"/>
          <w:szCs w:val="20"/>
          <w:color w:val="auto"/>
        </w:rPr>
      </w:pPr>
      <w:r>
        <w:rPr>
          <w:rFonts w:ascii="Arial" w:cs="Arial" w:eastAsia="Arial" w:hAnsi="Arial"/>
          <w:sz w:val="18"/>
          <w:szCs w:val="18"/>
          <w:color w:val="auto"/>
        </w:rPr>
        <w:t>– Income (loss) from continuing operations, excluding charges and credits, as well as measures derived from it (excluding charges and credits);</w:t>
      </w:r>
    </w:p>
    <w:p>
      <w:pPr>
        <w:spacing w:after="0" w:line="143" w:lineRule="exact"/>
        <w:rPr>
          <w:sz w:val="20"/>
          <w:szCs w:val="20"/>
          <w:color w:val="auto"/>
        </w:rPr>
      </w:pPr>
    </w:p>
    <w:p>
      <w:pPr>
        <w:ind w:left="660" w:right="580" w:hanging="324"/>
        <w:spacing w:after="0" w:line="261" w:lineRule="auto"/>
        <w:rPr>
          <w:sz w:val="20"/>
          <w:szCs w:val="20"/>
          <w:color w:val="auto"/>
        </w:rPr>
      </w:pPr>
      <w:r>
        <w:rPr>
          <w:rFonts w:ascii="Arial" w:cs="Arial" w:eastAsia="Arial" w:hAnsi="Arial"/>
          <w:sz w:val="18"/>
          <w:szCs w:val="18"/>
          <w:color w:val="auto"/>
        </w:rPr>
        <w:t>– Income (loss) before interest income, interest expense and income taxes, excluding charges and credits (“Adjusted Operating profit”);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Adjusted diluted earnings (loss) per share from continuing operations attributable to TechnipFMC plc;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171" w:lineRule="exact"/>
        <w:rPr>
          <w:sz w:val="20"/>
          <w:szCs w:val="20"/>
          <w:color w:val="auto"/>
        </w:rPr>
      </w:pPr>
    </w:p>
    <w:p>
      <w:pPr>
        <w:ind w:left="660" w:right="640" w:hanging="324"/>
        <w:spacing w:after="0" w:line="261"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Corporate expenses excluding charges and credits;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debt; and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Free cash flow (deficit) from continuing operations.</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ectPr>
          <w:pgSz w:w="11900" w:h="16838" w:orient="portrait"/>
          <w:cols w:equalWidth="0" w:num="1">
            <w:col w:w="11200"/>
          </w:cols>
          <w:pgMar w:left="320" w:top="10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00"/>
          </w:cols>
          <w:pgMar w:left="320" w:top="1048" w:right="37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Year Ended</w:t>
            </w: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December 31, 2020</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Income</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Loss from</w:t>
            </w: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attributable to non-</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Loss before net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20" w:type="dxa"/>
            <w:vAlign w:val="bottom"/>
          </w:tcPr>
          <w:p>
            <w:pPr>
              <w:spacing w:after="0"/>
              <w:rPr>
                <w:sz w:val="10"/>
                <w:szCs w:val="10"/>
                <w:color w:val="auto"/>
              </w:rPr>
            </w:pPr>
          </w:p>
        </w:tc>
        <w:tc>
          <w:tcPr>
            <w:tcW w:w="11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0"/>
                <w:szCs w:val="10"/>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4"/>
              </w:rPr>
              <w:t>Provision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operations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Net interest</w:t>
            </w:r>
          </w:p>
        </w:tc>
        <w:tc>
          <w:tcPr>
            <w:tcW w:w="120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00" w:type="dxa"/>
            <w:vAlign w:val="bottom"/>
          </w:tcPr>
          <w:p>
            <w:pPr>
              <w:spacing w:after="0"/>
              <w:rPr>
                <w:sz w:val="10"/>
                <w:szCs w:val="10"/>
                <w:color w:val="auto"/>
              </w:rPr>
            </w:pPr>
          </w:p>
        </w:tc>
        <w:tc>
          <w:tcPr>
            <w:tcW w:w="9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(benefit) for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and income taxes</w:t>
            </w:r>
          </w:p>
        </w:tc>
        <w:tc>
          <w:tcPr>
            <w:tcW w:w="12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8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operations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income taxes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9"/>
              </w:rPr>
              <w:t>expense</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(3,416.9)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(3,004.8)</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3,260.4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3,273.8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3,273.8</w:t>
            </w: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168"/>
        </w:trPr>
        <w:tc>
          <w:tcPr>
            <w:tcW w:w="286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77"/>
        </w:trPr>
        <w:tc>
          <w:tcPr>
            <w:tcW w:w="2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(168.6)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34.5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45.9</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81.8</w:t>
            </w:r>
          </w:p>
        </w:tc>
        <w:tc>
          <w:tcPr>
            <w:tcW w:w="12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403.6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397.2</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60" w:type="dxa"/>
            <w:vAlign w:val="bottom"/>
          </w:tcPr>
          <w:p>
            <w:pPr>
              <w:ind w:left="20"/>
              <w:spacing w:after="0" w:line="129" w:lineRule="exact"/>
              <w:rPr>
                <w:sz w:val="20"/>
                <w:szCs w:val="20"/>
                <w:color w:val="auto"/>
              </w:rPr>
            </w:pPr>
            <w:r>
              <w:rPr>
                <w:rFonts w:ascii="Arial" w:cs="Arial" w:eastAsia="Arial" w:hAnsi="Arial"/>
                <w:sz w:val="13"/>
                <w:szCs w:val="13"/>
                <w:color w:val="auto"/>
                <w:w w:val="99"/>
              </w:rPr>
              <w:t>Diluted loss per share from continuing operations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(7.92)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December 31, 2019</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Loss from</w:t>
            </w:r>
          </w:p>
        </w:tc>
        <w:tc>
          <w:tcPr>
            <w:tcW w:w="8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Loss attributable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Income (loss)</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280" w:type="dxa"/>
            <w:vAlign w:val="bottom"/>
            <w:gridSpan w:val="3"/>
          </w:tcPr>
          <w:p>
            <w:pPr>
              <w:jc w:val="right"/>
              <w:ind w:right="160"/>
              <w:spacing w:after="0" w:line="122" w:lineRule="exact"/>
              <w:rPr>
                <w:sz w:val="20"/>
                <w:szCs w:val="20"/>
                <w:color w:val="auto"/>
              </w:rPr>
            </w:pPr>
            <w:r>
              <w:rPr>
                <w:rFonts w:ascii="Arial" w:cs="Arial" w:eastAsia="Arial" w:hAnsi="Arial"/>
                <w:sz w:val="13"/>
                <w:szCs w:val="13"/>
                <w:b w:val="1"/>
                <w:bCs w:val="1"/>
                <w:color w:val="auto"/>
                <w:w w:val="98"/>
              </w:rPr>
              <w:t>to non-controlling</w:t>
            </w:r>
          </w:p>
        </w:tc>
        <w:tc>
          <w:tcPr>
            <w:tcW w:w="120" w:type="dxa"/>
            <w:vAlign w:val="bottom"/>
          </w:tcPr>
          <w:p>
            <w:pPr>
              <w:spacing w:after="0"/>
              <w:rPr>
                <w:sz w:val="10"/>
                <w:szCs w:val="10"/>
                <w:color w:val="auto"/>
              </w:rPr>
            </w:pPr>
          </w:p>
        </w:tc>
        <w:tc>
          <w:tcPr>
            <w:tcW w:w="9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Provision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5"/>
              </w:rPr>
              <w:t>before net</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operations</w:t>
            </w: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Net interest</w:t>
            </w:r>
          </w:p>
        </w:tc>
        <w:tc>
          <w:tcPr>
            <w:tcW w:w="12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expense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20" w:type="dxa"/>
            <w:vAlign w:val="bottom"/>
          </w:tcPr>
          <w:p>
            <w:pPr>
              <w:spacing w:after="0"/>
              <w:rPr>
                <w:sz w:val="10"/>
                <w:szCs w:val="10"/>
                <w:color w:val="auto"/>
              </w:rPr>
            </w:pPr>
          </w:p>
        </w:tc>
        <w:tc>
          <w:tcPr>
            <w:tcW w:w="9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(benefit) for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2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28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operations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expense</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(2,645.5)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2,361.6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2,480.3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2,480.3</w:t>
            </w: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8"/>
        </w:trPr>
        <w:tc>
          <w:tcPr>
            <w:tcW w:w="2820" w:type="dxa"/>
            <w:vAlign w:val="bottom"/>
          </w:tcPr>
          <w:p>
            <w:pPr>
              <w:ind w:left="220"/>
              <w:spacing w:after="0"/>
              <w:rPr>
                <w:sz w:val="20"/>
                <w:szCs w:val="20"/>
                <w:color w:val="auto"/>
              </w:rPr>
            </w:pPr>
            <w:r>
              <w:rPr>
                <w:rFonts w:ascii="Arial" w:cs="Arial" w:eastAsia="Arial" w:hAnsi="Arial"/>
                <w:sz w:val="13"/>
                <w:szCs w:val="13"/>
                <w:color w:val="auto"/>
              </w:rPr>
              <w:t>Merger transaction and integration costs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Legal provisions, net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Purchase price accounting adjustment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Diluted loss per share from continuing operations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attributable to TechnipFMC plc, as reported</w:t>
            </w: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Adjusted diluted loss per share from continuing</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(0.50)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20" w:type="dxa"/>
            <w:vAlign w:val="bottom"/>
          </w:tcPr>
          <w:p>
            <w:pPr>
              <w:ind w:left="20"/>
              <w:spacing w:after="0"/>
              <w:rPr>
                <w:sz w:val="20"/>
                <w:szCs w:val="20"/>
                <w:color w:val="auto"/>
              </w:rPr>
            </w:pPr>
            <w:r>
              <w:rPr>
                <w:rFonts w:ascii="Arial" w:cs="Arial" w:eastAsia="Arial" w:hAnsi="Arial"/>
                <w:sz w:val="13"/>
                <w:szCs w:val="13"/>
                <w:color w:val="auto"/>
              </w:rPr>
              <w:t>operations attributable to TechnipFMC plc</w:t>
            </w:r>
          </w:p>
        </w:tc>
        <w:tc>
          <w:tcPr>
            <w:tcW w:w="1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16"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TechnipFMC plc, as reported</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Charges and (credits):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Impairment and other charges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Restructuring and other charges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Integration costs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Gain on divestitures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Legal provision, net</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Purchase price accounting adjustments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Adjusted financial measures</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Diluted loss per share from continuing operations attributable to TechnipFMC plc, as reported</w:t>
      </w:r>
    </w:p>
    <w:p>
      <w:pPr>
        <w:spacing w:after="0" w:line="24" w:lineRule="exact"/>
        <w:rPr>
          <w:sz w:val="20"/>
          <w:szCs w:val="20"/>
          <w:color w:val="auto"/>
        </w:rPr>
      </w:pPr>
    </w:p>
    <w:p>
      <w:pPr>
        <w:spacing w:after="0" w:line="211" w:lineRule="auto"/>
        <w:rPr>
          <w:sz w:val="20"/>
          <w:szCs w:val="20"/>
          <w:color w:val="auto"/>
        </w:rPr>
      </w:pPr>
      <w:r>
        <w:rPr>
          <w:rFonts w:ascii="Arial" w:cs="Arial" w:eastAsia="Arial" w:hAnsi="Arial"/>
          <w:sz w:val="13"/>
          <w:szCs w:val="13"/>
          <w:color w:val="auto"/>
        </w:rPr>
        <w:t>Adjusted diluted earnings per share from continuing operations attributable to TechnipFMC plc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5340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31, 2018</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7"/>
              <w:spacing w:after="0" w:line="131"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Income (loss)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Income (loss)</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attributable to non-</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12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from continuing</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Provision</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5"/>
              </w:rPr>
              <w:t>before net</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operations</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interests from</w:t>
            </w: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Net interest</w:t>
            </w:r>
          </w:p>
        </w:tc>
        <w:tc>
          <w:tcPr>
            <w:tcW w:w="12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 expense</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Depreciation and</w:t>
            </w:r>
          </w:p>
        </w:tc>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continuing</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(benefit) for</w:t>
            </w: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2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2"/>
        </w:trPr>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operations</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income taxes</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amortization</w:t>
            </w: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57"/>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(1,805.4)</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113.4</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(1,609.8)</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515.2</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(1,094.6)</w:t>
            </w:r>
          </w:p>
        </w:tc>
        <w:tc>
          <w:tcPr>
            <w:tcW w:w="0" w:type="dxa"/>
            <w:vAlign w:val="bottom"/>
          </w:tcPr>
          <w:p>
            <w:pPr>
              <w:spacing w:after="0"/>
              <w:rPr>
                <w:sz w:val="1"/>
                <w:szCs w:val="1"/>
                <w:color w:val="auto"/>
              </w:rPr>
            </w:pPr>
          </w:p>
        </w:tc>
      </w:tr>
      <w:tr>
        <w:trPr>
          <w:trHeight w:val="567"/>
        </w:trPr>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1,688.6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1,782.5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1,782.5</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193.9</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329.5</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755.9</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-1191260</wp:posOffset>
            </wp:positionV>
            <wp:extent cx="71323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-934085</wp:posOffset>
            </wp:positionV>
            <wp:extent cx="7132320"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-711200</wp:posOffset>
            </wp:positionV>
            <wp:extent cx="713232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-488315</wp:posOffset>
            </wp:positionV>
            <wp:extent cx="7132320"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-264795</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-16510</wp:posOffset>
            </wp:positionV>
            <wp:extent cx="71323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44" w:lineRule="exact"/>
        <w:rPr>
          <w:sz w:val="20"/>
          <w:szCs w:val="20"/>
          <w:color w:val="auto"/>
        </w:rPr>
      </w:pPr>
    </w:p>
    <w:p>
      <w:pPr>
        <w:ind w:left="740" w:hanging="713"/>
        <w:spacing w:after="0"/>
        <w:tabs>
          <w:tab w:leader="none" w:pos="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(3.94)</w:t>
      </w:r>
    </w:p>
    <w:p>
      <w:pPr>
        <w:spacing w:after="0" w:line="269" w:lineRule="exact"/>
        <w:rPr>
          <w:rFonts w:ascii="Arial" w:cs="Arial" w:eastAsia="Arial" w:hAnsi="Arial"/>
          <w:sz w:val="13"/>
          <w:szCs w:val="13"/>
          <w:color w:val="auto"/>
        </w:rPr>
      </w:pPr>
    </w:p>
    <w:p>
      <w:pPr>
        <w:ind w:left="800" w:hanging="773"/>
        <w:spacing w:after="0"/>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-253365</wp:posOffset>
            </wp:positionV>
            <wp:extent cx="71323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2740" w:space="60"/>
            <w:col w:w="8420"/>
          </w:cols>
          <w:pgMar w:left="340" w:top="9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20"/>
          </w:cols>
          <w:pgMar w:left="340" w:top="941"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309"/>
              <w:spacing w:after="0" w:line="122" w:lineRule="exact"/>
              <w:rPr>
                <w:sz w:val="20"/>
                <w:szCs w:val="20"/>
                <w:color w:val="auto"/>
              </w:rPr>
            </w:pPr>
            <w:r>
              <w:rPr>
                <w:rFonts w:ascii="Arial" w:cs="Arial" w:eastAsia="Arial" w:hAnsi="Arial"/>
                <w:sz w:val="13"/>
                <w:szCs w:val="13"/>
                <w:b w:val="1"/>
                <w:bCs w:val="1"/>
                <w:color w:val="auto"/>
              </w:rPr>
              <w:t>Surface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140"/>
              <w:spacing w:after="0" w:line="122"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80" w:type="dxa"/>
            <w:vAlign w:val="bottom"/>
            <w:gridSpan w:val="2"/>
          </w:tcPr>
          <w:p>
            <w:pPr>
              <w:ind w:left="220"/>
              <w:spacing w:after="0" w:line="122" w:lineRule="exact"/>
              <w:rPr>
                <w:sz w:val="20"/>
                <w:szCs w:val="20"/>
                <w:color w:val="auto"/>
              </w:rPr>
            </w:pPr>
            <w:r>
              <w:rPr>
                <w:rFonts w:ascii="Arial" w:cs="Arial" w:eastAsia="Arial" w:hAnsi="Arial"/>
                <w:sz w:val="13"/>
                <w:szCs w:val="13"/>
                <w:b w:val="1"/>
                <w:bCs w:val="1"/>
                <w:color w:val="auto"/>
              </w:rPr>
              <w:t>Foreign</w:t>
            </w:r>
          </w:p>
        </w:tc>
        <w:tc>
          <w:tcPr>
            <w:tcW w:w="280" w:type="dxa"/>
            <w:vAlign w:val="bottom"/>
          </w:tcPr>
          <w:p>
            <w:pPr>
              <w:spacing w:after="0"/>
              <w:rPr>
                <w:sz w:val="10"/>
                <w:szCs w:val="10"/>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5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Exchange, net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5,471.4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1,059.2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6,530.6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(2,815.5)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(429.3)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(3,416.9)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2,854.5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419.3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3,273.8</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Direct COVID-19 expenses</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price accounting adjustments</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5020" w:type="dxa"/>
            <w:vAlign w:val="bottom"/>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Pr>
          <w:p>
            <w:pPr>
              <w:spacing w:after="0"/>
              <w:rPr>
                <w:sz w:val="15"/>
                <w:szCs w:val="15"/>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2,966.0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440.2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3,410.5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150.5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403.6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466.9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81.0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580"/>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2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*On December 30, 2019, we completed the acquisition of the remaining 50% of Technip Odebrecht PLSV CV. A $7.3 million gain was recorded within restructuring and other charges in the Subsea segment during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1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309"/>
              <w:spacing w:after="0" w:line="122" w:lineRule="exact"/>
              <w:rPr>
                <w:sz w:val="20"/>
                <w:szCs w:val="20"/>
                <w:color w:val="auto"/>
              </w:rPr>
            </w:pPr>
            <w:r>
              <w:rPr>
                <w:rFonts w:ascii="Arial" w:cs="Arial" w:eastAsia="Arial" w:hAnsi="Arial"/>
                <w:sz w:val="13"/>
                <w:szCs w:val="13"/>
                <w:b w:val="1"/>
                <w:bCs w:val="1"/>
                <w:color w:val="auto"/>
              </w:rPr>
              <w:t>Surface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140"/>
              <w:spacing w:after="0" w:line="122"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80" w:type="dxa"/>
            <w:vAlign w:val="bottom"/>
            <w:gridSpan w:val="2"/>
          </w:tcPr>
          <w:p>
            <w:pPr>
              <w:ind w:left="220"/>
              <w:spacing w:after="0" w:line="122" w:lineRule="exact"/>
              <w:rPr>
                <w:sz w:val="20"/>
                <w:szCs w:val="20"/>
                <w:color w:val="auto"/>
              </w:rPr>
            </w:pPr>
            <w:r>
              <w:rPr>
                <w:rFonts w:ascii="Arial" w:cs="Arial" w:eastAsia="Arial" w:hAnsi="Arial"/>
                <w:sz w:val="13"/>
                <w:szCs w:val="13"/>
                <w:b w:val="1"/>
                <w:bCs w:val="1"/>
                <w:color w:val="auto"/>
              </w:rPr>
              <w:t>Foreign</w:t>
            </w:r>
          </w:p>
        </w:tc>
        <w:tc>
          <w:tcPr>
            <w:tcW w:w="280" w:type="dxa"/>
            <w:vAlign w:val="bottom"/>
          </w:tcPr>
          <w:p>
            <w:pPr>
              <w:spacing w:after="0"/>
              <w:rPr>
                <w:sz w:val="10"/>
                <w:szCs w:val="10"/>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5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Exchange, net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5,419.5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1,530.7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6,950.2</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(1,442.7)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(2,479.8)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1,794.8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685.5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2,480.3</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Legal provision, net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 price accounting adjustments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3"/>
        </w:trPr>
        <w:tc>
          <w:tcPr>
            <w:tcW w:w="50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1,782.4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725.3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2,559.0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339.7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106.9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433.7</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650.9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512.9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*On December 30, 2019, we completed the acquisition of the remaining 50 percent of Technip Odebrecht PLSV CV, which resulted in a net loss of $0.9 million that was recorded in the Subsea segment. The net loss was comprised of an impairment charge of $84.2 million included within impairment and other charges and a gain on bargain purchase of $83.3 million included within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1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December 31, 2018</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5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309"/>
              <w:spacing w:after="0" w:line="122" w:lineRule="exact"/>
              <w:rPr>
                <w:sz w:val="20"/>
                <w:szCs w:val="20"/>
                <w:color w:val="auto"/>
              </w:rPr>
            </w:pPr>
            <w:r>
              <w:rPr>
                <w:rFonts w:ascii="Arial" w:cs="Arial" w:eastAsia="Arial" w:hAnsi="Arial"/>
                <w:sz w:val="13"/>
                <w:szCs w:val="13"/>
                <w:b w:val="1"/>
                <w:bCs w:val="1"/>
                <w:color w:val="auto"/>
              </w:rPr>
              <w:t>Surface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140"/>
              <w:spacing w:after="0" w:line="122"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80" w:type="dxa"/>
            <w:vAlign w:val="bottom"/>
            <w:gridSpan w:val="2"/>
          </w:tcPr>
          <w:p>
            <w:pPr>
              <w:ind w:left="220"/>
              <w:spacing w:after="0" w:line="122" w:lineRule="exact"/>
              <w:rPr>
                <w:sz w:val="20"/>
                <w:szCs w:val="20"/>
                <w:color w:val="auto"/>
              </w:rPr>
            </w:pPr>
            <w:r>
              <w:rPr>
                <w:rFonts w:ascii="Arial" w:cs="Arial" w:eastAsia="Arial" w:hAnsi="Arial"/>
                <w:sz w:val="13"/>
                <w:szCs w:val="13"/>
                <w:b w:val="1"/>
                <w:bCs w:val="1"/>
                <w:color w:val="auto"/>
              </w:rPr>
              <w:t>Foreign</w:t>
            </w:r>
          </w:p>
        </w:tc>
        <w:tc>
          <w:tcPr>
            <w:tcW w:w="280" w:type="dxa"/>
            <w:vAlign w:val="bottom"/>
          </w:tcPr>
          <w:p>
            <w:pPr>
              <w:spacing w:after="0"/>
              <w:rPr>
                <w:sz w:val="10"/>
                <w:szCs w:val="10"/>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5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Exchange, net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4,762.8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1,508.9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6,271.7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(1,540.6)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(1,609.8)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1,779.9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1,782.5</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other charges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Integration costs</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on divestitures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5020" w:type="dxa"/>
            <w:vAlign w:val="bottom"/>
          </w:tcPr>
          <w:p>
            <w:pPr>
              <w:ind w:left="220"/>
              <w:spacing w:after="0"/>
              <w:rPr>
                <w:sz w:val="20"/>
                <w:szCs w:val="20"/>
                <w:color w:val="auto"/>
              </w:rPr>
            </w:pPr>
            <w:r>
              <w:rPr>
                <w:rFonts w:ascii="Arial" w:cs="Arial" w:eastAsia="Arial" w:hAnsi="Arial"/>
                <w:sz w:val="14"/>
                <w:szCs w:val="14"/>
                <w:color w:val="auto"/>
              </w:rPr>
              <w:t>Legal provision, net</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price accounting adjustments</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81.9</w:t>
            </w: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83"/>
        </w:trPr>
        <w:tc>
          <w:tcPr>
            <w:tcW w:w="5020" w:type="dxa"/>
            <w:vAlign w:val="bottom"/>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Pr>
          <w:p>
            <w:pPr>
              <w:spacing w:after="0"/>
              <w:rPr>
                <w:sz w:val="15"/>
                <w:szCs w:val="15"/>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1,876.2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1,939.3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335.6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182.2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(72.0)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357.8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426.4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693.4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240.8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580"/>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755.9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2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3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decline in commodity prices, due in part to the lower demand resulting from COVID-19 contributed to the decrease in the inbound orders during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20" w:type="dxa"/>
            <w:vAlign w:val="bottom"/>
          </w:tcPr>
          <w:p>
            <w:pPr>
              <w:spacing w:after="0"/>
              <w:rPr>
                <w:sz w:val="14"/>
                <w:szCs w:val="14"/>
                <w:color w:val="auto"/>
              </w:rPr>
            </w:pPr>
          </w:p>
        </w:tc>
      </w:tr>
      <w:tr>
        <w:trPr>
          <w:trHeight w:val="176"/>
        </w:trPr>
        <w:tc>
          <w:tcPr>
            <w:tcW w:w="8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7,992.6</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1,061.2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1,619.9</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inbound orders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5,064.2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9,612.5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reflects the current expectations for the timing of project execution. The scheduling of some future work included in our order backlog has been impacted by COVID-19 related disruptions and remains subject to future adjustment. See Note 6 to our consolidated financial statements for further details.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Order Backlog</w:t>
            </w:r>
          </w:p>
        </w:tc>
        <w:tc>
          <w:tcPr>
            <w:tcW w:w="940" w:type="dxa"/>
            <w:vAlign w:val="bottom"/>
          </w:tcPr>
          <w:p>
            <w:pPr>
              <w:spacing w:after="0"/>
              <w:rPr>
                <w:sz w:val="14"/>
                <w:szCs w:val="14"/>
                <w:color w:val="auto"/>
              </w:rPr>
            </w:pPr>
          </w:p>
        </w:tc>
      </w:tr>
      <w:tr>
        <w:trPr>
          <w:trHeight w:val="176"/>
        </w:trPr>
        <w:tc>
          <w:tcPr>
            <w:tcW w:w="8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6,876.0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8,472.8</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412.5</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7,289.5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8,885.3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as of December 31, 2020, decreased by $1.6 billion from December 31, 2019. Subsea backlog of $6.9</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as of December 31, 2020, was composed of various subsea projects, including Total Mozambique LNG; Eni Coral and Merakes; Petrobras Mero I and Mero II; Energean Karish; ExxonMobil Payara; Reliance MJ-1; Equinor Johan Sverdrup Phase 2; Husky West White Rose; BP Platina; Chevron Gorgon Stage 2; and Woodside Pyxis and Lambert Deep.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as of December 31, 2020, increased by $1.0 million compared to</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December 31, 2019. Given the short-cycle nature of the business, most orders are quickly converted into sales revenue; longer contracts are typically converted within twelve months.</w:t>
      </w:r>
    </w:p>
    <w:p>
      <w:pPr>
        <w:spacing w:after="0" w:line="12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As of December 31, 2020, we had $640.2 million of non-consolidated order backlog in our Subsea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Non-consolidated order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04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Most of our cash is managed centrally and flows through centralized bank accounts controlled and maintained by TechnipFMC globally and in many operating jurisdictions to best meet the liquidity needs of our global operations.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Net Debt - </w:t>
      </w:r>
      <w:r>
        <w:rPr>
          <w:rFonts w:ascii="Arial" w:cs="Arial" w:eastAsia="Arial" w:hAnsi="Arial"/>
          <w:sz w:val="18"/>
          <w:szCs w:val="18"/>
          <w:color w:val="auto"/>
        </w:rPr>
        <w:t>Net debt, is a non-GAAP financial measure reflecting cash and cash equivalents, net of debt. Management uses this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to evaluate our capital structure and financial leverage. We believe net debt is a meaningful financial measure that may assist investors in understanding our financial condition and recognizing underlying trends in our capital structure. Net debt should not be considered an alternative to, or more meaningful than, cash and cash equivalents as determined in accordance with GAAP or as an indicator of our operating performance or liquidity.</w:t>
      </w:r>
    </w:p>
    <w:p>
      <w:pPr>
        <w:spacing w:after="0" w:line="15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table provides a reconciliation of our cash and cash equivalents to net debt, utilizing details of classifications from our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1,563.1</w:t>
            </w:r>
          </w:p>
        </w:tc>
      </w:tr>
      <w:tr>
        <w:trPr>
          <w:trHeight w:val="189"/>
        </w:trPr>
        <w:tc>
          <w:tcPr>
            <w:tcW w:w="790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(491.6)</w:t>
            </w: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(3,328.6)</w:t>
            </w:r>
          </w:p>
        </w:tc>
      </w:tr>
      <w:tr>
        <w:trPr>
          <w:trHeight w:val="18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(2,257.1)</w:t>
            </w:r>
          </w:p>
        </w:tc>
      </w:tr>
      <w:tr>
        <w:trPr>
          <w:trHeight w:val="21"/>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the years ended December 31, 2020, 2019 and 2018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operating activities from 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772.4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56.2</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Cash required by investing activities from continuing operations</w:t>
            </w:r>
          </w:p>
        </w:tc>
        <w:tc>
          <w:tcPr>
            <w:tcW w:w="340" w:type="dxa"/>
            <w:vAlign w:val="bottom"/>
          </w:tcPr>
          <w:p>
            <w:pPr>
              <w:spacing w:after="0"/>
              <w:rPr>
                <w:sz w:val="16"/>
                <w:szCs w:val="16"/>
                <w:color w:val="auto"/>
              </w:rPr>
            </w:pPr>
          </w:p>
        </w:tc>
        <w:tc>
          <w:tcPr>
            <w:tcW w:w="1100" w:type="dxa"/>
            <w:vAlign w:val="bottom"/>
          </w:tcPr>
          <w:p>
            <w:pPr>
              <w:jc w:val="center"/>
              <w:ind w:left="508"/>
              <w:spacing w:after="0"/>
              <w:rPr>
                <w:sz w:val="20"/>
                <w:szCs w:val="20"/>
                <w:color w:val="auto"/>
              </w:rPr>
            </w:pPr>
            <w:r>
              <w:rPr>
                <w:rFonts w:ascii="Arial" w:cs="Arial" w:eastAsia="Arial" w:hAnsi="Arial"/>
                <w:sz w:val="14"/>
                <w:szCs w:val="14"/>
                <w:color w:val="auto"/>
                <w:w w:val="99"/>
              </w:rPr>
              <w:t>(120.8)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(446.5)</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required by financing activities from continuing operations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w w:val="99"/>
              </w:rPr>
              <w:t>(651.9)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223.5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w:t>
            </w: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Decrease in cash and cash equivalents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rPr>
              <w:t>223.2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717.7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w:t>
            </w: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 (deficit) from 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08"/>
              <w:spacing w:after="0"/>
              <w:rPr>
                <w:sz w:val="20"/>
                <w:szCs w:val="20"/>
                <w:color w:val="auto"/>
              </w:rPr>
            </w:pPr>
            <w:r>
              <w:rPr>
                <w:rFonts w:ascii="Arial" w:cs="Arial" w:eastAsia="Arial" w:hAnsi="Arial"/>
                <w:sz w:val="14"/>
                <w:szCs w:val="14"/>
                <w:color w:val="auto"/>
              </w:rPr>
              <w:t>516.3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175"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i w:val="1"/>
          <w:iCs w:val="1"/>
          <w:color w:val="auto"/>
        </w:rPr>
        <w:t xml:space="preserve">Operating cash flows from continuing operations - </w:t>
      </w:r>
      <w:r>
        <w:rPr>
          <w:rFonts w:ascii="Arial" w:cs="Arial" w:eastAsia="Arial" w:hAnsi="Arial"/>
          <w:sz w:val="18"/>
          <w:szCs w:val="18"/>
          <w:color w:val="auto"/>
        </w:rPr>
        <w:t>During 2020 and 2019, we generated $772.4 million and $357.7 million,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cash flows from continuing operations. The increase of $414.7 million in cash generated by operating activities from continuing operations in 2020 as compared to 2019 was primarily due to timing differences on project milestones and vendor payments.</w:t>
      </w:r>
    </w:p>
    <w:p>
      <w:pPr>
        <w:spacing w:after="0" w:line="122"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i w:val="1"/>
          <w:iCs w:val="1"/>
          <w:color w:val="auto"/>
        </w:rPr>
        <w:t xml:space="preserve">Investing cash flows from continuing operations </w:t>
      </w:r>
      <w:r>
        <w:rPr>
          <w:rFonts w:ascii="Arial" w:cs="Arial" w:eastAsia="Arial" w:hAnsi="Arial"/>
          <w:sz w:val="17"/>
          <w:szCs w:val="17"/>
          <w:color w:val="auto"/>
        </w:rPr>
        <w:t>- Investing activities from continuing operations used $120.8 million and $378.5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in 2020 and 2019, respectively. The decrease in cash used by investing activities during 2020 was primarily due to decreased capital expenditures, decreased payments to acquire debt securities and increased proceeds from the sale of assets. In 2019, we purchased a deepwater dive support vessel, Deep Discoverer for $116.8 million, that was subsequently funded through a sale-leaseback transaction.</w:t>
      </w:r>
    </w:p>
    <w:p>
      <w:pPr>
        <w:spacing w:after="0" w:line="11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i w:val="1"/>
          <w:iCs w:val="1"/>
          <w:color w:val="auto"/>
        </w:rPr>
        <w:t xml:space="preserve">Financing cash flows from continuing operations </w:t>
      </w:r>
      <w:r>
        <w:rPr>
          <w:rFonts w:ascii="Arial" w:cs="Arial" w:eastAsia="Arial" w:hAnsi="Arial"/>
          <w:sz w:val="18"/>
          <w:szCs w:val="18"/>
          <w:color w:val="auto"/>
        </w:rPr>
        <w:t>- Financing activities from continuing operations used $651.9 million and $165.6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respectively. The increase of $486.3 million in cash used for financing activities was due primarily to the increased debt pay down activity during 2020 of $796.7 million, partially offset by our efforts and commitment to preserve cash, which included reduction in cash dividends of $173.6 million and reduction in share repurchases of $92.7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886"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2019 Compared With 2018</w:t>
      </w:r>
    </w:p>
    <w:p>
      <w:pPr>
        <w:spacing w:after="0" w:line="175"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i w:val="1"/>
          <w:iCs w:val="1"/>
          <w:color w:val="auto"/>
        </w:rPr>
        <w:t xml:space="preserve">Operating cash flows from continuing operations - </w:t>
      </w:r>
      <w:r>
        <w:rPr>
          <w:rFonts w:ascii="Arial" w:cs="Arial" w:eastAsia="Arial" w:hAnsi="Arial"/>
          <w:sz w:val="18"/>
          <w:szCs w:val="18"/>
          <w:color w:val="auto"/>
        </w:rPr>
        <w:t>During 2019 and 2018, we generated $357.7 million and $56.2 million,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cash flows from continuing operations. The increase of $301.5 million in cash generated by operating activities from continuing operations was primarily due to timing differences on project milestones and vendor payments.</w:t>
      </w:r>
    </w:p>
    <w:p>
      <w:pPr>
        <w:spacing w:after="0" w:line="122"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i w:val="1"/>
          <w:iCs w:val="1"/>
          <w:color w:val="auto"/>
        </w:rPr>
        <w:t xml:space="preserve">Investing cash flows from continuing operations </w:t>
      </w:r>
      <w:r>
        <w:rPr>
          <w:rFonts w:ascii="Arial" w:cs="Arial" w:eastAsia="Arial" w:hAnsi="Arial"/>
          <w:sz w:val="18"/>
          <w:szCs w:val="18"/>
          <w:color w:val="auto"/>
        </w:rPr>
        <w:t>- Investing activities from continuing operations used $378.5 million and $446.5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in 2019 and 2018, respectively. The decrease in cash used by investing activities during 2019 was primarily due to decrease in cash used for business acquisitions.</w:t>
      </w:r>
    </w:p>
    <w:p>
      <w:pPr>
        <w:spacing w:after="0" w:line="12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Financing cash flows from continuing operations </w:t>
      </w:r>
      <w:r>
        <w:rPr>
          <w:rFonts w:ascii="Arial" w:cs="Arial" w:eastAsia="Arial" w:hAnsi="Arial"/>
          <w:sz w:val="18"/>
          <w:szCs w:val="18"/>
          <w:color w:val="auto"/>
        </w:rPr>
        <w:t>- Financing activities from continuing operations used $165.6 million and $115.0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2018, respectively. The increase of $50.6 million in cash used for financing activities was due primarily to the increased commercial paper pay down activity during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represents total changes in operating current assets and liabilities.</w:t>
      </w:r>
    </w:p>
    <w:p>
      <w:pPr>
        <w:spacing w:after="0" w:line="17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Free cash flow (deficit) from continuing operations is defined as operating cash flows from continuing operations less capital expenditures. The following table reconciles cash provided by operating activities from continuing operations, which is the most directly comparable financial measure determined in accordance with GAAP, to free cash flow (non-GAAP measure).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operating activities from continuing operations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772.4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(256.1)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(355.1)</w:t>
            </w:r>
          </w:p>
        </w:tc>
      </w:tr>
      <w:tr>
        <w:trPr>
          <w:trHeight w:val="20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 (deficit) from continuing operations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rPr>
              <w:t>516.3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24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i w:val="1"/>
          <w:iCs w:val="1"/>
          <w:color w:val="auto"/>
        </w:rPr>
        <w:t xml:space="preserve">Significant Funding and Liquidity Activities </w:t>
      </w:r>
      <w:r>
        <w:rPr>
          <w:rFonts w:ascii="Arial" w:cs="Arial" w:eastAsia="Arial" w:hAnsi="Arial"/>
          <w:sz w:val="18"/>
          <w:szCs w:val="18"/>
          <w:color w:val="auto"/>
        </w:rPr>
        <w:t>- During 2020, we completed the following transactions in order to enhance our total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w:t>
      </w:r>
    </w:p>
    <w:p>
      <w:pPr>
        <w:spacing w:after="0" w:line="8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Repaid $233.9 million of 5.00% 2010 private placement notes;</w:t>
      </w:r>
    </w:p>
    <w:p>
      <w:pPr>
        <w:spacing w:after="0" w:line="171" w:lineRule="exact"/>
        <w:rPr>
          <w:rFonts w:ascii="Arial" w:cs="Arial" w:eastAsia="Arial" w:hAnsi="Arial"/>
          <w:sz w:val="18"/>
          <w:szCs w:val="18"/>
          <w:color w:val="auto"/>
        </w:rPr>
      </w:pPr>
    </w:p>
    <w:p>
      <w:pPr>
        <w:ind w:left="660" w:right="600" w:hanging="652"/>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Repaid the remaining outstanding balance of $190.0 million of the term loan assumed in connection with the acquisition of the remaining 50% interest in TOP CV.</w:t>
      </w:r>
    </w:p>
    <w:p>
      <w:pPr>
        <w:spacing w:after="0" w:line="143" w:lineRule="exact"/>
        <w:rPr>
          <w:rFonts w:ascii="Arial" w:cs="Arial" w:eastAsia="Arial" w:hAnsi="Arial"/>
          <w:sz w:val="18"/>
          <w:szCs w:val="18"/>
          <w:color w:val="auto"/>
        </w:rPr>
      </w:pPr>
    </w:p>
    <w:p>
      <w:pPr>
        <w:ind w:left="660" w:right="60" w:hanging="652"/>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€200 million aggregate principal amount of 4.500% Private Placement Notes due June 30, 2025. Within three months of the effective date of the Spin-off of Technip Energies, if there is a downgrade by a nationally recognized rating agency of the corporate rating of TechnipFMC from an investment grade to a non-investment grade rating or a withdrawal of any such rating, the interest rate applicable to the Private Placement Notes will be increased to 5.75%;</w:t>
      </w:r>
    </w:p>
    <w:p>
      <w:pPr>
        <w:spacing w:after="0" w:line="149" w:lineRule="exact"/>
        <w:rPr>
          <w:rFonts w:ascii="Arial" w:cs="Arial" w:eastAsia="Arial" w:hAnsi="Arial"/>
          <w:sz w:val="18"/>
          <w:szCs w:val="18"/>
          <w:color w:val="auto"/>
        </w:rPr>
      </w:pPr>
    </w:p>
    <w:p>
      <w:pPr>
        <w:ind w:left="660" w:right="480" w:hanging="652"/>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(the “Euro Facility”); and</w:t>
      </w:r>
    </w:p>
    <w:p>
      <w:pPr>
        <w:spacing w:after="0" w:line="143" w:lineRule="exact"/>
        <w:rPr>
          <w:rFonts w:ascii="Arial" w:cs="Arial" w:eastAsia="Arial" w:hAnsi="Arial"/>
          <w:sz w:val="18"/>
          <w:szCs w:val="18"/>
          <w:color w:val="auto"/>
        </w:rPr>
      </w:pPr>
    </w:p>
    <w:p>
      <w:pPr>
        <w:ind w:left="660" w:right="120" w:hanging="652"/>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Entered into the Bank of England’s COVID Corporate Financing Facility program (the “CCFF Program”), which allows us to issue up to £600 million of unsecured commercial paper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Total borrowings as of December 31, 2020 and 2019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460" w:type="dxa"/>
            <w:vAlign w:val="bottom"/>
            <w:tcBorders>
              <w:bottom w:val="single" w:sz="8" w:color="CCEEFF"/>
            </w:tcBorders>
          </w:tcPr>
          <w:p>
            <w:pPr>
              <w:spacing w:after="0"/>
              <w:rPr>
                <w:sz w:val="15"/>
                <w:szCs w:val="15"/>
                <w:color w:val="auto"/>
              </w:rPr>
            </w:pPr>
          </w:p>
        </w:tc>
        <w:tc>
          <w:tcPr>
            <w:tcW w:w="77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1,043.7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1,315.6</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Synthetic bonds due 2021</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551.2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492.9</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5.00% Notes due 2020</w:t>
            </w:r>
          </w:p>
        </w:tc>
        <w:tc>
          <w:tcPr>
            <w:tcW w:w="8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224.6</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3.40%</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2022</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168.5</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3.15%</w:t>
            </w:r>
          </w:p>
        </w:tc>
        <w:tc>
          <w:tcPr>
            <w:tcW w:w="778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146.0</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140.4</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4.50% Notes due 2025</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2027</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84.2</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7780" w:type="dxa"/>
            <w:vAlign w:val="bottom"/>
          </w:tcPr>
          <w:p>
            <w:pPr>
              <w:ind w:left="20"/>
              <w:spacing w:after="0"/>
              <w:rPr>
                <w:sz w:val="20"/>
                <w:szCs w:val="20"/>
                <w:color w:val="auto"/>
              </w:rPr>
            </w:pPr>
            <w:r>
              <w:rPr>
                <w:rFonts w:ascii="Arial" w:cs="Arial" w:eastAsia="Arial" w:hAnsi="Arial"/>
                <w:sz w:val="14"/>
                <w:szCs w:val="14"/>
                <w:color w:val="auto"/>
              </w:rPr>
              <w:t>Notes due 2032</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112.3</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3.75%</w:t>
            </w:r>
          </w:p>
        </w:tc>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2033</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112.3</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Bank borrowings and Other</w:t>
            </w:r>
          </w:p>
        </w:tc>
        <w:tc>
          <w:tcPr>
            <w:tcW w:w="8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298.4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532.5</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Unamortized debt issuance costs and discounts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3"/>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borrowings</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3,460.2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3,820.2</w:t>
            </w:r>
          </w:p>
        </w:tc>
      </w:tr>
      <w:tr>
        <w:trPr>
          <w:trHeight w:val="21"/>
        </w:trPr>
        <w:tc>
          <w:tcPr>
            <w:tcW w:w="4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Facilities - </w:t>
      </w:r>
      <w:r>
        <w:rPr>
          <w:rFonts w:ascii="Arial" w:cs="Arial" w:eastAsia="Arial" w:hAnsi="Arial"/>
          <w:sz w:val="18"/>
          <w:szCs w:val="18"/>
          <w:color w:val="auto"/>
        </w:rPr>
        <w:t>The following is a summary of our credit facilities as of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Paper</w:t>
            </w:r>
          </w:p>
        </w:tc>
        <w:tc>
          <w:tcPr>
            <w:tcW w:w="20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Letters</w:t>
            </w:r>
          </w:p>
        </w:tc>
        <w:tc>
          <w:tcPr>
            <w:tcW w:w="200" w:type="dxa"/>
            <w:vAlign w:val="bottom"/>
          </w:tcPr>
          <w:p>
            <w:pPr>
              <w:spacing w:after="0"/>
              <w:rPr>
                <w:sz w:val="11"/>
                <w:szCs w:val="11"/>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Unused</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of Credit</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Capacity</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2,274.2</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4"/>
                <w:szCs w:val="14"/>
                <w:color w:val="auto"/>
              </w:rPr>
              <w:t>CCFF Program</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March 2021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February 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4"/>
                <w:szCs w:val="14"/>
                <w:color w:val="auto"/>
              </w:rPr>
              <w:t>Bilateral credit facility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May 2021</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40" w:right="340" w:hanging="251"/>
        <w:spacing w:after="0" w:line="25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Committed credit available under our revolving credit facilities provides the ability to issue our commercial paper obligations on a long-term basis. We had $225.8 million of commercial paper issued under our facilities as of December 31, 2020. In addition, we had $817.9 million of Notes outstanding under the CCFF Program. When we have both the ability and intent to refinance certain obligations on a long-term basis, the obligations are classified as long-term, as such, the commercial paper borrowings were classified as long-term debt in our consolidated balance sheet as of December 31, 2020.</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amended and restated Facility Agreement and Euro Facility contain usual and customary covenants, representations and warranties, and events of default for credit facilities of this type, including financial covenants requiring that our total capitalization ratio not exceed 60% at the end of any financial quarter. The Facility Agreement and Euro Facility also contain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were in compliance with all restrictive covenants under our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24 to our consolidated financial statements for further information related to credit risk.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08" w:right="339" w:bottom="1440" w:gutter="0" w:footer="0" w:header="0"/>
        </w:sectPr>
      </w:pPr>
    </w:p>
    <w:bookmarkStart w:id="22" w:name="page23"/>
    <w:bookmarkEnd w:id="22"/>
    <w:p>
      <w:pPr>
        <w:ind w:right="60"/>
        <w:spacing w:after="0" w:line="282" w:lineRule="auto"/>
        <w:rPr>
          <w:sz w:val="20"/>
          <w:szCs w:val="20"/>
          <w:color w:val="auto"/>
        </w:rPr>
      </w:pPr>
      <w:r>
        <w:rPr>
          <w:rFonts w:ascii="Arial" w:cs="Arial" w:eastAsia="Arial" w:hAnsi="Arial"/>
          <w:sz w:val="18"/>
          <w:szCs w:val="18"/>
          <w:i w:val="1"/>
          <w:iCs w:val="1"/>
          <w:color w:val="auto"/>
        </w:rPr>
        <w:t xml:space="preserve">Credit Ratings </w:t>
      </w:r>
      <w:r>
        <w:rPr>
          <w:rFonts w:ascii="Arial" w:cs="Arial" w:eastAsia="Arial" w:hAnsi="Arial"/>
          <w:sz w:val="18"/>
          <w:szCs w:val="18"/>
          <w:color w:val="auto"/>
        </w:rPr>
        <w:t>- As of February 25, 2021, our credit ratings with Standard and Poor’s (S&amp;P) are BB+ for our long-term unsecured debt and B</w:t>
      </w:r>
      <w:r>
        <w:rPr>
          <w:rFonts w:ascii="Arial" w:cs="Arial" w:eastAsia="Arial" w:hAnsi="Arial"/>
          <w:sz w:val="18"/>
          <w:szCs w:val="18"/>
          <w:i w:val="1"/>
          <w:iCs w:val="1"/>
          <w:color w:val="auto"/>
        </w:rPr>
        <w:t xml:space="preserve"> </w:t>
      </w:r>
      <w:r>
        <w:rPr>
          <w:rFonts w:ascii="Arial" w:cs="Arial" w:eastAsia="Arial" w:hAnsi="Arial"/>
          <w:sz w:val="18"/>
          <w:szCs w:val="18"/>
          <w:color w:val="auto"/>
        </w:rPr>
        <w:t>for commercial paper program. Our credit ratings with Moody’s are Ba1 for our long-term unsecured debt.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w:t>
      </w:r>
    </w:p>
    <w:p>
      <w:pPr>
        <w:spacing w:after="0" w:line="151" w:lineRule="exact"/>
        <w:rPr>
          <w:sz w:val="20"/>
          <w:szCs w:val="20"/>
          <w:color w:val="auto"/>
        </w:rPr>
      </w:pPr>
    </w:p>
    <w:p>
      <w:pPr>
        <w:jc w:val="both"/>
        <w:ind w:right="820"/>
        <w:spacing w:after="0" w:line="256" w:lineRule="auto"/>
        <w:rPr>
          <w:sz w:val="20"/>
          <w:szCs w:val="20"/>
          <w:color w:val="auto"/>
        </w:rPr>
      </w:pPr>
      <w:r>
        <w:rPr>
          <w:rFonts w:ascii="Arial" w:cs="Arial" w:eastAsia="Arial" w:hAnsi="Arial"/>
          <w:sz w:val="18"/>
          <w:szCs w:val="18"/>
          <w:color w:val="auto"/>
        </w:rPr>
        <w:t>Our credit spread, and the credit spread of other counterparties not publicly available, are approximated using the spread of similar companies in the same industry, of similar size, and with the same credit rating. See Notes 23 and 24 to our consolidated financial statements for further details.</w:t>
      </w:r>
    </w:p>
    <w:p>
      <w:pPr>
        <w:spacing w:after="0" w:line="200" w:lineRule="exact"/>
        <w:rPr>
          <w:sz w:val="20"/>
          <w:szCs w:val="20"/>
          <w:color w:val="auto"/>
        </w:rPr>
      </w:pPr>
    </w:p>
    <w:p>
      <w:pPr>
        <w:spacing w:after="0" w:line="35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At this time, we have no credit-risk-related contingent features in our agreements with the financial institutions that would require us to post collateral for derivative positions in a liability position.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Outlook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9"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We are committed to a strong balance sheet and ample liquidity that that will enable us to avoid distress in cyclical troughs and access capital markets throughout the cycle. We believe our liquidity has and continues to exceed the level required to achieve this goal.</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objective in financing our business is to maintain sufficient liquidity, adequate financial resources and financial flexibility in order to fund the requirements of our business. Our capital expenditures can be adjusted and managed to match market demand and activity levels. Based on current market conditions and our future expectations, our capital expenditures for 2021 are estimated to be approximately $250.0 million. Projected capital expenditures do not include any contingent capital that may be needed to respond to a contract award.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Spin-off</w:t>
      </w:r>
    </w:p>
    <w:p>
      <w:pPr>
        <w:spacing w:after="0" w:line="18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connection with the Spin-off, we executed a series of refinancing transactions, in order to provide a capital structure with sufficient cash resources to support future operating and investment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w:t>
      </w:r>
    </w:p>
    <w:p>
      <w:pPr>
        <w:spacing w:after="0" w:line="18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On February 16, 2021, we entered into a Revolving Credit Facility that provides for aggregate revolving capacity of up to $1.0 billion. Availability of borrowings under the Revolving Credit Facility is reduced by any outstanding letters of credit issued against the facility. At February 25, 2021, there were no outstanding letters of credit and availability of borrowings under the Revolving Credit Facility was $800 million.</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29, 2021, we issued $1.0 billion of 6.5% senior notes due 2026 (the “2021 Notes”). The interest on the 2021 Notes is paid semi-annually on February 1 and August 1 of each year, beginning on August 1, 2021. The 2021 Notes are senior unsecured obligations and are guaranteed on a senior unsecured basis by substantially all of our wholly-owned U.S. subsidiaries and non-U.S. subsidiaries in Brazil, the Netherlands, Norway, Singapore and the United Kingdom.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012"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repayment of all $522.8 million of the outstanding Synthetic Convertible Bonds that matured in January 2021.</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w:t>
      </w:r>
    </w:p>
    <w:p>
      <w:pPr>
        <w:spacing w:after="0" w:line="117" w:lineRule="exact"/>
        <w:rPr>
          <w:rFonts w:ascii="Arial" w:cs="Arial" w:eastAsia="Arial" w:hAnsi="Arial"/>
          <w:sz w:val="18"/>
          <w:szCs w:val="18"/>
          <w:color w:val="auto"/>
        </w:rPr>
      </w:pPr>
    </w:p>
    <w:p>
      <w:pPr>
        <w:ind w:left="660" w:right="18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we entered into on January 17, 2017; the termination of the €500.0 million Euro Facility entered into on May 19, 2020; and the termination of CCFF Program entered into on May 19, 2020. In connection with the termination of these credit facilities, we repaid most of the outstanding commercial paper borrowings, which were $1,525.9 million as of December 31, 2020.</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will continue to be strategically focused on cash and liquidity preservation. Subsequent to the completion of the Spin-off and sale of shares to BPI, we owned 45.7% of the outstanding shares of Technip Energies. We intend to conduct an orderly sale of our remaining stake in Technip Energies over time and will use the proceeds (net of broker fees and discounts) from future sales to further reduce our net leverage, see Note 25 to our consolidated financial statements for further details.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contractual obligations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2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1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center"/>
              <w:ind w:right="248"/>
              <w:spacing w:after="0" w:line="142"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528"/>
              <w:spacing w:after="0" w:line="142"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6"/>
        </w:trPr>
        <w:tc>
          <w:tcPr>
            <w:tcW w:w="36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3"/>
        </w:trPr>
        <w:tc>
          <w:tcPr>
            <w:tcW w:w="36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Debt </w:t>
            </w:r>
            <w:r>
              <w:rPr>
                <w:rFonts w:ascii="Arial" w:cs="Arial" w:eastAsia="Arial" w:hAnsi="Arial"/>
                <w:sz w:val="18"/>
                <w:szCs w:val="18"/>
                <w:color w:val="auto"/>
                <w:vertAlign w:val="superscript"/>
              </w:rPr>
              <w:t>(a)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434.6</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Interest on debt </w:t>
            </w:r>
            <w:r>
              <w:rPr>
                <w:rFonts w:ascii="Arial" w:cs="Arial" w:eastAsia="Arial" w:hAnsi="Arial"/>
                <w:sz w:val="18"/>
                <w:szCs w:val="18"/>
                <w:color w:val="auto"/>
                <w:vertAlign w:val="superscript"/>
              </w:rPr>
              <w:t>(a)</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Operating leases </w:t>
            </w:r>
            <w:r>
              <w:rPr>
                <w:rFonts w:ascii="Arial" w:cs="Arial" w:eastAsia="Arial" w:hAnsi="Arial"/>
                <w:sz w:val="18"/>
                <w:szCs w:val="18"/>
                <w:color w:val="auto"/>
                <w:vertAlign w:val="superscript"/>
              </w:rPr>
              <w:t>(b)</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361.4</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Purchase obligations </w:t>
            </w:r>
            <w:r>
              <w:rPr>
                <w:rFonts w:ascii="Arial" w:cs="Arial" w:eastAsia="Arial" w:hAnsi="Arial"/>
                <w:sz w:val="18"/>
                <w:szCs w:val="18"/>
                <w:color w:val="auto"/>
                <w:vertAlign w:val="superscript"/>
              </w:rPr>
              <w:t>(c)</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958.6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Pension and other post-retirement benefits </w:t>
            </w:r>
            <w:r>
              <w:rPr>
                <w:rFonts w:ascii="Arial" w:cs="Arial" w:eastAsia="Arial" w:hAnsi="Arial"/>
                <w:sz w:val="18"/>
                <w:szCs w:val="18"/>
                <w:color w:val="auto"/>
                <w:vertAlign w:val="superscript"/>
              </w:rPr>
              <w:t>(d)</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Unrecognized tax benefits </w:t>
            </w:r>
            <w:r>
              <w:rPr>
                <w:rFonts w:ascii="Arial" w:cs="Arial" w:eastAsia="Arial" w:hAnsi="Arial"/>
                <w:sz w:val="18"/>
                <w:szCs w:val="18"/>
                <w:color w:val="auto"/>
                <w:vertAlign w:val="superscript"/>
              </w:rPr>
              <w:t>(e)</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1,753.0</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868.0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200" w:hanging="332"/>
        <w:spacing w:after="0" w:line="249"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available debt is dependent upon our compliance with covenants, including negative covenants related to liens and our total capitalization ratio. Any violation of covenants or other events of default, which are not waived or cured, or changes in our credit rating could have a material impact on our ability to maintain our committed financing arrangements.</w:t>
      </w:r>
    </w:p>
    <w:p>
      <w:pPr>
        <w:spacing w:after="0" w:line="146" w:lineRule="exact"/>
        <w:rPr>
          <w:rFonts w:ascii="Arial" w:cs="Arial" w:eastAsia="Arial" w:hAnsi="Arial"/>
          <w:sz w:val="14"/>
          <w:szCs w:val="14"/>
          <w:color w:val="auto"/>
        </w:rPr>
      </w:pPr>
    </w:p>
    <w:p>
      <w:pPr>
        <w:ind w:left="340" w:right="20"/>
        <w:spacing w:after="0" w:line="258" w:lineRule="auto"/>
        <w:rPr>
          <w:rFonts w:ascii="Arial" w:cs="Arial" w:eastAsia="Arial" w:hAnsi="Arial"/>
          <w:sz w:val="14"/>
          <w:szCs w:val="14"/>
          <w:color w:val="auto"/>
        </w:rPr>
      </w:pPr>
      <w:r>
        <w:rPr>
          <w:rFonts w:ascii="Arial" w:cs="Arial" w:eastAsia="Arial" w:hAnsi="Arial"/>
          <w:sz w:val="14"/>
          <w:szCs w:val="14"/>
          <w:color w:val="auto"/>
        </w:rPr>
        <w:t>Due to our intent and ability to refinance commercial paper obligations on a long-term basis under our revolving credit facility and the variable interest rates associated with these debt instruments, only interest on our Senior Notes is included in the table. During 2020, we paid $96.0 million for interest charges, net of interest capitalized.</w:t>
      </w:r>
    </w:p>
    <w:p>
      <w:pPr>
        <w:spacing w:after="0" w:line="139" w:lineRule="exact"/>
        <w:rPr>
          <w:rFonts w:ascii="Arial" w:cs="Arial" w:eastAsia="Arial" w:hAnsi="Arial"/>
          <w:sz w:val="14"/>
          <w:szCs w:val="14"/>
          <w:color w:val="auto"/>
        </w:rPr>
      </w:pPr>
    </w:p>
    <w:p>
      <w:pPr>
        <w:ind w:left="340" w:right="120" w:hanging="332"/>
        <w:spacing w:after="0" w:line="258"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lease office space, manufacturing facilities and various types of manufacturing and data processing equipment. Leases of real estate generally provide for payment of property taxes, insurance and repairs by us. Substantially all of our leases are classified as operating leases.</w:t>
      </w:r>
    </w:p>
    <w:p>
      <w:pPr>
        <w:spacing w:after="0" w:line="139" w:lineRule="exact"/>
        <w:rPr>
          <w:rFonts w:ascii="Arial" w:cs="Arial" w:eastAsia="Arial" w:hAnsi="Arial"/>
          <w:sz w:val="14"/>
          <w:szCs w:val="14"/>
          <w:color w:val="auto"/>
        </w:rPr>
      </w:pPr>
    </w:p>
    <w:p>
      <w:pPr>
        <w:ind w:left="340" w:right="220" w:hanging="332"/>
        <w:spacing w:after="0" w:line="247"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normal course of business, we enter into agreements with our suppliers to purchase raw materials or services. These agreements include a requirement that our supplier provide products or services to our specifications and require us to make a firm purchase commitment to our supplier. As substantially all of these commitments are associated with purchases made to fulfill our customers’ orders, the costs associated with these agreements will ultimately be reflected in cost of sales in our consolidated statements of income.</w:t>
      </w:r>
    </w:p>
    <w:p>
      <w:pPr>
        <w:spacing w:after="0" w:line="147" w:lineRule="exact"/>
        <w:rPr>
          <w:rFonts w:ascii="Arial" w:cs="Arial" w:eastAsia="Arial" w:hAnsi="Arial"/>
          <w:sz w:val="14"/>
          <w:szCs w:val="14"/>
          <w:color w:val="auto"/>
        </w:rPr>
      </w:pPr>
    </w:p>
    <w:p>
      <w:pPr>
        <w:ind w:left="340" w:right="40" w:hanging="332"/>
        <w:spacing w:after="0" w:line="249"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expect to contribute approximately $18.9 million to our international pension plans during 2021. Required contributions for future years depend on factors that cannot be determined at this time. Additionally, we expect to pay directly to beneficiaries approximately $2.4 million for our international unfunded pension plan and $4.7 million for our U.S. Non-Qualified unfunded pension plan during 2021.</w:t>
      </w:r>
    </w:p>
    <w:p>
      <w:pPr>
        <w:spacing w:after="0" w:line="146" w:lineRule="exact"/>
        <w:rPr>
          <w:rFonts w:ascii="Arial" w:cs="Arial" w:eastAsia="Arial" w:hAnsi="Arial"/>
          <w:sz w:val="14"/>
          <w:szCs w:val="14"/>
          <w:color w:val="auto"/>
        </w:rPr>
      </w:pPr>
    </w:p>
    <w:p>
      <w:pPr>
        <w:jc w:val="both"/>
        <w:ind w:left="340" w:right="260" w:hanging="332"/>
        <w:spacing w:after="0" w:line="249"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It is reasonably possible that $1.3 million of assets for unrecognized tax benefits will be settled during 2021, and this amount is reflected in income taxes payable in our consolidated balance sheet as of December 31, 2020. Although unrecognized tax benefits are not contractual obligations, they are presented in this table because they represent demands on our liquidity.</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03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 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off-balance sheet arrangements for our consolidated subsidiaries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Amount of Commitment Expiration per Period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2"/>
                <w:szCs w:val="12"/>
                <w:color w:val="auto"/>
              </w:rPr>
            </w:pPr>
          </w:p>
        </w:tc>
        <w:tc>
          <w:tcPr>
            <w:tcW w:w="1100" w:type="dxa"/>
            <w:vAlign w:val="bottom"/>
          </w:tcPr>
          <w:p>
            <w:pPr>
              <w:jc w:val="center"/>
              <w:ind w:right="248"/>
              <w:spacing w:after="0" w:line="142"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28"/>
              <w:spacing w:after="0" w:line="142"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6"/>
        </w:trPr>
        <w:tc>
          <w:tcPr>
            <w:tcW w:w="3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1 year</w:t>
            </w:r>
          </w:p>
        </w:tc>
        <w:tc>
          <w:tcPr>
            <w:tcW w:w="3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5"/>
                <w:szCs w:val="15"/>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3"/>
        </w:trPr>
        <w:tc>
          <w:tcPr>
            <w:tcW w:w="36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off-balance sheet arrangements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93" w:lineRule="exact"/>
        <w:rPr>
          <w:rFonts w:ascii="Arial" w:cs="Arial" w:eastAsia="Arial" w:hAnsi="Arial"/>
          <w:sz w:val="14"/>
          <w:szCs w:val="14"/>
          <w:color w:val="auto"/>
        </w:rPr>
      </w:pPr>
    </w:p>
    <w:p>
      <w:pPr>
        <w:ind w:left="340" w:right="320" w:hanging="332"/>
        <w:spacing w:after="0" w:line="258"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for further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majority of our revenue is derived from long-term contracts that can span several years. We account for revenue in accordance with Accounting Standard Codification (“ASC”) Topic 606, Revenues from Contracts with Customers. The unit of account in ASC Topic 606 is a performance obligation. A contract’s transaction price is allocated to each distinct performance obligation and recognized as revenue when, or as, the performance obligation is satisfied. Our performance obligations are satisfied over time as work progresses or at a point in time.</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significant portion of our total revenue recognized over time relates to our Subsea segment, primarily for the subsea exploration and production equipment projects that involve the design, engineering, manufacturing, construction, and assembly of complex, customer-specific systems.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that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w:t>
      </w:r>
    </w:p>
    <w:p>
      <w:pPr>
        <w:spacing w:after="0" w:line="15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subject to many variables, and requires significant judgment. It is common for our long-term contracts to contain award fees, incentive fees, or other provisions that can either increase or decrease the transaction price. We include estimated amounts in the transaction price when we believe we have an enforceable right to the modification, the amount can be estimated reliably, and its realization is probable. The estimated amounts are included in the transaction price to the extent it is probable that a significant reversal of cumulative revenue recognized will not occur when the uncertainty associated with the variable consideration is resolved.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48" w:right="339" w:bottom="1440" w:gutter="0" w:footer="0" w:header="0"/>
        </w:sectPr>
      </w:pPr>
    </w:p>
    <w:bookmarkStart w:id="25" w:name="page26"/>
    <w:bookmarkEnd w:id="25"/>
    <w:p>
      <w:pPr>
        <w:ind w:right="20"/>
        <w:spacing w:after="0" w:line="270" w:lineRule="auto"/>
        <w:rPr>
          <w:sz w:val="20"/>
          <w:szCs w:val="20"/>
          <w:color w:val="auto"/>
        </w:rPr>
      </w:pPr>
      <w:r>
        <w:rPr>
          <w:rFonts w:ascii="Arial" w:cs="Arial" w:eastAsia="Arial" w:hAnsi="Arial"/>
          <w:sz w:val="17"/>
          <w:szCs w:val="17"/>
          <w:color w:val="auto"/>
        </w:rPr>
        <w:t>We execute contracts with our customers that clearly describe the equipment, systems, and/or services.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all of which can affect the accuracy of our cost estimates, and ultimately, our future profitability.</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operating loss for the year ended December 31, 2020 was negatively impacted by approximately $(61.6) million, as a result of changes in contract estimates related to projects that were in progress as of December 31, 2019. During the year ended December 31, 2020, we recognized changes in our estimates that had an impact on our margin in the amounts of $(56.5) million and $(5.1) million in our Subsea and Surface Technologies segments, respectively. The changes in contract estimates are attributed to better than expected performance throughout our execution of our projects.</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operating loss for the year ended December 31, 2019 was positively impacted by approximately $ 317.1 million, as a result of changes in contract estimates related to projects that were in progress as of December 31, 2018. During the year ended December 31, 2019, we recognized changes in our estimates that had an impact on our margin in the amounts of $324.7 million and $(7.6) million in our Subsea and Surface Technologies segments, respectively. The changes in contract estimates are attributed to better than expected performance throughout our execution of our projects.</w:t>
      </w:r>
    </w:p>
    <w:p>
      <w:pPr>
        <w:spacing w:after="0" w:line="15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operating profit for the year ended December 31, 2018 was positively impacted by approximately $174.2 million, as a result of changes in contract estimates related to projects that were in progress as of December 31, 2017. During the year ended December 31, 2018, we recognized changes in our estimates that had an impact on our margin in the amounts of $169.9 million and $4.3 million in our Subsea and Surface technologies segments, respectively. The changes in contract estimates are attributed to better than expected performance throughout our execution of our projects.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 valuation allowance to reduce the asset to a value we believe will be recoverable based on our 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908" w:right="379" w:bottom="1440" w:gutter="0" w:footer="0" w:header="0"/>
        </w:sectPr>
      </w:pPr>
    </w:p>
    <w:bookmarkStart w:id="26" w:name="page27"/>
    <w:bookmarkEnd w:id="26"/>
    <w:p>
      <w:pPr>
        <w:ind w:right="60"/>
        <w:spacing w:after="0" w:line="253"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our judgment related to the expected realizability of a deferred tax asset results in an adjustment to the associated valuation allowance.</w:t>
      </w:r>
    </w:p>
    <w:p>
      <w:pPr>
        <w:spacing w:after="0" w:line="15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December 31, 2020, we have provided a valuation allowance against the related deferred tax assets where we believe it is not more likely than not that we will generate future taxable income sufficient to realize such assets.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9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determination of the projected benefit obligations of our pension and other post-retirement benefit plans are important to the recorded amounts of such obligations in our consolidated balance sheets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 timing and amount of cash outflows related to the bonds included in the indices matches estimated defined benefits payments. These measures are critical accounting estimates because they are subject to management’s judgment and can materially affect net income.</w:t>
      </w:r>
    </w:p>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actuarial assumptions and estimates made by management in determining our pension benefit obligations may materially differ from actual results as a result of changing market and economic conditions and changes in plan participant assumptions. While we believe the assumptions and estimates used are appropriate, differences in actual experience or changes in plan participant assumptions may materially affect our financial position or results of operations.</w:t>
      </w:r>
    </w:p>
    <w:p>
      <w:pPr>
        <w:spacing w:after="0" w:line="150"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following table illustrates the sensitivity of changes in the discount rate and expected long-term return on plan assets on pension expense and the projected benefit obligation: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180" w:type="dxa"/>
            <w:vAlign w:val="bottom"/>
            <w:gridSpan w:val="2"/>
          </w:tcPr>
          <w:p>
            <w:pPr>
              <w:ind w:left="1580"/>
              <w:spacing w:after="0"/>
              <w:rPr>
                <w:sz w:val="20"/>
                <w:szCs w:val="20"/>
                <w:color w:val="auto"/>
              </w:rPr>
            </w:pPr>
            <w:r>
              <w:rPr>
                <w:rFonts w:ascii="Arial" w:cs="Arial" w:eastAsia="Arial" w:hAnsi="Arial"/>
                <w:sz w:val="14"/>
                <w:szCs w:val="14"/>
                <w:b w:val="1"/>
                <w:bCs w:val="1"/>
                <w:color w:val="auto"/>
              </w:rPr>
              <w:t>Increase (Decrease) in</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Increase (Decrease) in</w:t>
            </w: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2020 Pension</w:t>
            </w:r>
          </w:p>
        </w:tc>
        <w:tc>
          <w:tcPr>
            <w:tcW w:w="180" w:type="dxa"/>
            <w:vAlign w:val="bottom"/>
          </w:tcPr>
          <w:p>
            <w:pPr>
              <w:spacing w:after="0"/>
              <w:rPr>
                <w:sz w:val="11"/>
                <w:szCs w:val="11"/>
                <w:color w:val="auto"/>
              </w:rPr>
            </w:pPr>
          </w:p>
        </w:tc>
        <w:tc>
          <w:tcPr>
            <w:tcW w:w="14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Projected Benefit</w:t>
            </w:r>
          </w:p>
        </w:tc>
        <w:tc>
          <w:tcPr>
            <w:tcW w:w="0" w:type="dxa"/>
            <w:vAlign w:val="bottom"/>
          </w:tcPr>
          <w:p>
            <w:pPr>
              <w:spacing w:after="0"/>
              <w:rPr>
                <w:sz w:val="1"/>
                <w:szCs w:val="1"/>
                <w:color w:val="auto"/>
              </w:rPr>
            </w:pPr>
          </w:p>
        </w:tc>
      </w:tr>
      <w:tr>
        <w:trPr>
          <w:trHeight w:val="135"/>
        </w:trPr>
        <w:tc>
          <w:tcPr>
            <w:tcW w:w="6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basis points)</w:t>
            </w:r>
          </w:p>
        </w:tc>
        <w:tc>
          <w:tcPr>
            <w:tcW w:w="1720" w:type="dxa"/>
            <w:vAlign w:val="bottom"/>
          </w:tcPr>
          <w:p>
            <w:pPr>
              <w:spacing w:after="0"/>
              <w:rPr>
                <w:sz w:val="11"/>
                <w:szCs w:val="11"/>
                <w:color w:val="auto"/>
              </w:rPr>
            </w:pPr>
          </w:p>
        </w:tc>
        <w:tc>
          <w:tcPr>
            <w:tcW w:w="14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Expense Before</w:t>
            </w:r>
          </w:p>
        </w:tc>
        <w:tc>
          <w:tcPr>
            <w:tcW w:w="180" w:type="dxa"/>
            <w:vAlign w:val="bottom"/>
          </w:tcPr>
          <w:p>
            <w:pPr>
              <w:spacing w:after="0"/>
              <w:rPr>
                <w:sz w:val="11"/>
                <w:szCs w:val="11"/>
                <w:color w:val="auto"/>
              </w:rPr>
            </w:pPr>
          </w:p>
        </w:tc>
        <w:tc>
          <w:tcPr>
            <w:tcW w:w="146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Obligation as of</w:t>
            </w:r>
          </w:p>
        </w:tc>
        <w:tc>
          <w:tcPr>
            <w:tcW w:w="0" w:type="dxa"/>
            <w:vAlign w:val="bottom"/>
          </w:tcPr>
          <w:p>
            <w:pPr>
              <w:spacing w:after="0"/>
              <w:rPr>
                <w:sz w:val="1"/>
                <w:szCs w:val="1"/>
                <w:color w:val="auto"/>
              </w:rPr>
            </w:pPr>
          </w:p>
        </w:tc>
      </w:tr>
      <w:tr>
        <w:trPr>
          <w:trHeight w:val="175"/>
        </w:trPr>
        <w:tc>
          <w:tcPr>
            <w:tcW w:w="638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5"/>
                <w:szCs w:val="15"/>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basis point decrease in discount rate</w:t>
            </w:r>
          </w:p>
        </w:tc>
        <w:tc>
          <w:tcPr>
            <w:tcW w:w="17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25 basis point increase in discount rate</w:t>
            </w:r>
          </w:p>
        </w:tc>
        <w:tc>
          <w:tcPr>
            <w:tcW w:w="1720" w:type="dxa"/>
            <w:vAlign w:val="bottom"/>
          </w:tcPr>
          <w:p>
            <w:pPr>
              <w:ind w:left="1580"/>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928"/>
              <w:spacing w:after="0"/>
              <w:rPr>
                <w:sz w:val="20"/>
                <w:szCs w:val="20"/>
                <w:color w:val="auto"/>
              </w:rPr>
            </w:pPr>
            <w:r>
              <w:rPr>
                <w:rFonts w:ascii="Arial" w:cs="Arial" w:eastAsia="Arial" w:hAnsi="Arial"/>
                <w:sz w:val="14"/>
                <w:szCs w:val="14"/>
                <w:color w:val="auto"/>
              </w:rPr>
              <w:t>(3.3)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basis point decrease in expected long-term rate of return on plan assets</w:t>
            </w:r>
          </w:p>
        </w:tc>
        <w:tc>
          <w:tcPr>
            <w:tcW w:w="17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ind w:left="948"/>
              <w:spacing w:after="0"/>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1"/>
        </w:trPr>
        <w:tc>
          <w:tcPr>
            <w:tcW w:w="6380" w:type="dxa"/>
            <w:vAlign w:val="bottom"/>
          </w:tcPr>
          <w:p>
            <w:pPr>
              <w:ind w:left="20"/>
              <w:spacing w:after="0"/>
              <w:rPr>
                <w:sz w:val="20"/>
                <w:szCs w:val="20"/>
                <w:color w:val="auto"/>
              </w:rPr>
            </w:pPr>
            <w:r>
              <w:rPr>
                <w:rFonts w:ascii="Arial" w:cs="Arial" w:eastAsia="Arial" w:hAnsi="Arial"/>
                <w:sz w:val="14"/>
                <w:szCs w:val="14"/>
                <w:color w:val="auto"/>
              </w:rPr>
              <w:t>25 basis point increase in expected long-term rate of return on plan assets</w:t>
            </w:r>
          </w:p>
        </w:tc>
        <w:tc>
          <w:tcPr>
            <w:tcW w:w="1720" w:type="dxa"/>
            <w:vAlign w:val="bottom"/>
          </w:tcPr>
          <w:p>
            <w:pPr>
              <w:ind w:left="1580"/>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92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6"/>
                <w:szCs w:val="16"/>
                <w:color w:val="auto"/>
              </w:rPr>
            </w:pPr>
          </w:p>
        </w:tc>
        <w:tc>
          <w:tcPr>
            <w:tcW w:w="1460" w:type="dxa"/>
            <w:vAlign w:val="bottom"/>
          </w:tcPr>
          <w:p>
            <w:pPr>
              <w:ind w:left="12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9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See Note 3 to our consolidated financial statements for further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Long-lived assets, including vessels,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 The expected future cash flows used for impairment reviews and related fair value calculations are based on judgmental assessments of revenue, forecasted utilization, operating costs and capital decisions and all available information at the date of review. If future market conditions deteriorate beyond our current expectations and assumptions, impairments of long-lived assets may be identified if we conclude that the carrying amounts are no longer recoverable.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Goodwill represents the excess of cost over the fair market value of net assets acquired in business combinations. Goodwill is not subject to amortization but is tested for impairment at a reporting unit level on an annual basis, or more frequently if impairment indicators arise. We have established October 31 as the date of our annual test for impairment of goodwill.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 Reporting units with goodwill are tested for impairment using a quantitative impairment test.</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using the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954" w:right="359" w:bottom="1440" w:gutter="0" w:footer="0" w:header="0"/>
        </w:sectPr>
      </w:pPr>
    </w:p>
    <w:bookmarkStart w:id="28" w:name="page29"/>
    <w:bookmarkEnd w:id="28"/>
    <w:p>
      <w:pPr>
        <w:ind w:right="2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with a lesser weighting attributed the market multiple approach.</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quarter of 2020 a severe decline in the Company’s market capitalization, significant decline in crude oil prices and the growing pandemic caused by COVID-19 triggered the need for an impairment test at March 31, 2020. We utilized a market approach to measure the fair value of our reporting units as of March 31, 2020. In measuring a fair value of the Company we used the Company’s market capitalization. An appropriate control premium was considered for each of the reporting units and applied to the output of the market approach. An interim impairment test during the first quarter of 2020 resulted in $2,747.5 million and $335.9 million of goodwill impairment charges recorded in our Subsea and Surface Technologies segments, respectively. As a result of the impairment assessment during the first quarter of 2020 the goodwill in our Subsea and Surface Technologies segments was fully impaired as of March 31, 2020.</w:t>
      </w:r>
    </w:p>
    <w:p>
      <w:pPr>
        <w:spacing w:after="0" w:line="15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our 2019 and 2018 annual impairment test the following significant estimates were used by management in determining the fair values of our reporting units in order to test the remaining goodwill at October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of cash flows before terminal value</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Discount rates</w:t>
            </w: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12.5% to 15.0%</w:t>
            </w:r>
          </w:p>
        </w:tc>
        <w:tc>
          <w:tcPr>
            <w:tcW w:w="1560" w:type="dxa"/>
            <w:vAlign w:val="bottom"/>
          </w:tcPr>
          <w:p>
            <w:pPr>
              <w:ind w:left="260"/>
              <w:spacing w:after="0"/>
              <w:rPr>
                <w:sz w:val="20"/>
                <w:szCs w:val="20"/>
                <w:color w:val="auto"/>
              </w:rPr>
            </w:pPr>
            <w:r>
              <w:rPr>
                <w:rFonts w:ascii="Arial" w:cs="Arial" w:eastAsia="Arial" w:hAnsi="Arial"/>
                <w:sz w:val="14"/>
                <w:szCs w:val="14"/>
                <w:color w:val="auto"/>
              </w:rPr>
              <w:t>12.5% to 13.0%</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multiples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7.0 - 8.5x</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8.5 - 11.5x</w:t>
            </w:r>
          </w:p>
        </w:tc>
      </w:tr>
    </w:tbl>
    <w:p>
      <w:pPr>
        <w:spacing w:after="0" w:line="16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During the year ended December 31, 2019, we recorded $1,321.9 million and $666.8 million of goodwill impairment charges in our Subsea and Surface Technologies segments, respectively.</w:t>
      </w:r>
    </w:p>
    <w:p>
      <w:pPr>
        <w:spacing w:after="0" w:line="143" w:lineRule="exact"/>
        <w:rPr>
          <w:sz w:val="20"/>
          <w:szCs w:val="20"/>
          <w:color w:val="auto"/>
        </w:rPr>
      </w:pPr>
    </w:p>
    <w:p>
      <w:pPr>
        <w:ind w:right="940"/>
        <w:spacing w:after="0" w:line="491" w:lineRule="auto"/>
        <w:rPr>
          <w:sz w:val="20"/>
          <w:szCs w:val="20"/>
          <w:color w:val="auto"/>
        </w:rPr>
      </w:pPr>
      <w:r>
        <w:rPr>
          <w:rFonts w:ascii="Arial" w:cs="Arial" w:eastAsia="Arial" w:hAnsi="Arial"/>
          <w:sz w:val="18"/>
          <w:szCs w:val="18"/>
          <w:color w:val="auto"/>
        </w:rPr>
        <w:t xml:space="preserve">During the year ended December 31, 2018, we recorded $1,383.0 million of goodwill impairment charges in our Subsea segment. See Notes 15 and 19 to our consolidated financial statements for further details. </w:t>
      </w:r>
      <w:r>
        <w:rPr>
          <w:rFonts w:ascii="Arial" w:cs="Arial" w:eastAsia="Arial" w:hAnsi="Arial"/>
          <w:sz w:val="18"/>
          <w:szCs w:val="18"/>
          <w:b w:val="1"/>
          <w:bCs w:val="1"/>
          <w:color w:val="auto"/>
        </w:rPr>
        <w:t>OTHER MATTERS</w:t>
      </w:r>
    </w:p>
    <w:p>
      <w:pPr>
        <w:spacing w:after="0" w:line="26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5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instead, provide reports on our anti-corruption program to the Brazilian and U.S. authorities for two and three years, respectively.</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4 to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90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As of December 31, 2020 and 2019, substantially all of our derivative holdings consisted of foreign currency forward contracts and foreign currency instruments embedded in purchase and sale contracts.</w:t>
      </w:r>
    </w:p>
    <w:p>
      <w:pPr>
        <w:spacing w:after="0" w:line="151"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as of December 31, 2020, would have changed our revenue and income before income taxes attributable to TechnipFMC by approximately $326.7 million and $24.1 million, respectively.</w:t>
      </w:r>
    </w:p>
    <w:p>
      <w:pPr>
        <w:spacing w:after="0" w:line="15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our foreign currency forward contracts hedging anticipated transactions that are accounted for as cash flow hedges, a 10% increase in the value of the U.S. dollar would have resulted in an additional loss of $68.4 million in the net fair value of cash flow hedges reflected in our consolidated balance sheet as of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31, 2020, we had commercial paper of approximately $1.0 billion with a weighted average interest rate of 0.41%. Using sensitivity analysis to measure the impact of a 10% adverse movement in the interest rate, or three basis points, would result in an increase to interest expense of $0.4 million.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886" w:right="339" w:bottom="1440" w:gutter="0" w:footer="0" w:header="0"/>
        </w:sectPr>
      </w:pPr>
    </w:p>
    <w:bookmarkStart w:id="31" w:name="page32"/>
    <w:bookmarkEnd w:id="31"/>
    <w:p>
      <w:pPr>
        <w:spacing w:after="0" w:line="268" w:lineRule="auto"/>
        <w:rPr>
          <w:sz w:val="20"/>
          <w:szCs w:val="20"/>
          <w:color w:val="auto"/>
        </w:rPr>
      </w:pPr>
      <w:r>
        <w:rPr>
          <w:rFonts w:ascii="Arial" w:cs="Arial" w:eastAsia="Arial" w:hAnsi="Arial"/>
          <w:sz w:val="17"/>
          <w:szCs w:val="17"/>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do not have significant exposure in the unrealized valuation of our forward foreign currency contracts to relative changes in interest rates between countries in our results of operations. To the extent any one interest rate increases by 10% across all tenors and other countries’ interest rates remain fixed, and assuming no change in discount rates, we would expect to recognize a decrease of $1.5 million in unrealized earnings in the period of change. Based on our portfolio as of December 31, 2020, we have material positions with exposure to interest rates in the United States, Canada, Australia, Brazil, the United Kingdom, Singapore, the European Community, and Norway.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908"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TechnipFMC plc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4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We have audited the accompanying consolidated balance sheets of TechnipFMC plc and its subsidiaries (the “Company”) as of December 31, 2020 and 2019, and the related consolidated statements of income, of comprehensive income, of changes in stockholders’ equity and of cash flows for each of the three years in the period ended December 31, 2020, including the related notes and schedule of valuation and qualifying accounts for each of the three years in the period ended December 31, 2020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20"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Change in Accounting Principle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47"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(not presented herein) appearing under Item 9A of the Company’s 2020 Annual Report on Form 10-K.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jc w:val="both"/>
        <w:ind w:right="580"/>
        <w:spacing w:after="0" w:line="22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048" w:right="359" w:bottom="1440" w:gutter="0" w:footer="0" w:header="0"/>
        </w:sectPr>
      </w:pPr>
    </w:p>
    <w:bookmarkStart w:id="33" w:name="page34"/>
    <w:bookmarkEnd w:id="33"/>
    <w:p>
      <w:pPr>
        <w:ind w:right="100"/>
        <w:spacing w:after="0" w:line="224" w:lineRule="auto"/>
        <w:rPr>
          <w:sz w:val="20"/>
          <w:szCs w:val="20"/>
          <w:color w:val="auto"/>
        </w:rPr>
      </w:pPr>
      <w:r>
        <w:rPr>
          <w:rFonts w:ascii="Arial" w:cs="Arial" w:eastAsia="Arial" w:hAnsi="Arial"/>
          <w:sz w:val="18"/>
          <w:szCs w:val="18"/>
          <w:color w:val="auto"/>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8"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Determination of Estimated Costs to Complete for Long-Term Contracts</w:t>
      </w:r>
    </w:p>
    <w:p>
      <w:pPr>
        <w:spacing w:after="0" w:line="243"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As described in Note 6 (not presented herein) to the consolidated financial statements appearing under Item 8 of the Company’s 2020 Annual Report on Form 10-K, approximately 86% of the total revenue of $13.1 billion for the year ended December 31, 2020 is generated from long-term contracts. As disclosed by management, for the Company’s long-term contracts,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it best depicts the transfer of control to the customer which occurs as the Company incurs costs on the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Due to the nature of the work required to be performed on many of the performance obligations, management’s estimation of total revenue and cost at completion is complex, subject to many variables and requires significant judgment. There are many factors, including, but not limited to, the ability to properly execute the engineering and design phases consistent with customers’ expectations, the availability and costs of labor and materials resources, productivity and weather, all of which can affect the accuracy of cost estimates, and ultimately, future profitability. On February 16, 2021, the Company completed the separation of the Technip Energies business segment. As a result, Technip Energies is presented as discontinued operations in the consolidated statements of income for all periods presented. Therefore, the Company’s revenue of $13.1 billion for the year ended December 31, 2020 is comprised of $6.53 billion from continuing operations and $6.52 billion from discontinued operations.</w:t>
      </w:r>
    </w:p>
    <w:p>
      <w:pPr>
        <w:spacing w:after="0" w:line="21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determination of estimated costs to complete for long-term contracts is a critical audit matter are the significant judgment by management when determining the estimated costs to complete for long-term contracts, which in turn led to a high degree of auditor judgment, subjectivity and effort in performing procedures and evaluating management’s significant assumptions related to the estimates of costs to complete.</w:t>
      </w:r>
    </w:p>
    <w:p>
      <w:pPr>
        <w:spacing w:after="0" w:line="21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costs to complete for long-term contracts. These procedures also included, among others, testing management’s process for determining the estimated costs to complete for a selection of long-term contracts by (i) obtaining executed purchase orders and agreements, (ii) evaluating the appropriateness of the method to measure progress towards completion, (iii) testing the completeness and accuracy of the underlying data used by management, and (iv) evaluating the reasonableness of significant assumptions related to the estimates of costs to complete. Evaluating the reasonableness of significant assumptions involved assessing management’s ability to reasonably estimate costs to complete long-term contracts, as applicable, by (i) performing procedures to assess the reasonableness of estimated costs to complete, (ii) testing management’s process to evaluate the timely identification of circumstances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895" w:right="399" w:bottom="1440" w:gutter="0" w:footer="0" w:header="0"/>
        </w:sectPr>
      </w:pPr>
    </w:p>
    <w:bookmarkStart w:id="34" w:name="page35"/>
    <w:bookmarkEnd w:id="34"/>
    <w:p>
      <w:pPr>
        <w:jc w:val="both"/>
        <w:ind w:right="140"/>
        <w:spacing w:after="0" w:line="229" w:lineRule="auto"/>
        <w:rPr>
          <w:sz w:val="20"/>
          <w:szCs w:val="20"/>
          <w:color w:val="auto"/>
        </w:rPr>
      </w:pPr>
      <w:r>
        <w:rPr>
          <w:rFonts w:ascii="Arial" w:cs="Arial" w:eastAsia="Arial" w:hAnsi="Arial"/>
          <w:sz w:val="18"/>
          <w:szCs w:val="18"/>
          <w:color w:val="auto"/>
        </w:rPr>
        <w:t>which may warrant a modification to a previous cost estimate, (iii) testing management’s process to evaluate contract contingencies relative to the contractual terms and actual progress of contracts, and (iv) performing procedures to assess the reasonableness of changes in life of project margin.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Impairments - Certain Asset Groups in the Subsea and Surface Segments</w:t>
      </w:r>
    </w:p>
    <w:p>
      <w:pPr>
        <w:spacing w:after="0" w:line="243"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As described in Notes 1, 2, 14, and 19 to the consolidated financial statements, the Company’s consolidated net property, plant and equipment was $2,861.8 million as of December 31, 2020 (comprised of $2,756.2 million in continuing operations and $105.6 million in discontinued operations). For the year ended December 31, 2020, the Company recorded impairment charges in relation to certain asset groups in the Subsea and Surface segments in the amount of $88.4 million and $82.0 million, respectively. Management conducts impairment tests on long-lived assets whenever events or changes in circumstances indicate the carrying value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 Due to the substantial decline in global demand for oil caused by the COVID-19 pandemic, management reviewed the corresponding impact on the asset group’s service potential and determined the carrying amount of the asset groups exceeded their fair value. As disclosed by management, the determination of future cash flows as well as the estimated fair value of long-lived assets involves significant estimates on the part of management. The expected future cash flows used for impairment reviews and related fair value calculations are based on judgmental assessments of future revenue, forecasted utilization, operating costs, and capital decisions and all available information at the date of review.</w:t>
      </w:r>
    </w:p>
    <w:p>
      <w:pPr>
        <w:spacing w:after="0" w:line="222"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principal considerations for our determination that performing procedures relating to the long-lived asset impairments – certain asset groups in the Subsea and Surface segments is a critical audit matter are the significant judgment by management when determining the fair value estimates, which in turn led to a high degree of auditor judgment, subjectivity and effort in performing procedures and evaluating management’s significant assumptions related to future revenue for certain asset groups in the Subsea segment and future revenue and operating costs for certain asset groups in the Surface segment.</w:t>
      </w:r>
    </w:p>
    <w:p>
      <w:pPr>
        <w:spacing w:after="0" w:line="21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long-lived assets impairment assessments, including controls over management’s determination of the fair value of certain asset groups in the Subsea and Surface segments. These procedures also included, among others testing management’s process for developing the fair value estimates by (i) evaluating the appropriateness of the method used; (ii) testing the completeness and accuracy of the underlying data used in estimating the net future cash flows; and (iii) evaluating the reasonableness of significant assumptions related to future revenue for certain asset groups in the Subsea segment and future revenue and operating costs for certain asset groups in the Surface segment. Evaluating management’s significant assumptions involved evaluating whether the significant assumptions used by management were reasonable considering the current and past performance of the business in which the assets operate in and whether they were consistent with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Houston, Texas</w:t>
      </w:r>
    </w:p>
    <w:p>
      <w:pPr>
        <w:ind w:right="140"/>
        <w:spacing w:after="0" w:line="235" w:lineRule="auto"/>
        <w:rPr>
          <w:sz w:val="20"/>
          <w:szCs w:val="20"/>
          <w:color w:val="auto"/>
        </w:rPr>
      </w:pPr>
      <w:r>
        <w:rPr>
          <w:rFonts w:ascii="Arial" w:cs="Arial" w:eastAsia="Arial" w:hAnsi="Arial"/>
          <w:sz w:val="18"/>
          <w:szCs w:val="18"/>
          <w:color w:val="auto"/>
        </w:rPr>
        <w:t>March 5, 2021, except with respect to our opinion on the consolidated financial statements insofar as it relates to the effects of discontinued operations discussed in Note 2, as to which the date is September 8,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895"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Service revenue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3,266.8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3,412.0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2,856.7</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3,192.3</w:t>
            </w:r>
          </w:p>
        </w:tc>
      </w:tr>
      <w:tr>
        <w:trPr>
          <w:trHeight w:val="18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Lease revenue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6,271.7</w:t>
            </w:r>
          </w:p>
        </w:tc>
      </w:tr>
      <w:tr>
        <w:trPr>
          <w:trHeight w:val="216"/>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Cost of service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2,946.9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2,769.5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2,365.4</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product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2,618.9</w:t>
            </w: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Cost of lease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143.4</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776.6</w:t>
            </w: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157.3</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 (Note 19)</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1,815.4</w:t>
            </w: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18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10,037.2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9,308.2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7,895.4</w:t>
            </w:r>
          </w:p>
        </w:tc>
      </w:tr>
      <w:tr>
        <w:trPr>
          <w:trHeight w:val="216"/>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r>
      <w:tr>
        <w:trPr>
          <w:trHeight w:val="18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from equity affiliates (Note 12)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interest income, interest expense and income taxes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(1,609.8)</w:t>
            </w: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34.3</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(2,571.1)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(1,723.2)</w:t>
            </w: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income taxes (Note 21)</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(3,518.1)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(1,794.5)</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attributable to non-controlling interests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Loss from continuing operations attributable to TechnipFMC plc</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(3,552.6)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(1,805.4)</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r>
      <w:tr>
        <w:trPr>
          <w:trHeight w:val="18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from discontinued operations attributable to non-controlling interests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0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TechnipFMC plc</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per share from continuing operations attributable to TechnipFMC plc</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16"/>
        </w:trPr>
        <w:tc>
          <w:tcPr>
            <w:tcW w:w="6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Earnings (loss) per share from discontinued operations attributable to TechnipFMC plc</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r>
      <w:tr>
        <w:trPr>
          <w:trHeight w:val="216"/>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loss per share attributable to TechnipFMC plc</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216"/>
        </w:trPr>
        <w:tc>
          <w:tcPr>
            <w:tcW w:w="6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Weighted average shares outstanding (Note 8)</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048" w:right="339" w:bottom="1440" w:gutter="0" w:footer="0" w:header="0"/>
        </w:sectPr>
      </w:pPr>
    </w:p>
    <w:bookmarkStart w:id="36" w:name="page37"/>
    <w:bookmarkEnd w:id="36"/>
    <w:p>
      <w:pPr>
        <w:jc w:val="center"/>
        <w:ind w:right="-11"/>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99"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TechnipFMC plc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(Income) loss from continuing operations attributable to non-controlling interests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attributable to non-controlling interests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TechnipFMC plc, including non-controlling interests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(3,237.9)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(2,412.1)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(1,910.8)</w:t>
            </w:r>
          </w:p>
        </w:tc>
      </w:tr>
      <w:tr>
        <w:trPr>
          <w:trHeight w:val="257"/>
        </w:trPr>
        <w:tc>
          <w:tcPr>
            <w:tcW w:w="6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89"/>
        </w:trPr>
        <w:tc>
          <w:tcPr>
            <w:tcW w:w="6700" w:type="dxa"/>
            <w:vAlign w:val="bottom"/>
          </w:tcPr>
          <w:p>
            <w:pPr>
              <w:ind w:left="140"/>
              <w:spacing w:after="0"/>
              <w:rPr>
                <w:sz w:val="20"/>
                <w:szCs w:val="20"/>
                <w:color w:val="auto"/>
              </w:rPr>
            </w:pPr>
            <w:r>
              <w:rPr>
                <w:rFonts w:ascii="Arial" w:cs="Arial" w:eastAsia="Arial" w:hAnsi="Arial"/>
                <w:sz w:val="14"/>
                <w:szCs w:val="14"/>
                <w:i w:val="1"/>
                <w:iCs w:val="1"/>
                <w:color w:val="auto"/>
              </w:rPr>
              <w:t>Foreign currency translation adjustments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Reclassification adjustment for net gains included in net loss</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183"/>
        </w:trPr>
        <w:tc>
          <w:tcPr>
            <w:tcW w:w="67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Foreign currency translation adjustments</w:t>
            </w:r>
            <w:r>
              <w:rPr>
                <w:rFonts w:ascii="Arial" w:cs="Arial" w:eastAsia="Arial" w:hAnsi="Arial"/>
                <w:sz w:val="18"/>
                <w:szCs w:val="18"/>
                <w:b w:val="1"/>
                <w:bCs w:val="1"/>
                <w:color w:val="auto"/>
                <w:vertAlign w:val="superscript"/>
              </w:rPr>
              <w:t>(a)</w:t>
            </w: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r>
      <w:tr>
        <w:trPr>
          <w:trHeight w:val="256"/>
        </w:trPr>
        <w:tc>
          <w:tcPr>
            <w:tcW w:w="6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gains (losses) on hedging instruments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net losses (gains) included in net income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6700" w:type="dxa"/>
            <w:vAlign w:val="bottom"/>
          </w:tcPr>
          <w:p>
            <w:pPr>
              <w:ind w:left="20"/>
              <w:spacing w:after="0" w:line="182" w:lineRule="exact"/>
              <w:rPr>
                <w:sz w:val="20"/>
                <w:szCs w:val="20"/>
                <w:color w:val="auto"/>
              </w:rPr>
            </w:pPr>
            <w:r>
              <w:rPr>
                <w:rFonts w:ascii="Arial" w:cs="Arial" w:eastAsia="Arial" w:hAnsi="Arial"/>
                <w:sz w:val="14"/>
                <w:szCs w:val="14"/>
                <w:b w:val="1"/>
                <w:bCs w:val="1"/>
                <w:color w:val="auto"/>
              </w:rPr>
              <w:t xml:space="preserve">Net gains (losses) on hedging instruments </w:t>
            </w:r>
            <w:r>
              <w:rPr>
                <w:rFonts w:ascii="Arial" w:cs="Arial" w:eastAsia="Arial" w:hAnsi="Arial"/>
                <w:sz w:val="18"/>
                <w:szCs w:val="18"/>
                <w:b w:val="1"/>
                <w:bCs w:val="1"/>
                <w:color w:val="auto"/>
                <w:vertAlign w:val="superscript"/>
              </w:rPr>
              <w:t>(b)</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(60.7)</w:t>
            </w:r>
          </w:p>
        </w:tc>
      </w:tr>
      <w:tr>
        <w:trPr>
          <w:trHeight w:val="256"/>
        </w:trPr>
        <w:tc>
          <w:tcPr>
            <w:tcW w:w="6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Pension and other post-retirement benefits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losses arising during the period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Prior service cost arising during the period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settlement losses (gains) included in net income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3"/>
        </w:trPr>
        <w:tc>
          <w:tcPr>
            <w:tcW w:w="6700" w:type="dxa"/>
            <w:vAlign w:val="bottom"/>
            <w:tcBorders>
              <w:bottom w:val="single" w:sz="8" w:color="CCEEFF"/>
            </w:tcBorders>
          </w:tcPr>
          <w:p>
            <w:pPr>
              <w:ind w:left="20"/>
              <w:spacing w:after="0" w:line="182" w:lineRule="exact"/>
              <w:rPr>
                <w:sz w:val="20"/>
                <w:szCs w:val="20"/>
                <w:color w:val="auto"/>
              </w:rPr>
            </w:pPr>
            <w:r>
              <w:rPr>
                <w:rFonts w:ascii="Arial" w:cs="Arial" w:eastAsia="Arial" w:hAnsi="Arial"/>
                <w:sz w:val="14"/>
                <w:szCs w:val="14"/>
                <w:b w:val="1"/>
                <w:bCs w:val="1"/>
                <w:color w:val="auto"/>
              </w:rPr>
              <w:t xml:space="preserve">Net pension and other post-retirement benefits </w:t>
            </w:r>
            <w:r>
              <w:rPr>
                <w:rFonts w:ascii="Arial" w:cs="Arial" w:eastAsia="Arial" w:hAnsi="Arial"/>
                <w:sz w:val="18"/>
                <w:szCs w:val="18"/>
                <w:b w:val="1"/>
                <w:bCs w:val="1"/>
                <w:color w:val="auto"/>
                <w:vertAlign w:val="superscript"/>
              </w:rPr>
              <w:t>(c)</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w:t>
            </w:r>
          </w:p>
        </w:tc>
      </w:tr>
      <w:tr>
        <w:trPr>
          <w:trHeight w:val="183"/>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loss, net of tax</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(2,271.4)</w:t>
            </w: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attributable to non-controlling interests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Comprehensive loss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(3,502.6)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(2,463.0)</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(2,277.7)</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12" w:hanging="312"/>
        <w:spacing w:after="0"/>
        <w:tabs>
          <w:tab w:leader="none" w:pos="312"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income tax (expense) benefit of nil, $7.9 and $3.6 for the years ended December 31, 2020, 2019 and 2018, respectively.</w:t>
      </w:r>
    </w:p>
    <w:p>
      <w:pPr>
        <w:spacing w:after="0" w:line="55" w:lineRule="exact"/>
        <w:rPr>
          <w:rFonts w:ascii="Arial" w:cs="Arial" w:eastAsia="Arial" w:hAnsi="Arial"/>
          <w:sz w:val="14"/>
          <w:szCs w:val="14"/>
          <w:color w:val="auto"/>
        </w:rPr>
      </w:pPr>
    </w:p>
    <w:p>
      <w:pPr>
        <w:ind w:left="312" w:hanging="312"/>
        <w:spacing w:after="0"/>
        <w:tabs>
          <w:tab w:leader="none" w:pos="312"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income tax (expense) benefit of $(9.7), $(6.9) and $16.6 for the years ended December 31, 2020, 2019 and 2018, respectively.</w:t>
      </w:r>
    </w:p>
    <w:p>
      <w:pPr>
        <w:spacing w:after="0" w:line="55" w:lineRule="exact"/>
        <w:rPr>
          <w:rFonts w:ascii="Arial" w:cs="Arial" w:eastAsia="Arial" w:hAnsi="Arial"/>
          <w:sz w:val="14"/>
          <w:szCs w:val="14"/>
          <w:color w:val="auto"/>
        </w:rPr>
      </w:pPr>
    </w:p>
    <w:p>
      <w:pPr>
        <w:ind w:left="312" w:hanging="312"/>
        <w:spacing w:after="0"/>
        <w:tabs>
          <w:tab w:leader="none" w:pos="312"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income tax (expense) benefit of $25.5, $20.3 and $15.5 for the years ended December 31, 2020, 2019 and 2018, respectively.</w:t>
      </w: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12"/>
          </w:cols>
          <w:pgMar w:left="328" w:top="1048"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par value data)</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1,269.2</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1,563.1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 of allowances of $40.2 in 2020 and $57.4 in 2019</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1,242.1</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Contract assets, net of allowances of $2.4 in 2020 and $2.5 in 2019</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886.8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 net (Note 9)</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Derivative financial instruments (Note 23)</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268.7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receivable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Advances paid to suppliers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 (Note 10)</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Current assets of discontinued operations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5,725.1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5,561.7</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11,444.7</w:t>
            </w: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11,886.4</w:t>
            </w:r>
          </w:p>
        </w:tc>
        <w:tc>
          <w:tcPr>
            <w:tcW w:w="0" w:type="dxa"/>
            <w:vAlign w:val="bottom"/>
          </w:tcPr>
          <w:p>
            <w:pPr>
              <w:spacing w:after="0"/>
              <w:rPr>
                <w:sz w:val="1"/>
                <w:szCs w:val="1"/>
                <w:color w:val="auto"/>
              </w:rPr>
            </w:pPr>
          </w:p>
        </w:tc>
      </w:tr>
      <w:tr>
        <w:trPr>
          <w:trHeight w:val="183"/>
        </w:trPr>
        <w:tc>
          <w:tcPr>
            <w:tcW w:w="8240" w:type="dxa"/>
            <w:vAlign w:val="bottom"/>
          </w:tcPr>
          <w:p>
            <w:pPr>
              <w:ind w:left="220"/>
              <w:spacing w:after="0"/>
              <w:rPr>
                <w:sz w:val="20"/>
                <w:szCs w:val="20"/>
                <w:color w:val="auto"/>
              </w:rPr>
            </w:pPr>
            <w:r>
              <w:rPr>
                <w:rFonts w:ascii="Arial" w:cs="Arial" w:eastAsia="Arial" w:hAnsi="Arial"/>
                <w:sz w:val="14"/>
                <w:szCs w:val="14"/>
                <w:color w:val="auto"/>
              </w:rPr>
              <w:t>Investments in equity affiliates (Note 12)</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305.5</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plant and equipment, net (Note 14)</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3,040.3</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Operating lease right-of-use assets (Note 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784.9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628.8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Finance lease right-of-use assets (Note 5)</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Goodwill (Note 15)</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3,128.5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assets, net (Note 15)</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958.5</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Deferred income taxes (Note 21)</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financial instruments (Note 23)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Non-current assets of discontinued operations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3,283.5</w:t>
            </w: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3,304.5</w:t>
            </w: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19,692.6</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23,518.8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Liabilities and equity</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 (Note 16)</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624.7</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 (Note 5)</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Finance lease liabilities (Note 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1,046.8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979.2</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payroll</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Derivative financial instruments (Note 23)</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Other current liabilities (Note 10)</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818.3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938.7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liabilities of discontinued operations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6,096.5</w:t>
            </w: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5,868.6</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10,415.2</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10,138.4</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less current portion (Note 16)</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3,328.6</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Operating lease liabilities, less current portion (Note 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632.8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 (Note 21)</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Accrued pension and other post-retirement benefits, less current portion (Note 22)</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268.4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financial instruments (Note 23)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Non-current liabilities of discontinued operations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1,081.3</w:t>
            </w: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1,260.5</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15,434.6</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15,789.6</w:t>
            </w: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Commitments and contingent liabilities (Note 20)</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Mezzanine equity</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Redeemable non-controlling interest</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69"/>
        </w:trPr>
        <w:tc>
          <w:tcPr>
            <w:tcW w:w="8240" w:type="dxa"/>
            <w:vAlign w:val="bottom"/>
          </w:tcPr>
          <w:p>
            <w:pPr>
              <w:ind w:left="20"/>
              <w:spacing w:after="0"/>
              <w:rPr>
                <w:sz w:val="20"/>
                <w:szCs w:val="20"/>
                <w:color w:val="auto"/>
              </w:rPr>
            </w:pPr>
            <w:r>
              <w:rPr>
                <w:rFonts w:ascii="Arial" w:cs="Arial" w:eastAsia="Arial" w:hAnsi="Arial"/>
                <w:sz w:val="14"/>
                <w:szCs w:val="14"/>
                <w:i w:val="1"/>
                <w:iCs w:val="1"/>
                <w:color w:val="auto"/>
              </w:rPr>
              <w:t>Stockholders’ equity (Note 17)</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2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Ordinary shares, $1 par value; 618.3 shares authorized in 2020 and 2019; 449.5 shares and 447.1 shares issued and</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449.5</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outstanding in 2020 and 2019, respectively; nil and 4.0 shares canceled in 2020 and 2019, respectively</w:t>
            </w:r>
          </w:p>
        </w:tc>
        <w:tc>
          <w:tcPr>
            <w:tcW w:w="3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Capital in excess of par value of ordinary shares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10,242.4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10,182.8</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(1,563.1)</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(1,407.5)</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TechnipFMC plc stockholders’ equity</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4,154.2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7,659.3</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of discontinued operations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equity</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4,214.3</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7,688.1</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19,692.6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40" w:top="1112"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TECHNIPFMC PLC AND CONSOLIDATED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70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i w:val="1"/>
                <w:iCs w:val="1"/>
                <w:color w:val="auto"/>
              </w:rPr>
              <w:t>Cash provided (required) by operating activities</w:t>
            </w:r>
          </w:p>
        </w:tc>
        <w:tc>
          <w:tcPr>
            <w:tcW w:w="34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700" w:type="dxa"/>
            <w:vAlign w:val="bottom"/>
          </w:tcPr>
          <w:p>
            <w:pPr>
              <w:ind w:left="20"/>
              <w:spacing w:after="0"/>
              <w:rPr>
                <w:sz w:val="20"/>
                <w:szCs w:val="20"/>
                <w:color w:val="auto"/>
              </w:rPr>
            </w:pPr>
            <w:r>
              <w:rPr>
                <w:rFonts w:ascii="Arial" w:cs="Arial" w:eastAsia="Arial" w:hAnsi="Arial"/>
                <w:sz w:val="11"/>
                <w:szCs w:val="11"/>
                <w:color w:val="auto"/>
              </w:rPr>
              <w:t>Net loss from continuing operations</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(3,518.1)</w:t>
            </w:r>
          </w:p>
        </w:tc>
        <w:tc>
          <w:tcPr>
            <w:tcW w:w="12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(2,650.1)</w:t>
            </w:r>
          </w:p>
        </w:tc>
        <w:tc>
          <w:tcPr>
            <w:tcW w:w="12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(1,794.5)</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Adjustments to reconcile net loss to cash provided (required) by operating activities</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Depreciation</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308.7</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363.0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348.7</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Amortization</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103.4</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104.7</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166.5</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Impairments (Note 19)</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3,273.8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2,480.3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1,782.5</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Employee benefit plan and share-based compensation costs</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36.4</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48.6</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Deferred income tax provision (benefit), net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27.9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Unrealized loss (gain) on derivative instruments and foreign exchange</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22.4</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74.1</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Income from equity affiliates, net of dividends received</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(58.2)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(58.9)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(76.9)</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(97.1)</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40"/>
        </w:trPr>
        <w:tc>
          <w:tcPr>
            <w:tcW w:w="6700" w:type="dxa"/>
            <w:vAlign w:val="bottom"/>
          </w:tcPr>
          <w:p>
            <w:pPr>
              <w:ind w:left="20"/>
              <w:spacing w:after="0"/>
              <w:rPr>
                <w:sz w:val="20"/>
                <w:szCs w:val="20"/>
                <w:color w:val="auto"/>
              </w:rPr>
            </w:pPr>
            <w:r>
              <w:rPr>
                <w:rFonts w:ascii="Arial" w:cs="Arial" w:eastAsia="Arial" w:hAnsi="Arial"/>
                <w:sz w:val="11"/>
                <w:szCs w:val="11"/>
                <w:i w:val="1"/>
                <w:iCs w:val="1"/>
                <w:color w:val="auto"/>
              </w:rPr>
              <w:t>Changes in operating assets and liabilities, net of effects of acquisitions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Trade receivables, net and contract assets</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433.4</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(142.5)</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(311.8)</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Inventories, net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87.4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(173.3)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(340.6)</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Accounts payable, trade</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(236.4)</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(56.1)</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(313.5)</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Contract liabilities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(61.8)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352.0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322.4</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Income taxes payable (receivable), net</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(56.1)</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(31.1)</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(198.0)</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Other current assets and liabilities, net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551.2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509.0</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Other non-current assets and liabilities, net</w:t>
            </w: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(125.0)</w:t>
            </w:r>
          </w:p>
        </w:tc>
        <w:tc>
          <w:tcPr>
            <w:tcW w:w="0" w:type="dxa"/>
            <w:vAlign w:val="bottom"/>
          </w:tcPr>
          <w:p>
            <w:pPr>
              <w:spacing w:after="0"/>
              <w:rPr>
                <w:sz w:val="1"/>
                <w:szCs w:val="1"/>
                <w:color w:val="auto"/>
              </w:rPr>
            </w:pPr>
          </w:p>
        </w:tc>
      </w:tr>
      <w:tr>
        <w:trPr>
          <w:trHeight w:val="133"/>
        </w:trPr>
        <w:tc>
          <w:tcPr>
            <w:tcW w:w="6700" w:type="dxa"/>
            <w:vAlign w:val="bottom"/>
          </w:tcPr>
          <w:p>
            <w:pPr>
              <w:ind w:left="20"/>
              <w:spacing w:after="0"/>
              <w:rPr>
                <w:sz w:val="20"/>
                <w:szCs w:val="20"/>
                <w:color w:val="auto"/>
              </w:rPr>
            </w:pPr>
            <w:r>
              <w:rPr>
                <w:rFonts w:ascii="Arial" w:cs="Arial" w:eastAsia="Arial" w:hAnsi="Arial"/>
                <w:sz w:val="11"/>
                <w:szCs w:val="11"/>
                <w:b w:val="1"/>
                <w:bCs w:val="1"/>
                <w:color w:val="auto"/>
              </w:rPr>
              <w:t>Cash provided by operating activities from continuing operations</w:t>
            </w: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772.4</w:t>
            </w: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357.7</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56.2</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provided (required) by operating activities from discontinued operations</w:t>
            </w: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(115.5)</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490.8</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(241.7)</w:t>
            </w:r>
          </w:p>
        </w:tc>
        <w:tc>
          <w:tcPr>
            <w:tcW w:w="0" w:type="dxa"/>
            <w:vAlign w:val="bottom"/>
          </w:tcPr>
          <w:p>
            <w:pPr>
              <w:spacing w:after="0"/>
              <w:rPr>
                <w:sz w:val="1"/>
                <w:szCs w:val="1"/>
                <w:color w:val="auto"/>
              </w:rPr>
            </w:pPr>
          </w:p>
        </w:tc>
      </w:tr>
      <w:tr>
        <w:trPr>
          <w:trHeight w:val="133"/>
        </w:trPr>
        <w:tc>
          <w:tcPr>
            <w:tcW w:w="6700" w:type="dxa"/>
            <w:vAlign w:val="bottom"/>
          </w:tcPr>
          <w:p>
            <w:pPr>
              <w:ind w:left="20"/>
              <w:spacing w:after="0"/>
              <w:rPr>
                <w:sz w:val="20"/>
                <w:szCs w:val="20"/>
                <w:color w:val="auto"/>
              </w:rPr>
            </w:pPr>
            <w:r>
              <w:rPr>
                <w:rFonts w:ascii="Arial" w:cs="Arial" w:eastAsia="Arial" w:hAnsi="Arial"/>
                <w:sz w:val="11"/>
                <w:szCs w:val="11"/>
                <w:b w:val="1"/>
                <w:bCs w:val="1"/>
                <w:color w:val="auto"/>
              </w:rPr>
              <w:t>Cash provided (required) by operating activities</w:t>
            </w: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656.9</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848.5</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(185.5)</w:t>
            </w: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700" w:type="dxa"/>
            <w:vAlign w:val="bottom"/>
          </w:tcPr>
          <w:p>
            <w:pPr>
              <w:ind w:left="20"/>
              <w:spacing w:after="0"/>
              <w:rPr>
                <w:sz w:val="20"/>
                <w:szCs w:val="20"/>
                <w:color w:val="auto"/>
              </w:rPr>
            </w:pPr>
            <w:r>
              <w:rPr>
                <w:rFonts w:ascii="Arial" w:cs="Arial" w:eastAsia="Arial" w:hAnsi="Arial"/>
                <w:sz w:val="11"/>
                <w:szCs w:val="11"/>
                <w:i w:val="1"/>
                <w:iCs w:val="1"/>
                <w:color w:val="auto"/>
              </w:rPr>
              <w:t>Cash required by investing activities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Capital expenditures</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(256.1)</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(412.7)</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(355.1)</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Payment to acquire debt securities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(71.6)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Proceeds from sale of debt securities</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Acquisitions, net of cash acquired</w:t>
            </w:r>
          </w:p>
        </w:tc>
        <w:tc>
          <w:tcPr>
            <w:tcW w:w="340" w:type="dxa"/>
            <w:vAlign w:val="bottom"/>
          </w:tcPr>
          <w:p>
            <w:pPr>
              <w:spacing w:after="0"/>
              <w:rPr>
                <w:sz w:val="12"/>
                <w:szCs w:val="1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(116.0)</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Cash received from (used by) divestitures</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Proceeds from sale of assets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45.5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Proceeds from repayment of advance to joint venture</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Other</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required by investing activities from continuing operations</w:t>
            </w:r>
          </w:p>
        </w:tc>
        <w:tc>
          <w:tcPr>
            <w:tcW w:w="3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(120.8)</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(378.5)</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(446.5)</w:t>
            </w:r>
          </w:p>
        </w:tc>
        <w:tc>
          <w:tcPr>
            <w:tcW w:w="0" w:type="dxa"/>
            <w:vAlign w:val="bottom"/>
          </w:tcPr>
          <w:p>
            <w:pPr>
              <w:spacing w:after="0"/>
              <w:rPr>
                <w:sz w:val="1"/>
                <w:szCs w:val="1"/>
                <w:color w:val="auto"/>
              </w:rPr>
            </w:pPr>
          </w:p>
        </w:tc>
      </w:tr>
      <w:tr>
        <w:trPr>
          <w:trHeight w:val="142"/>
        </w:trPr>
        <w:tc>
          <w:tcPr>
            <w:tcW w:w="6700" w:type="dxa"/>
            <w:vAlign w:val="bottom"/>
          </w:tcPr>
          <w:p>
            <w:pPr>
              <w:ind w:left="20"/>
              <w:spacing w:after="0"/>
              <w:rPr>
                <w:sz w:val="20"/>
                <w:szCs w:val="20"/>
                <w:color w:val="auto"/>
              </w:rPr>
            </w:pPr>
            <w:r>
              <w:rPr>
                <w:rFonts w:ascii="Arial" w:cs="Arial" w:eastAsia="Arial" w:hAnsi="Arial"/>
                <w:sz w:val="11"/>
                <w:szCs w:val="11"/>
                <w:b w:val="1"/>
                <w:bCs w:val="1"/>
                <w:color w:val="auto"/>
              </w:rPr>
              <w:t>Cash required by investing activities from discontinued operations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(59.8)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(41.3)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required by investing activities</w:t>
            </w: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(180.6)</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(419.8)</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(460.2)</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Cash required by financing activities</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Net decrease in short-term debt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(49.6)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(34.9)</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Net increase (decrease) in commercial paper</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(340.9)</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113.3</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600.6</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Proceeds from issuance of long-term debt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223.2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96.2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Repayments of long-term debt</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(423.9)</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Purchase of ordinary shares</w:t>
            </w:r>
          </w:p>
        </w:tc>
        <w:tc>
          <w:tcPr>
            <w:tcW w:w="340" w:type="dxa"/>
            <w:vAlign w:val="bottom"/>
          </w:tcPr>
          <w:p>
            <w:pPr>
              <w:spacing w:after="0"/>
              <w:rPr>
                <w:sz w:val="12"/>
                <w:szCs w:val="1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(92.7)</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(442.6)</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Dividends paid</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(59.2)</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(232.8)</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(238.1)</w:t>
            </w: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Payments related to taxes withheld on share-based compensation</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Acquisition of non-controlling interest</w:t>
            </w: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6700" w:type="dxa"/>
            <w:vAlign w:val="bottom"/>
          </w:tcPr>
          <w:p>
            <w:pPr>
              <w:ind w:left="20"/>
              <w:spacing w:after="0"/>
              <w:rPr>
                <w:sz w:val="20"/>
                <w:szCs w:val="20"/>
                <w:color w:val="auto"/>
              </w:rPr>
            </w:pPr>
            <w:r>
              <w:rPr>
                <w:rFonts w:ascii="Arial" w:cs="Arial" w:eastAsia="Arial" w:hAnsi="Arial"/>
                <w:sz w:val="11"/>
                <w:szCs w:val="11"/>
                <w:b w:val="1"/>
                <w:bCs w:val="1"/>
                <w:color w:val="auto"/>
              </w:rPr>
              <w:t>Cash required by financing activities from continuing operations</w:t>
            </w: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(651.9)</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(165.6)</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(115.0)</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required by financing activities from discontinued operations</w:t>
            </w: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(430.3)</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(618.8)</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(329.8)</w:t>
            </w:r>
          </w:p>
        </w:tc>
        <w:tc>
          <w:tcPr>
            <w:tcW w:w="0" w:type="dxa"/>
            <w:vAlign w:val="bottom"/>
          </w:tcPr>
          <w:p>
            <w:pPr>
              <w:spacing w:after="0"/>
              <w:rPr>
                <w:sz w:val="1"/>
                <w:szCs w:val="1"/>
                <w:color w:val="auto"/>
              </w:rPr>
            </w:pPr>
          </w:p>
        </w:tc>
      </w:tr>
      <w:tr>
        <w:trPr>
          <w:trHeight w:val="133"/>
        </w:trPr>
        <w:tc>
          <w:tcPr>
            <w:tcW w:w="6700" w:type="dxa"/>
            <w:vAlign w:val="bottom"/>
          </w:tcPr>
          <w:p>
            <w:pPr>
              <w:ind w:left="20"/>
              <w:spacing w:after="0"/>
              <w:rPr>
                <w:sz w:val="20"/>
                <w:szCs w:val="20"/>
                <w:color w:val="auto"/>
              </w:rPr>
            </w:pPr>
            <w:r>
              <w:rPr>
                <w:rFonts w:ascii="Arial" w:cs="Arial" w:eastAsia="Arial" w:hAnsi="Arial"/>
                <w:sz w:val="11"/>
                <w:szCs w:val="11"/>
                <w:b w:val="1"/>
                <w:bCs w:val="1"/>
                <w:color w:val="auto"/>
              </w:rPr>
              <w:t>Cash required by financing activities</w:t>
            </w: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(1,082.2)</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(784.4)</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(444.8)</w:t>
            </w: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Effect of changes in foreign exchange rates on cash and cash equivalents</w:t>
            </w:r>
          </w:p>
        </w:tc>
        <w:tc>
          <w:tcPr>
            <w:tcW w:w="3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223.5</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(106.9)</w:t>
            </w:r>
          </w:p>
        </w:tc>
        <w:tc>
          <w:tcPr>
            <w:tcW w:w="0" w:type="dxa"/>
            <w:vAlign w:val="bottom"/>
          </w:tcPr>
          <w:p>
            <w:pPr>
              <w:spacing w:after="0"/>
              <w:rPr>
                <w:sz w:val="1"/>
                <w:szCs w:val="1"/>
                <w:color w:val="auto"/>
              </w:rPr>
            </w:pPr>
          </w:p>
        </w:tc>
      </w:tr>
      <w:tr>
        <w:trPr>
          <w:trHeight w:val="140"/>
        </w:trPr>
        <w:tc>
          <w:tcPr>
            <w:tcW w:w="6700" w:type="dxa"/>
            <w:vAlign w:val="bottom"/>
          </w:tcPr>
          <w:p>
            <w:pPr>
              <w:ind w:left="140"/>
              <w:spacing w:after="0"/>
              <w:rPr>
                <w:sz w:val="20"/>
                <w:szCs w:val="20"/>
                <w:color w:val="auto"/>
              </w:rPr>
            </w:pPr>
            <w:r>
              <w:rPr>
                <w:rFonts w:ascii="Arial" w:cs="Arial" w:eastAsia="Arial" w:hAnsi="Arial"/>
                <w:sz w:val="11"/>
                <w:szCs w:val="11"/>
                <w:color w:val="auto"/>
              </w:rPr>
              <w:t>Decrease in cash and cash equivalents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(382.4)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(349.8)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(1,197.4)</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in the statement of cash flows, beginning of year</w:t>
            </w: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5,190.2</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5,540.0</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6,737.4</w:t>
            </w:r>
          </w:p>
        </w:tc>
        <w:tc>
          <w:tcPr>
            <w:tcW w:w="0" w:type="dxa"/>
            <w:vAlign w:val="bottom"/>
          </w:tcPr>
          <w:p>
            <w:pPr>
              <w:spacing w:after="0"/>
              <w:rPr>
                <w:sz w:val="1"/>
                <w:szCs w:val="1"/>
                <w:color w:val="auto"/>
              </w:rPr>
            </w:pPr>
          </w:p>
        </w:tc>
      </w:tr>
      <w:tr>
        <w:trPr>
          <w:trHeight w:val="155"/>
        </w:trPr>
        <w:tc>
          <w:tcPr>
            <w:tcW w:w="6700" w:type="dxa"/>
            <w:vAlign w:val="bottom"/>
          </w:tcPr>
          <w:p>
            <w:pPr>
              <w:ind w:left="20"/>
              <w:spacing w:after="0"/>
              <w:rPr>
                <w:sz w:val="20"/>
                <w:szCs w:val="20"/>
                <w:color w:val="auto"/>
              </w:rPr>
            </w:pPr>
            <w:r>
              <w:rPr>
                <w:rFonts w:ascii="Arial" w:cs="Arial" w:eastAsia="Arial" w:hAnsi="Arial"/>
                <w:sz w:val="11"/>
                <w:szCs w:val="11"/>
                <w:color w:val="auto"/>
              </w:rPr>
              <w:t>Cash and cash equivalents in the statement of cash flows, end of year</w:t>
            </w: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4,807.8</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5,190.2</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5,540.0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700" w:type="dxa"/>
            <w:vAlign w:val="bottom"/>
            <w:vMerge w:val="continue"/>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b w:val="1"/>
                <w:bCs w:val="1"/>
                <w:color w:val="auto"/>
              </w:rPr>
              <w:t>2020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70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i w:val="1"/>
                <w:iCs w:val="1"/>
                <w:color w:val="auto"/>
              </w:rPr>
              <w:t>Supplemental disclosures of cash flow information attributable to continuing operations</w:t>
            </w:r>
          </w:p>
        </w:tc>
        <w:tc>
          <w:tcPr>
            <w:tcW w:w="9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700" w:type="dxa"/>
            <w:vAlign w:val="bottom"/>
          </w:tcPr>
          <w:p>
            <w:pPr>
              <w:ind w:left="220"/>
              <w:spacing w:after="0"/>
              <w:rPr>
                <w:sz w:val="20"/>
                <w:szCs w:val="20"/>
                <w:color w:val="auto"/>
              </w:rPr>
            </w:pPr>
            <w:r>
              <w:rPr>
                <w:rFonts w:ascii="Arial" w:cs="Arial" w:eastAsia="Arial" w:hAnsi="Arial"/>
                <w:sz w:val="11"/>
                <w:szCs w:val="11"/>
                <w:color w:val="auto"/>
              </w:rPr>
              <w:t>Cash paid for interest (net of interest capitalized)</w:t>
            </w: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96.0</w:t>
            </w:r>
          </w:p>
        </w:tc>
        <w:tc>
          <w:tcPr>
            <w:tcW w:w="12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91.5</w:t>
            </w:r>
          </w:p>
        </w:tc>
        <w:tc>
          <w:tcPr>
            <w:tcW w:w="12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98.3</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7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paid for income taxes (net of refunds received)</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139.9</w:t>
            </w:r>
          </w:p>
        </w:tc>
        <w:tc>
          <w:tcPr>
            <w:tcW w:w="0" w:type="dxa"/>
            <w:vAlign w:val="bottom"/>
          </w:tcPr>
          <w:p>
            <w:pPr>
              <w:spacing w:after="0"/>
              <w:rPr>
                <w:sz w:val="1"/>
                <w:szCs w:val="1"/>
                <w:color w:val="auto"/>
              </w:rPr>
            </w:pPr>
          </w:p>
        </w:tc>
      </w:tr>
      <w:tr>
        <w:trPr>
          <w:trHeight w:val="22"/>
        </w:trPr>
        <w:tc>
          <w:tcPr>
            <w:tcW w:w="6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40" w:top="1058" w:right="359" w:bottom="1440" w:gutter="0" w:footer="0" w:header="0"/>
        </w:sectPr>
      </w:pPr>
    </w:p>
    <w:bookmarkStart w:id="39" w:name="page40"/>
    <w:bookmarkEnd w:id="39"/>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Sheets to the total of the amounts in the Consolidated Statements of Cash Flows: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70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Cash and cash equivalents</w:t>
            </w: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1,269.2</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1,563.1</w:t>
            </w: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1,713.4</w:t>
            </w:r>
          </w:p>
        </w:tc>
        <w:tc>
          <w:tcPr>
            <w:tcW w:w="0" w:type="dxa"/>
            <w:vAlign w:val="bottom"/>
          </w:tcPr>
          <w:p>
            <w:pPr>
              <w:spacing w:after="0"/>
              <w:rPr>
                <w:sz w:val="1"/>
                <w:szCs w:val="1"/>
                <w:color w:val="auto"/>
              </w:rPr>
            </w:pPr>
          </w:p>
        </w:tc>
      </w:tr>
      <w:tr>
        <w:trPr>
          <w:trHeight w:val="140"/>
        </w:trPr>
        <w:tc>
          <w:tcPr>
            <w:tcW w:w="6700" w:type="dxa"/>
            <w:vAlign w:val="bottom"/>
          </w:tcPr>
          <w:p>
            <w:pPr>
              <w:ind w:left="20"/>
              <w:spacing w:after="0"/>
              <w:rPr>
                <w:sz w:val="20"/>
                <w:szCs w:val="20"/>
                <w:color w:val="auto"/>
              </w:rPr>
            </w:pPr>
            <w:r>
              <w:rPr>
                <w:rFonts w:ascii="Arial" w:cs="Arial" w:eastAsia="Arial" w:hAnsi="Arial"/>
                <w:sz w:val="11"/>
                <w:szCs w:val="11"/>
                <w:color w:val="auto"/>
              </w:rPr>
              <w:t>Cash and cash equivalents attributable to discontinued operations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3,538.6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3,627.1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3,826.6</w:t>
            </w: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6700" w:type="dxa"/>
            <w:vAlign w:val="bottom"/>
            <w:tcBorders>
              <w:bottom w:val="single" w:sz="8" w:color="CCEEFF"/>
            </w:tcBorders>
            <w:shd w:val="clear" w:color="auto" w:fill="CCEEFF"/>
          </w:tcPr>
          <w:p>
            <w:pPr>
              <w:ind w:left="20"/>
              <w:spacing w:after="0" w:line="120" w:lineRule="exact"/>
              <w:rPr>
                <w:sz w:val="20"/>
                <w:szCs w:val="20"/>
                <w:color w:val="auto"/>
              </w:rPr>
            </w:pPr>
            <w:r>
              <w:rPr>
                <w:rFonts w:ascii="Arial" w:cs="Arial" w:eastAsia="Arial" w:hAnsi="Arial"/>
                <w:sz w:val="11"/>
                <w:szCs w:val="11"/>
                <w:color w:val="auto"/>
              </w:rPr>
              <w:t>Total cash and cash equivalents in the statement of cash flows</w:t>
            </w: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4,807.8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5,190.2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5,540.0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Ordinary</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Shares Held in</w:t>
            </w:r>
          </w:p>
        </w:tc>
        <w:tc>
          <w:tcPr>
            <w:tcW w:w="100" w:type="dxa"/>
            <w:vAlign w:val="bottom"/>
          </w:tcPr>
          <w:p>
            <w:pPr>
              <w:spacing w:after="0"/>
              <w:rPr>
                <w:sz w:val="10"/>
                <w:szCs w:val="10"/>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9"/>
              </w:rPr>
              <w:t>Capital in</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Treasury and</w:t>
            </w: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0"/>
                <w:szCs w:val="10"/>
                <w:color w:val="auto"/>
              </w:rPr>
            </w:pPr>
          </w:p>
        </w:tc>
        <w:tc>
          <w:tcPr>
            <w:tcW w:w="100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Employee</w:t>
            </w: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Excess of Par</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0"/>
                <w:szCs w:val="10"/>
                <w:color w:val="auto"/>
              </w:rPr>
            </w:pPr>
          </w:p>
        </w:tc>
        <w:tc>
          <w:tcPr>
            <w:tcW w:w="12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Benefit</w:t>
            </w:r>
          </w:p>
        </w:tc>
        <w:tc>
          <w:tcPr>
            <w:tcW w:w="100" w:type="dxa"/>
            <w:vAlign w:val="bottom"/>
          </w:tcPr>
          <w:p>
            <w:pPr>
              <w:spacing w:after="0"/>
              <w:rPr>
                <w:sz w:val="10"/>
                <w:szCs w:val="10"/>
                <w:color w:val="auto"/>
              </w:rPr>
            </w:pPr>
          </w:p>
        </w:tc>
        <w:tc>
          <w:tcPr>
            <w:tcW w:w="11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Value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20" w:type="dxa"/>
            <w:vAlign w:val="bottom"/>
          </w:tcPr>
          <w:p>
            <w:pPr>
              <w:spacing w:after="0"/>
              <w:rPr>
                <w:sz w:val="10"/>
                <w:szCs w:val="10"/>
                <w:color w:val="auto"/>
              </w:rPr>
            </w:pPr>
          </w:p>
        </w:tc>
        <w:tc>
          <w:tcPr>
            <w:tcW w:w="10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2"/>
        </w:trPr>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Trust</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Ordinary Shares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Deficit)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13,367.4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Adoption of accounting standards (Note 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(91.5)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9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(1,910.8)</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(360.6)</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treasury shares (Note 17)</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(442.8)</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Issuance of ordinary shares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7"/>
        </w:trPr>
        <w:tc>
          <w:tcPr>
            <w:tcW w:w="26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Net sales of ordinary shares for employee</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trust</w:t>
            </w: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($0.52 per share)</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(238.1)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(238.1)</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(Note 17)</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(Note 18)</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10,388.9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Adoption of accounting standards (Note 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9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(2,412.1)</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treasury shares (Note 17)</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Arial" w:cs="Arial" w:eastAsia="Arial" w:hAnsi="Arial"/>
                <w:sz w:val="13"/>
                <w:szCs w:val="13"/>
                <w:color w:val="auto"/>
              </w:rPr>
              <w:t>Issuance of ordinary shares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37"/>
        </w:trPr>
        <w:tc>
          <w:tcPr>
            <w:tcW w:w="266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Net sales of ordinary shares for employee</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trust</w:t>
            </w: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($0.52 per share)</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(232.8)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(232.8)</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(Note 17)</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(Note 18)</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16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20"/>
              <w:spacing w:after="0"/>
              <w:rPr>
                <w:sz w:val="20"/>
                <w:szCs w:val="20"/>
                <w:color w:val="auto"/>
              </w:rPr>
            </w:pPr>
            <w:r>
              <w:rPr>
                <w:rFonts w:ascii="Arial" w:cs="Arial" w:eastAsia="Arial" w:hAnsi="Arial"/>
                <w:sz w:val="13"/>
                <w:szCs w:val="13"/>
                <w:color w:val="auto"/>
              </w:rPr>
              <w:t>Adoption of accounting standards (Note 4)</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9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(3,237.9)</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(214.4)</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ordinary shares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3"/>
                <w:szCs w:val="13"/>
                <w:color w:val="auto"/>
              </w:rPr>
              <w:t>Cash dividends declared ($0.13 per share)</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60"/>
        </w:trPr>
        <w:tc>
          <w:tcPr>
            <w:tcW w:w="2660" w:type="dxa"/>
            <w:vAlign w:val="bottom"/>
          </w:tcPr>
          <w:p>
            <w:pPr>
              <w:ind w:left="20"/>
              <w:spacing w:after="0"/>
              <w:rPr>
                <w:sz w:val="20"/>
                <w:szCs w:val="20"/>
                <w:color w:val="auto"/>
              </w:rPr>
            </w:pPr>
            <w:r>
              <w:rPr>
                <w:rFonts w:ascii="Arial" w:cs="Arial" w:eastAsia="Arial" w:hAnsi="Arial"/>
                <w:sz w:val="13"/>
                <w:szCs w:val="13"/>
                <w:color w:val="auto"/>
              </w:rPr>
              <w:t>(Note 17)</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 (Note 18)</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3"/>
                <w:szCs w:val="13"/>
                <w:color w:val="auto"/>
              </w:rPr>
              <w:t>Acquisition of non-controlling interest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449.5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10,242.4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(4,915.2)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(1,622.5)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4,214.3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320" w:top="1048" w:right="39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7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TechnipFMC plc and consolidated subsidiaries (“TechnipFMC,” “we,” “us” or “our”) is a global leader in oil and gas</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technologies, systems and services through our business segments: Subsea and Surface Technologies. We have manufacturing operations worldwide, strategically located to facilitate delivery of our products, systems and services to our customers.</w:t>
      </w:r>
    </w:p>
    <w:p>
      <w:pPr>
        <w:spacing w:after="0" w:line="12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Our consolidated financial statements were prepared in U.S. dollars and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of America (“GAAP”) and rules and regulations of the Securities and Exchange Commission (“SEC”) pertaining to annual financial information.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2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consolidated financial statements include the accounts of TechnipFMC and its majority-owned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affiliates. Intercompany accounts and transactions are eliminated in consolidation.</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of fair value in business combinations and estimates related to income taxes.</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Investments in the common stock of unconsolidated affiliates - </w:t>
      </w:r>
      <w:r>
        <w:rPr>
          <w:rFonts w:ascii="Arial" w:cs="Arial" w:eastAsia="Arial" w:hAnsi="Arial"/>
          <w:sz w:val="18"/>
          <w:szCs w:val="18"/>
          <w:color w:val="auto"/>
        </w:rPr>
        <w:t>The equity method of accounting is used to account for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affiliates where we have the ability to exert significant influence over the affiliates’ operating and financial policies. We measure equity investments not accounted for under the equity method at fair value and recognize any changes in fair value in net income. For certain construction joint ventures, we use the proportionate consolidation method, whereby our proportionate share of each entity’s assets, liabilities, revenues and expenses are included in the appropriate classifications in the consolidated financial statements. Intercompany balances and transactions have been eliminated in preparing the consolidated financial statements.</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in the consolidated balance sheets. Where no active market exists and where no other valuation method can be used, these financial assets are maintained at cost minus impairment, if any, plus or minus changes resulting from observable price changes in orderly transactions for the identical or a similar investment of the same issuer.</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1048" w:right="399" w:bottom="1440" w:gutter="0" w:footer="0" w:header="0"/>
        </w:sectPr>
      </w:pPr>
    </w:p>
    <w:bookmarkStart w:id="42" w:name="page43"/>
    <w:bookmarkEnd w:id="42"/>
    <w:p>
      <w:pPr>
        <w:spacing w:after="0" w:line="256" w:lineRule="auto"/>
        <w:rPr>
          <w:sz w:val="20"/>
          <w:szCs w:val="20"/>
          <w:color w:val="auto"/>
        </w:rPr>
      </w:pPr>
      <w:r>
        <w:rPr>
          <w:rFonts w:ascii="Arial" w:cs="Arial" w:eastAsia="Arial" w:hAnsi="Arial"/>
          <w:sz w:val="18"/>
          <w:szCs w:val="18"/>
          <w:i w:val="1"/>
          <w:iCs w:val="1"/>
          <w:color w:val="auto"/>
        </w:rPr>
        <w:t xml:space="preserve">Business combinations - </w:t>
      </w:r>
      <w:r>
        <w:rPr>
          <w:rFonts w:ascii="Arial" w:cs="Arial" w:eastAsia="Arial" w:hAnsi="Arial"/>
          <w:sz w:val="18"/>
          <w:szCs w:val="18"/>
          <w:color w:val="auto"/>
        </w:rPr>
        <w:t>Business combinations are accounted for using the acquisition method of accounting. Under the acquisition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acquired assets, assumed liabilities and identifiable intangible assets based on their estimated fair values. Any excess of the purchase price over the estimated fair values of the net assets acquired is recorded as goodwill. Transaction related costs are expensed as incurred.</w:t>
      </w:r>
    </w:p>
    <w:p>
      <w:pPr>
        <w:spacing w:after="0" w:line="133"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i w:val="1"/>
          <w:iCs w:val="1"/>
          <w:color w:val="auto"/>
        </w:rPr>
        <w:t xml:space="preserve">Leases - </w:t>
      </w:r>
      <w:r>
        <w:rPr>
          <w:rFonts w:ascii="Arial" w:cs="Arial" w:eastAsia="Arial" w:hAnsi="Arial"/>
          <w:sz w:val="17"/>
          <w:szCs w:val="17"/>
          <w:color w:val="auto"/>
        </w:rPr>
        <w:t>The majority of our leases are operating leases. We account for leases in accordance with Accounting Standard Codification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(“ASC”)Topic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we adopted on January 1, 2019 using the modified retrospective method. See Note 5 for further details.</w:t>
      </w:r>
    </w:p>
    <w:p>
      <w:pPr>
        <w:spacing w:after="0" w:line="8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The majority of our revenue is derived from long-term contracts that can span several years. We account for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See Note 6 for further details.</w:t>
      </w:r>
    </w:p>
    <w:p>
      <w:pPr>
        <w:spacing w:after="0" w:line="12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 xml:space="preserve">Contract costs to obtain a contract - </w:t>
      </w:r>
      <w:r>
        <w:rPr>
          <w:rFonts w:ascii="Arial" w:cs="Arial" w:eastAsia="Arial" w:hAnsi="Arial"/>
          <w:sz w:val="18"/>
          <w:szCs w:val="18"/>
          <w:color w:val="auto"/>
        </w:rPr>
        <w:t>Our incremental direct costs of obtaining a contract are deferred and amortized over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other current assets and other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in our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commissions is included in selling, general and administrative expenses in our consolidated statements of income.</w:t>
      </w:r>
    </w:p>
    <w:p>
      <w:pPr>
        <w:spacing w:after="0" w:line="15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Cash equivalents are highly-liquid, short-term investments with original maturities of three months or less from their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Trade receivables, net of allowances - </w:t>
      </w:r>
      <w:r>
        <w:rPr>
          <w:rFonts w:ascii="Arial" w:cs="Arial" w:eastAsia="Arial" w:hAnsi="Arial"/>
          <w:sz w:val="18"/>
          <w:szCs w:val="18"/>
          <w:color w:val="auto"/>
        </w:rPr>
        <w:t>An allowance for doubtful accounts is provided on receivables equal to the estimated uncollectible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and is calculated based on loss rates from historical data. We develop loss-rate statistics on the basis of the amount written off over the life of the receivable and adjust these historical credit loss trends for forward-looking factors specific to the debtors and the economic environment to determine lifetime expected losses.</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net realizable value, except as it relates to inventory measured using the last-in,</w:t>
      </w:r>
      <w:r>
        <w:rPr>
          <w:rFonts w:ascii="Arial" w:cs="Arial" w:eastAsia="Arial" w:hAnsi="Arial"/>
          <w:sz w:val="18"/>
          <w:szCs w:val="18"/>
          <w:i w:val="1"/>
          <w:iCs w:val="1"/>
          <w:color w:val="auto"/>
        </w:rPr>
        <w:t xml:space="preserve"> </w:t>
      </w:r>
      <w:r>
        <w:rPr>
          <w:rFonts w:ascii="Arial" w:cs="Arial" w:eastAsia="Arial" w:hAnsi="Arial"/>
          <w:sz w:val="18"/>
          <w:szCs w:val="18"/>
          <w:color w:val="auto"/>
        </w:rPr>
        <w:t>first-out (“LIFO”) 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(“FIFO”) or weighted average methods are used to determine the cost for the remaining inventories. Write-down of inventories is recorded when the net realizable value of inventories is lower than their net book value.</w:t>
      </w:r>
    </w:p>
    <w:p>
      <w:pPr>
        <w:spacing w:after="0" w:line="13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is recorded at cost. Depreciation is principally provided on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over the estimated useful lives of the assets (vessels - 10 to 30 years; buildings - 10 to 50 years; and machinery and equipment - 3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12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Impairment of property, plant and equipment - </w:t>
      </w:r>
      <w:r>
        <w:rPr>
          <w:rFonts w:ascii="Arial" w:cs="Arial" w:eastAsia="Arial" w:hAnsi="Arial"/>
          <w:sz w:val="18"/>
          <w:szCs w:val="18"/>
          <w:color w:val="auto"/>
        </w:rPr>
        <w:t>Property, plant and equipment are reviewed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890" w:right="339" w:bottom="1440" w:gutter="0" w:footer="0" w:header="0"/>
        </w:sectPr>
      </w:pPr>
    </w:p>
    <w:bookmarkStart w:id="43" w:name="page44"/>
    <w:bookmarkEnd w:id="43"/>
    <w:p>
      <w:pPr>
        <w:spacing w:after="0" w:line="254"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not subject to amortization but is tested for impairment on an annual basis (or more frequently if impairment indicators</w:t>
      </w:r>
      <w:r>
        <w:rPr>
          <w:rFonts w:ascii="Arial" w:cs="Arial" w:eastAsia="Arial" w:hAnsi="Arial"/>
          <w:sz w:val="18"/>
          <w:szCs w:val="18"/>
          <w:i w:val="1"/>
          <w:iCs w:val="1"/>
          <w:color w:val="auto"/>
        </w:rPr>
        <w:t xml:space="preserve"> </w:t>
      </w:r>
      <w:r>
        <w:rPr>
          <w:rFonts w:ascii="Arial" w:cs="Arial" w:eastAsia="Arial" w:hAnsi="Arial"/>
          <w:sz w:val="18"/>
          <w:szCs w:val="18"/>
          <w:color w:val="auto"/>
        </w:rPr>
        <w:t>arise) by 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15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Our acquired intangible assets are generally amortized on a straight-line basis over their estimated useful lives,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range from 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3 to 10 years. For Internet website costs, the estimated useful lives do not exceed 3 years.</w:t>
      </w:r>
    </w:p>
    <w:p>
      <w:pPr>
        <w:spacing w:after="0" w:line="15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Research and development expense is expensed as incurred. Research and development expense includes improvement of existing products and services, design and development of new products and services and test of new technologies.</w:t>
      </w:r>
    </w:p>
    <w:p>
      <w:pPr>
        <w:spacing w:after="0" w:line="12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Debt instruments - </w:t>
      </w:r>
      <w:r>
        <w:rPr>
          <w:rFonts w:ascii="Arial" w:cs="Arial" w:eastAsia="Arial" w:hAnsi="Arial"/>
          <w:sz w:val="18"/>
          <w:szCs w:val="18"/>
          <w:color w:val="auto"/>
        </w:rPr>
        <w:t>Debt instruments include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premium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Fair value measurements - </w:t>
      </w:r>
      <w:r>
        <w:rPr>
          <w:rFonts w:ascii="Arial" w:cs="Arial" w:eastAsia="Arial" w:hAnsi="Arial"/>
          <w:sz w:val="18"/>
          <w:szCs w:val="18"/>
          <w:color w:val="auto"/>
        </w:rPr>
        <w:t>Fair value is defined as the price that would be received to sell an asset or paid to transfer a liability (an exit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13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71" w:lineRule="exact"/>
        <w:rPr>
          <w:rFonts w:ascii="Arial" w:cs="Arial" w:eastAsia="Arial" w:hAnsi="Arial"/>
          <w:sz w:val="18"/>
          <w:szCs w:val="18"/>
          <w:color w:val="auto"/>
        </w:rPr>
      </w:pPr>
    </w:p>
    <w:p>
      <w:pPr>
        <w:ind w:right="100" w:firstLine="8"/>
        <w:spacing w:after="0" w:line="282" w:lineRule="auto"/>
        <w:tabs>
          <w:tab w:leader="none" w:pos="643"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markets or quoted prices for identical assets or liabilities in inactive markets.</w:t>
      </w:r>
    </w:p>
    <w:p>
      <w:pPr>
        <w:spacing w:after="0" w:line="107" w:lineRule="exact"/>
        <w:rPr>
          <w:rFonts w:ascii="Arial" w:cs="Arial" w:eastAsia="Arial" w:hAnsi="Arial"/>
          <w:sz w:val="18"/>
          <w:szCs w:val="18"/>
          <w:i w:val="1"/>
          <w:iCs w:val="1"/>
          <w:color w:val="auto"/>
        </w:rPr>
      </w:pPr>
    </w:p>
    <w:p>
      <w:pPr>
        <w:ind w:right="320" w:firstLine="8"/>
        <w:spacing w:after="0" w:line="282" w:lineRule="auto"/>
        <w:tabs>
          <w:tab w:leader="none" w:pos="643"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890" w:right="359" w:bottom="1440" w:gutter="0" w:footer="0" w:header="0"/>
        </w:sectPr>
      </w:pPr>
    </w:p>
    <w:bookmarkStart w:id="44" w:name="page45"/>
    <w:bookmarkEnd w:id="44"/>
    <w:p>
      <w:pPr>
        <w:spacing w:after="0" w:line="258"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Current income taxes are provided on income reported for financial statement purposes, adjusted for transactions that do not</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the 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4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4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Share-based compensation - </w:t>
      </w:r>
      <w:r>
        <w:rPr>
          <w:rFonts w:ascii="Arial" w:cs="Arial" w:eastAsia="Arial" w:hAnsi="Arial"/>
          <w:sz w:val="18"/>
          <w:szCs w:val="18"/>
          <w:color w:val="auto"/>
        </w:rPr>
        <w:t>The measurement of share-based compensation expense on restricted share awards and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is based on the market price at the grant date and the number of shares awarded. We use Black-Scholes options pricing model to measure the fair value of stock options granted on or after January 1, 2017. The stock-based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1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Earnings per ordinary share (“EPS”) - </w:t>
      </w:r>
      <w:r>
        <w:rPr>
          <w:rFonts w:ascii="Arial" w:cs="Arial" w:eastAsia="Arial" w:hAnsi="Arial"/>
          <w:sz w:val="18"/>
          <w:szCs w:val="18"/>
          <w:color w:val="auto"/>
        </w:rPr>
        <w:t>Basic EPS is computed using the weighted-average number of ordinary shares outstanding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use 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Financial statements of operations for which the U.S. dollar is not the functional currency, and which are located in non-highly 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highly inflationary economies are included in interest income or expense.</w:t>
      </w:r>
    </w:p>
    <w:p>
      <w:pPr>
        <w:spacing w:after="0" w:line="14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5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During 2018, Argentina’s three year cumulative inflation rate exceeded 100% based on published inflation data, and effective July 1, 2018, Argentina’s currency was considered highly inflationary. Our local operations in Argentina use U.S. dollars as the functional currency and both monetary and non-monetary assets and liabilities denominated in Argentina pesos were remeasured into U.S. dollars with gains and losses resulting from foreign currency transactions included in current results of operations. This event did not have a material impact on TechnipFMC’s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890" w:right="379" w:bottom="1440" w:gutter="0" w:footer="0" w:header="0"/>
        </w:sectPr>
      </w:pPr>
    </w:p>
    <w:bookmarkStart w:id="45" w:name="page46"/>
    <w:bookmarkEnd w:id="45"/>
    <w:p>
      <w:pPr>
        <w:ind w:right="20"/>
        <w:spacing w:after="0" w:line="261" w:lineRule="auto"/>
        <w:rPr>
          <w:sz w:val="20"/>
          <w:szCs w:val="20"/>
          <w:color w:val="auto"/>
        </w:rPr>
      </w:pPr>
      <w:r>
        <w:rPr>
          <w:rFonts w:ascii="Arial" w:cs="Arial" w:eastAsia="Arial" w:hAnsi="Arial"/>
          <w:sz w:val="18"/>
          <w:szCs w:val="18"/>
          <w:i w:val="1"/>
          <w:iCs w:val="1"/>
          <w:color w:val="auto"/>
        </w:rPr>
        <w:t xml:space="preserve">Derivative instruments - </w:t>
      </w:r>
      <w:r>
        <w:rPr>
          <w:rFonts w:ascii="Arial" w:cs="Arial" w:eastAsia="Arial" w:hAnsi="Arial"/>
          <w:sz w:val="18"/>
          <w:szCs w:val="18"/>
          <w:color w:val="auto"/>
        </w:rPr>
        <w:t>Derivatives are recognized on the consolidated balance sheets at fair value, with classification as current or non-current 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4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prior-year amounts have been reclassified to conform to the current year’s presentation.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19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 August 26, 2019, we announced our intention to separate into two diversified pure-play market leaders – TechnipFMC, focused on subsea and surface hydrocarbon production, and Technip Energies, focused on downstream engineering, procurement, and construction project execution. Due to the COVID-19 pandemic, a significant decline in commodity prices, and the heightened volatility in global equity markets, on March 15, 2020, we announced the postponement of the completion of the transaction until the markets sufficiently recover. On January 7, 2021, we announced the resumption of activity toward completion of the transaction based on increased clarity in the market outlook and our demonstrated ability to successfully execute projects.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February 16, 2021, we completed the separation of the Technip Energies business segment. The transaction was structured as a spin-off (the “Spin-off”), which occurred by way of a pro rata dividend (the “Distribution”) to our shareholders of 50.1 percent of the outstanding shares of Technip Energies N.V. Each of our shareholders received one ordinary share of Technip Energies N.V. for every five ordinary shares of TechnipFMC held at 5:00 p.m., New York City time on the record date, February 17, 2021. Technip Energies N.V. is now an independent public company and its shares trade under the ticker symbol “TE” on the Euronext Paris stock exchange.</w:t>
      </w:r>
    </w:p>
    <w:p>
      <w:pPr>
        <w:spacing w:after="0" w:line="14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connection with the Spin-off, TechnipFMC and Technip Energies entered into a separation and distribution agreement, as well as various other agreements, including among others a tax matters agreement, an employee matters agreement and a transition services agreement and certain agreements relating to intellectual property. These agreements provide for the allocation between TechnipFMC and Technip Energies of assets, employees, liabilities and obligations attributable to periods prior to, at and after the Spin-off.</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Immediately following the completion of the Spin-off, we owned 49.9% of the outstanding shares of Technip Energies. At the Spin-off date, on initial recognition of the investment, we elected to account for our investment in Technip Energies at fair value with all subsequent changes in fair value for the investment reported in our consolidated statement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Spin-off represented a strategic shift that will have a major impact to our operations and consolidated financial statements. Accordingly Technip Energies has been presented as discontinued operations in our consolidated statements of income, consolidated balance sheets and consolidated statements of cash flows for the years ended December 31, 2020, 2019 and 2018. Our consolidated statements of income, consolidated balance sheets and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890" w:right="339" w:bottom="1440" w:gutter="0" w:footer="0" w:header="0"/>
        </w:sectPr>
      </w:pPr>
    </w:p>
    <w:bookmarkStart w:id="46" w:name="page47"/>
    <w:bookmarkEnd w:id="46"/>
    <w:p>
      <w:pPr>
        <w:ind w:right="60"/>
        <w:spacing w:after="0" w:line="261" w:lineRule="auto"/>
        <w:rPr>
          <w:sz w:val="20"/>
          <w:szCs w:val="20"/>
          <w:color w:val="auto"/>
        </w:rPr>
      </w:pPr>
      <w:r>
        <w:rPr>
          <w:rFonts w:ascii="Arial" w:cs="Arial" w:eastAsia="Arial" w:hAnsi="Arial"/>
          <w:sz w:val="18"/>
          <w:szCs w:val="18"/>
          <w:color w:val="auto"/>
        </w:rPr>
        <w:t>consolidated statements of cash flows and notes to the consolidated financial statements have been updated to reflect continuing operations only.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income from discontinued operations, net of tax: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6,458.9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6,281.2</w:t>
            </w:r>
          </w:p>
        </w:tc>
      </w:tr>
      <w:tr>
        <w:trPr>
          <w:trHeight w:val="189"/>
        </w:trPr>
        <w:tc>
          <w:tcPr>
            <w:tcW w:w="6540" w:type="dxa"/>
            <w:vAlign w:val="bottom"/>
            <w:gridSpan w:val="2"/>
          </w:tcPr>
          <w:p>
            <w:pPr>
              <w:ind w:left="220"/>
              <w:spacing w:after="0"/>
              <w:rPr>
                <w:sz w:val="20"/>
                <w:szCs w:val="20"/>
                <w:color w:val="auto"/>
              </w:rPr>
            </w:pPr>
            <w:r>
              <w:rPr>
                <w:rFonts w:ascii="Arial" w:cs="Arial" w:eastAsia="Arial" w:hAnsi="Arial"/>
                <w:sz w:val="14"/>
                <w:szCs w:val="14"/>
                <w:color w:val="auto"/>
              </w:rPr>
              <w:t>Costs and expenses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(5,899.0)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(5,627.6)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(5,575.1)</w:t>
            </w: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and (expense), net</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(471.0)</w:t>
            </w:r>
          </w:p>
        </w:tc>
      </w:tr>
      <w:tr>
        <w:trPr>
          <w:trHeight w:val="183"/>
        </w:trPr>
        <w:tc>
          <w:tcPr>
            <w:tcW w:w="6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from discontinued operations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435.3</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8"/>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discontinued operations, net of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189"/>
        </w:trPr>
        <w:tc>
          <w:tcPr>
            <w:tcW w:w="678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189"/>
        </w:trPr>
        <w:tc>
          <w:tcPr>
            <w:tcW w:w="6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190"/>
        </w:trPr>
        <w:tc>
          <w:tcPr>
            <w:tcW w:w="67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of discontinued operations are summarized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3,538.6</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3,627.1</w:t>
            </w:r>
          </w:p>
        </w:tc>
      </w:tr>
      <w:tr>
        <w:trPr>
          <w:trHeight w:val="189"/>
        </w:trPr>
        <w:tc>
          <w:tcPr>
            <w:tcW w:w="8260" w:type="dxa"/>
            <w:vAlign w:val="bottom"/>
            <w:shd w:val="clear" w:color="auto" w:fill="BFE4FF"/>
          </w:tcPr>
          <w:p>
            <w:pPr>
              <w:ind w:left="140"/>
              <w:spacing w:after="0"/>
              <w:rPr>
                <w:sz w:val="20"/>
                <w:szCs w:val="20"/>
                <w:color w:val="auto"/>
              </w:rPr>
            </w:pPr>
            <w:r>
              <w:rPr>
                <w:rFonts w:ascii="Arial" w:cs="Arial" w:eastAsia="Arial" w:hAnsi="Arial"/>
                <w:sz w:val="14"/>
                <w:szCs w:val="14"/>
                <w:color w:val="auto"/>
              </w:rPr>
              <w:t>Trade receivables, net of allowances</w:t>
            </w:r>
          </w:p>
        </w:tc>
        <w:tc>
          <w:tcPr>
            <w:tcW w:w="340" w:type="dxa"/>
            <w:vAlign w:val="bottom"/>
            <w:shd w:val="clear" w:color="auto" w:fill="BFE4FF"/>
          </w:tcPr>
          <w:p>
            <w:pPr>
              <w:spacing w:after="0"/>
              <w:rPr>
                <w:sz w:val="16"/>
                <w:szCs w:val="16"/>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1,302.1</w:t>
            </w:r>
          </w:p>
        </w:tc>
        <w:tc>
          <w:tcPr>
            <w:tcW w:w="100" w:type="dxa"/>
            <w:vAlign w:val="bottom"/>
            <w:shd w:val="clear" w:color="auto" w:fill="BFE4FF"/>
          </w:tcPr>
          <w:p>
            <w:pPr>
              <w:spacing w:after="0"/>
              <w:rPr>
                <w:sz w:val="16"/>
                <w:szCs w:val="16"/>
                <w:color w:val="auto"/>
              </w:rPr>
            </w:pPr>
          </w:p>
        </w:tc>
        <w:tc>
          <w:tcPr>
            <w:tcW w:w="500" w:type="dxa"/>
            <w:vAlign w:val="bottom"/>
            <w:shd w:val="clear" w:color="auto" w:fill="BFE4FF"/>
          </w:tcPr>
          <w:p>
            <w:pPr>
              <w:spacing w:after="0"/>
              <w:rPr>
                <w:sz w:val="16"/>
                <w:szCs w:val="16"/>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1,045.0</w:t>
            </w: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Contract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437.2</w:t>
            </w:r>
          </w:p>
        </w:tc>
      </w:tr>
      <w:tr>
        <w:trPr>
          <w:trHeight w:val="189"/>
        </w:trPr>
        <w:tc>
          <w:tcPr>
            <w:tcW w:w="8260" w:type="dxa"/>
            <w:vAlign w:val="bottom"/>
            <w:shd w:val="clear" w:color="auto" w:fill="BFE4FF"/>
          </w:tcPr>
          <w:p>
            <w:pPr>
              <w:ind w:left="14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shd w:val="clear" w:color="auto" w:fill="BFE4FF"/>
          </w:tcPr>
          <w:p>
            <w:pPr>
              <w:spacing w:after="0"/>
              <w:rPr>
                <w:sz w:val="16"/>
                <w:szCs w:val="16"/>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503.6</w:t>
            </w:r>
          </w:p>
        </w:tc>
        <w:tc>
          <w:tcPr>
            <w:tcW w:w="100" w:type="dxa"/>
            <w:vAlign w:val="bottom"/>
            <w:shd w:val="clear" w:color="auto" w:fill="BFE4FF"/>
          </w:tcPr>
          <w:p>
            <w:pPr>
              <w:spacing w:after="0"/>
              <w:rPr>
                <w:sz w:val="16"/>
                <w:szCs w:val="16"/>
                <w:color w:val="auto"/>
              </w:rPr>
            </w:pPr>
          </w:p>
        </w:tc>
        <w:tc>
          <w:tcPr>
            <w:tcW w:w="500" w:type="dxa"/>
            <w:vAlign w:val="bottom"/>
            <w:tcBorders>
              <w:bottom w:val="single" w:sz="8" w:color="auto"/>
            </w:tcBorders>
            <w:shd w:val="clear" w:color="auto" w:fill="BFE4FF"/>
          </w:tcPr>
          <w:p>
            <w:pPr>
              <w:spacing w:after="0"/>
              <w:rPr>
                <w:sz w:val="16"/>
                <w:szCs w:val="16"/>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452.4</w:t>
            </w:r>
          </w:p>
        </w:tc>
      </w:tr>
      <w:tr>
        <w:trPr>
          <w:trHeight w:val="183"/>
        </w:trPr>
        <w:tc>
          <w:tcPr>
            <w:tcW w:w="8260" w:type="dxa"/>
            <w:vAlign w:val="bottom"/>
          </w:tcPr>
          <w:p>
            <w:pPr>
              <w:ind w:left="240"/>
              <w:spacing w:after="0"/>
              <w:rPr>
                <w:sz w:val="20"/>
                <w:szCs w:val="20"/>
                <w:color w:val="auto"/>
              </w:rPr>
            </w:pPr>
            <w:r>
              <w:rPr>
                <w:rFonts w:ascii="Arial" w:cs="Arial" w:eastAsia="Arial" w:hAnsi="Arial"/>
                <w:sz w:val="14"/>
                <w:szCs w:val="14"/>
                <w:color w:val="auto"/>
              </w:rPr>
              <w:t>Total current assets of discontinued operations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5,725.1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5,561.7</w:t>
            </w:r>
          </w:p>
        </w:tc>
      </w:tr>
      <w:tr>
        <w:trPr>
          <w:trHeight w:val="189"/>
        </w:trPr>
        <w:tc>
          <w:tcPr>
            <w:tcW w:w="8260" w:type="dxa"/>
            <w:vAlign w:val="bottom"/>
            <w:shd w:val="clear" w:color="auto" w:fill="BFE4FF"/>
          </w:tcPr>
          <w:p>
            <w:pPr>
              <w:ind w:left="140"/>
              <w:spacing w:after="0"/>
              <w:rPr>
                <w:sz w:val="20"/>
                <w:szCs w:val="20"/>
                <w:color w:val="auto"/>
              </w:rPr>
            </w:pPr>
            <w:r>
              <w:rPr>
                <w:rFonts w:ascii="Arial" w:cs="Arial" w:eastAsia="Arial" w:hAnsi="Arial"/>
                <w:sz w:val="14"/>
                <w:szCs w:val="14"/>
                <w:color w:val="auto"/>
              </w:rPr>
              <w:t>Property, plant and equipment, net of accumulated depreciation</w:t>
            </w:r>
          </w:p>
        </w:tc>
        <w:tc>
          <w:tcPr>
            <w:tcW w:w="340" w:type="dxa"/>
            <w:vAlign w:val="bottom"/>
            <w:shd w:val="clear" w:color="auto" w:fill="BFE4FF"/>
          </w:tcPr>
          <w:p>
            <w:pPr>
              <w:spacing w:after="0"/>
              <w:rPr>
                <w:sz w:val="16"/>
                <w:szCs w:val="16"/>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shd w:val="clear" w:color="auto" w:fill="BFE4FF"/>
          </w:tcPr>
          <w:p>
            <w:pPr>
              <w:spacing w:after="0"/>
              <w:rPr>
                <w:sz w:val="16"/>
                <w:szCs w:val="16"/>
                <w:color w:val="auto"/>
              </w:rPr>
            </w:pPr>
          </w:p>
        </w:tc>
        <w:tc>
          <w:tcPr>
            <w:tcW w:w="500" w:type="dxa"/>
            <w:vAlign w:val="bottom"/>
            <w:shd w:val="clear" w:color="auto" w:fill="BFE4FF"/>
          </w:tcPr>
          <w:p>
            <w:pPr>
              <w:spacing w:after="0"/>
              <w:rPr>
                <w:sz w:val="16"/>
                <w:szCs w:val="16"/>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121.7</w:t>
            </w: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2,469.8</w:t>
            </w:r>
          </w:p>
        </w:tc>
      </w:tr>
      <w:tr>
        <w:trPr>
          <w:trHeight w:val="189"/>
        </w:trPr>
        <w:tc>
          <w:tcPr>
            <w:tcW w:w="8260" w:type="dxa"/>
            <w:vAlign w:val="bottom"/>
            <w:shd w:val="clear" w:color="auto" w:fill="BFE4FF"/>
          </w:tcPr>
          <w:p>
            <w:pPr>
              <w:ind w:left="14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BFE4FF"/>
          </w:tcPr>
          <w:p>
            <w:pPr>
              <w:spacing w:after="0"/>
              <w:rPr>
                <w:sz w:val="16"/>
                <w:szCs w:val="16"/>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665.4</w:t>
            </w:r>
          </w:p>
        </w:tc>
        <w:tc>
          <w:tcPr>
            <w:tcW w:w="100" w:type="dxa"/>
            <w:vAlign w:val="bottom"/>
            <w:shd w:val="clear" w:color="auto" w:fill="BFE4FF"/>
          </w:tcPr>
          <w:p>
            <w:pPr>
              <w:spacing w:after="0"/>
              <w:rPr>
                <w:sz w:val="16"/>
                <w:szCs w:val="16"/>
                <w:color w:val="auto"/>
              </w:rPr>
            </w:pPr>
          </w:p>
        </w:tc>
        <w:tc>
          <w:tcPr>
            <w:tcW w:w="500" w:type="dxa"/>
            <w:vAlign w:val="bottom"/>
            <w:tcBorders>
              <w:bottom w:val="single" w:sz="8" w:color="auto"/>
            </w:tcBorders>
            <w:shd w:val="clear" w:color="auto" w:fill="BFE4FF"/>
          </w:tcPr>
          <w:p>
            <w:pPr>
              <w:spacing w:after="0"/>
              <w:rPr>
                <w:sz w:val="16"/>
                <w:szCs w:val="16"/>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713.0</w:t>
            </w:r>
          </w:p>
        </w:tc>
      </w:tr>
      <w:tr>
        <w:trPr>
          <w:trHeight w:val="182"/>
        </w:trPr>
        <w:tc>
          <w:tcPr>
            <w:tcW w:w="8260" w:type="dxa"/>
            <w:vAlign w:val="bottom"/>
            <w:tcBorders>
              <w:bottom w:val="single" w:sz="8" w:color="BFE4FF"/>
            </w:tcBorders>
          </w:tcPr>
          <w:p>
            <w:pPr>
              <w:ind w:left="240"/>
              <w:spacing w:after="0"/>
              <w:rPr>
                <w:sz w:val="20"/>
                <w:szCs w:val="20"/>
                <w:color w:val="auto"/>
              </w:rPr>
            </w:pPr>
            <w:r>
              <w:rPr>
                <w:rFonts w:ascii="Arial" w:cs="Arial" w:eastAsia="Arial" w:hAnsi="Arial"/>
                <w:sz w:val="14"/>
                <w:szCs w:val="14"/>
                <w:color w:val="auto"/>
              </w:rPr>
              <w:t>Total non-current assets of discontinued operations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3,283.5</w:t>
            </w:r>
          </w:p>
        </w:tc>
        <w:tc>
          <w:tcPr>
            <w:tcW w:w="100" w:type="dxa"/>
            <w:vAlign w:val="bottom"/>
            <w:tcBorders>
              <w:bottom w:val="single" w:sz="8" w:color="BFE4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3,304.5</w:t>
            </w:r>
          </w:p>
        </w:tc>
      </w:tr>
      <w:tr>
        <w:trPr>
          <w:trHeight w:val="208"/>
        </w:trPr>
        <w:tc>
          <w:tcPr>
            <w:tcW w:w="82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Total assets of discontinued operations</w:t>
            </w:r>
          </w:p>
        </w:tc>
        <w:tc>
          <w:tcPr>
            <w:tcW w:w="340" w:type="dxa"/>
            <w:vAlign w:val="bottom"/>
            <w:tcBorders>
              <w:bottom w:val="single" w:sz="8" w:color="auto"/>
            </w:tcBorders>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9,008.6</w:t>
            </w:r>
          </w:p>
        </w:tc>
        <w:tc>
          <w:tcPr>
            <w:tcW w:w="100" w:type="dxa"/>
            <w:vAlign w:val="bottom"/>
            <w:tcBorders>
              <w:bottom w:val="single" w:sz="8" w:color="BFE4FF"/>
            </w:tcBorders>
            <w:shd w:val="clear" w:color="auto" w:fill="BFE4FF"/>
          </w:tcPr>
          <w:p>
            <w:pPr>
              <w:spacing w:after="0"/>
              <w:rPr>
                <w:sz w:val="17"/>
                <w:szCs w:val="17"/>
                <w:color w:val="auto"/>
              </w:rPr>
            </w:pPr>
          </w:p>
        </w:tc>
        <w:tc>
          <w:tcPr>
            <w:tcW w:w="500" w:type="dxa"/>
            <w:vAlign w:val="bottom"/>
            <w:tcBorders>
              <w:bottom w:val="single" w:sz="8" w:color="auto"/>
            </w:tcBorders>
            <w:shd w:val="clear" w:color="auto" w:fill="BFE4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8,866.2</w:t>
            </w:r>
          </w:p>
        </w:tc>
      </w:tr>
      <w:tr>
        <w:trPr>
          <w:trHeight w:val="20"/>
        </w:trPr>
        <w:tc>
          <w:tcPr>
            <w:tcW w:w="826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8260" w:type="dxa"/>
            <w:vAlign w:val="bottom"/>
            <w:shd w:val="clear" w:color="auto" w:fill="BFE4FF"/>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shd w:val="clear" w:color="auto" w:fill="BFE4FF"/>
          </w:tcPr>
          <w:p>
            <w:pPr>
              <w:spacing w:after="0"/>
              <w:rPr>
                <w:sz w:val="16"/>
                <w:szCs w:val="16"/>
                <w:color w:val="auto"/>
              </w:rPr>
            </w:pPr>
          </w:p>
        </w:tc>
        <w:tc>
          <w:tcPr>
            <w:tcW w:w="110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500" w:type="dxa"/>
            <w:vAlign w:val="bottom"/>
            <w:shd w:val="clear" w:color="auto" w:fill="BFE4FF"/>
          </w:tcPr>
          <w:p>
            <w:pPr>
              <w:spacing w:after="0"/>
              <w:rPr>
                <w:sz w:val="16"/>
                <w:szCs w:val="16"/>
                <w:color w:val="auto"/>
              </w:rPr>
            </w:pPr>
          </w:p>
        </w:tc>
        <w:tc>
          <w:tcPr>
            <w:tcW w:w="940" w:type="dxa"/>
            <w:vAlign w:val="bottom"/>
            <w:shd w:val="clear" w:color="auto" w:fill="BFE4FF"/>
          </w:tcPr>
          <w:p>
            <w:pPr>
              <w:spacing w:after="0"/>
              <w:rPr>
                <w:sz w:val="16"/>
                <w:szCs w:val="16"/>
                <w:color w:val="auto"/>
              </w:rPr>
            </w:pP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Accounts payable, trade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1,539.5</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1,331.9</w:t>
            </w:r>
          </w:p>
        </w:tc>
      </w:tr>
      <w:tr>
        <w:trPr>
          <w:trHeight w:val="189"/>
        </w:trPr>
        <w:tc>
          <w:tcPr>
            <w:tcW w:w="8260" w:type="dxa"/>
            <w:vAlign w:val="bottom"/>
            <w:shd w:val="clear" w:color="auto" w:fill="BFE4FF"/>
          </w:tcPr>
          <w:p>
            <w:pPr>
              <w:ind w:left="140"/>
              <w:spacing w:after="0"/>
              <w:rPr>
                <w:sz w:val="20"/>
                <w:szCs w:val="20"/>
                <w:color w:val="auto"/>
              </w:rPr>
            </w:pPr>
            <w:r>
              <w:rPr>
                <w:rFonts w:ascii="Arial" w:cs="Arial" w:eastAsia="Arial" w:hAnsi="Arial"/>
                <w:sz w:val="14"/>
                <w:szCs w:val="14"/>
                <w:color w:val="auto"/>
              </w:rPr>
              <w:t>Contract liabilities</w:t>
            </w:r>
          </w:p>
        </w:tc>
        <w:tc>
          <w:tcPr>
            <w:tcW w:w="340" w:type="dxa"/>
            <w:vAlign w:val="bottom"/>
            <w:shd w:val="clear" w:color="auto" w:fill="BFE4FF"/>
          </w:tcPr>
          <w:p>
            <w:pPr>
              <w:spacing w:after="0"/>
              <w:rPr>
                <w:sz w:val="16"/>
                <w:szCs w:val="16"/>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3,689.3</w:t>
            </w:r>
          </w:p>
        </w:tc>
        <w:tc>
          <w:tcPr>
            <w:tcW w:w="100" w:type="dxa"/>
            <w:vAlign w:val="bottom"/>
            <w:shd w:val="clear" w:color="auto" w:fill="BFE4FF"/>
          </w:tcPr>
          <w:p>
            <w:pPr>
              <w:spacing w:after="0"/>
              <w:rPr>
                <w:sz w:val="16"/>
                <w:szCs w:val="16"/>
                <w:color w:val="auto"/>
              </w:rPr>
            </w:pPr>
          </w:p>
        </w:tc>
        <w:tc>
          <w:tcPr>
            <w:tcW w:w="500" w:type="dxa"/>
            <w:vAlign w:val="bottom"/>
            <w:shd w:val="clear" w:color="auto" w:fill="BFE4FF"/>
          </w:tcPr>
          <w:p>
            <w:pPr>
              <w:spacing w:after="0"/>
              <w:rPr>
                <w:sz w:val="16"/>
                <w:szCs w:val="16"/>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3,605.9</w:t>
            </w:r>
          </w:p>
        </w:tc>
      </w:tr>
      <w:tr>
        <w:trPr>
          <w:trHeight w:val="189"/>
        </w:trPr>
        <w:tc>
          <w:tcPr>
            <w:tcW w:w="8260" w:type="dxa"/>
            <w:vAlign w:val="bottom"/>
            <w:tcBorders>
              <w:bottom w:val="single" w:sz="8" w:color="BFE4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867.7</w:t>
            </w:r>
          </w:p>
        </w:tc>
        <w:tc>
          <w:tcPr>
            <w:tcW w:w="100" w:type="dxa"/>
            <w:vAlign w:val="bottom"/>
            <w:tcBorders>
              <w:bottom w:val="single" w:sz="8" w:color="BFE4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930.9</w:t>
            </w:r>
          </w:p>
        </w:tc>
      </w:tr>
      <w:tr>
        <w:trPr>
          <w:trHeight w:val="183"/>
        </w:trPr>
        <w:tc>
          <w:tcPr>
            <w:tcW w:w="8260" w:type="dxa"/>
            <w:vAlign w:val="bottom"/>
            <w:shd w:val="clear" w:color="auto" w:fill="BFE4FF"/>
          </w:tcPr>
          <w:p>
            <w:pPr>
              <w:ind w:left="240"/>
              <w:spacing w:after="0"/>
              <w:rPr>
                <w:sz w:val="20"/>
                <w:szCs w:val="20"/>
                <w:color w:val="auto"/>
              </w:rPr>
            </w:pPr>
            <w:r>
              <w:rPr>
                <w:rFonts w:ascii="Arial" w:cs="Arial" w:eastAsia="Arial" w:hAnsi="Arial"/>
                <w:sz w:val="14"/>
                <w:szCs w:val="14"/>
                <w:color w:val="auto"/>
              </w:rPr>
              <w:t>Total current liabilities of discontinued operations</w:t>
            </w: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6,096.5</w:t>
            </w:r>
          </w:p>
        </w:tc>
        <w:tc>
          <w:tcPr>
            <w:tcW w:w="100" w:type="dxa"/>
            <w:vAlign w:val="bottom"/>
            <w:shd w:val="clear" w:color="auto" w:fill="BFE4FF"/>
          </w:tcPr>
          <w:p>
            <w:pPr>
              <w:spacing w:after="0"/>
              <w:rPr>
                <w:sz w:val="15"/>
                <w:szCs w:val="15"/>
                <w:color w:val="auto"/>
              </w:rPr>
            </w:pPr>
          </w:p>
        </w:tc>
        <w:tc>
          <w:tcPr>
            <w:tcW w:w="500" w:type="dxa"/>
            <w:vAlign w:val="bottom"/>
            <w:shd w:val="clear" w:color="auto" w:fill="BFE4FF"/>
          </w:tcPr>
          <w:p>
            <w:pPr>
              <w:spacing w:after="0"/>
              <w:rPr>
                <w:sz w:val="15"/>
                <w:szCs w:val="15"/>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5,868.7</w:t>
            </w: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Long-term debt, less current portion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651.4</w:t>
            </w:r>
          </w:p>
        </w:tc>
      </w:tr>
      <w:tr>
        <w:trPr>
          <w:trHeight w:val="189"/>
        </w:trPr>
        <w:tc>
          <w:tcPr>
            <w:tcW w:w="8260" w:type="dxa"/>
            <w:vAlign w:val="bottom"/>
            <w:shd w:val="clear" w:color="auto" w:fill="BFE4FF"/>
          </w:tcPr>
          <w:p>
            <w:pPr>
              <w:ind w:left="140"/>
              <w:spacing w:after="0"/>
              <w:rPr>
                <w:sz w:val="20"/>
                <w:szCs w:val="20"/>
                <w:color w:val="auto"/>
              </w:rPr>
            </w:pPr>
            <w:r>
              <w:rPr>
                <w:rFonts w:ascii="Arial" w:cs="Arial" w:eastAsia="Arial" w:hAnsi="Arial"/>
                <w:sz w:val="14"/>
                <w:szCs w:val="14"/>
                <w:color w:val="auto"/>
              </w:rPr>
              <w:t>Operating lease liabilities</w:t>
            </w:r>
          </w:p>
        </w:tc>
        <w:tc>
          <w:tcPr>
            <w:tcW w:w="340" w:type="dxa"/>
            <w:vAlign w:val="bottom"/>
            <w:shd w:val="clear" w:color="auto" w:fill="BFE4FF"/>
          </w:tcPr>
          <w:p>
            <w:pPr>
              <w:spacing w:after="0"/>
              <w:rPr>
                <w:sz w:val="16"/>
                <w:szCs w:val="16"/>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BFE4FF"/>
          </w:tcPr>
          <w:p>
            <w:pPr>
              <w:spacing w:after="0"/>
              <w:rPr>
                <w:sz w:val="16"/>
                <w:szCs w:val="16"/>
                <w:color w:val="auto"/>
              </w:rPr>
            </w:pPr>
          </w:p>
        </w:tc>
        <w:tc>
          <w:tcPr>
            <w:tcW w:w="500" w:type="dxa"/>
            <w:vAlign w:val="bottom"/>
            <w:shd w:val="clear" w:color="auto" w:fill="BFE4FF"/>
          </w:tcPr>
          <w:p>
            <w:pPr>
              <w:spacing w:after="0"/>
              <w:rPr>
                <w:sz w:val="16"/>
                <w:szCs w:val="16"/>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243.0</w:t>
            </w:r>
          </w:p>
        </w:tc>
      </w:tr>
      <w:tr>
        <w:trPr>
          <w:trHeight w:val="189"/>
        </w:trPr>
        <w:tc>
          <w:tcPr>
            <w:tcW w:w="8260" w:type="dxa"/>
            <w:vAlign w:val="bottom"/>
            <w:tcBorders>
              <w:bottom w:val="single" w:sz="8" w:color="BFE4FF"/>
            </w:tcBorders>
          </w:tcPr>
          <w:p>
            <w:pPr>
              <w:ind w:left="14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350.9</w:t>
            </w:r>
          </w:p>
        </w:tc>
        <w:tc>
          <w:tcPr>
            <w:tcW w:w="100" w:type="dxa"/>
            <w:vAlign w:val="bottom"/>
            <w:tcBorders>
              <w:bottom w:val="single" w:sz="8" w:color="BFE4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366.2</w:t>
            </w:r>
          </w:p>
        </w:tc>
      </w:tr>
      <w:tr>
        <w:trPr>
          <w:trHeight w:val="183"/>
        </w:trPr>
        <w:tc>
          <w:tcPr>
            <w:tcW w:w="8260" w:type="dxa"/>
            <w:vAlign w:val="bottom"/>
            <w:shd w:val="clear" w:color="auto" w:fill="BFE4FF"/>
          </w:tcPr>
          <w:p>
            <w:pPr>
              <w:ind w:left="240"/>
              <w:spacing w:after="0"/>
              <w:rPr>
                <w:sz w:val="20"/>
                <w:szCs w:val="20"/>
                <w:color w:val="auto"/>
              </w:rPr>
            </w:pPr>
            <w:r>
              <w:rPr>
                <w:rFonts w:ascii="Arial" w:cs="Arial" w:eastAsia="Arial" w:hAnsi="Arial"/>
                <w:sz w:val="14"/>
                <w:szCs w:val="14"/>
                <w:color w:val="auto"/>
              </w:rPr>
              <w:t>Total non-current liabilities of discontinued operations</w:t>
            </w: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1,081.3</w:t>
            </w:r>
          </w:p>
        </w:tc>
        <w:tc>
          <w:tcPr>
            <w:tcW w:w="100" w:type="dxa"/>
            <w:vAlign w:val="bottom"/>
            <w:shd w:val="clear" w:color="auto" w:fill="BFE4FF"/>
          </w:tcPr>
          <w:p>
            <w:pPr>
              <w:spacing w:after="0"/>
              <w:rPr>
                <w:sz w:val="15"/>
                <w:szCs w:val="15"/>
                <w:color w:val="auto"/>
              </w:rPr>
            </w:pPr>
          </w:p>
        </w:tc>
        <w:tc>
          <w:tcPr>
            <w:tcW w:w="500" w:type="dxa"/>
            <w:vAlign w:val="bottom"/>
            <w:tcBorders>
              <w:bottom w:val="single" w:sz="8" w:color="auto"/>
            </w:tcBorders>
            <w:shd w:val="clear" w:color="auto" w:fill="BFE4FF"/>
          </w:tcPr>
          <w:p>
            <w:pPr>
              <w:spacing w:after="0"/>
              <w:rPr>
                <w:sz w:val="15"/>
                <w:szCs w:val="15"/>
                <w:color w:val="auto"/>
              </w:rPr>
            </w:pPr>
          </w:p>
        </w:tc>
        <w:tc>
          <w:tcPr>
            <w:tcW w:w="9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1,260.6</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liabilities of discontinued operations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7,177.8</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3. BUSINESS COMBINATION AND OTHER TRANSACTIONS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30, 2019, we completed the acquisition of the remaining 50% interest in Technip Odebrecht PLSV CV (“TOP CV”). TOP CV was formed as a joint venture between Technip SA and Ocyan SA to provide pipeline installation ships to Petroleo Brasileiro SA (“Petrobras”) for their work in oil and gas fields offshore Brazil with results reported in our Subsea segment using the equity method of accounting. Subsequent to this transaction the investment became a fully consolidated entity. In connection with the acquisition, we acquired $391.0 million in assets, including two vessels valued at $ 335.2 million. In addition, we assumed $239.9 million of liabilities, including a $ 203.1 million term loan. As a result of the acquisition, we recorded a net loss of $0.9 million. The net loss on acquisition was comprised of the impairment charge of $84.2 million and a gain on bargain purchase of $83.3 million included within restructuring and other charges in our consolidated statement of income.</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RLWI project management and engineering services for plug and abandonment (“P&amp;A”), riserless coiled tubing, and well completion operations. In connection with the acquisition of the controlling interest, TechnipFMC and Island Offshore entered into a strategic cooperation agreement to deliver RLWI services on a worldwide basis, which also include TechnipFMC’s RLWI capabilities. Island Offshore Subsea AS has been rebranded to TIOS AS and is now the operating unit for TechnipFMC’s RLWI activities worldwide. The acquisition was completed on April 18, 2018 for total cash consideration of $ 42.4 million. As a result of the acquisition, we recorded a redeemable financial liability equal to the fair value of a written put option and a goodwill of $85.0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Additional acquisitions, including purchased interests in equity method investments, during 2018 totaled $73.6 million in consideration paid.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Effective January 1, 2020, we adopted Accounting Standards Update (“ASU”) No. 2018-13, </w:t>
      </w:r>
      <w:r>
        <w:rPr>
          <w:rFonts w:ascii="Arial" w:cs="Arial" w:eastAsia="Arial" w:hAnsi="Arial"/>
          <w:sz w:val="18"/>
          <w:szCs w:val="18"/>
          <w:i w:val="1"/>
          <w:iCs w:val="1"/>
          <w:color w:val="auto"/>
        </w:rPr>
        <w:t>“Fair Value Measurement (Topic 820):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Fair Value Measurement.” </w:t>
      </w:r>
      <w:r>
        <w:rPr>
          <w:rFonts w:ascii="Arial" w:cs="Arial" w:eastAsia="Arial" w:hAnsi="Arial"/>
          <w:sz w:val="18"/>
          <w:szCs w:val="18"/>
          <w:color w:val="auto"/>
        </w:rPr>
        <w:t>This update modifies the disclosure requirement on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Topic 820. The amendments on changes in unrealized gains and losses, the range and weighted average of significant unobservable inputs used to develop Level 3 fair value measurements, and the narrative description of measurement uncertainty should be applied prospectively. The adoption of this update concerns presentation and disclosure only as it relates to our consolidated financial statements. See Note 24 for our fair value measurements disclosure.</w:t>
      </w:r>
    </w:p>
    <w:p>
      <w:pPr>
        <w:spacing w:after="0" w:line="13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 xml:space="preserve">Effective January 1, 2020, we adopted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a service contract are deferred, not capitalized. The adoption of this update did not have a material impact on our consolidated financial statements.</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Effective January 1, 2020, we adopted ASU No. 2018-18, </w:t>
      </w:r>
      <w:r>
        <w:rPr>
          <w:rFonts w:ascii="Arial" w:cs="Arial" w:eastAsia="Arial" w:hAnsi="Arial"/>
          <w:sz w:val="18"/>
          <w:szCs w:val="18"/>
          <w:i w:val="1"/>
          <w:iCs w:val="1"/>
          <w:color w:val="auto"/>
        </w:rPr>
        <w:t>“Collaborative Arrangements (Topic 808)—Clarifying the Interaction between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and Topic 606.” </w:t>
      </w:r>
      <w:r>
        <w:rPr>
          <w:rFonts w:ascii="Arial" w:cs="Arial" w:eastAsia="Arial" w:hAnsi="Arial"/>
          <w:sz w:val="18"/>
          <w:szCs w:val="18"/>
          <w:color w:val="auto"/>
        </w:rPr>
        <w:t>This update clarifies the interaction between the guidance for certain collaborative arrangements and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financial accounting and reporting standard. The adoption of this update concerns presentation and disclosure only with no material impact to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Effective January 1, 2020, we adopted ASU No. 2019-04, </w:t>
      </w:r>
      <w:r>
        <w:rPr>
          <w:rFonts w:ascii="Arial" w:cs="Arial" w:eastAsia="Arial" w:hAnsi="Arial"/>
          <w:sz w:val="18"/>
          <w:szCs w:val="18"/>
          <w:i w:val="1"/>
          <w:iCs w:val="1"/>
          <w:color w:val="auto"/>
        </w:rPr>
        <w:t>“Codification Improvements to</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Topic 326, Financial Instruments—Credit Losses;</w:t>
      </w:r>
    </w:p>
    <w:p>
      <w:pPr>
        <w:spacing w:after="0" w:line="171" w:lineRule="exact"/>
        <w:rPr>
          <w:rFonts w:ascii="Arial" w:cs="Arial" w:eastAsia="Arial" w:hAnsi="Arial"/>
          <w:sz w:val="18"/>
          <w:szCs w:val="18"/>
          <w:i w:val="1"/>
          <w:iCs w:val="1"/>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Topic 815, Derivatives and Hedging; and</w:t>
      </w:r>
    </w:p>
    <w:p>
      <w:pPr>
        <w:spacing w:after="0" w:line="171" w:lineRule="exact"/>
        <w:rPr>
          <w:rFonts w:ascii="Arial" w:cs="Arial" w:eastAsia="Arial" w:hAnsi="Arial"/>
          <w:sz w:val="18"/>
          <w:szCs w:val="18"/>
          <w:i w:val="1"/>
          <w:iCs w:val="1"/>
          <w:color w:val="auto"/>
        </w:rPr>
      </w:pPr>
    </w:p>
    <w:p>
      <w:pPr>
        <w:ind w:left="700" w:hanging="368"/>
        <w:spacing w:after="0"/>
        <w:tabs>
          <w:tab w:leader="none" w:pos="7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Topic 825, Financial Instruments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update clarifies and improves areas of guidance related to the recently issued standards including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048" w:right="359" w:bottom="1440" w:gutter="0" w:footer="0" w:header="0"/>
        </w:sectPr>
      </w:pPr>
    </w:p>
    <w:bookmarkStart w:id="48" w:name="page49"/>
    <w:bookmarkEnd w:id="48"/>
    <w:p>
      <w:pPr>
        <w:ind w:left="660" w:right="560" w:hanging="328"/>
        <w:spacing w:after="0" w:line="282"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ASU No. 2016-01, </w:t>
      </w:r>
      <w:r>
        <w:rPr>
          <w:rFonts w:ascii="Arial" w:cs="Arial" w:eastAsia="Arial" w:hAnsi="Arial"/>
          <w:sz w:val="18"/>
          <w:szCs w:val="18"/>
          <w:i w:val="1"/>
          <w:iCs w:val="1"/>
          <w:color w:val="auto"/>
        </w:rPr>
        <w:t>“Financial Instruments—Overall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p>
    <w:p>
      <w:pPr>
        <w:spacing w:after="0" w:line="107" w:lineRule="exact"/>
        <w:rPr>
          <w:rFonts w:ascii="Arial" w:cs="Arial" w:eastAsia="Arial" w:hAnsi="Arial"/>
          <w:sz w:val="18"/>
          <w:szCs w:val="18"/>
          <w:color w:val="auto"/>
        </w:rPr>
      </w:pPr>
    </w:p>
    <w:p>
      <w:pPr>
        <w:ind w:left="660" w:right="320" w:hanging="328"/>
        <w:spacing w:after="0" w:line="282"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ASU No.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and</w:t>
      </w:r>
    </w:p>
    <w:p>
      <w:pPr>
        <w:spacing w:after="0" w:line="107" w:lineRule="exact"/>
        <w:rPr>
          <w:rFonts w:ascii="Arial" w:cs="Arial" w:eastAsia="Arial" w:hAnsi="Arial"/>
          <w:sz w:val="18"/>
          <w:szCs w:val="18"/>
          <w:color w:val="auto"/>
        </w:rPr>
      </w:pPr>
    </w:p>
    <w:p>
      <w:pPr>
        <w:ind w:left="700" w:hanging="36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ASU No. 2017-12, </w:t>
      </w:r>
      <w:r>
        <w:rPr>
          <w:rFonts w:ascii="Arial" w:cs="Arial" w:eastAsia="Arial" w:hAnsi="Arial"/>
          <w:sz w:val="18"/>
          <w:szCs w:val="18"/>
          <w:i w:val="1"/>
          <w:iCs w:val="1"/>
          <w:color w:val="auto"/>
        </w:rPr>
        <w:t>“Derivatives and Hedging (Topic 815): Targeted Improvements to Accounting for Hedging Activities.”</w:t>
      </w:r>
    </w:p>
    <w:p>
      <w:pPr>
        <w:spacing w:after="0" w:line="189" w:lineRule="exact"/>
        <w:rPr>
          <w:sz w:val="20"/>
          <w:szCs w:val="20"/>
          <w:color w:val="auto"/>
        </w:rPr>
      </w:pPr>
    </w:p>
    <w:p>
      <w:pPr>
        <w:ind w:right="260"/>
        <w:spacing w:after="0" w:line="453" w:lineRule="auto"/>
        <w:rPr>
          <w:sz w:val="20"/>
          <w:szCs w:val="20"/>
          <w:color w:val="auto"/>
        </w:rPr>
      </w:pPr>
      <w:r>
        <w:rPr>
          <w:rFonts w:ascii="Arial" w:cs="Arial" w:eastAsia="Arial" w:hAnsi="Arial"/>
          <w:sz w:val="17"/>
          <w:szCs w:val="17"/>
          <w:color w:val="auto"/>
        </w:rPr>
        <w:t xml:space="preserve">The adoption of this update concerns presentation and disclosure only with no material impact to our consolidated financial statements. </w:t>
      </w:r>
      <w:r>
        <w:rPr>
          <w:rFonts w:ascii="Arial" w:cs="Arial" w:eastAsia="Arial" w:hAnsi="Arial"/>
          <w:sz w:val="17"/>
          <w:szCs w:val="17"/>
          <w:i w:val="1"/>
          <w:iCs w:val="1"/>
          <w:u w:val="single" w:color="auto"/>
          <w:color w:val="auto"/>
        </w:rPr>
        <w:t>Adoption of ASU No. 2016-13 “Financial Instruments—Credit Losses (Topic 326): Measurement of Credit Losses on Financial Instruments</w:t>
      </w:r>
    </w:p>
    <w:p>
      <w:pPr>
        <w:ind w:right="80"/>
        <w:spacing w:after="0" w:line="258" w:lineRule="auto"/>
        <w:rPr>
          <w:sz w:val="20"/>
          <w:szCs w:val="20"/>
          <w:color w:val="auto"/>
        </w:rPr>
      </w:pPr>
      <w:r>
        <w:rPr>
          <w:rFonts w:ascii="Arial" w:cs="Arial" w:eastAsia="Arial" w:hAnsi="Arial"/>
          <w:sz w:val="18"/>
          <w:szCs w:val="18"/>
          <w:color w:val="auto"/>
        </w:rPr>
        <w:t xml:space="preserve">Effective January 1, 2020, we adopted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This ASU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 The guidance applies to (1) loans, accounts receivable, trade receivables, and other financial assets measured at amortized cost, (2) loan commitments and other off-balance sheet credit exposures, (3) debt securities and other financial assets measured at fair value through other comprehensive income, and (4) beneficial interests in securitized financial assets.</w:t>
      </w:r>
    </w:p>
    <w:p>
      <w:pPr>
        <w:spacing w:after="0" w:line="1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June 2016, the Financial Accounting Standards Board (“FASB”) issued an update of the ASU to provide a practical expedient for transition and targeted improvements.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adopted Topic 326 using a modified retrospective transition method through a cumulative-effect adjustment to beginning retained earnings in the period of adoption. The total effect of adopting Topic 326, including both continuing and discontinued operations, was an increase in accumulated deficit of $7.8 million, which includes a $2.1 million increase in non-current deferred tax assets, with a corresponding decrease in trade receivables, loans, and debt notes receivable.</w:t>
      </w:r>
    </w:p>
    <w:p>
      <w:pPr>
        <w:spacing w:after="0" w:line="150"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Financial assets at amortized cost include trade receivables, loans issued to third or related parties, and held to maturity debt securities. These financial assets were presented under other current assets or other assets, as applicable. Contract assets are subject to the credit losses standard per revenue recognition standard.</w:t>
      </w:r>
    </w:p>
    <w:p>
      <w:pPr>
        <w:spacing w:after="0" w:line="14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Trade receivables and contract assets constitute a homogeneous portfolio, and therefore, to measure the expected credit losses, trade receivables and contract assets have been grouped together. The contract assets relate to unbilled work in progress and have substantially the same risk characteristics as the trade receivables for the same types of contracts. We have therefore concluded that the expected loss rates for trade receivables are a reasonable approximation of the loss rates for the contract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financial assets and non-financial assets at amortized cost as of January 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reported as of</w:t>
            </w:r>
          </w:p>
        </w:tc>
        <w:tc>
          <w:tcPr>
            <w:tcW w:w="200" w:type="dxa"/>
            <w:vAlign w:val="bottom"/>
          </w:tcPr>
          <w:p>
            <w:pPr>
              <w:spacing w:after="0"/>
              <w:rPr>
                <w:sz w:val="14"/>
                <w:szCs w:val="14"/>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Impact of ASC 326</w:t>
            </w:r>
          </w:p>
        </w:tc>
        <w:tc>
          <w:tcPr>
            <w:tcW w:w="160" w:type="dxa"/>
            <w:vAlign w:val="bottom"/>
          </w:tcPr>
          <w:p>
            <w:pPr>
              <w:spacing w:after="0"/>
              <w:rPr>
                <w:sz w:val="14"/>
                <w:szCs w:val="14"/>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48"/>
              <w:spacing w:after="0"/>
              <w:rPr>
                <w:sz w:val="20"/>
                <w:szCs w:val="20"/>
                <w:color w:val="auto"/>
              </w:rPr>
            </w:pPr>
            <w:r>
              <w:rPr>
                <w:rFonts w:ascii="Arial" w:cs="Arial" w:eastAsia="Arial" w:hAnsi="Arial"/>
                <w:sz w:val="14"/>
                <w:szCs w:val="14"/>
                <w:b w:val="1"/>
                <w:bCs w:val="1"/>
                <w:color w:val="auto"/>
              </w:rPr>
              <w:t>January 1, 2020</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receivables, net</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1,242.1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189"/>
        </w:trPr>
        <w:tc>
          <w:tcPr>
            <w:tcW w:w="5860" w:type="dxa"/>
            <w:vAlign w:val="bottom"/>
          </w:tcPr>
          <w:p>
            <w:pPr>
              <w:ind w:left="140"/>
              <w:spacing w:after="0"/>
              <w:rPr>
                <w:sz w:val="20"/>
                <w:szCs w:val="20"/>
                <w:color w:val="auto"/>
              </w:rPr>
            </w:pPr>
            <w:r>
              <w:rPr>
                <w:rFonts w:ascii="Arial" w:cs="Arial" w:eastAsia="Arial" w:hAnsi="Arial"/>
                <w:sz w:val="14"/>
                <w:szCs w:val="14"/>
                <w:color w:val="auto"/>
              </w:rPr>
              <w:t>Loans receivable, net</w:t>
            </w:r>
          </w:p>
        </w:tc>
        <w:tc>
          <w:tcPr>
            <w:tcW w:w="18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Security deposits and other, net</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4"/>
                <w:szCs w:val="14"/>
                <w:i w:val="1"/>
                <w:iCs w:val="1"/>
                <w:color w:val="auto"/>
              </w:rPr>
              <w:t>Held-to-maturity</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securities at amortized cost</w:t>
            </w: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8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1,469.3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1,464.0</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Non-financial assets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Contract assets,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receivables portfolios using published default risk as a key credit quality indicator for our loans and receivables. Our loans receivable and security deposits were related to sales of long-lived assets or businesses, loans to related parties for capital expenditure purposes, or security deposits for lease arrangements.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890" w:right="339" w:bottom="1440" w:gutter="0" w:footer="0" w:header="0"/>
        </w:sectPr>
      </w:pPr>
    </w:p>
    <w:bookmarkStart w:id="49" w:name="page50"/>
    <w:bookmarkEnd w:id="49"/>
    <w:p>
      <w:pPr>
        <w:ind w:right="300"/>
        <w:spacing w:after="0" w:line="261"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75"/>
        </w:trPr>
        <w:tc>
          <w:tcPr>
            <w:tcW w:w="826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rPr>
                <w:sz w:val="20"/>
                <w:szCs w:val="20"/>
                <w:color w:val="auto"/>
              </w:rPr>
            </w:pPr>
            <w:r>
              <w:rPr>
                <w:rFonts w:ascii="Arial" w:cs="Arial" w:eastAsia="Arial" w:hAnsi="Arial"/>
                <w:sz w:val="14"/>
                <w:szCs w:val="14"/>
                <w:color w:val="auto"/>
              </w:rPr>
              <w:t>Moody’s rating Ba2</w:t>
            </w:r>
          </w:p>
        </w:tc>
        <w:tc>
          <w:tcPr>
            <w:tcW w:w="1440" w:type="dxa"/>
            <w:vAlign w:val="bottom"/>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i w:val="1"/>
                <w:iCs w:val="1"/>
                <w:color w:val="auto"/>
              </w:rPr>
              <w:t>Debt securities at amortized cost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Moody’s rating B3</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Losses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contract assets and trade receivables, we have elected to calculate an expected credit loss based on loss rates from historical data. We develop loss-rate statistics on the basis of the amount written off over the life of the financial assets and contract assets and adjust these historical credit loss trends for forward-looking factors specific to the debtors and the economic environment to determine lifetime expected losses. For short-term notes receivable an expected credit loss is calculated assuming the maximum possible loss in the event of a default (that is, the loan is fully drawn and no amount is recovered). Management established a probability of default based on the counterparty’s credit risk as determined by external credit rating agencies and the maximum loss given default (average recovery rate of sovereign bond issuers as published by credit rating agencies). Based on these factors we determine the expected credit loss for our short-term loans receivable.</w:t>
      </w:r>
    </w:p>
    <w:p>
      <w:pPr>
        <w:spacing w:after="0" w:line="23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for the year ended December 31, 2020.</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Balance as of December 31,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Trade</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Security deposit</w:t>
            </w:r>
          </w:p>
        </w:tc>
        <w:tc>
          <w:tcPr>
            <w:tcW w:w="100" w:type="dxa"/>
            <w:vAlign w:val="bottom"/>
          </w:tcPr>
          <w:p>
            <w:pPr>
              <w:spacing w:after="0"/>
              <w:rPr>
                <w:sz w:val="12"/>
                <w:szCs w:val="12"/>
                <w:color w:val="auto"/>
              </w:rPr>
            </w:pPr>
          </w:p>
        </w:tc>
        <w:tc>
          <w:tcPr>
            <w:tcW w:w="12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Current period provision (release) for expected credit losses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Write-offs charged against the allowance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Pr>
          <w:p>
            <w:pPr>
              <w:ind w:left="140"/>
              <w:spacing w:after="0"/>
              <w:rPr>
                <w:sz w:val="20"/>
                <w:szCs w:val="20"/>
                <w:color w:val="auto"/>
              </w:rPr>
            </w:pPr>
            <w:r>
              <w:rPr>
                <w:rFonts w:ascii="Arial" w:cs="Arial" w:eastAsia="Arial" w:hAnsi="Arial"/>
                <w:sz w:val="14"/>
                <w:szCs w:val="14"/>
                <w:color w:val="auto"/>
              </w:rPr>
              <w:t>Recoveries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ind w:left="38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Other than certain trade receivables due in one year or less, we do not have any financial assets that are past due or are on non-accrual status.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update are required to be adopted retrospectively. We adopted this amendment as of January 1, 2021. The adoption of this update did not have a material impact on our consolidated financial statements.</w:t>
      </w:r>
    </w:p>
    <w:p>
      <w:pPr>
        <w:spacing w:after="0" w:line="1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generally accepted accounting principles (GAAP) for which costs and complexity can be reduced while maintaining or improving the usefulness of the information provided to users of financial statements. We adopted this amendment as of January 1, 2021. The adoption of this update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908" w:right="339" w:bottom="1440" w:gutter="0" w:footer="0" w:header="0"/>
        </w:sectPr>
      </w:pPr>
    </w:p>
    <w:bookmarkStart w:id="50" w:name="page51"/>
    <w:bookmarkEnd w:id="50"/>
    <w:p>
      <w:pPr>
        <w:ind w:right="14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 “Investments—Equity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(Topic 323),” </w:t>
      </w:r>
      <w:r>
        <w:rPr>
          <w:rFonts w:ascii="Arial" w:cs="Arial" w:eastAsia="Arial" w:hAnsi="Arial"/>
          <w:sz w:val="18"/>
          <w:szCs w:val="18"/>
          <w:color w:val="auto"/>
        </w:rPr>
        <w:t>and</w:t>
      </w:r>
      <w:r>
        <w:rPr>
          <w:rFonts w:ascii="Arial" w:cs="Arial" w:eastAsia="Arial" w:hAnsi="Arial"/>
          <w:sz w:val="18"/>
          <w:szCs w:val="18"/>
          <w:i w:val="1"/>
          <w:iCs w:val="1"/>
          <w:color w:val="auto"/>
        </w:rPr>
        <w:t xml:space="preserve"> “Derivatives and Hedging (Topic 815)—Clarifying the Interactions between Topic 321, Topic 323, and Topic 815,”</w:t>
      </w:r>
      <w:r>
        <w:rPr>
          <w:rFonts w:ascii="Arial" w:cs="Arial" w:eastAsia="Arial" w:hAnsi="Arial"/>
          <w:sz w:val="18"/>
          <w:szCs w:val="18"/>
          <w:color w:val="auto"/>
        </w:rPr>
        <w:t>and made targeted improvements to address certain aspects of accounting for financial instruments. This update clarifies that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 323, Investments—Equity Method and Joint Ventures,</w:t>
      </w:r>
      <w:r>
        <w:rPr>
          <w:rFonts w:ascii="Arial" w:cs="Arial" w:eastAsia="Arial" w:hAnsi="Arial"/>
          <w:sz w:val="18"/>
          <w:szCs w:val="18"/>
          <w:color w:val="auto"/>
        </w:rPr>
        <w:t xml:space="preserve"> for the purposes of applying the measurement alternative in accordance with </w:t>
      </w:r>
      <w:r>
        <w:rPr>
          <w:rFonts w:ascii="Arial" w:cs="Arial" w:eastAsia="Arial" w:hAnsi="Arial"/>
          <w:sz w:val="18"/>
          <w:szCs w:val="18"/>
          <w:i w:val="1"/>
          <w:iCs w:val="1"/>
          <w:color w:val="auto"/>
        </w:rPr>
        <w:t>Topic 321</w:t>
      </w:r>
      <w:r>
        <w:rPr>
          <w:rFonts w:ascii="Arial" w:cs="Arial" w:eastAsia="Arial" w:hAnsi="Arial"/>
          <w:sz w:val="18"/>
          <w:szCs w:val="18"/>
          <w:color w:val="auto"/>
        </w:rPr>
        <w:t xml:space="preserve"> immediately before applying or upon discontinuing the equity method. The new ASU also clarifies that, when determining the accounting for certain forward contracts and purchased options, a company should not consider whether underlying securities would be accounted for under the equity method or fair value option upon settlement or exercise. We adopted this amendment as of January 1, 2021. The adoption of this update did not have a material impact on our consolidated financial statements.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The amendments in this update apply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are effective as of March 12, 2020 through December 31, 2022. The adoption of this update is not expected to have a material impact on our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Lessee Arrangements</w:t>
      </w:r>
    </w:p>
    <w:p>
      <w:pPr>
        <w:spacing w:after="0" w:line="18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lease real estate, including land, buildings and warehouses, machinery/equipment, vessels, vehicles, and various types of manufacturing and data processing equipment, from a lessee perspective. Leases of real estate generally provide for payment of property taxes, insurance, and repairs by us. Substantially all our leases are classified as operating leases.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determine if an arrangement is a lease at inception by assessing whether an identified asset exists and if we have the right to control the use of the identified asset. Operating leases are included in Operating lease right-of-use assets, Operating lease liabilities (current), and Operating lease liabilities (non-current) in our consolidated balance sheets.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the remaining lease payments over the lease term. With the exception of rare cases in which the implicit rate is readily determinable, we use our incremental borrowing rate based on the information available at the commencement date in determining the present value of lease payments. The Operating lease right-of-use assets also includes any lease prepayments made and excludes lease incentives we received from the lessor. Lease cost for lease payments is recognized on a straight-line basis over the lease term. Several of our leases provide for certain guarantees of residual value. We estimate and include in the determination of lease payments any amount probable of being owed under these residual value guarantees.</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Lease terms within our lessee arrangements may include options to extend/renew or terminate the lease and/or purchase the underlying asset when it is reasonably certain that we will exercise that option. TechnipFMC applies a portfolio approach by asset class to determine lease term renewals. The leases within these portfolios are categorized by asset class and have initial lease terms that vary depending on the asset class. The renewal terms range from 60 days to 5 years for asset classes such as temporary residential housing, forklifts, vehicles, vessels, office and IT equipment, and tool rentals, and up to 15 years or more for commercial real estate. Short-term leases with an initial term of 12 months or less that do not include a purchase option are not recorded on the balance sheet. Lease costs for short-term leases are recognized on a straight-line basis over the lease term and amounts related to short-term leases are disclosed within our financial statements.</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TechnipFMC has variable lease payments, including adjustments to lease payments based on an index or rate (such as the Consumer Price Index), fair value adjustments to lease payments, and common area maintenance, real estate taxes, and insurance payments in triple-net real estate leases. Variable lease payments that depend on an index or a rate (such as the Consumer Price Index or a market interest rate) are included when measuring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890" w:right="339" w:bottom="1440" w:gutter="0" w:footer="0" w:header="0"/>
        </w:sectPr>
      </w:pPr>
    </w:p>
    <w:bookmarkStart w:id="51" w:name="page52"/>
    <w:bookmarkEnd w:id="51"/>
    <w:p>
      <w:pPr>
        <w:ind w:right="240"/>
        <w:spacing w:after="0" w:line="261" w:lineRule="auto"/>
        <w:rPr>
          <w:sz w:val="20"/>
          <w:szCs w:val="20"/>
          <w:color w:val="auto"/>
        </w:rPr>
      </w:pPr>
      <w:r>
        <w:rPr>
          <w:rFonts w:ascii="Arial" w:cs="Arial" w:eastAsia="Arial" w:hAnsi="Arial"/>
          <w:sz w:val="18"/>
          <w:szCs w:val="18"/>
          <w:color w:val="auto"/>
        </w:rPr>
        <w:t>consideration within our lease arrangements using the payments’ base rate or index. Variable payments that do not depend on an index or rate are recognized in the consolidated income statements and are disclosed as “variable lease costs” in the period they are incurred.</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adopted the practical expedient to not separate lease and non-lease components for all asset classes except for vessels, which have significant non-lease components.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TechnipFMC currently subleases certain of its leased real estate and vessels to third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net lease cost for the years ended December 31, 2020 and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94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costs including variable costs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r>
      <w:tr>
        <w:trPr>
          <w:trHeight w:val="18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sublease income</w:t>
            </w: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Net lease cost</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w:t>
            </w: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years ended December 31, 2020 and 2019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r>
      <w:tr>
        <w:trPr>
          <w:trHeight w:val="169"/>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89"/>
        </w:trPr>
        <w:tc>
          <w:tcPr>
            <w:tcW w:w="7500" w:type="dxa"/>
            <w:vAlign w:val="bottom"/>
          </w:tcPr>
          <w:p>
            <w:pPr>
              <w:ind w:left="20"/>
              <w:spacing w:after="0"/>
              <w:rPr>
                <w:sz w:val="20"/>
                <w:szCs w:val="20"/>
                <w:color w:val="auto"/>
              </w:rPr>
            </w:pPr>
            <w:r>
              <w:rPr>
                <w:rFonts w:ascii="Arial" w:cs="Arial" w:eastAsia="Arial" w:hAnsi="Arial"/>
                <w:sz w:val="14"/>
                <w:szCs w:val="14"/>
                <w:color w:val="auto"/>
              </w:rPr>
              <w:t>Operating cash flows from operating leases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206.5</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211.2</w:t>
            </w:r>
          </w:p>
        </w:tc>
      </w:tr>
      <w:tr>
        <w:trPr>
          <w:trHeight w:val="216"/>
        </w:trPr>
        <w:tc>
          <w:tcPr>
            <w:tcW w:w="7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9"/>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liabilities</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r>
      <w:tr>
        <w:trPr>
          <w:trHeight w:val="191"/>
        </w:trPr>
        <w:tc>
          <w:tcPr>
            <w:tcW w:w="750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as of December 31, 2020 and 2019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1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r>
      <w:tr>
        <w:trPr>
          <w:trHeight w:val="18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6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2120" w:type="dxa"/>
            <w:vAlign w:val="bottom"/>
            <w:gridSpan w:val="3"/>
          </w:tcPr>
          <w:p>
            <w:pPr>
              <w:ind w:left="840"/>
              <w:spacing w:after="0"/>
              <w:rPr>
                <w:sz w:val="20"/>
                <w:szCs w:val="20"/>
                <w:color w:val="auto"/>
              </w:rPr>
            </w:pPr>
            <w:r>
              <w:rPr>
                <w:rFonts w:ascii="Arial" w:cs="Arial" w:eastAsia="Arial" w:hAnsi="Arial"/>
                <w:sz w:val="14"/>
                <w:szCs w:val="14"/>
                <w:color w:val="auto"/>
              </w:rPr>
              <w:t>13.6 years</w:t>
            </w:r>
          </w:p>
        </w:tc>
        <w:tc>
          <w:tcPr>
            <w:tcW w:w="1020" w:type="dxa"/>
            <w:vAlign w:val="bottom"/>
          </w:tcPr>
          <w:p>
            <w:pPr>
              <w:jc w:val="right"/>
              <w:spacing w:after="0"/>
              <w:rPr>
                <w:sz w:val="20"/>
                <w:szCs w:val="20"/>
                <w:color w:val="auto"/>
              </w:rPr>
            </w:pPr>
            <w:r>
              <w:rPr>
                <w:rFonts w:ascii="Arial" w:cs="Arial" w:eastAsia="Arial" w:hAnsi="Arial"/>
                <w:sz w:val="14"/>
                <w:szCs w:val="14"/>
                <w:color w:val="auto"/>
              </w:rPr>
              <w:t>8.4 years</w:t>
            </w: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2120" w:type="dxa"/>
            <w:vAlign w:val="bottom"/>
            <w:gridSpan w:val="3"/>
            <w:shd w:val="clear" w:color="auto" w:fill="CCEEFF"/>
          </w:tcPr>
          <w:p>
            <w:pPr>
              <w:ind w:left="920"/>
              <w:spacing w:after="0"/>
              <w:rPr>
                <w:sz w:val="20"/>
                <w:szCs w:val="20"/>
                <w:color w:val="auto"/>
              </w:rPr>
            </w:pPr>
            <w:r>
              <w:rPr>
                <w:rFonts w:ascii="Arial" w:cs="Arial" w:eastAsia="Arial" w:hAnsi="Arial"/>
                <w:sz w:val="14"/>
                <w:szCs w:val="14"/>
                <w:color w:val="auto"/>
              </w:rPr>
              <w:t>0.6 years  $</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216"/>
        </w:trPr>
        <w:tc>
          <w:tcPr>
            <w:tcW w:w="8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1520" w:type="dxa"/>
            <w:vAlign w:val="bottom"/>
          </w:tcPr>
          <w:p>
            <w:pPr>
              <w:jc w:val="right"/>
              <w:spacing w:after="0"/>
              <w:rPr>
                <w:sz w:val="20"/>
                <w:szCs w:val="20"/>
                <w:color w:val="auto"/>
              </w:rPr>
            </w:pPr>
            <w:r>
              <w:rPr>
                <w:rFonts w:ascii="Arial" w:cs="Arial" w:eastAsia="Arial" w:hAnsi="Arial"/>
                <w:sz w:val="14"/>
                <w:szCs w:val="14"/>
                <w:color w:val="auto"/>
              </w:rPr>
              <w:t>5.35 %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4.5 %</w:t>
            </w:r>
          </w:p>
        </w:tc>
      </w:tr>
      <w:tr>
        <w:trPr>
          <w:trHeight w:val="18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Maturities of operating lease liabilities as of December 31, 2020 are as follows: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140.2</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78.5</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361.4</w:t>
            </w:r>
          </w:p>
        </w:tc>
      </w:tr>
      <w:tr>
        <w:trPr>
          <w:trHeight w:val="183"/>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payments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916.7</w:t>
            </w:r>
          </w:p>
        </w:tc>
      </w:tr>
      <w:tr>
        <w:trPr>
          <w:trHeight w:val="189"/>
        </w:trPr>
        <w:tc>
          <w:tcPr>
            <w:tcW w:w="978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Less: Imputed interest </w:t>
            </w:r>
            <w:r>
              <w:rPr>
                <w:rFonts w:ascii="Arial" w:cs="Arial" w:eastAsia="Arial" w:hAnsi="Arial"/>
                <w:sz w:val="18"/>
                <w:szCs w:val="18"/>
                <w:color w:val="auto"/>
                <w:vertAlign w:val="superscript"/>
              </w:rPr>
              <w:t>(a)</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r>
      <w:tr>
        <w:trPr>
          <w:trHeight w:val="208"/>
        </w:trPr>
        <w:tc>
          <w:tcPr>
            <w:tcW w:w="978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 xml:space="preserve">Total lease liabilities </w:t>
            </w:r>
            <w:r>
              <w:rPr>
                <w:rFonts w:ascii="Arial" w:cs="Arial" w:eastAsia="Arial" w:hAnsi="Arial"/>
                <w:sz w:val="18"/>
                <w:szCs w:val="18"/>
                <w:b w:val="1"/>
                <w:bCs w:val="1"/>
                <w:color w:val="auto"/>
                <w:vertAlign w:val="superscript"/>
              </w:rPr>
              <w:t>(b)</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Note: For leases that commenced prior to 2019, minimum lease payments exclude payments to landlords for real estate taxes and common area maintenance.</w:t>
      </w:r>
    </w:p>
    <w:p>
      <w:pPr>
        <w:spacing w:after="0" w:line="21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Calculated using the interest rate for each lease.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the current portion of $195.5 million for operating leases.</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2020, TechnipFMC sold its leased office building at Gremp Campus in Houston, Texas on behalf of the existing lessor to Oak Street Real Estate Capital, LLC (“New Lessor”). TechnipFMC also sold the underlying land at Gremp Campus, which the Company owned, to the New Lessor. TechnipFMC concurrently executed a new lease agreement for both the land and the office building (collectively, “Gremp Campus Properties”) with New Lessor.</w:t>
      </w:r>
    </w:p>
    <w:p>
      <w:pPr>
        <w:spacing w:after="0" w:line="15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new lease agreement of Gremp Campus Properties commenced on December 11, 2020 and the initial term ends on December 31, 2042. TechnipFMC has 4 renewal periods of 10 years each after the expiration of the initial term. At inception of the new lease agreement, TechnipFMC did not consider any renewal period as probable of being exercised.</w:t>
      </w:r>
    </w:p>
    <w:p>
      <w:pPr>
        <w:spacing w:after="0" w:line="148" w:lineRule="exact"/>
        <w:rPr>
          <w:sz w:val="20"/>
          <w:szCs w:val="20"/>
          <w:color w:val="auto"/>
        </w:rPr>
      </w:pPr>
    </w:p>
    <w:p>
      <w:pPr>
        <w:ind w:right="980"/>
        <w:spacing w:after="0" w:line="246" w:lineRule="auto"/>
        <w:rPr>
          <w:sz w:val="20"/>
          <w:szCs w:val="20"/>
          <w:color w:val="auto"/>
        </w:rPr>
      </w:pPr>
      <w:r>
        <w:rPr>
          <w:rFonts w:ascii="Arial" w:cs="Arial" w:eastAsia="Arial" w:hAnsi="Arial"/>
          <w:sz w:val="18"/>
          <w:szCs w:val="18"/>
          <w:color w:val="auto"/>
        </w:rPr>
        <w:t>TechnipFMC paid net cash of $1.8 million in connection with the new lease agreement, and recognized a loss of $3.1 million from derecognition of the existing lease. There was no gain or loss from the sale of the land at Gremp Campus.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Lessor Arrangements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lease real estate including land, buildings and warehouses, machinery/equipment, and vessels from a lessor perspective. We determine if an arrangement is a lease at inception by assessing whether an identified asset exists and if the customer has the right to control the use of the identified asset. We use our implicit rate for our lessor arrangements. We have elected the practical expedient available for lessors to not separate lease and non-lease components for vessels. If the non-lease component is predominant in our contracts, we account for the contracts under the revenue recognition guidance in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If the lease component is predominant in our contracts, we account for the contracts under the lease guidance in Topic 842. We estimate the amount we expect to derive from the underlying asset following the end of the lease term based on remaining economic life. Our lessor arrangements generally do not include any residual value guarantees. We recognize lessee payments of lessor costs such as taxes and insurance on a net basis when the lessee pays those costs directly to a third party or when the amount paid by the lessee is not readily determinable.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components of lease revenue for the years ended December 31, 2020 and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8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revenue including variable 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r>
    </w:tbl>
    <w:p>
      <w:pPr>
        <w:spacing w:after="0" w:line="3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is a summary of the maturity analysis of the undiscounted cash flows to be received on an annual basis for each of the first five years, and a total of the amounts for the remaining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908" w:right="339" w:bottom="1440" w:gutter="0" w:footer="0" w:header="0"/>
        </w:sectPr>
      </w:pPr>
    </w:p>
    <w:bookmarkStart w:id="53" w:name="page54"/>
    <w:bookmarkEnd w:id="53"/>
    <w:tbl>
      <w:tblPr>
        <w:tblLayout w:type="fixed"/>
        <w:tblInd w:w="20" w:type="dxa"/>
        <w:tblCellMar>
          <w:top w:w="0" w:type="dxa"/>
          <w:left w:w="0" w:type="dxa"/>
          <w:bottom w:w="0" w:type="dxa"/>
          <w:right w:w="0" w:type="dxa"/>
        </w:tblCellMar>
      </w:tblP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978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 On January 1, 2018, we adopted Topic 606 of GAAP using the modified retrospective method applied to those contracts that were not completed as of January 1, 2018 resulting in a $91.5 million reduction to retained earnings.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Revenue Recognition Criteria Explained</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Allocation of transaction price to performance obligations - </w:t>
      </w:r>
      <w:r>
        <w:rPr>
          <w:rFonts w:ascii="Arial" w:cs="Arial" w:eastAsia="Arial" w:hAnsi="Arial"/>
          <w:sz w:val="18"/>
          <w:szCs w:val="18"/>
          <w:color w:val="auto"/>
        </w:rPr>
        <w:t>A contract’s transaction price is allocated to each distinct performance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when, or as, the performance obligation is satisfied. To determine the proper revenue recognition method, we evaluate whether two or more contracts should be combined and accounted for as one single contract and whether the combined or single contract should be accounted for as more than one performance obligation. This evaluation requires significant judgment; some of our contracts have a single performance obligation as the promise to transfer the individual goods or services is not separately identifiable from other promises in the contracts and, therefore, not distinct.</w:t>
      </w:r>
    </w:p>
    <w:p>
      <w:pPr>
        <w:spacing w:after="0" w:line="13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Variable consideration - </w:t>
      </w:r>
      <w:r>
        <w:rPr>
          <w:rFonts w:ascii="Arial" w:cs="Arial" w:eastAsia="Arial" w:hAnsi="Arial"/>
          <w:sz w:val="18"/>
          <w:szCs w:val="18"/>
          <w:color w:val="auto"/>
        </w:rPr>
        <w:t>Due to the nature of the work required to be performed on many of our performance obligations, the estimation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total revenue and cost at completion is complex, subject to many variables and requires significant judgment. It is common for our long-term contracts to contain variable considerations that can either increase or decrease the transaction price. Variability in the transaction price arises primarily due to liquidated damages. We consider our experience with similar transactions and expectations regarding the contract in estimating the amount of variable consideration to which we will be entitled, and determining whether the estimated variable consideration should be constrained. We include estimated amounts in the transaction price to the extent it is probable that a significant reversal of cumulative revenue recognized will not occur when the uncertainty associated with the variable consideration is resolved. Our estimates of variable consideration are based largely on an assessment of our anticipated performance and all information (historical, current and forecasted) that is reasonably available to us.</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Payment terms - </w:t>
      </w:r>
      <w:r>
        <w:rPr>
          <w:rFonts w:ascii="Arial" w:cs="Arial" w:eastAsia="Arial" w:hAnsi="Arial"/>
          <w:sz w:val="18"/>
          <w:szCs w:val="18"/>
          <w:color w:val="auto"/>
        </w:rPr>
        <w:t>Progress billings are generally issued upon completion of certain phases of the work as stipulated in the contract.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may either be fixed, lump-sum or driven by time and materials (e.g., daily or hourly rates, plus materials). Because typically the customer retains a small portion of the contract price until completion of the contract, our contracts generally result in revenue recognized in excess of billings which we present as contract assets on the balance sheet. Amounts billed and due from our customers are classified as receivables in the consolidated balance sheets. The portion of the payments retained by the customer until final contract settlement is not considered a significant financing component because the intent is to protect the customer. For some contracts, we may be entitled to receive an advance payment. We recognize a liability for these advance payments in excess of revenue recognized and present it as contract liabilities in the consolidated balance sheets.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1"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i w:val="1"/>
          <w:iCs w:val="1"/>
          <w:color w:val="auto"/>
        </w:rPr>
        <w:t xml:space="preserve">Warranty - </w:t>
      </w:r>
      <w:r>
        <w:rPr>
          <w:rFonts w:ascii="Arial" w:cs="Arial" w:eastAsia="Arial" w:hAnsi="Arial"/>
          <w:sz w:val="18"/>
          <w:szCs w:val="18"/>
          <w:color w:val="auto"/>
        </w:rPr>
        <w:t>Certain contracts include an assurance-type warranty clause, typically between 18 to 36 months, to guarantee that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agreed specifications. A service-type warranty may also be provided to the customer; in such a case, management allocates a portion of the transaction price to the warranty based on the estimated stand-alone selling price of the service-type warranty.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36" w:right="359" w:bottom="1440" w:gutter="0" w:footer="0" w:header="0"/>
        </w:sectPr>
      </w:pPr>
    </w:p>
    <w:bookmarkStart w:id="54" w:name="page55"/>
    <w:bookmarkEnd w:id="54"/>
    <w:p>
      <w:pPr>
        <w:ind w:right="40"/>
        <w:spacing w:after="0" w:line="261" w:lineRule="auto"/>
        <w:rPr>
          <w:sz w:val="20"/>
          <w:szCs w:val="20"/>
          <w:color w:val="auto"/>
        </w:rPr>
      </w:pPr>
      <w:r>
        <w:rPr>
          <w:rFonts w:ascii="Arial" w:cs="Arial" w:eastAsia="Arial" w:hAnsi="Arial"/>
          <w:sz w:val="18"/>
          <w:szCs w:val="18"/>
          <w:i w:val="1"/>
          <w:iCs w:val="1"/>
          <w:color w:val="auto"/>
        </w:rPr>
        <w:t xml:space="preserve">Revenue recognized over time - </w:t>
      </w:r>
      <w:r>
        <w:rPr>
          <w:rFonts w:ascii="Arial" w:cs="Arial" w:eastAsia="Arial" w:hAnsi="Arial"/>
          <w:sz w:val="18"/>
          <w:szCs w:val="18"/>
          <w:color w:val="auto"/>
        </w:rPr>
        <w:t>Our performance obligations are satisfied over time as work progresses or at a point in time.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transferred to customers over time accounted for approximately 72.1%, 67.5% and 68.7% of our revenue for the years ended December 31, 2020, 2019 and 2018, respectively. Typically, revenue is recognized over time using an input measure (e.g., costs incurred to date relative to total estimated costs at completion) to measure progress.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Cost-to-cost method - </w:t>
      </w:r>
      <w:r>
        <w:rPr>
          <w:rFonts w:ascii="Arial" w:cs="Arial" w:eastAsia="Arial" w:hAnsi="Arial"/>
          <w:sz w:val="18"/>
          <w:szCs w:val="18"/>
          <w:color w:val="auto"/>
        </w:rPr>
        <w:t>For our long-term contracts, because of control transferring over time, revenue is recognized based on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towards completion of the performance obligation.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Right to invoice practical expedient - </w:t>
      </w:r>
      <w:r>
        <w:rPr>
          <w:rFonts w:ascii="Arial" w:cs="Arial" w:eastAsia="Arial" w:hAnsi="Arial"/>
          <w:sz w:val="18"/>
          <w:szCs w:val="18"/>
          <w:color w:val="auto"/>
        </w:rPr>
        <w:t>The right-to-invoice practical expedient can be applied to a performance obligation satisfied over time if</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right to invoice the customer for an amount that corresponds directly with the value transferred to the customer for our performance completed to date. When this practical expedient is used, we do not estimate variable consideration at the inception of the contract to determine the transaction price or for disclosure purposes. We have contracts which have payment terms dictated by daily or hourly rates where some contracts may have mixed pricing terms which include a fixed fee portion. For contracts in which we charge the customer a fixed rate based on the time or materials spent during the project that correspond to the value transferred to the customer, we recognize revenue in the amount to which we have the right to invoice.</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Contract modifications - </w:t>
      </w:r>
      <w:r>
        <w:rPr>
          <w:rFonts w:ascii="Arial" w:cs="Arial" w:eastAsia="Arial" w:hAnsi="Arial"/>
          <w:sz w:val="18"/>
          <w:szCs w:val="18"/>
          <w:color w:val="auto"/>
        </w:rPr>
        <w:t>Contracts are often modified to account for changes in contract specifications and requirements. We consider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by Segment</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is a description of principal activities separated by reportable segments from which TechnipFMC generates its revenue. See Note 7 for more detailed information about reportable segments.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Subsea segment manufactures and designs products and systems, performs engineering, procurement and project management and provides services used by oil and gas companies involved in offshore exploration and production of crude oil and natural gas. Systems and services may be sold separately or as combined integrated systems and services offered within one contract. Many of the systems and products TechnipFMC supplies for subsea applications are highly engineered to meet the unique demands of our customers’ field properties and are typically ordered one to two years prior to installation. We often receive advance payments and progress billings from our customers in order to fund initial development and working capital requirements.</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Subsea engineering, procurement, construction and installation contracts, revenue is principally generated from long-term contracts with customers. We have determined these contracts generally have one performance obligation as the delivered product is highly customized to customer and field specifications. We generally recognize revenue over time for such contracts as the customized products do not have an alternative use for TechnipFMC and we have an enforceable right to payment plus a reasonable profit for performance completed to date.</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Subsea segment also performs an array of subsea services including (i) installation services, (ii) asset management services (iii) product optimization, (iv) inspection, maintenance and repair services, and (v) well access and intervention services, where revenue is generally earned through the execution of either installation-type or maintenance-type contracts. For either contract-type, management has determined that the performance of the service generally represents one single performance obligation. We have determined that revenue from these contracts is recognized over time as the customer simultaneously receives and consumes the benefit of the services.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89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Surface Technologies</w:t>
      </w:r>
    </w:p>
    <w:p>
      <w:pPr>
        <w:spacing w:after="0" w:line="18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Our Surface Technologies segment designs, manufactures and supplies technologically advanced wellhead systems and high pressure valves and pumps used in stimulation activities for oilfield service companies and provides installation, flowback and other services for exploration and production companies.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provide a full range of drilling, completion and production wellhead systems for both standard and custom-engineered applications. Under pressure control product contracts, we design and manufacture flowline products, under the Weco®/Chiksan® trademarks, articulating frac arm manifold trailers, well service pumps, compact valves and reciprocating pumps used in well completion and stimulation activities by major oilfield service companies. Performance obligations within these systems are satisfied either through delivery of a standardized product or equipment or the delivery of a customized product or equipment.</w:t>
      </w:r>
    </w:p>
    <w:p>
      <w:pPr>
        <w:spacing w:after="0" w:line="15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contracts with a standardized product or equipment performance obligation, management has determined that because there is limited customization to products sold within such contracts and the asset delivered can be resold to another customer, revenue should be recognized as of a point in time, upon transfer of control to the customer and after the customer acceptance provisions have been met.</w:t>
      </w:r>
    </w:p>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contracts with a customized product or equipment performance obligation, the revenue is recognized over time, as the manufacturing of our product does not create an asset with an alternative use for us.</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segment also designs, manufactures and services measurement products globally. Contract-types include standard product or equipment and maintenance-type services where we have determined that each contract under this product line represents one performance obligation.</w:t>
      </w:r>
    </w:p>
    <w:p>
      <w:pPr>
        <w:spacing w:after="0" w:line="1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 from standard measurement equipment contracts is recognized at a point in time, while maintenance-type contracts are typically priced at a daily or hourly rate. We have determined that revenue for these contracts is recognized over time because the customer simultaneously receives and consumes the benefit of the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We disaggregate revenue by geographic location and contract type. The following table presents products and services revenue by geography for each reportable segment for the years ended December 31, 2020,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729"/>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Subsea</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9"/>
              </w:rPr>
              <w:t>Surface</w:t>
            </w:r>
          </w:p>
        </w:tc>
        <w:tc>
          <w:tcPr>
            <w:tcW w:w="22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Subsea</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9"/>
              </w:rPr>
              <w:t>Surface</w:t>
            </w:r>
          </w:p>
        </w:tc>
        <w:tc>
          <w:tcPr>
            <w:tcW w:w="24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Subsea</w:t>
            </w:r>
          </w:p>
        </w:tc>
        <w:tc>
          <w:tcPr>
            <w:tcW w:w="180" w:type="dxa"/>
            <w:vAlign w:val="bottom"/>
          </w:tcPr>
          <w:p>
            <w:pPr>
              <w:spacing w:after="0"/>
              <w:rPr>
                <w:sz w:val="10"/>
                <w:szCs w:val="10"/>
                <w:color w:val="auto"/>
              </w:rPr>
            </w:pPr>
          </w:p>
        </w:tc>
        <w:tc>
          <w:tcPr>
            <w:tcW w:w="1020" w:type="dxa"/>
            <w:vAlign w:val="bottom"/>
          </w:tcPr>
          <w:p>
            <w:pPr>
              <w:jc w:val="right"/>
              <w:ind w:right="311"/>
              <w:spacing w:after="0" w:line="115" w:lineRule="exact"/>
              <w:rPr>
                <w:sz w:val="20"/>
                <w:szCs w:val="20"/>
                <w:color w:val="auto"/>
              </w:rPr>
            </w:pPr>
            <w:r>
              <w:rPr>
                <w:rFonts w:ascii="Arial" w:cs="Arial" w:eastAsia="Arial" w:hAnsi="Arial"/>
                <w:sz w:val="12"/>
                <w:szCs w:val="12"/>
                <w:b w:val="1"/>
                <w:bCs w:val="1"/>
                <w:color w:val="auto"/>
              </w:rPr>
              <w:t>Surface</w:t>
            </w:r>
          </w:p>
        </w:tc>
        <w:tc>
          <w:tcPr>
            <w:tcW w:w="0" w:type="dxa"/>
            <w:vAlign w:val="bottom"/>
          </w:tcPr>
          <w:p>
            <w:pPr>
              <w:spacing w:after="0"/>
              <w:rPr>
                <w:sz w:val="1"/>
                <w:szCs w:val="1"/>
                <w:color w:val="auto"/>
              </w:rPr>
            </w:pPr>
          </w:p>
        </w:tc>
      </w:tr>
      <w:tr>
        <w:trPr>
          <w:trHeight w:val="149"/>
        </w:trPr>
        <w:tc>
          <w:tcPr>
            <w:tcW w:w="3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Technologies</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Technologies</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151"/>
              <w:spacing w:after="0"/>
              <w:rPr>
                <w:sz w:val="20"/>
                <w:szCs w:val="20"/>
                <w:color w:val="auto"/>
              </w:rPr>
            </w:pPr>
            <w:r>
              <w:rPr>
                <w:rFonts w:ascii="Arial" w:cs="Arial" w:eastAsia="Arial" w:hAnsi="Arial"/>
                <w:sz w:val="12"/>
                <w:szCs w:val="12"/>
                <w:b w:val="1"/>
                <w:bCs w:val="1"/>
                <w:color w:val="auto"/>
              </w:rPr>
              <w:t>Technologies</w:t>
            </w:r>
          </w:p>
        </w:tc>
        <w:tc>
          <w:tcPr>
            <w:tcW w:w="0" w:type="dxa"/>
            <w:vAlign w:val="bottom"/>
          </w:tcPr>
          <w:p>
            <w:pPr>
              <w:spacing w:after="0"/>
              <w:rPr>
                <w:sz w:val="1"/>
                <w:szCs w:val="1"/>
                <w:color w:val="auto"/>
              </w:rPr>
            </w:pPr>
          </w:p>
        </w:tc>
      </w:tr>
      <w:tr>
        <w:trPr>
          <w:trHeight w:val="18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Americas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865.5</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5,416.5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5,303.5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4,644.6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890" w:right="339" w:bottom="1440" w:gutter="0" w:footer="0" w:header="0"/>
        </w:sectPr>
      </w:pPr>
    </w:p>
    <w:bookmarkStart w:id="56" w:name="page57"/>
    <w:bookmarkEnd w:id="56"/>
    <w:p>
      <w:pPr>
        <w:ind w:right="420"/>
        <w:spacing w:after="0" w:line="261" w:lineRule="auto"/>
        <w:rPr>
          <w:sz w:val="20"/>
          <w:szCs w:val="20"/>
          <w:color w:val="auto"/>
        </w:rPr>
      </w:pPr>
      <w:r>
        <w:rPr>
          <w:rFonts w:ascii="Arial" w:cs="Arial" w:eastAsia="Arial" w:hAnsi="Arial"/>
          <w:sz w:val="18"/>
          <w:szCs w:val="18"/>
          <w:color w:val="auto"/>
        </w:rPr>
        <w:t>The following table represents revenue by contract type for each reportable segment for the years ended December 31, 2020,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Subsea</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9"/>
              </w:rPr>
              <w:t>Surface</w:t>
            </w:r>
          </w:p>
        </w:tc>
        <w:tc>
          <w:tcPr>
            <w:tcW w:w="22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Subsea</w:t>
            </w: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9"/>
              </w:rPr>
              <w:t>Surface</w:t>
            </w:r>
          </w:p>
        </w:tc>
        <w:tc>
          <w:tcPr>
            <w:tcW w:w="24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Subsea</w:t>
            </w:r>
          </w:p>
        </w:tc>
        <w:tc>
          <w:tcPr>
            <w:tcW w:w="180" w:type="dxa"/>
            <w:vAlign w:val="bottom"/>
          </w:tcPr>
          <w:p>
            <w:pPr>
              <w:spacing w:after="0"/>
              <w:rPr>
                <w:sz w:val="10"/>
                <w:szCs w:val="10"/>
                <w:color w:val="auto"/>
              </w:rPr>
            </w:pPr>
          </w:p>
        </w:tc>
        <w:tc>
          <w:tcPr>
            <w:tcW w:w="1020" w:type="dxa"/>
            <w:vAlign w:val="bottom"/>
          </w:tcPr>
          <w:p>
            <w:pPr>
              <w:jc w:val="right"/>
              <w:ind w:right="312"/>
              <w:spacing w:after="0" w:line="115" w:lineRule="exact"/>
              <w:rPr>
                <w:sz w:val="20"/>
                <w:szCs w:val="20"/>
                <w:color w:val="auto"/>
              </w:rPr>
            </w:pPr>
            <w:r>
              <w:rPr>
                <w:rFonts w:ascii="Arial" w:cs="Arial" w:eastAsia="Arial" w:hAnsi="Arial"/>
                <w:sz w:val="12"/>
                <w:szCs w:val="12"/>
                <w:b w:val="1"/>
                <w:bCs w:val="1"/>
                <w:color w:val="auto"/>
              </w:rPr>
              <w:t>Surface</w:t>
            </w:r>
          </w:p>
        </w:tc>
        <w:tc>
          <w:tcPr>
            <w:tcW w:w="0" w:type="dxa"/>
            <w:vAlign w:val="bottom"/>
          </w:tcPr>
          <w:p>
            <w:pPr>
              <w:spacing w:after="0"/>
              <w:rPr>
                <w:sz w:val="1"/>
                <w:szCs w:val="1"/>
                <w:color w:val="auto"/>
              </w:rPr>
            </w:pPr>
          </w:p>
        </w:tc>
      </w:tr>
      <w:tr>
        <w:trPr>
          <w:trHeight w:val="148"/>
        </w:trPr>
        <w:tc>
          <w:tcPr>
            <w:tcW w:w="3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Technologies</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Technologies</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152"/>
              <w:spacing w:after="0"/>
              <w:rPr>
                <w:sz w:val="20"/>
                <w:szCs w:val="20"/>
                <w:color w:val="auto"/>
              </w:rPr>
            </w:pPr>
            <w:r>
              <w:rPr>
                <w:rFonts w:ascii="Arial" w:cs="Arial" w:eastAsia="Arial" w:hAnsi="Arial"/>
                <w:sz w:val="12"/>
                <w:szCs w:val="12"/>
                <w:b w:val="1"/>
                <w:bCs w:val="1"/>
                <w:color w:val="auto"/>
              </w:rPr>
              <w:t>Technologies</w:t>
            </w:r>
          </w:p>
        </w:tc>
        <w:tc>
          <w:tcPr>
            <w:tcW w:w="0" w:type="dxa"/>
            <w:vAlign w:val="bottom"/>
          </w:tcPr>
          <w:p>
            <w:pPr>
              <w:spacing w:after="0"/>
              <w:rPr>
                <w:sz w:val="1"/>
                <w:szCs w:val="1"/>
                <w:color w:val="auto"/>
              </w:rPr>
            </w:pPr>
          </w:p>
        </w:tc>
      </w:tr>
      <w:tr>
        <w:trPr>
          <w:trHeight w:val="18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3,121.1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3,141.0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246.8</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1,157.6</w:t>
            </w:r>
          </w:p>
        </w:tc>
        <w:tc>
          <w:tcPr>
            <w:tcW w:w="0" w:type="dxa"/>
            <w:vAlign w:val="bottom"/>
          </w:tcPr>
          <w:p>
            <w:pPr>
              <w:spacing w:after="0"/>
              <w:rPr>
                <w:sz w:val="1"/>
                <w:szCs w:val="1"/>
                <w:color w:val="auto"/>
              </w:rPr>
            </w:pPr>
          </w:p>
        </w:tc>
      </w:tr>
      <w:tr>
        <w:trPr>
          <w:trHeight w:val="18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1,404.4</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 and other</w:t>
            </w:r>
            <w:r>
              <w:rPr>
                <w:rFonts w:ascii="Arial" w:cs="Arial" w:eastAsia="Arial" w:hAnsi="Arial"/>
                <w:sz w:val="9"/>
                <w:szCs w:val="9"/>
                <w:color w:val="auto"/>
              </w:rPr>
              <w:t>(a)</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08"/>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4,762.8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Represents revenue not subject to ASC Topic 606.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in the consolidated balance sheets.</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December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886.8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(liabilities)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(6.9)</w:t>
            </w:r>
          </w:p>
        </w:tc>
      </w:tr>
      <w:tr>
        <w:trPr>
          <w:trHeight w:val="20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contract assets (liabilities)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(254.4)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contract assets from December 31, 2019 to December 31, 2020 was primarily due to the timing of project milestones.</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increase in our contract liabilities was primarily due to additional cash received, excluding amounts recognized as revenue during the period.</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Any subsequent revenue we recognize increases contract asset balance. Revenue recognized for the years ended December 31, 2020 and 2019 that were included in the contract liabilities balance as of December 31, 2019 and 2018 was $484.3 million and $455.4 million, respectively.</w:t>
      </w:r>
    </w:p>
    <w:p>
      <w:pPr>
        <w:spacing w:after="0" w:line="15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addition, net revenue recognized for the years ended December 31, 2020 and 2019 from our performance obligations satisfied in previous periods had unfavorable and favorable impacts of $(21.7) million and $362.5 million, respectively. This primarily relates to the changes in the estimate of the stage of completion that impacted revenue.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03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December 31, 2020, the aggregate amount of the transaction price allocated to order backlog was $7,289.5 million. TechnipFMC expects to recognize revenue on approximately 53.9% of the order backlog through 2021 and 46.1%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1,073.4</w:t>
            </w:r>
          </w:p>
        </w:tc>
      </w:tr>
      <w:tr>
        <w:trPr>
          <w:trHeight w:val="18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0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SEGMENTS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 We now operate under two reportable segments: Subsea and Surface Technologies.</w:t>
      </w:r>
    </w:p>
    <w:p>
      <w:pPr>
        <w:spacing w:after="0" w:line="132" w:lineRule="exact"/>
        <w:rPr>
          <w:sz w:val="20"/>
          <w:szCs w:val="20"/>
          <w:color w:val="auto"/>
        </w:rPr>
      </w:pPr>
    </w:p>
    <w:p>
      <w:pPr>
        <w:ind w:left="340" w:right="160" w:hanging="332"/>
        <w:spacing w:after="0" w:line="282"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100" w:hanging="332"/>
        <w:spacing w:after="0" w:line="289" w:lineRule="auto"/>
        <w:tabs>
          <w:tab w:leader="none" w:pos="33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2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Segment operating profit (loss) is defined as total segment revenue less segment operating expenses. Income (loss) from equity method investments is included in computing segment operating profit. The following items have been excluded in computing segment operating profit (loss): corporate staff expense, net interest income (expense) associated with corporate debt facilities, income taxes, and other revenue and other expense, net.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88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Information by business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(loss)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5,471.4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5,419.5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4,762.8</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1,508.9</w:t>
            </w:r>
          </w:p>
        </w:tc>
      </w:tr>
      <w:tr>
        <w:trPr>
          <w:trHeight w:val="183"/>
        </w:trPr>
        <w:tc>
          <w:tcPr>
            <w:tcW w:w="6740" w:type="dxa"/>
            <w:vAlign w:val="bottom"/>
          </w:tcPr>
          <w:p>
            <w:pPr>
              <w:ind w:left="2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6,530.6</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6,950.2</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6,271.7</w:t>
            </w:r>
          </w:p>
        </w:tc>
      </w:tr>
      <w:tr>
        <w:trPr>
          <w:trHeight w:val="257"/>
        </w:trPr>
        <w:tc>
          <w:tcPr>
            <w:tcW w:w="6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(1,540.6)</w:t>
            </w:r>
          </w:p>
        </w:tc>
      </w:tr>
      <w:tr>
        <w:trPr>
          <w:trHeight w:val="18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w:t>
            </w:r>
          </w:p>
        </w:tc>
      </w:tr>
      <w:tr>
        <w:trPr>
          <w:trHeight w:val="183"/>
        </w:trPr>
        <w:tc>
          <w:tcPr>
            <w:tcW w:w="67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Total segment operating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(1,377.4)</w:t>
            </w: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6740" w:type="dxa"/>
            <w:vAlign w:val="bottom"/>
          </w:tcPr>
          <w:p>
            <w:pPr>
              <w:ind w:left="140"/>
              <w:spacing w:after="0"/>
              <w:rPr>
                <w:sz w:val="20"/>
                <w:szCs w:val="20"/>
                <w:color w:val="auto"/>
              </w:rPr>
            </w:pPr>
            <w:r>
              <w:rPr>
                <w:rFonts w:ascii="Arial" w:cs="Arial" w:eastAsia="Arial" w:hAnsi="Arial"/>
                <w:sz w:val="14"/>
                <w:szCs w:val="14"/>
                <w:color w:val="auto"/>
              </w:rPr>
              <w:t>Impairment, restructuring and other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89"/>
        </w:trPr>
        <w:tc>
          <w:tcPr>
            <w:tcW w:w="6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9"/>
        </w:trPr>
        <w:tc>
          <w:tcPr>
            <w:tcW w:w="6740" w:type="dxa"/>
            <w:vAlign w:val="bottom"/>
          </w:tcPr>
          <w:p>
            <w:pPr>
              <w:ind w:left="140"/>
              <w:spacing w:after="0"/>
              <w:rPr>
                <w:sz w:val="20"/>
                <w:szCs w:val="20"/>
                <w:color w:val="auto"/>
              </w:rPr>
            </w:pPr>
            <w:r>
              <w:rPr>
                <w:rFonts w:ascii="Arial" w:cs="Arial" w:eastAsia="Arial" w:hAnsi="Arial"/>
                <w:sz w:val="14"/>
                <w:szCs w:val="14"/>
                <w:color w:val="auto"/>
              </w:rPr>
              <w:t>Legal expenses</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89"/>
        </w:trPr>
        <w:tc>
          <w:tcPr>
            <w:tcW w:w="674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 xml:space="preserve">Other corporate expenses </w:t>
            </w:r>
            <w:r>
              <w:rPr>
                <w:rFonts w:ascii="Arial" w:cs="Arial" w:eastAsia="Arial" w:hAnsi="Arial"/>
                <w:sz w:val="18"/>
                <w:szCs w:val="18"/>
                <w:color w:val="auto"/>
                <w:vertAlign w:val="superscript"/>
              </w:rPr>
              <w:t>(a)</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w:t>
            </w:r>
          </w:p>
        </w:tc>
      </w:tr>
      <w:tr>
        <w:trPr>
          <w:trHeight w:val="183"/>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Corporate expense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(160.4)</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(147.7)</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losses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183"/>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w:t>
            </w:r>
          </w:p>
        </w:tc>
      </w:tr>
      <w:tr>
        <w:trPr>
          <w:trHeight w:val="208"/>
        </w:trPr>
        <w:tc>
          <w:tcPr>
            <w:tcW w:w="6740" w:type="dxa"/>
            <w:vAlign w:val="bottom"/>
            <w:tcBorders>
              <w:bottom w:val="single" w:sz="8" w:color="CCEEFF"/>
            </w:tcBorders>
            <w:shd w:val="clear" w:color="auto" w:fill="CCEEFF"/>
          </w:tcPr>
          <w:p>
            <w:pPr>
              <w:ind w:left="460"/>
              <w:spacing w:after="0" w:line="182" w:lineRule="exact"/>
              <w:rPr>
                <w:sz w:val="20"/>
                <w:szCs w:val="20"/>
                <w:color w:val="auto"/>
              </w:rPr>
            </w:pPr>
            <w:r>
              <w:rPr>
                <w:rFonts w:ascii="Arial" w:cs="Arial" w:eastAsia="Arial" w:hAnsi="Arial"/>
                <w:sz w:val="14"/>
                <w:szCs w:val="14"/>
                <w:b w:val="1"/>
                <w:bCs w:val="1"/>
                <w:color w:val="auto"/>
              </w:rPr>
              <w:t xml:space="preserve">Loss before income taxes </w:t>
            </w:r>
            <w:r>
              <w:rPr>
                <w:rFonts w:ascii="Arial" w:cs="Arial" w:eastAsia="Arial" w:hAnsi="Arial"/>
                <w:sz w:val="18"/>
                <w:szCs w:val="18"/>
                <w:b w:val="1"/>
                <w:bCs w:val="1"/>
                <w:color w:val="auto"/>
                <w:vertAlign w:val="superscript"/>
              </w:rPr>
              <w:t>(b)</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(3,498.7)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corporate expenses primarily include corporate staff expenses, share-based compensation expenses, and other employee benefits.</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6,796.6</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10,796.0</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2,245.8</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segment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8,554.9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13,041.8</w:t>
            </w:r>
          </w:p>
        </w:tc>
      </w:tr>
      <w:tr>
        <w:trPr>
          <w:trHeight w:val="189"/>
        </w:trPr>
        <w:tc>
          <w:tcPr>
            <w:tcW w:w="82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Corporate </w:t>
            </w:r>
            <w:r>
              <w:rPr>
                <w:rFonts w:ascii="Arial" w:cs="Arial" w:eastAsia="Arial" w:hAnsi="Arial"/>
                <w:sz w:val="18"/>
                <w:szCs w:val="18"/>
                <w:color w:val="auto"/>
                <w:vertAlign w:val="superscript"/>
              </w:rPr>
              <w:t>(a)</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1,610.8</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from discontinued operations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9,008.6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8,866.2</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19,692.6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320" w:hanging="332"/>
        <w:spacing w:after="0" w:line="258"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Corporate includes cash, LIFO adjustments, deferred income tax balances, property, plant and equipment and intercompany eliminations not associated with a specific segment, pension assets and the fair value of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88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Other business segment information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vMerge w:val="restart"/>
          </w:tcPr>
          <w:p>
            <w:pPr>
              <w:jc w:val="center"/>
              <w:ind w:left="368"/>
              <w:spacing w:after="0"/>
              <w:rPr>
                <w:sz w:val="20"/>
                <w:szCs w:val="20"/>
                <w:color w:val="auto"/>
              </w:rPr>
            </w:pPr>
            <w:r>
              <w:rPr>
                <w:rFonts w:ascii="Arial" w:cs="Arial" w:eastAsia="Arial" w:hAnsi="Arial"/>
                <w:sz w:val="14"/>
                <w:szCs w:val="14"/>
                <w:b w:val="1"/>
                <w:bCs w:val="1"/>
                <w:color w:val="auto"/>
              </w:rPr>
              <w:t>Capital Expenditures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rPr>
              <w:t>Depreciation and</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Research and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4"/>
                <w:szCs w:val="14"/>
                <w:b w:val="1"/>
                <w:bCs w:val="1"/>
                <w:color w:val="auto"/>
              </w:rPr>
              <w:t>Development Expense</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left="34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center"/>
              <w:ind w:left="36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left="38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8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256.1</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412.7</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355.1</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412.1</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515.2</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by geography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geography was identified based on the country where our products and services were delivered, and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1,320.1</w:t>
            </w: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1,458.6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998.1</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Norway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1,105.7</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Brazil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1,471.3</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Angola</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356.0</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Guyana</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Mozambique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Indonesia</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Israel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114.3</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Vietnam</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9"/>
        </w:trPr>
        <w:tc>
          <w:tcPr>
            <w:tcW w:w="6740" w:type="dxa"/>
            <w:vAlign w:val="bottom"/>
          </w:tcPr>
          <w:p>
            <w:pPr>
              <w:ind w:left="20"/>
              <w:spacing w:after="0"/>
              <w:rPr>
                <w:sz w:val="20"/>
                <w:szCs w:val="20"/>
                <w:color w:val="auto"/>
              </w:rPr>
            </w:pPr>
            <w:r>
              <w:rPr>
                <w:rFonts w:ascii="Arial" w:cs="Arial" w:eastAsia="Arial" w:hAnsi="Arial"/>
                <w:sz w:val="14"/>
                <w:szCs w:val="14"/>
                <w:color w:val="auto"/>
              </w:rPr>
              <w:t>Australia</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268.2</w:t>
            </w:r>
          </w:p>
        </w:tc>
      </w:tr>
      <w:tr>
        <w:trPr>
          <w:trHeight w:val="18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Trinidad</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countries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1,245.2</w:t>
            </w:r>
          </w:p>
        </w:tc>
      </w:t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6,530.6</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by geography represent property, plant and equipment, net, and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Long-lived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928.8</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951.9</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543.2</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Netherlands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417.6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491.9</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Norway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Brazil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259.9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313.2</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countries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405.8</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long-lived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3,040.3</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908" w:right="339" w:bottom="1440" w:gutter="0" w:footer="0" w:header="0"/>
        </w:sectPr>
      </w:pPr>
    </w:p>
    <w:bookmarkStart w:id="60" w:name="page61"/>
    <w:bookmarkEnd w:id="60"/>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(loss) per share calculation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18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continuing operations attributable to TechnipFMC plc</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(3,552.6)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(1,805.4)</w:t>
            </w:r>
          </w:p>
        </w:tc>
      </w:tr>
      <w:tr>
        <w:trPr>
          <w:trHeight w:val="18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from discontinued operations attributable to TechnipFMC plc</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w:t>
            </w:r>
          </w:p>
        </w:tc>
      </w:tr>
      <w:tr>
        <w:trPr>
          <w:trHeight w:val="183"/>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TechnipFMC plc</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(3,287.6)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 average number of shares outstanding</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Dilutive effect of restricted stock units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shares and dilutive securities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jc w:val="right"/>
              <w:spacing w:after="0"/>
              <w:rPr>
                <w:sz w:val="20"/>
                <w:szCs w:val="20"/>
                <w:color w:val="auto"/>
              </w:rPr>
            </w:pPr>
            <w:r>
              <w:rPr>
                <w:rFonts w:ascii="Arial" w:cs="Arial" w:eastAsia="Arial" w:hAnsi="Arial"/>
                <w:sz w:val="14"/>
                <w:szCs w:val="14"/>
                <w:color w:val="auto"/>
              </w:rPr>
              <w:t>448.7</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458.0</w:t>
            </w:r>
          </w:p>
        </w:tc>
      </w:tr>
      <w:tr>
        <w:trPr>
          <w:trHeight w:val="188"/>
        </w:trPr>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448.7</w:t>
            </w:r>
          </w:p>
        </w:tc>
        <w:tc>
          <w:tcPr>
            <w:tcW w:w="120" w:type="dxa"/>
            <w:vAlign w:val="bottom"/>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458.0</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-162560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and diluted earnings (loss) per share attributable to TechnipFMC plc:</w:t>
            </w:r>
          </w:p>
        </w:tc>
        <w:tc>
          <w:tcPr>
            <w:tcW w:w="1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i w:val="1"/>
                <w:iCs w:val="1"/>
                <w:color w:val="auto"/>
              </w:rPr>
              <w:t>Loss per share from continuing operations attributable to TechnipFMC plc</w:t>
            </w: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12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rPr>
              <w:t>(7.92)</w:t>
            </w:r>
          </w:p>
        </w:tc>
        <w:tc>
          <w:tcPr>
            <w:tcW w:w="6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rPr>
              <w:t>(5.91)</w:t>
            </w:r>
          </w:p>
        </w:tc>
        <w:tc>
          <w:tcPr>
            <w:tcW w:w="6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257"/>
        </w:trPr>
        <w:tc>
          <w:tcPr>
            <w:tcW w:w="6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8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Earnings (loss) per share from discontinued operations attributable to TechnipFMC plc</w:t>
            </w:r>
          </w:p>
        </w:tc>
        <w:tc>
          <w:tcPr>
            <w:tcW w:w="1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6140" w:type="dxa"/>
            <w:vAlign w:val="bottom"/>
          </w:tcPr>
          <w:p>
            <w:pPr>
              <w:ind w:left="220"/>
              <w:spacing w:after="0"/>
              <w:rPr>
                <w:sz w:val="20"/>
                <w:szCs w:val="20"/>
                <w:color w:val="auto"/>
              </w:rPr>
            </w:pPr>
            <w:r>
              <w:rPr>
                <w:rFonts w:ascii="Arial" w:cs="Arial" w:eastAsia="Arial" w:hAnsi="Arial"/>
                <w:sz w:val="14"/>
                <w:szCs w:val="14"/>
                <w:color w:val="auto"/>
              </w:rPr>
              <w:t>Basic and diluted</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0.59</w:t>
            </w:r>
          </w:p>
        </w:tc>
        <w:tc>
          <w:tcPr>
            <w:tcW w:w="6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328"/>
              <w:spacing w:after="0"/>
              <w:rPr>
                <w:sz w:val="20"/>
                <w:szCs w:val="20"/>
                <w:color w:val="auto"/>
              </w:rPr>
            </w:pPr>
            <w:r>
              <w:rPr>
                <w:rFonts w:ascii="Arial" w:cs="Arial" w:eastAsia="Arial" w:hAnsi="Arial"/>
                <w:sz w:val="14"/>
                <w:szCs w:val="14"/>
                <w:color w:val="auto"/>
              </w:rPr>
              <w:t>0.51</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(0.25)</w:t>
            </w:r>
          </w:p>
        </w:tc>
      </w:tr>
      <w:tr>
        <w:trPr>
          <w:trHeight w:val="256"/>
        </w:trPr>
        <w:tc>
          <w:tcPr>
            <w:tcW w:w="6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4"/>
                <w:szCs w:val="14"/>
                <w:i w:val="1"/>
                <w:iCs w:val="1"/>
                <w:color w:val="auto"/>
              </w:rPr>
              <w:t>Total loss per share attributable to TechnipFMC plc</w:t>
            </w: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12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rPr>
              <w:t>(7.33)</w:t>
            </w:r>
          </w:p>
        </w:tc>
        <w:tc>
          <w:tcPr>
            <w:tcW w:w="6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rPr>
              <w:t>(5.39)</w:t>
            </w:r>
          </w:p>
        </w:tc>
        <w:tc>
          <w:tcPr>
            <w:tcW w:w="6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r>
    </w:tbl>
    <w:p>
      <w:pPr>
        <w:spacing w:after="0" w:line="200" w:lineRule="exact"/>
        <w:rPr>
          <w:sz w:val="20"/>
          <w:szCs w:val="20"/>
          <w:color w:val="auto"/>
        </w:rPr>
      </w:pPr>
    </w:p>
    <w:p>
      <w:pPr>
        <w:spacing w:after="0" w:line="20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For the years ended December 31, 2020, 2019 and 2018, we incurred net losses; therefore, the impact of any incremental shares from our share-based compensation awards would be anti-dilutive. For the years ended December 31, 2020, 2019 and 2018, 3.8 million shares, 4.3 million shares and 2.7 million shares, respectively, were anti-dilutive due to a net loss position.</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Weighted average shares of the following share-based compensation awards were excluded from the calculation of diluted weighted average number of shares where the assumed proceeds exceed the average market price from the calculation of diluted weighted average number of shares, because their effect would be anti-dilutive: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 of shares)</w:t>
            </w:r>
          </w:p>
        </w:tc>
        <w:tc>
          <w:tcPr>
            <w:tcW w:w="13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option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Restricted share units</w:t>
            </w:r>
          </w:p>
        </w:tc>
        <w:tc>
          <w:tcPr>
            <w:tcW w:w="138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4"/>
                <w:szCs w:val="14"/>
                <w:color w:val="auto"/>
              </w:rPr>
              <w:t>8.3</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1"/>
        </w:trPr>
        <w:tc>
          <w:tcPr>
            <w:tcW w:w="6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type w:val="continuous"/>
        </w:sectPr>
      </w:pPr>
    </w:p>
    <w:bookmarkStart w:id="61" w:name="page62"/>
    <w:bookmarkEnd w:id="61"/>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345.3</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288.2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739.8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772.6</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Inventories, net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1,252.8</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1,406.1</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All amounts in the table above are reported net of obsolescence reserves of $155.7 million and $129.1 million as of December 31, 2020 and 2019, respectively.</w:t>
      </w:r>
    </w:p>
    <w:p>
      <w:pPr>
        <w:spacing w:after="0" w:line="144"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Net inventories accounted for under the LIFO method totaled $408.5 million and $386.6 million as of December 31, 2020 and 2019, respectively. The current replacement costs of LIFO inventories exceeded their recorded values by $11.6 million and $10.9 million as of December 31, 2020 and 2019, respectively. There was no reduction to the base LIFO inventory in 2020.</w:t>
      </w:r>
    </w:p>
    <w:p>
      <w:pPr>
        <w:spacing w:after="0" w:line="200" w:lineRule="exact"/>
        <w:rPr>
          <w:sz w:val="20"/>
          <w:szCs w:val="20"/>
          <w:color w:val="auto"/>
        </w:rPr>
      </w:pPr>
    </w:p>
    <w:p>
      <w:pPr>
        <w:spacing w:after="0" w:line="331" w:lineRule="exact"/>
        <w:rPr>
          <w:sz w:val="20"/>
          <w:szCs w:val="20"/>
          <w:color w:val="auto"/>
        </w:rPr>
      </w:pPr>
    </w:p>
    <w:p>
      <w:pPr>
        <w:ind w:right="5160"/>
        <w:spacing w:after="0" w:line="467" w:lineRule="auto"/>
        <w:rPr>
          <w:sz w:val="20"/>
          <w:szCs w:val="20"/>
          <w:color w:val="auto"/>
        </w:rPr>
      </w:pPr>
      <w:r>
        <w:rPr>
          <w:rFonts w:ascii="Arial" w:cs="Arial" w:eastAsia="Arial" w:hAnsi="Arial"/>
          <w:sz w:val="18"/>
          <w:szCs w:val="18"/>
          <w:b w:val="1"/>
          <w:bCs w:val="1"/>
          <w:color w:val="auto"/>
        </w:rPr>
        <w:t xml:space="preserve">NOTE 10. OTHER CURRENT ASSETS &amp; OTHER CURRENT LIABILITIES </w:t>
      </w:r>
      <w:r>
        <w:rPr>
          <w:rFonts w:ascii="Arial" w:cs="Arial" w:eastAsia="Arial" w:hAnsi="Arial"/>
          <w:sz w:val="18"/>
          <w:szCs w:val="18"/>
          <w:color w:val="auto"/>
        </w:rPr>
        <w:t>Other current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receivables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Sundry receivables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Other taxes receivables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held for sale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Current financial assets at amortized cost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Held-to-maturity investments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683.4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accruals and project contingencies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194.4</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Legal provisions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138.9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 - added tax and other taxes payable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147.2</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Social security liability</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75.1</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accrual</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79.3</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Provisions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73.0</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Liabilities classified as held for sale</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9.3</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215.0</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818.3</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938.7</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WARRANTY OBLIGATIONS</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Warranty obligations are included within “Other current liabilities” in our consolidated balance sheets as of December 31, 2020 and 2019. A reconciliation of warranty obligations for the years ended December 31, 2020 and 2019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110.8</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Warranty expenses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43.6</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existing accruals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Claims paid</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METHOD INVESTMENTS</w:t>
      </w:r>
    </w:p>
    <w:p>
      <w:pPr>
        <w:spacing w:after="0" w:line="19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equity method of accounting is used to account for investments in unconsolidated affiliates where we can have the ability to exert significant influence over the affiliates operating and financial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were as follows as of December 31,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83"/>
        </w:trPr>
        <w:tc>
          <w:tcPr>
            <w:tcW w:w="44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83"/>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4780" w:type="dxa"/>
            <w:vAlign w:val="bottom"/>
            <w:gridSpan w:val="2"/>
          </w:tcPr>
          <w:p>
            <w:pPr>
              <w:jc w:val="right"/>
              <w:ind w:right="1088"/>
              <w:spacing w:after="0"/>
              <w:rPr>
                <w:sz w:val="20"/>
                <w:szCs w:val="20"/>
                <w:color w:val="auto"/>
              </w:rPr>
            </w:pPr>
            <w:r>
              <w:rPr>
                <w:rFonts w:ascii="Arial" w:cs="Arial" w:eastAsia="Arial" w:hAnsi="Arial"/>
                <w:sz w:val="14"/>
                <w:szCs w:val="14"/>
                <w:b w:val="1"/>
                <w:bCs w:val="1"/>
                <w:color w:val="auto"/>
              </w:rPr>
              <w:t>Percentage Owned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Carrying Value</w:t>
            </w:r>
          </w:p>
        </w:tc>
        <w:tc>
          <w:tcPr>
            <w:tcW w:w="920" w:type="dxa"/>
            <w:vAlign w:val="bottom"/>
          </w:tcPr>
          <w:p>
            <w:pPr>
              <w:spacing w:after="0"/>
              <w:rPr>
                <w:sz w:val="15"/>
                <w:szCs w:val="15"/>
                <w:color w:val="auto"/>
              </w:rPr>
            </w:pPr>
          </w:p>
        </w:tc>
      </w:tr>
      <w:tr>
        <w:trPr>
          <w:trHeight w:val="18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Dofcon Brasil AS</w:t>
            </w:r>
          </w:p>
        </w:tc>
        <w:tc>
          <w:tcPr>
            <w:tcW w:w="386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50.0 %</w:t>
            </w:r>
          </w:p>
        </w:tc>
        <w:tc>
          <w:tcPr>
            <w:tcW w:w="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234.7</w:t>
            </w: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Magma Global Limited</w:t>
            </w:r>
          </w:p>
        </w:tc>
        <w:tc>
          <w:tcPr>
            <w:tcW w:w="3860" w:type="dxa"/>
            <w:vAlign w:val="bottom"/>
          </w:tcPr>
          <w:p>
            <w:pPr>
              <w:jc w:val="right"/>
              <w:ind w:right="48"/>
              <w:spacing w:after="0"/>
              <w:rPr>
                <w:sz w:val="20"/>
                <w:szCs w:val="20"/>
                <w:color w:val="auto"/>
              </w:rPr>
            </w:pPr>
            <w:r>
              <w:rPr>
                <w:rFonts w:ascii="Arial" w:cs="Arial" w:eastAsia="Arial" w:hAnsi="Arial"/>
                <w:sz w:val="14"/>
                <w:szCs w:val="14"/>
                <w:color w:val="auto"/>
              </w:rPr>
              <w:t>25.0 %</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w:t>
            </w: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Serimax Holdings SAS</w:t>
            </w:r>
          </w:p>
        </w:tc>
        <w:tc>
          <w:tcPr>
            <w:tcW w:w="3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20.0 %</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18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38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equity affiliates</w:t>
            </w:r>
          </w:p>
        </w:tc>
        <w:tc>
          <w:tcPr>
            <w:tcW w:w="478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major equity method investments are as follows:</w:t>
      </w:r>
    </w:p>
    <w:p>
      <w:pPr>
        <w:spacing w:after="0" w:line="7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Dofcon Brasil AS (“Dofcon”) - </w:t>
      </w:r>
      <w:r>
        <w:rPr>
          <w:rFonts w:ascii="Arial" w:cs="Arial" w:eastAsia="Arial" w:hAnsi="Arial"/>
          <w:sz w:val="18"/>
          <w:szCs w:val="18"/>
          <w:color w:val="auto"/>
        </w:rPr>
        <w:t>is an affiliated company in the form of a joint venture between TechnipFMC and DOF Subsea and was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in 2006. Dofcon provides Pipe-Laying Support Vessels (PLSVs) for work in oil and gas fields offshore Brazil. Dofcon is considered a VIE because it does not have sufficient equity to finance its activities without additional subordinated financial support from other parties. We are not the primary beneficiary of the VIE. As such, we have accounted for our 50% investment using the equity method of accounting with results reported in our Subsea segment.</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Magma Global Limited (“Magma Global”) - </w:t>
      </w:r>
      <w:r>
        <w:rPr>
          <w:rFonts w:ascii="Arial" w:cs="Arial" w:eastAsia="Arial" w:hAnsi="Arial"/>
          <w:sz w:val="18"/>
          <w:szCs w:val="18"/>
          <w:color w:val="auto"/>
        </w:rPr>
        <w:t>is an affiliated company in the form of a collaborative agreement signed in 2018 between Technip-Coflexip UK Holdings Limited and Magma Global to develop hybrid flexible pipe for use in offshore applications. As part of the collaboration, TechnipFMC holds a minority stake. We have accounted for our 25% investment using the equity method investment of accounting with results reported in our Subsea segment.</w:t>
      </w:r>
    </w:p>
    <w:p>
      <w:pPr>
        <w:spacing w:after="0" w:line="126" w:lineRule="exact"/>
        <w:rPr>
          <w:sz w:val="20"/>
          <w:szCs w:val="20"/>
          <w:color w:val="auto"/>
        </w:rPr>
      </w:pPr>
    </w:p>
    <w:p>
      <w:pPr>
        <w:jc w:val="both"/>
        <w:ind w:right="200"/>
        <w:spacing w:after="0" w:line="289" w:lineRule="auto"/>
        <w:rPr>
          <w:sz w:val="20"/>
          <w:szCs w:val="20"/>
          <w:color w:val="auto"/>
        </w:rPr>
      </w:pPr>
      <w:r>
        <w:rPr>
          <w:rFonts w:ascii="Arial" w:cs="Arial" w:eastAsia="Arial" w:hAnsi="Arial"/>
          <w:sz w:val="17"/>
          <w:szCs w:val="17"/>
          <w:i w:val="1"/>
          <w:iCs w:val="1"/>
          <w:color w:val="auto"/>
        </w:rPr>
        <w:t xml:space="preserve">Serimax Holdings SAS (“Serimax”) - </w:t>
      </w:r>
      <w:r>
        <w:rPr>
          <w:rFonts w:ascii="Arial" w:cs="Arial" w:eastAsia="Arial" w:hAnsi="Arial"/>
          <w:sz w:val="17"/>
          <w:szCs w:val="17"/>
          <w:color w:val="auto"/>
        </w:rPr>
        <w:t>is an affiliated company in the form of a joint venture between TechnipFMC and Vallourec SA and was</w:t>
      </w:r>
      <w:r>
        <w:rPr>
          <w:rFonts w:ascii="Arial" w:cs="Arial" w:eastAsia="Arial" w:hAnsi="Arial"/>
          <w:sz w:val="17"/>
          <w:szCs w:val="17"/>
          <w:i w:val="1"/>
          <w:iCs w:val="1"/>
          <w:color w:val="auto"/>
        </w:rPr>
        <w:t xml:space="preserve"> </w:t>
      </w:r>
      <w:r>
        <w:rPr>
          <w:rFonts w:ascii="Arial" w:cs="Arial" w:eastAsia="Arial" w:hAnsi="Arial"/>
          <w:sz w:val="17"/>
          <w:szCs w:val="17"/>
          <w:color w:val="auto"/>
        </w:rPr>
        <w:t>founded in 2016. Serimax is headquartered in Paris, France and provides rigid pipes welding services for work in oil and gas fields around the world. We have accounted for our 20% investment using the equity method of accounting with results reported in our Subsea segment.</w:t>
      </w:r>
    </w:p>
    <w:p>
      <w:pPr>
        <w:spacing w:after="0" w:line="12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income from equity affiliates during for the years ended December 31, 2020, 2019 and 2018, was $64.6 million, $59.8 million and $80.9 million, respectively and included within our Subsea segment.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3" w:name="page64"/>
    <w:bookmarkEnd w:id="63"/>
    <w:p>
      <w:pPr>
        <w:jc w:val="both"/>
        <w:ind w:right="14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consisted of receivables due from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Equinor ASA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Techdof Brasil AS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Storengy</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0.8</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Total trade receivables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Techdof Brasil AS is a wholly owned subsidiary of Dofcon Brasil AS, our equity method affiliate. A member of our Board of Directors serves on the Board of Directors for Storengy. In October 2020, we added a new member to our Board of Directors who is an executive of Equinor ASA.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Payables consisted of payables due to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trade payables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member of our Board of Directors served as an executive officer of IFP Energies nouvelles until June 2020.</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Additionally, we have a note receivable balance of $37.6 million and $62.5 million with Dofcon Brasil AS as of December 31, 2020 and 2019, respectively. Dofcon Brasil AS is a VIE and accounted for as an equity method affiliate. These are included in other assets in our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Equinor ASA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Equinor Brasil</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Anadarko Petroleum Company</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TOP CV</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Storengy</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Techdof Brasil AS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member of our Board of Directors (the “Director”) served on the Board of Directors of Anadarko Petroleum Company (“Anadarko”) until August 2019. In August 2019, Anadarko was acquired by Occidental Petroleum Corporation (“Occidental”). As a result, the Director no longer serves as a member of the Board of Directors of Anadarko. The Director is not an officer or director of Occidental.</w:t>
      </w:r>
    </w:p>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TOP CV was previously an equity method affiliate that became a fully consolidated subsidiary on December 30, 2019. See Note 3 for further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Equinor Brasil is a subsidiary of Equinor ASA in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consisted of amounts to following related parties: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90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Arkema S.A.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tcPr>
          <w:p>
            <w:pPr>
              <w:ind w:left="20"/>
              <w:spacing w:after="0"/>
              <w:rPr>
                <w:sz w:val="20"/>
                <w:szCs w:val="20"/>
                <w:color w:val="auto"/>
              </w:rPr>
            </w:pPr>
            <w:r>
              <w:rPr>
                <w:rFonts w:ascii="Arial" w:cs="Arial" w:eastAsia="Arial" w:hAnsi="Arial"/>
                <w:sz w:val="14"/>
                <w:szCs w:val="14"/>
                <w:color w:val="auto"/>
              </w:rPr>
              <w:t>Serimax Holdings SAS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Magma Global Limited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6720" w:type="dxa"/>
            <w:vAlign w:val="bottom"/>
          </w:tcPr>
          <w:p>
            <w:pPr>
              <w:ind w:left="20"/>
              <w:spacing w:after="0"/>
              <w:rPr>
                <w:sz w:val="20"/>
                <w:szCs w:val="20"/>
                <w:color w:val="auto"/>
              </w:rPr>
            </w:pPr>
            <w:r>
              <w:rPr>
                <w:rFonts w:ascii="Arial" w:cs="Arial" w:eastAsia="Arial" w:hAnsi="Arial"/>
                <w:sz w:val="14"/>
                <w:szCs w:val="14"/>
                <w:color w:val="auto"/>
              </w:rPr>
              <w:t>Jumbo Shipping</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Serimax Holdings SAS and Magma Global Limited are equity method affiliates. Members of our Board of Directors serve on the Board of Directors for Arkema S.A. and Jumbo Shipping.</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PROPERTY, PLANT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and land improvements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Buildings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514.6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512.1</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Vessels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1,968.1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2,091.9</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1,871.8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1,892.3</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fixtures and furniture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124.0</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Construction in process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124.3</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254.8</w:t>
            </w:r>
          </w:p>
        </w:tc>
      </w:tr>
      <w:tr>
        <w:trPr>
          <w:trHeight w:val="183"/>
        </w:trPr>
        <w:tc>
          <w:tcPr>
            <w:tcW w:w="8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4,910.4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5,099.2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(2,154.2)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(2,058.9)</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2,756.2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3,040.3</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Depreciation expense was $308.7 million, $363.0 million and $348.7 million in 2020, 2019 and 2018, respectively. The amount of interest cost capitalized was not material for the years presented.</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During 2020 and 2019, we determined the carrying amount of certain of our long-lived assets exceeded their fair value and recorded an impairment. See Note 19 for further details.</w:t>
      </w:r>
    </w:p>
    <w:p>
      <w:pPr>
        <w:spacing w:after="0" w:line="14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December 2020, we declared our intent to sell our G1200 vessel as part of our overall strategy to optimize the profile and size of our subsea fleet and classified it as an asset held for sale in other current assets in our consolidated balance sheet. We also evaluated the vessel’s book value and recorded an impairment charge of $8.3 million within impairment, restructuring and other expenses in our consolidated statement of income for the year ended December 31, 2020. We completed the sale in the second quarter of 2021. See Note 25 for further details.</w:t>
      </w:r>
    </w:p>
    <w:p>
      <w:pPr>
        <w:spacing w:after="0" w:line="15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December 2019, we completed the sale of our G1201 vessel as part of our overall strategy to optimize the profile and size of our subsea fleet. We recorded a net loss of $7.1 million, which is included in other income (expense), net in our consolidated statements of income.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GOODWILL AND INTANGIBLE ASSETS</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We record goodwill as the excess of the purchase price over the fair value of the net assets acquired in acquisitions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purchase method of accounting. We test goodwill for impairment annually as of October 31 of each year, or more frequently if circumstances indicate possible impairment. We identify a potential impairment by comparing the fair value of the applicable reporting unit (which is consistent with our business segments) to its net book value, including goodwill. If the net book value exceeds the fair value of the reporting unit, we measure the impairment by comparing the carrying value of the reporting unit to its fair value.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936" w:right="339" w:bottom="1440" w:gutter="0" w:footer="0" w:header="0"/>
        </w:sectPr>
      </w:pPr>
    </w:p>
    <w:bookmarkStart w:id="65" w:name="page66"/>
    <w:bookmarkEnd w:id="65"/>
    <w:p>
      <w:pPr>
        <w:jc w:val="both"/>
        <w:ind w:right="400"/>
        <w:spacing w:after="0" w:line="256" w:lineRule="auto"/>
        <w:rPr>
          <w:sz w:val="20"/>
          <w:szCs w:val="20"/>
          <w:color w:val="auto"/>
        </w:rPr>
      </w:pPr>
      <w:r>
        <w:rPr>
          <w:rFonts w:ascii="Arial" w:cs="Arial" w:eastAsia="Arial" w:hAnsi="Arial"/>
          <w:sz w:val="18"/>
          <w:szCs w:val="18"/>
          <w:color w:val="auto"/>
        </w:rPr>
        <w:t>We test our goodwill for impairment by comparing the fair value of each of our reporting units to their net carrying value. Our impairment analysis is quantitative; however, it includes subjective estimates based on assumptions regarding future growth rates, interest rates and operating expenses.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Under the market multiple approach, we determine the estimated fair value of each of our reporting units by applying transaction multiples to each reporting unit’s projected EBITDA and then averaging that estimate with similar historical calculations using either a one, two or three year average. Our reporting unit valuations were determined primarily by utilizing the income approach and the market multiple approach.</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first quarter of 2020, triggering events were identified which led to performing interim goodwill impairment testing in our reporting units as of March 31, 2020. These events included the COVID-19 pandemic breakout, commodity price declines, and a significant decrease in our market capitalization as well as those of our peers and customers. The fair value for our reporting units for the interim testing was valued using a market approach. An appropriate control premium was considered for each of the reporting units and applied to the output of the market approach. An interim impairment test during the first quarter of 2020 resulted in $2,747.5 million and $335.9 million of goodwill impairment charges recorded in our Subsea and Surface Technologies segments, respectively. As a result of the impairment assessment during the first quarter of 2020, the goodwill in our Subsea and Surface Technologies segments was fully impaired as of March 31, 2020.</w:t>
      </w:r>
    </w:p>
    <w:p>
      <w:pPr>
        <w:spacing w:after="0" w:line="153"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During our 2019 and 2018 annual impairment tests the following significant estimates were used by management in determining the fair values of reporting units in order to test the goodwill at October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of cash flows before terminal value</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189"/>
        </w:trPr>
        <w:tc>
          <w:tcPr>
            <w:tcW w:w="8020" w:type="dxa"/>
            <w:vAlign w:val="bottom"/>
          </w:tcPr>
          <w:p>
            <w:pPr>
              <w:ind w:left="20"/>
              <w:spacing w:after="0"/>
              <w:rPr>
                <w:sz w:val="20"/>
                <w:szCs w:val="20"/>
                <w:color w:val="auto"/>
              </w:rPr>
            </w:pPr>
            <w:r>
              <w:rPr>
                <w:rFonts w:ascii="Arial" w:cs="Arial" w:eastAsia="Arial" w:hAnsi="Arial"/>
                <w:sz w:val="14"/>
                <w:szCs w:val="14"/>
                <w:color w:val="auto"/>
              </w:rPr>
              <w:t>Discount rates</w:t>
            </w:r>
          </w:p>
        </w:tc>
        <w:tc>
          <w:tcPr>
            <w:tcW w:w="1660" w:type="dxa"/>
            <w:vAlign w:val="bottom"/>
            <w:gridSpan w:val="2"/>
          </w:tcPr>
          <w:p>
            <w:pPr>
              <w:ind w:left="260"/>
              <w:spacing w:after="0"/>
              <w:rPr>
                <w:sz w:val="20"/>
                <w:szCs w:val="20"/>
                <w:color w:val="auto"/>
              </w:rPr>
            </w:pPr>
            <w:r>
              <w:rPr>
                <w:rFonts w:ascii="Arial" w:cs="Arial" w:eastAsia="Arial" w:hAnsi="Arial"/>
                <w:sz w:val="14"/>
                <w:szCs w:val="14"/>
                <w:color w:val="auto"/>
              </w:rPr>
              <w:t>12.5% to 15.0%</w:t>
            </w:r>
          </w:p>
        </w:tc>
        <w:tc>
          <w:tcPr>
            <w:tcW w:w="1560" w:type="dxa"/>
            <w:vAlign w:val="bottom"/>
          </w:tcPr>
          <w:p>
            <w:pPr>
              <w:ind w:left="260"/>
              <w:spacing w:after="0"/>
              <w:rPr>
                <w:sz w:val="20"/>
                <w:szCs w:val="20"/>
                <w:color w:val="auto"/>
              </w:rPr>
            </w:pPr>
            <w:r>
              <w:rPr>
                <w:rFonts w:ascii="Arial" w:cs="Arial" w:eastAsia="Arial" w:hAnsi="Arial"/>
                <w:sz w:val="14"/>
                <w:szCs w:val="14"/>
                <w:color w:val="auto"/>
              </w:rPr>
              <w:t>12.5% to 13.0%</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 multiples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7.0 - 8.5x</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8.5 - 11.5x</w:t>
            </w:r>
          </w:p>
        </w:tc>
      </w:tr>
    </w:tbl>
    <w:p>
      <w:pPr>
        <w:spacing w:after="0" w:line="16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year ended December 31, 2019, we recorded $1,321.9 million and $666.8 million of goodwill impairment charges in our Subsea and Surface Technologies reporting units, respectively. See Note 19 for further details.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90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carrying amount of goodwill by reporting segment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5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Subsea</w:t>
            </w:r>
          </w:p>
        </w:tc>
        <w:tc>
          <w:tcPr>
            <w:tcW w:w="17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Surface</w:t>
            </w:r>
          </w:p>
        </w:tc>
        <w:tc>
          <w:tcPr>
            <w:tcW w:w="11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7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Technologies</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4,121.2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992.6</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5,113.8</w:t>
            </w:r>
          </w:p>
        </w:tc>
        <w:tc>
          <w:tcPr>
            <w:tcW w:w="0" w:type="dxa"/>
            <w:vAlign w:val="bottom"/>
          </w:tcPr>
          <w:p>
            <w:pPr>
              <w:spacing w:after="0"/>
              <w:rPr>
                <w:sz w:val="1"/>
                <w:szCs w:val="1"/>
                <w:color w:val="auto"/>
              </w:rPr>
            </w:pPr>
          </w:p>
        </w:tc>
      </w:tr>
      <w:tr>
        <w:trPr>
          <w:trHeight w:val="189"/>
        </w:trPr>
        <w:tc>
          <w:tcPr>
            <w:tcW w:w="6400" w:type="dxa"/>
            <w:vAlign w:val="bottom"/>
          </w:tcPr>
          <w:p>
            <w:pPr>
              <w:ind w:left="220"/>
              <w:spacing w:after="0"/>
              <w:rPr>
                <w:sz w:val="20"/>
                <w:szCs w:val="20"/>
                <w:color w:val="auto"/>
              </w:rPr>
            </w:pPr>
            <w:r>
              <w:rPr>
                <w:rFonts w:ascii="Arial" w:cs="Arial" w:eastAsia="Arial" w:hAnsi="Arial"/>
                <w:sz w:val="14"/>
                <w:szCs w:val="14"/>
                <w:color w:val="auto"/>
              </w:rPr>
              <w:t>Impairments</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(666.8)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(1,988.7)</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adjustment</w:t>
            </w:r>
          </w:p>
        </w:tc>
        <w:tc>
          <w:tcPr>
            <w:tcW w:w="32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6400" w:type="dxa"/>
            <w:vAlign w:val="bottom"/>
          </w:tcPr>
          <w:p>
            <w:pPr>
              <w:ind w:left="220"/>
              <w:spacing w:after="0"/>
              <w:rPr>
                <w:sz w:val="20"/>
                <w:szCs w:val="20"/>
                <w:color w:val="auto"/>
              </w:rPr>
            </w:pPr>
            <w:r>
              <w:rPr>
                <w:rFonts w:ascii="Arial" w:cs="Arial" w:eastAsia="Arial" w:hAnsi="Arial"/>
                <w:sz w:val="14"/>
                <w:szCs w:val="14"/>
                <w:color w:val="auto"/>
              </w:rPr>
              <w:t>Translation</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2,792.8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335.7</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3,128.5</w:t>
            </w:r>
          </w:p>
        </w:tc>
        <w:tc>
          <w:tcPr>
            <w:tcW w:w="0" w:type="dxa"/>
            <w:vAlign w:val="bottom"/>
          </w:tcPr>
          <w:p>
            <w:pPr>
              <w:spacing w:after="0"/>
              <w:rPr>
                <w:sz w:val="1"/>
                <w:szCs w:val="1"/>
                <w:color w:val="auto"/>
              </w:rPr>
            </w:pPr>
          </w:p>
        </w:tc>
      </w:tr>
      <w:tr>
        <w:trPr>
          <w:trHeight w:val="189"/>
        </w:trPr>
        <w:tc>
          <w:tcPr>
            <w:tcW w:w="6400" w:type="dxa"/>
            <w:vAlign w:val="bottom"/>
          </w:tcPr>
          <w:p>
            <w:pPr>
              <w:ind w:left="220"/>
              <w:spacing w:after="0"/>
              <w:rPr>
                <w:sz w:val="20"/>
                <w:szCs w:val="20"/>
                <w:color w:val="auto"/>
              </w:rPr>
            </w:pPr>
            <w:r>
              <w:rPr>
                <w:rFonts w:ascii="Arial" w:cs="Arial" w:eastAsia="Arial" w:hAnsi="Arial"/>
                <w:sz w:val="14"/>
                <w:szCs w:val="14"/>
                <w:color w:val="auto"/>
              </w:rPr>
              <w:t>Impairments</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(3,083.4)</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w:t>
            </w:r>
          </w:p>
        </w:tc>
        <w:tc>
          <w:tcPr>
            <w:tcW w:w="3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60" w:type="dxa"/>
            <w:vAlign w:val="bottom"/>
            <w:gridSpan w:val="3"/>
          </w:tcPr>
          <w:p>
            <w:pPr>
              <w:ind w:left="1040"/>
              <w:spacing w:after="0"/>
              <w:rPr>
                <w:sz w:val="20"/>
                <w:szCs w:val="20"/>
                <w:color w:val="auto"/>
              </w:rPr>
            </w:pPr>
            <w:r>
              <w:rPr>
                <w:rFonts w:ascii="Arial" w:cs="Arial" w:eastAsia="Arial" w:hAnsi="Arial"/>
                <w:sz w:val="14"/>
                <w:szCs w:val="14"/>
                <w:color w:val="auto"/>
              </w:rPr>
              <w:t>—   $</w:t>
            </w:r>
          </w:p>
        </w:tc>
        <w:tc>
          <w:tcPr>
            <w:tcW w:w="1780" w:type="dxa"/>
            <w:vAlign w:val="bottom"/>
            <w:gridSpan w:val="3"/>
          </w:tcPr>
          <w:p>
            <w:pPr>
              <w:ind w:left="1100"/>
              <w:spacing w:after="0"/>
              <w:rPr>
                <w:sz w:val="20"/>
                <w:szCs w:val="20"/>
                <w:color w:val="auto"/>
              </w:rPr>
            </w:pPr>
            <w:r>
              <w:rPr>
                <w:rFonts w:ascii="Arial" w:cs="Arial" w:eastAsia="Arial" w:hAnsi="Arial"/>
                <w:sz w:val="14"/>
                <w:szCs w:val="14"/>
                <w:color w:val="auto"/>
              </w:rPr>
              <w:t>—   $</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accumulated goodwill impairment was $6,455.1 million and $3,371.7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The components of intangible assets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2"/>
                <w:szCs w:val="12"/>
                <w:color w:val="auto"/>
              </w:rPr>
            </w:pPr>
          </w:p>
        </w:tc>
        <w:tc>
          <w:tcPr>
            <w:tcW w:w="11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5"/>
                <w:szCs w:val="15"/>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technology</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98.1</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Backlog</w:t>
            </w:r>
          </w:p>
        </w:tc>
        <w:tc>
          <w:tcPr>
            <w:tcW w:w="2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Licenses, patents and trademarks</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690.3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493.1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We recorded $ 103.4 million, $104.7 million and $166.5 million in amortization expense related to intangible assets during the years ended December 31, 2020, 2019 and 2018, respectively. During the years 2021 through 2025, annual amortization expense is expected to be as follows: $97 million in 2021, $93 million in 2022, $90 million in 2023, $88 million in 2024, $87 million in 2025 and $398 million thereafter.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debt and current portion of long-term debt - </w:t>
      </w:r>
      <w:r>
        <w:rPr>
          <w:rFonts w:ascii="Arial" w:cs="Arial" w:eastAsia="Arial" w:hAnsi="Arial"/>
          <w:sz w:val="18"/>
          <w:szCs w:val="18"/>
          <w:color w:val="auto"/>
        </w:rPr>
        <w:t>Short-term debt and current portion of long-term debt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2"/>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borrowings and other</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267.0</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Synthetic bonds due 2021</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551.2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5.00% 2010 Private placement notes due 2020</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224.6</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Total short-term debt and current portion of long-term debt</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624.7</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491.6</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908" w:right="33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189"/>
        </w:trPr>
        <w:tc>
          <w:tcPr>
            <w:tcW w:w="4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1,315.6</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Synthetic bonds due 2021</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551.2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492.9</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5.00%</w:t>
            </w:r>
          </w:p>
        </w:tc>
        <w:tc>
          <w:tcPr>
            <w:tcW w:w="780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224.6</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3.15%</w:t>
            </w:r>
          </w:p>
        </w:tc>
        <w:tc>
          <w:tcPr>
            <w:tcW w:w="780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146.0</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4.50%</w:t>
            </w:r>
          </w:p>
        </w:tc>
        <w:tc>
          <w:tcPr>
            <w:tcW w:w="7800" w:type="dxa"/>
            <w:vAlign w:val="bottom"/>
          </w:tcPr>
          <w:p>
            <w:pPr>
              <w:ind w:left="20"/>
              <w:spacing w:after="0"/>
              <w:rPr>
                <w:sz w:val="20"/>
                <w:szCs w:val="20"/>
                <w:color w:val="auto"/>
              </w:rPr>
            </w:pPr>
            <w:r>
              <w:rPr>
                <w:rFonts w:ascii="Arial" w:cs="Arial" w:eastAsia="Arial" w:hAnsi="Arial"/>
                <w:sz w:val="14"/>
                <w:szCs w:val="14"/>
                <w:color w:val="auto"/>
              </w:rPr>
              <w:t>2020 Private placement notes due 2025</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2027</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r>
      <w:tr>
        <w:trPr>
          <w:trHeight w:val="189"/>
        </w:trPr>
        <w:tc>
          <w:tcPr>
            <w:tcW w:w="440" w:type="dxa"/>
            <w:vAlign w:val="bottom"/>
          </w:tcPr>
          <w:p>
            <w:pPr>
              <w:ind w:left="20"/>
              <w:spacing w:after="0"/>
              <w:rPr>
                <w:sz w:val="20"/>
                <w:szCs w:val="20"/>
                <w:color w:val="auto"/>
              </w:rPr>
            </w:pPr>
            <w:r>
              <w:rPr>
                <w:rFonts w:ascii="Arial" w:cs="Arial" w:eastAsia="Arial" w:hAnsi="Arial"/>
                <w:sz w:val="14"/>
                <w:szCs w:val="14"/>
                <w:color w:val="auto"/>
              </w:rPr>
              <w:t>4.00%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2032</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112.3</w:t>
            </w:r>
          </w:p>
        </w:tc>
      </w:tr>
      <w:tr>
        <w:trPr>
          <w:trHeight w:val="189"/>
        </w:trPr>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3.75%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2033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r>
      <w:tr>
        <w:trPr>
          <w:trHeight w:val="18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Bank borrowings and other</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532.5</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Unamortized debt issuance costs and discounts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3"/>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debt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3,460.2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3,820.2</w:t>
            </w:r>
          </w:p>
        </w:tc>
      </w:tr>
      <w:tr>
        <w:trPr>
          <w:trHeight w:val="18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current borrowings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491.6</w:t>
            </w:r>
          </w:p>
        </w:tc>
      </w:tr>
      <w:tr>
        <w:trPr>
          <w:trHeight w:val="18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debt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2,835.5</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3,328.6</w:t>
            </w:r>
          </w:p>
        </w:tc>
      </w:tr>
      <w:tr>
        <w:trPr>
          <w:trHeight w:val="21"/>
        </w:trPr>
        <w:tc>
          <w:tcPr>
            <w:tcW w:w="4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 as of December 31, 2020,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188"/>
              <w:spacing w:after="0"/>
              <w:rPr>
                <w:sz w:val="20"/>
                <w:szCs w:val="20"/>
                <w:color w:val="auto"/>
              </w:rPr>
            </w:pPr>
            <w:r>
              <w:rPr>
                <w:rFonts w:ascii="Arial" w:cs="Arial" w:eastAsia="Arial" w:hAnsi="Arial"/>
                <w:sz w:val="14"/>
                <w:szCs w:val="14"/>
                <w:b w:val="1"/>
                <w:bCs w:val="1"/>
                <w:color w:val="auto"/>
              </w:rPr>
              <w:t>Payments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140" w:type="dxa"/>
            <w:vAlign w:val="bottom"/>
          </w:tcPr>
          <w:p>
            <w:pPr>
              <w:jc w:val="center"/>
              <w:ind w:right="128"/>
              <w:spacing w:after="0" w:line="142" w:lineRule="exact"/>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center"/>
              <w:ind w:right="248"/>
              <w:spacing w:after="0" w:line="142"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28"/>
              <w:spacing w:after="0" w:line="142"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208"/>
              <w:spacing w:after="0" w:line="14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8"/>
              </w:rPr>
              <w:t>years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Funding and Liquidity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completed the following transactions in order to enhance our total liquidity position:</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Repaid $233.9 million of 5.00% 2010 private placement notes;</w:t>
      </w:r>
    </w:p>
    <w:p>
      <w:pPr>
        <w:spacing w:after="0" w:line="171" w:lineRule="exact"/>
        <w:rPr>
          <w:rFonts w:ascii="Arial" w:cs="Arial" w:eastAsia="Arial" w:hAnsi="Arial"/>
          <w:sz w:val="18"/>
          <w:szCs w:val="18"/>
          <w:color w:val="auto"/>
        </w:rPr>
      </w:pPr>
    </w:p>
    <w:p>
      <w:pPr>
        <w:ind w:left="660" w:right="580" w:hanging="652"/>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Repaid the remaining outstanding balance of $190.0 million of the term loan assumed in connection with the acquisition of the remaining 50% interest in TOP CV.</w:t>
      </w:r>
    </w:p>
    <w:p>
      <w:pPr>
        <w:spacing w:after="0" w:line="143" w:lineRule="exact"/>
        <w:rPr>
          <w:rFonts w:ascii="Arial" w:cs="Arial" w:eastAsia="Arial" w:hAnsi="Arial"/>
          <w:sz w:val="18"/>
          <w:szCs w:val="18"/>
          <w:color w:val="auto"/>
        </w:rPr>
      </w:pPr>
    </w:p>
    <w:p>
      <w:pPr>
        <w:ind w:left="660" w:right="20" w:hanging="652"/>
        <w:spacing w:after="0" w:line="25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Issued €200 million aggregate principal amount of 4.500% 2020 Private Placement Notes due June 30, 2025. Within three months of the effective date of the Spin-off of Technip Energies, if there is a downgrade by a nationally recognized rating agency of the corporate rating of TechnipFMC from an investment grade to a non-investment grade rating or a withdrawal of any such rating, the interest rate applicable to the 2020 Private Placement Notes will be increased to 5.75%;</w:t>
      </w:r>
    </w:p>
    <w:p>
      <w:pPr>
        <w:spacing w:after="0" w:line="149" w:lineRule="exact"/>
        <w:rPr>
          <w:rFonts w:ascii="Arial" w:cs="Arial" w:eastAsia="Arial" w:hAnsi="Arial"/>
          <w:sz w:val="18"/>
          <w:szCs w:val="18"/>
          <w:color w:val="auto"/>
        </w:rPr>
      </w:pPr>
    </w:p>
    <w:p>
      <w:pPr>
        <w:ind w:left="660" w:right="460" w:hanging="652"/>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(the “Euro Facility”); and</w:t>
      </w:r>
    </w:p>
    <w:p>
      <w:pPr>
        <w:spacing w:after="0" w:line="143" w:lineRule="exact"/>
        <w:rPr>
          <w:rFonts w:ascii="Arial" w:cs="Arial" w:eastAsia="Arial" w:hAnsi="Arial"/>
          <w:sz w:val="18"/>
          <w:szCs w:val="18"/>
          <w:color w:val="auto"/>
        </w:rPr>
      </w:pPr>
    </w:p>
    <w:p>
      <w:pPr>
        <w:ind w:left="660" w:right="100" w:hanging="652"/>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Entered into the Bank of England’s COVID Corporate Financing Facility program (the “CCFF Program”), which allows us to issue up to £600 million of unsecured commercial paper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17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17, 2017, we acceded to a new $2.5 billion senior unsecured revolving credit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Agreement”) between FMC Technologies, Inc., Technip Eurocash SNC (the “Borrowers”), and TechnipFMC plc (the “Additional Borrower”) with JPMorgan Chase Bank, National Association (“JPMorgan”), as agent and an arranger, SG Americas Securities LLC as an arranger, and the lenders party thereto.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936" w:right="359" w:bottom="1440" w:gutter="0" w:footer="0" w:header="0"/>
        </w:sectPr>
      </w:pPr>
    </w:p>
    <w:bookmarkStart w:id="68" w:name="page69"/>
    <w:bookmarkEnd w:id="68"/>
    <w:p>
      <w:pPr>
        <w:jc w:val="both"/>
        <w:ind w:right="160"/>
        <w:spacing w:after="0" w:line="278" w:lineRule="auto"/>
        <w:rPr>
          <w:sz w:val="20"/>
          <w:szCs w:val="20"/>
          <w:color w:val="auto"/>
        </w:rPr>
      </w:pPr>
      <w:r>
        <w:rPr>
          <w:rFonts w:ascii="Arial" w:cs="Arial" w:eastAsia="Arial" w:hAnsi="Arial"/>
          <w:sz w:val="17"/>
          <w:szCs w:val="17"/>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On November 26, 2018, we entered into an extension which extends the expiration date to January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660" w:right="700" w:hanging="652"/>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3"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 As of December 31, 2020, there were no outstanding borrowings under our revolving credit facility.</w:t>
      </w:r>
    </w:p>
    <w:p>
      <w:pPr>
        <w:spacing w:after="0" w:line="13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Euro Facility </w:t>
      </w:r>
      <w:r>
        <w:rPr>
          <w:rFonts w:ascii="Arial" w:cs="Arial" w:eastAsia="Arial" w:hAnsi="Arial"/>
          <w:sz w:val="18"/>
          <w:szCs w:val="18"/>
          <w:color w:val="auto"/>
        </w:rPr>
        <w:t>– On May 19, 2020, we entered into the Euro Facility with HSBC France, as agent, and the lenders party thereto,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the establishment of a six-month revolving credit facility denominated in Euros with total commitments of € 500 million, which may be extended by us for two additional three-month periods. Borrowings under the Euro Facility bear interest at the Euro interbank offered rate for a period equal in length to the interest period of a given loan (which may be three or six months), plus an applicable margin. As of December 31, 2020, there were no outstanding borrowings under Euro Facility.</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Facility Agreement and Euro Facility contain usual and customary covenants, representations and warranties, and events of default for credit facilities of this type, including financial covenants requiring that our total capitalization ratio not exceed 60% at the end of any financial quarter. The Facility Agreement and Euro Facility also contain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were in compliance with all restrictive covenants under our credit facilities.</w:t>
      </w:r>
    </w:p>
    <w:p>
      <w:pPr>
        <w:spacing w:after="0" w:line="15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i w:val="1"/>
          <w:iCs w:val="1"/>
          <w:color w:val="auto"/>
        </w:rPr>
        <w:t xml:space="preserve">CCFF Program </w:t>
      </w:r>
      <w:r>
        <w:rPr>
          <w:rFonts w:ascii="Arial" w:cs="Arial" w:eastAsia="Arial" w:hAnsi="Arial"/>
          <w:sz w:val="18"/>
          <w:szCs w:val="18"/>
          <w:color w:val="auto"/>
        </w:rPr>
        <w:t>- On May 19, 2020, we entered into a dealer agreement (the “Dealer Agreement”) with Bank of America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DAC (the “Dealer”) and an Issuing and Paying Agency Agreement (the “Agency Agreement”, and together with the Dealer Agreement, the “Agreements”) with Bank of America, National Association, London Branch, relating to the European commercial paper program established under the CCFF Program as a source of additional liquidity.</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Agreements provide the terms under which we may issue, and the Dealer will arrange for, the sale of short-term, unsecured commercial paper notes (the “Notes”) to reduce existing debt or decrease overall borrowing costs. The Notes contain customary representations, warranties, covenants, defaults, and indemnification provisions, and will be sold at such discounts from their face amounts as shall be agreed between us and the Dealer. The Notes will be fully payable at maturity, and the maturities of the Notes will vary but may not exceed 364 days. The principal amount of outstanding Notes may not exceed £600 million. The Agency Agreement provides for the terms of issuance and payment of the Notes. As of December 31, 2020, our commercial paper borrowings under the CCFF Program had a weighted average interest rate of 0.43%. As of December 31, 2020, we had $817.9 million of Notes outstanding and recorded as long-term borrowings under the CCFF Program. When we have both the ability and intent to refinance certain obligations on a long-term basis, the obligations are classified as long-term, as such, the outstanding borrowings of the CCFF Program were classified as long-term debt in our consolidated balance sheet as of December 31,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01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 xml:space="preserve">Bilateral credit facility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access to a €100.0 million bilateral credit facility expiring in May 2021.</w:t>
      </w:r>
    </w:p>
    <w:p>
      <w:pPr>
        <w:spacing w:after="0" w:line="19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bilateral credit facility contains usual and customary covenants, representations and warranties and events of default for credit facilities of this type.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no outstanding borrowings under our bilateral credit facility.</w:t>
      </w:r>
    </w:p>
    <w:p>
      <w:pPr>
        <w:spacing w:after="0" w:line="15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of short-term financing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dealers, subject to the limit of unused capacity of our facility agreement. When we have both the ability and intent to refinance certain obligations on a long-term basis, the obligations are classified as long-term, as such, the commercial paper borrowings were classified as long-term debt in our consolidated balance sheets as of December 31, 2020 and 2019. Commercial paper borrowings are issued at market interest rates. As of December 31, 2020, our commercial paper borrowings had a weighted average interest rate of 0.34% on the U.S. dollar denominated borrowings. As of December 31, 2020, we had $225.8 million of outstanding commercial paper borrowings under this program.</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Synthetic bonds - </w:t>
      </w:r>
      <w:r>
        <w:rPr>
          <w:rFonts w:ascii="Arial" w:cs="Arial" w:eastAsia="Arial" w:hAnsi="Arial"/>
          <w:sz w:val="18"/>
          <w:szCs w:val="18"/>
          <w:color w:val="auto"/>
        </w:rPr>
        <w:t>On January 25, 2016, we issued €375.0 million principal amount of 0.875% convertible bonds with a maturity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25, 2021 and 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could only be cash settled, they did not result in the issuance of new ordinary shares or the delivery of existing ordinary shares upon conversion. Interest on the Synthetic Bonds is payable semi-annually in arrears on January 25 and July 25 of each year, beginning July 26, 2016. The synthetic bonds were repaid during the first quarter of 2021.</w:t>
      </w:r>
    </w:p>
    <w:p>
      <w:pPr>
        <w:spacing w:after="0" w:line="2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outstanding 3.45% $500.0 million senior notes due October 1, 2022 (the “Senior Notes”). The terms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Issuance:</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2020, we completed the private placement of €200 million aggregate principal amount of the 2020 Private Placement Notes. The 2020 Private Placement Notes bear interest of 4.50% and are due June 2025. Interest on the notes is payable annually in arrears on June 30 of each year beginning June 30, 2020. The 2020 Private Placement Notes contain usual and customary covenants and events of default for notes of this type. In addition, within three months of the effective date of the Spin-off of Technip Energies, if there is a downgrade by a nationally recognized rating agency of the corporate rating of TechnipFMC from an investment grade to a non-investment grade rating or a withdrawal of any such rating, the interest rate applicable to the 2020 Private Placement Notes will be increased to 5.75%.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Issuances:</w:t>
      </w:r>
    </w:p>
    <w:p>
      <w:pPr>
        <w:spacing w:after="0" w:line="2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894" w:right="359" w:bottom="1440" w:gutter="0" w:footer="0" w:header="0"/>
        </w:sectPr>
      </w:pPr>
    </w:p>
    <w:bookmarkStart w:id="70" w:name="page71"/>
    <w:bookmarkEnd w:id="70"/>
    <w:p>
      <w:pPr>
        <w:jc w:val="both"/>
        <w:ind w:right="420"/>
        <w:spacing w:after="0"/>
        <w:rPr>
          <w:sz w:val="20"/>
          <w:szCs w:val="20"/>
          <w:color w:val="auto"/>
        </w:rPr>
      </w:pPr>
      <w:r>
        <w:rPr>
          <w:rFonts w:ascii="Arial" w:cs="Arial" w:eastAsia="Arial" w:hAnsi="Arial"/>
          <w:sz w:val="18"/>
          <w:szCs w:val="18"/>
          <w:color w:val="auto"/>
        </w:rPr>
        <w:t>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Issuances:</w:t>
      </w:r>
    </w:p>
    <w:p>
      <w:pPr>
        <w:spacing w:after="0" w:line="26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2013 and 2012 Private Placement Notes contain usual and customary covenants and events of default for notes of this type. In the event of a change of control resulting in a downgrade in the rating of the notes below BBB-, the 2013 and 2012 Private Placement Notes may be redeemed early at the request of any bondholder, at its sole discretion. The 2013 and 2012 Private Placement Notes are our unsecured obligations. The 2013 and 2012 Private Placement Notes will rank equally in right of payment with all of our existing and future unsubordinated debt.</w:t>
      </w:r>
    </w:p>
    <w:p>
      <w:pPr>
        <w:spacing w:after="0" w:line="133"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i w:val="1"/>
          <w:iCs w:val="1"/>
          <w:color w:val="auto"/>
        </w:rPr>
        <w:t xml:space="preserve">Term loan - </w:t>
      </w:r>
      <w:r>
        <w:rPr>
          <w:rFonts w:ascii="Arial" w:cs="Arial" w:eastAsia="Arial" w:hAnsi="Arial"/>
          <w:sz w:val="18"/>
          <w:szCs w:val="18"/>
          <w:color w:val="auto"/>
        </w:rPr>
        <w:t>In December 2016, we entered into a £ 160.0 million term loan agreement to finance the Deep Explorer, a diving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(“DSV”), maturing December 2028. Under the loan agreement, interest accrues at an annual rate of 2.813%. This loan agreement contains usual and customary covenants and events of default for loans of this type.</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Bank borrowings </w:t>
      </w:r>
      <w:r>
        <w:rPr>
          <w:rFonts w:ascii="Arial" w:cs="Arial" w:eastAsia="Arial" w:hAnsi="Arial"/>
          <w:sz w:val="18"/>
          <w:szCs w:val="18"/>
          <w:color w:val="auto"/>
        </w:rPr>
        <w:t>- In January 2019, we executed a sale-leaseback transaction to finance the purchase of a deepwater dive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Deep Discoverer (the “Vessel”) for the full transaction price of $116.8 million. The sale-leaseback agreement (“Charter”) was entered into with a French joint-stock company, owned by Credit Industrial et Commercial (“CIC”) which was formed for the sole purpose to purchase and act as the lessor of the Vessel. It is a variable interest entity, which is fully consolidated in our condensed consolidated financial statements. The transaction was funded through debt of $96.2 million which is primarily long-term, expiring on January 8, 2031.</w:t>
      </w:r>
    </w:p>
    <w:p>
      <w:pPr>
        <w:spacing w:after="0" w:line="129"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Foreign committed credit - </w:t>
      </w:r>
      <w:r>
        <w:rPr>
          <w:rFonts w:ascii="Arial" w:cs="Arial" w:eastAsia="Arial" w:hAnsi="Arial"/>
          <w:sz w:val="18"/>
          <w:szCs w:val="18"/>
          <w:color w:val="auto"/>
        </w:rPr>
        <w:t>We have committed credit lines at many of our international subsidiaries for immaterial amounts. We utilize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asset financing and to provide a more efficient daily source of liquidity. The effective interest rates depend upon the local national market.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Cash dividends paid during the years ended December 31, 2020, 2019 and 2018 were $59.2 million, $232.8 million and $238.1 million, respectively. In April 2020, our Board of Directors announced its decision to lower the annual dividend by 75% to $0.13 per share.</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 paid only out of our “distributable reserves” on our statutory balance sheet. Therefore, we are not permitted to pay dividends out of share capital, which includes share premium. On November 27, 2019, we redeemed 50,000 redeemable shares of £1 each and cancelled one deferred ordinary share of £1 in the capital of TechnipFMC.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15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Ordinary Shares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Ordinary</w:t>
            </w:r>
          </w:p>
        </w:tc>
        <w:tc>
          <w:tcPr>
            <w:tcW w:w="15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Held in</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 shares in millions)</w:t>
            </w:r>
          </w:p>
        </w:tc>
        <w:tc>
          <w:tcPr>
            <w:tcW w:w="154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Employee</w:t>
            </w:r>
          </w:p>
        </w:tc>
        <w:tc>
          <w:tcPr>
            <w:tcW w:w="14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 Issued</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Trust</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2017</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465.1</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Stock awards</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purchases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Treasury stock cancellation</w:t>
            </w:r>
          </w:p>
        </w:tc>
        <w:tc>
          <w:tcPr>
            <w:tcW w:w="14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stock purchased for employee benefit trust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December 31, 2018</w:t>
            </w: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450.5</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awards</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Treasury stock purchases</w:t>
            </w: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cancellation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stock purchased for employee benefit trust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447.1</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Stock awards</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449.5</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2017, the Board of Directors authorized a share repurchase program of up to $500.0 million in ordinary shares. In December 2018, the Board of Directors authorized an extension of the share repurchase program of up to $300.0 million of additional shares. During the years ended December 31, 2020, 2019 and 2018, we repurchased $0.0 million, $92.7 million and $442.8 million of shares, respectively. As of December 31, 2020, we had $207.8 million of shares authorized for repurchase. Repurchased shares are canceled and not held in treasury. Canceled treasury shares are accounted for using the constructive retirement method.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924"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 xml:space="preserve">Accumulated other comprehensive income (loss) - </w:t>
      </w:r>
      <w:r>
        <w:rPr>
          <w:rFonts w:ascii="Arial" w:cs="Arial" w:eastAsia="Arial" w:hAnsi="Arial"/>
          <w:sz w:val="18"/>
          <w:szCs w:val="18"/>
          <w:color w:val="auto"/>
        </w:rPr>
        <w:t>Accumulated other comprehensive income (loss)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Defined Pension</w:t>
            </w:r>
          </w:p>
        </w:tc>
        <w:tc>
          <w:tcPr>
            <w:tcW w:w="140" w:type="dxa"/>
            <w:vAlign w:val="bottom"/>
          </w:tcPr>
          <w:p>
            <w:pPr>
              <w:spacing w:after="0"/>
              <w:rPr>
                <w:sz w:val="13"/>
                <w:szCs w:val="13"/>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3"/>
                <w:szCs w:val="13"/>
                <w:color w:val="auto"/>
              </w:rPr>
            </w:pPr>
          </w:p>
        </w:tc>
        <w:tc>
          <w:tcPr>
            <w:tcW w:w="142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4"/>
              </w:rPr>
              <w:t>and Other</w:t>
            </w:r>
          </w:p>
        </w:tc>
        <w:tc>
          <w:tcPr>
            <w:tcW w:w="140" w:type="dxa"/>
            <w:vAlign w:val="bottom"/>
          </w:tcPr>
          <w:p>
            <w:pPr>
              <w:spacing w:after="0"/>
              <w:rPr>
                <w:sz w:val="10"/>
                <w:szCs w:val="10"/>
                <w:color w:val="auto"/>
              </w:rPr>
            </w:pPr>
          </w:p>
        </w:tc>
        <w:tc>
          <w:tcPr>
            <w:tcW w:w="16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0"/>
                <w:szCs w:val="10"/>
                <w:color w:val="auto"/>
              </w:rPr>
            </w:pPr>
          </w:p>
        </w:tc>
        <w:tc>
          <w:tcPr>
            <w:tcW w:w="14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Loss Attributable</w:t>
            </w:r>
          </w:p>
        </w:tc>
        <w:tc>
          <w:tcPr>
            <w:tcW w:w="0" w:type="dxa"/>
            <w:vAlign w:val="bottom"/>
          </w:tcPr>
          <w:p>
            <w:pPr>
              <w:spacing w:after="0"/>
              <w:rPr>
                <w:sz w:val="1"/>
                <w:szCs w:val="1"/>
                <w:color w:val="auto"/>
              </w:rPr>
            </w:pPr>
          </w:p>
        </w:tc>
      </w:tr>
      <w:tr>
        <w:trPr>
          <w:trHeight w:val="122"/>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0"/>
                <w:szCs w:val="10"/>
                <w:color w:val="auto"/>
              </w:rPr>
            </w:pPr>
          </w:p>
        </w:tc>
        <w:tc>
          <w:tcPr>
            <w:tcW w:w="15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Post-Retirement</w:t>
            </w:r>
          </w:p>
        </w:tc>
        <w:tc>
          <w:tcPr>
            <w:tcW w:w="140" w:type="dxa"/>
            <w:vAlign w:val="bottom"/>
          </w:tcPr>
          <w:p>
            <w:pPr>
              <w:spacing w:after="0"/>
              <w:rPr>
                <w:sz w:val="10"/>
                <w:szCs w:val="10"/>
                <w:color w:val="auto"/>
              </w:rPr>
            </w:pPr>
          </w:p>
        </w:tc>
        <w:tc>
          <w:tcPr>
            <w:tcW w:w="162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Loss Attributable to</w:t>
            </w:r>
          </w:p>
        </w:tc>
        <w:tc>
          <w:tcPr>
            <w:tcW w:w="140" w:type="dxa"/>
            <w:vAlign w:val="bottom"/>
          </w:tcPr>
          <w:p>
            <w:pPr>
              <w:spacing w:after="0"/>
              <w:rPr>
                <w:sz w:val="10"/>
                <w:szCs w:val="10"/>
                <w:color w:val="auto"/>
              </w:rPr>
            </w:pPr>
          </w:p>
        </w:tc>
        <w:tc>
          <w:tcPr>
            <w:tcW w:w="14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to Non-Controlling</w:t>
            </w:r>
          </w:p>
        </w:tc>
        <w:tc>
          <w:tcPr>
            <w:tcW w:w="0" w:type="dxa"/>
            <w:vAlign w:val="bottom"/>
          </w:tcPr>
          <w:p>
            <w:pPr>
              <w:spacing w:after="0"/>
              <w:rPr>
                <w:sz w:val="1"/>
                <w:szCs w:val="1"/>
                <w:color w:val="auto"/>
              </w:rPr>
            </w:pPr>
          </w:p>
        </w:tc>
      </w:tr>
      <w:tr>
        <w:trPr>
          <w:trHeight w:val="172"/>
        </w:trPr>
        <w:tc>
          <w:tcPr>
            <w:tcW w:w="4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TechnipFMC plc</w:t>
            </w:r>
          </w:p>
        </w:tc>
        <w:tc>
          <w:tcPr>
            <w:tcW w:w="14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17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29"/>
        </w:trPr>
        <w:tc>
          <w:tcPr>
            <w:tcW w:w="4020" w:type="dxa"/>
            <w:vAlign w:val="bottom"/>
          </w:tcPr>
          <w:p>
            <w:pPr>
              <w:ind w:left="140"/>
              <w:spacing w:after="0" w:line="129" w:lineRule="exact"/>
              <w:rPr>
                <w:sz w:val="20"/>
                <w:szCs w:val="20"/>
                <w:color w:val="auto"/>
              </w:rPr>
            </w:pPr>
            <w:r>
              <w:rPr>
                <w:rFonts w:ascii="Arial" w:cs="Arial" w:eastAsia="Arial" w:hAnsi="Arial"/>
                <w:sz w:val="13"/>
                <w:szCs w:val="13"/>
                <w:color w:val="auto"/>
              </w:rPr>
              <w:t>Other comprehensive income (loss) before reclassifications, net of</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3"/>
                <w:szCs w:val="13"/>
                <w:color w:val="auto"/>
              </w:rPr>
              <w:t>tax</w:t>
            </w: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2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Reclassification adjustment for net (gains) losses included in net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net of tax</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comprehensive income (loss), net of tax</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09"/>
        </w:trPr>
        <w:tc>
          <w:tcPr>
            <w:tcW w:w="4020" w:type="dxa"/>
            <w:vAlign w:val="bottom"/>
          </w:tcPr>
          <w:p>
            <w:pPr>
              <w:ind w:left="140"/>
              <w:spacing w:after="0" w:line="109" w:lineRule="exact"/>
              <w:rPr>
                <w:sz w:val="20"/>
                <w:szCs w:val="20"/>
                <w:color w:val="auto"/>
              </w:rPr>
            </w:pPr>
            <w:r>
              <w:rPr>
                <w:rFonts w:ascii="Arial" w:cs="Arial" w:eastAsia="Arial" w:hAnsi="Arial"/>
                <w:sz w:val="12"/>
                <w:szCs w:val="12"/>
                <w:color w:val="auto"/>
              </w:rPr>
              <w:t>Other comprehensive income (loss) before reclassifications, net of</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(171.1)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(237.2)</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0"/>
        </w:trPr>
        <w:tc>
          <w:tcPr>
            <w:tcW w:w="4020" w:type="dxa"/>
            <w:vAlign w:val="bottom"/>
          </w:tcPr>
          <w:p>
            <w:pPr>
              <w:ind w:left="140"/>
              <w:spacing w:after="0"/>
              <w:rPr>
                <w:sz w:val="20"/>
                <w:szCs w:val="20"/>
                <w:color w:val="auto"/>
              </w:rPr>
            </w:pPr>
            <w:r>
              <w:rPr>
                <w:rFonts w:ascii="Arial" w:cs="Arial" w:eastAsia="Arial" w:hAnsi="Arial"/>
                <w:sz w:val="13"/>
                <w:szCs w:val="13"/>
                <w:color w:val="auto"/>
              </w:rPr>
              <w:t>tax</w:t>
            </w: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2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Reclassification adjustment for net (gains) losses included in net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net of tax</w:t>
            </w: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comprehensive income (loss), net of tax</w:t>
            </w: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(171.1)</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(83.7)</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(215.0)</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Reclassifications out of accumulated other comprehensive income (loss) - </w:t>
      </w:r>
      <w:r>
        <w:rPr>
          <w:rFonts w:ascii="Arial" w:cs="Arial" w:eastAsia="Arial" w:hAnsi="Arial"/>
          <w:sz w:val="18"/>
          <w:szCs w:val="18"/>
          <w:color w:val="auto"/>
        </w:rPr>
        <w:t>Reclassifications out of accumulated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center"/>
              <w:ind w:left="60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3620" w:type="dxa"/>
            <w:vAlign w:val="bottom"/>
          </w:tcPr>
          <w:p>
            <w:pPr>
              <w:spacing w:after="0"/>
              <w:rPr>
                <w:sz w:val="16"/>
                <w:szCs w:val="16"/>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3620" w:type="dxa"/>
            <w:vAlign w:val="bottom"/>
          </w:tcPr>
          <w:p>
            <w:pPr>
              <w:spacing w:after="0"/>
              <w:rPr>
                <w:sz w:val="15"/>
                <w:szCs w:val="15"/>
                <w:color w:val="auto"/>
              </w:rPr>
            </w:pPr>
          </w:p>
        </w:tc>
      </w:tr>
      <w:tr>
        <w:trPr>
          <w:trHeight w:val="142"/>
        </w:trPr>
        <w:tc>
          <w:tcPr>
            <w:tcW w:w="37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Details about Accumulated Other Comprehensive</w:t>
            </w:r>
          </w:p>
        </w:tc>
        <w:tc>
          <w:tcPr>
            <w:tcW w:w="220" w:type="dxa"/>
            <w:vAlign w:val="bottom"/>
          </w:tcPr>
          <w:p>
            <w:pPr>
              <w:spacing w:after="0"/>
              <w:rPr>
                <w:sz w:val="12"/>
                <w:szCs w:val="12"/>
                <w:color w:val="auto"/>
              </w:rPr>
            </w:pPr>
          </w:p>
        </w:tc>
        <w:tc>
          <w:tcPr>
            <w:tcW w:w="3680" w:type="dxa"/>
            <w:vAlign w:val="bottom"/>
            <w:gridSpan w:val="9"/>
          </w:tcPr>
          <w:p>
            <w:pPr>
              <w:jc w:val="center"/>
              <w:ind w:right="168"/>
              <w:spacing w:after="0" w:line="142" w:lineRule="exact"/>
              <w:rPr>
                <w:sz w:val="20"/>
                <w:szCs w:val="20"/>
                <w:color w:val="auto"/>
              </w:rPr>
            </w:pPr>
            <w:r>
              <w:rPr>
                <w:rFonts w:ascii="Arial" w:cs="Arial" w:eastAsia="Arial" w:hAnsi="Arial"/>
                <w:sz w:val="14"/>
                <w:szCs w:val="14"/>
                <w:b w:val="1"/>
                <w:bCs w:val="1"/>
                <w:color w:val="auto"/>
              </w:rPr>
              <w:t>Amount Reclassified out of Accumulated Other</w:t>
            </w:r>
          </w:p>
        </w:tc>
        <w:tc>
          <w:tcPr>
            <w:tcW w:w="36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Affected Line Item in the Consolidated Statement</w:t>
            </w:r>
          </w:p>
        </w:tc>
      </w:tr>
      <w:tr>
        <w:trPr>
          <w:trHeight w:val="17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 Components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of Income</w:t>
            </w:r>
          </w:p>
        </w:tc>
      </w:tr>
      <w:tr>
        <w:trPr>
          <w:trHeight w:val="18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on foreign currency translation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r>
      <w:tr>
        <w:trPr>
          <w:trHeight w:val="216"/>
        </w:trPr>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(losses) on hedging instruments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(83.7)</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3620" w:type="dxa"/>
            <w:vAlign w:val="bottom"/>
          </w:tcPr>
          <w:p>
            <w:pPr>
              <w:ind w:left="120"/>
              <w:spacing w:after="0"/>
              <w:rPr>
                <w:sz w:val="20"/>
                <w:szCs w:val="20"/>
                <w:color w:val="auto"/>
              </w:rPr>
            </w:pPr>
            <w:r>
              <w:rPr>
                <w:rFonts w:ascii="Arial" w:cs="Arial" w:eastAsia="Arial" w:hAnsi="Arial"/>
                <w:sz w:val="14"/>
                <w:szCs w:val="14"/>
                <w:color w:val="auto"/>
              </w:rPr>
              <w:t>Revenue</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Costs of sales</w:t>
            </w:r>
          </w:p>
        </w:tc>
      </w:t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36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362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(benefit) for income taxes</w:t>
            </w:r>
          </w:p>
        </w:tc>
      </w:tr>
      <w:tr>
        <w:trPr>
          <w:trHeight w:val="183"/>
        </w:trPr>
        <w:tc>
          <w:tcPr>
            <w:tcW w:w="37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3620" w:type="dxa"/>
            <w:vAlign w:val="bottom"/>
          </w:tcPr>
          <w:p>
            <w:pPr>
              <w:ind w:left="120"/>
              <w:spacing w:after="0"/>
              <w:rPr>
                <w:sz w:val="20"/>
                <w:szCs w:val="20"/>
                <w:color w:val="auto"/>
              </w:rPr>
            </w:pPr>
            <w:r>
              <w:rPr>
                <w:rFonts w:ascii="Arial" w:cs="Arial" w:eastAsia="Arial" w:hAnsi="Arial"/>
                <w:sz w:val="14"/>
                <w:szCs w:val="14"/>
                <w:color w:val="auto"/>
              </w:rPr>
              <w:t>Net income (loss)</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r>
      <w:tr>
        <w:trPr>
          <w:trHeight w:val="237"/>
        </w:trPr>
        <w:tc>
          <w:tcPr>
            <w:tcW w:w="3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i w:val="1"/>
                <w:iCs w:val="1"/>
                <w:color w:val="auto"/>
              </w:rPr>
              <w:t>Pension and other post-retirement benefits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Settlements and curtailments</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r>
      <w:tr>
        <w:trPr>
          <w:trHeight w:val="189"/>
        </w:trPr>
        <w:tc>
          <w:tcPr>
            <w:tcW w:w="3700" w:type="dxa"/>
            <w:vAlign w:val="bottom"/>
          </w:tcPr>
          <w:p>
            <w:pPr>
              <w:ind w:left="220"/>
              <w:spacing w:after="0"/>
              <w:rPr>
                <w:sz w:val="20"/>
                <w:szCs w:val="20"/>
                <w:color w:val="auto"/>
              </w:rPr>
            </w:pPr>
            <w:r>
              <w:rPr>
                <w:rFonts w:ascii="Arial" w:cs="Arial" w:eastAsia="Arial" w:hAnsi="Arial"/>
                <w:sz w:val="14"/>
                <w:szCs w:val="14"/>
                <w:color w:val="auto"/>
              </w:rPr>
              <w:t>Amortization of actuarial gain (loss)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3620" w:type="dxa"/>
            <w:vAlign w:val="bottom"/>
          </w:tcPr>
          <w:p>
            <w:pPr>
              <w:ind w:left="120"/>
              <w:spacing w:after="0"/>
              <w:rPr>
                <w:sz w:val="20"/>
                <w:szCs w:val="20"/>
                <w:color w:val="auto"/>
              </w:rPr>
            </w:pPr>
            <w:r>
              <w:rPr>
                <w:rFonts w:ascii="Arial" w:cs="Arial" w:eastAsia="Arial" w:hAnsi="Arial"/>
                <w:sz w:val="14"/>
                <w:szCs w:val="14"/>
                <w:color w:val="auto"/>
              </w:rPr>
              <w:t>(a)</w:t>
            </w:r>
          </w:p>
        </w:tc>
      </w:tr>
      <w:tr>
        <w:trPr>
          <w:trHeight w:val="189"/>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prior service credit (cost)</w:t>
            </w: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r>
      <w:tr>
        <w:trPr>
          <w:trHeight w:val="183"/>
        </w:trPr>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362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r>
      <w:tr>
        <w:trPr>
          <w:trHeight w:val="189"/>
        </w:trPr>
        <w:tc>
          <w:tcPr>
            <w:tcW w:w="37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3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(benefit) for income taxes</w:t>
            </w:r>
          </w:p>
        </w:tc>
      </w:tr>
      <w:tr>
        <w:trPr>
          <w:trHeight w:val="183"/>
        </w:trPr>
        <w:tc>
          <w:tcPr>
            <w:tcW w:w="37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(9.2)</w:t>
            </w:r>
          </w:p>
        </w:tc>
        <w:tc>
          <w:tcPr>
            <w:tcW w:w="4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3620" w:type="dxa"/>
            <w:vAlign w:val="bottom"/>
          </w:tcPr>
          <w:p>
            <w:pPr>
              <w:ind w:left="120"/>
              <w:spacing w:after="0"/>
              <w:rPr>
                <w:sz w:val="20"/>
                <w:szCs w:val="20"/>
                <w:color w:val="auto"/>
              </w:rPr>
            </w:pPr>
            <w:r>
              <w:rPr>
                <w:rFonts w:ascii="Arial" w:cs="Arial" w:eastAsia="Arial" w:hAnsi="Arial"/>
                <w:sz w:val="14"/>
                <w:szCs w:val="14"/>
                <w:color w:val="auto"/>
              </w:rPr>
              <w:t>Net income (loss)</w:t>
            </w:r>
          </w:p>
        </w:tc>
      </w:tr>
      <w:tr>
        <w:trPr>
          <w:trHeight w:val="20"/>
        </w:trPr>
        <w:tc>
          <w:tcPr>
            <w:tcW w:w="3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 (See Note 22 for further details).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890" w:right="359" w:bottom="1440" w:gutter="0" w:footer="0" w:header="0"/>
        </w:sectPr>
      </w:pPr>
    </w:p>
    <w:bookmarkStart w:id="73" w:name="page74"/>
    <w:bookmarkEnd w:id="73"/>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COMPENSATION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Incentive compensation and award plan - </w:t>
      </w:r>
      <w:r>
        <w:rPr>
          <w:rFonts w:ascii="Arial" w:cs="Arial" w:eastAsia="Arial" w:hAnsi="Arial"/>
          <w:sz w:val="18"/>
          <w:szCs w:val="18"/>
          <w:color w:val="auto"/>
        </w:rPr>
        <w:t>On January 11, 2017, we adopted the TechnipFMC plc Incentive Award Plan (the “Plan”).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share options, share appreciation rights, performance share units, restricted share units, restricted shares or other awards authorized under the Plan. All awards are subject to the Plan’s provisions, including all share-based grants previously issued prior to consummation of the merger of FMC Technologies and Technip S.A. (the “Merger”). Under the Plan, 24.1 million ordinary shares were authorized for awards. As of December 31, 2020, 8.5 million ordinary shares were available for future grant.</w:t>
      </w:r>
    </w:p>
    <w:p>
      <w:pPr>
        <w:spacing w:after="0" w:line="14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exercise price for options is determined by the Committee but cannot be less than the fair market value of our ordinary shares at the grant date. Restricted share and performance share unit grants generally vest after three years of service.</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Plan, our Board of Directors has the authority to grant non-employee directors share options, restricted shares, restricted share units and performance shares. Unless otherwise determined by our Board of Directors, awards to non-employee directors generally vest one year from the date of grant. All restricted share units awarded prior to 2020 will be settled when a non-executive director ceases services on the Board of Directors. Beginning with the 2020 equity award, non-executive directors now have the opportunity to elect the year in which they will take receipt of the equity grants from either (a) a period of 1 to 10 years from the grant date or (b) upon their separation from Board service. The elections are made prior to the beginning of the grant year and are irrevocable after December 31 of the year prior to grant. Restricted share units are settled when a director ceases services to the Board of Directors. As of December 31, 2020, outstanding awards to active and retired non-employee directors included 254.3 thousand of share units.</w:t>
      </w:r>
    </w:p>
    <w:p>
      <w:pPr>
        <w:spacing w:after="0" w:line="151"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measurement of share-based compensation expense on restricted share awards is based on the market price and fair value at the grant date and the number of shares awarded. The fair value of performance shares is estimated using a combination of the closing stock price on the grant date and the Monte Carlo simulation model. We use Black-Scholes options pricing model to measure the fair value of stock options granted on or after January 1, 2017.</w:t>
      </w:r>
    </w:p>
    <w:p>
      <w:pPr>
        <w:spacing w:after="0" w:line="15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share-based compensation expense for each award is recognized ratably over the applicable service period or the period beginning at the start of the service period and ending when an employee becomes eligible for retirement (currently age 62 under the Plan), after taking into account estimated forfeitures.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recognize compensation expense and the corresponding tax benefits for awards under the Plan. The compensation expense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 for continuing operations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190"/>
        </w:trPr>
        <w:tc>
          <w:tcPr>
            <w:tcW w:w="6740" w:type="dxa"/>
            <w:vAlign w:val="bottom"/>
          </w:tcPr>
          <w:p>
            <w:pPr>
              <w:ind w:left="20"/>
              <w:spacing w:after="0"/>
              <w:rPr>
                <w:sz w:val="20"/>
                <w:szCs w:val="20"/>
                <w:color w:val="auto"/>
              </w:rPr>
            </w:pPr>
            <w:r>
              <w:rPr>
                <w:rFonts w:ascii="Arial" w:cs="Arial" w:eastAsia="Arial" w:hAnsi="Arial"/>
                <w:sz w:val="14"/>
                <w:szCs w:val="14"/>
                <w:color w:val="auto"/>
              </w:rPr>
              <w:t>Income tax benefits related to share-based compensation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w:t>
            </w:r>
          </w:p>
        </w:tc>
      </w:tr>
    </w:tbl>
    <w:p>
      <w:pPr>
        <w:spacing w:after="0" w:line="21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As of December 31, 2020, the portion of share-based compensation expense related to outstanding awards to be recognized in future periods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 not yet recognized (in millions)</w:t>
            </w: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r>
      <w:tr>
        <w:trPr>
          <w:trHeight w:val="190"/>
        </w:trPr>
        <w:tc>
          <w:tcPr>
            <w:tcW w:w="9800" w:type="dxa"/>
            <w:vAlign w:val="bottom"/>
          </w:tcPr>
          <w:p>
            <w:pPr>
              <w:ind w:left="20"/>
              <w:spacing w:after="0"/>
              <w:rPr>
                <w:sz w:val="20"/>
                <w:szCs w:val="20"/>
                <w:color w:val="auto"/>
              </w:rPr>
            </w:pPr>
            <w:r>
              <w:rPr>
                <w:rFonts w:ascii="Arial" w:cs="Arial" w:eastAsia="Arial" w:hAnsi="Arial"/>
                <w:sz w:val="14"/>
                <w:szCs w:val="14"/>
                <w:color w:val="auto"/>
              </w:rPr>
              <w:t>Weighted-average recognition period (in years)</w:t>
            </w: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restricted share units’ activity is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4,525.9</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89"/>
        </w:trPr>
        <w:tc>
          <w:tcPr>
            <w:tcW w:w="8260" w:type="dxa"/>
            <w:vAlign w:val="bottom"/>
          </w:tcPr>
          <w:p>
            <w:pPr>
              <w:ind w:left="2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3,836.0</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(1,909.1)</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w:t>
            </w:r>
          </w:p>
        </w:tc>
        <w:tc>
          <w:tcPr>
            <w:tcW w:w="3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6,121.9</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total grant date fair value of restricted stock share units vested during the years ended December 31, 2020 and 2019 was $51.8 million and $10.2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8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Board of Directors has granted certain employees, senior executives and directors performance share units that vest subject to achieving satisfactory performances. For performance share units issued on or after January 1, 2017, performance is based on results of return on invested capital and total shareholder return (“TSR”).</w:t>
      </w:r>
    </w:p>
    <w:p>
      <w:pPr>
        <w:spacing w:after="0" w:line="14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For the performance share units which vest based on TSR, the fair value of performance shares is estimated using a combination of the closing stock price on the grant date and the Monte Carlo simulation model. The weighted-average fair value and the assumptions used to measure the fair value of performance share units subject to performance-adjusted vesting conditions in the Monte Carlo simulation model were as follows:</w:t>
      </w:r>
    </w:p>
    <w:p>
      <w:pPr>
        <w:spacing w:after="0" w:line="178"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73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8"/>
                <w:szCs w:val="18"/>
                <w:color w:val="auto"/>
                <w:vertAlign w:val="superscript"/>
              </w:rPr>
              <w:t>(a)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r>
      <w:tr>
        <w:trPr>
          <w:trHeight w:val="189"/>
        </w:trPr>
        <w:tc>
          <w:tcPr>
            <w:tcW w:w="736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8"/>
                <w:szCs w:val="18"/>
                <w:color w:val="auto"/>
                <w:vertAlign w:val="superscript"/>
              </w:rPr>
              <w:t>(b)</w:t>
            </w:r>
          </w:p>
        </w:tc>
        <w:tc>
          <w:tcPr>
            <w:tcW w:w="580" w:type="dxa"/>
            <w:vAlign w:val="bottom"/>
          </w:tcPr>
          <w:p>
            <w:pPr>
              <w:jc w:val="right"/>
              <w:spacing w:after="0"/>
              <w:rPr>
                <w:sz w:val="20"/>
                <w:szCs w:val="20"/>
                <w:color w:val="auto"/>
              </w:rPr>
            </w:pPr>
            <w:r>
              <w:rPr>
                <w:rFonts w:ascii="Arial" w:cs="Arial" w:eastAsia="Arial" w:hAnsi="Arial"/>
                <w:sz w:val="14"/>
                <w:szCs w:val="14"/>
                <w:color w:val="auto"/>
              </w:rPr>
              <w:t>38.30 %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34.00 %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34.00 %</w:t>
            </w:r>
          </w:p>
        </w:tc>
      </w:tr>
      <w:tr>
        <w:trPr>
          <w:trHeight w:val="189"/>
        </w:trPr>
        <w:tc>
          <w:tcPr>
            <w:tcW w:w="73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8"/>
                <w:szCs w:val="18"/>
                <w:color w:val="auto"/>
                <w:vertAlign w:val="superscript"/>
              </w:rPr>
              <w:t>(c)</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2.37 %</w:t>
            </w:r>
          </w:p>
        </w:tc>
      </w:tr>
      <w:tr>
        <w:trPr>
          <w:trHeight w:val="250"/>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 xml:space="preserve">Expected performance period in years </w:t>
            </w:r>
            <w:r>
              <w:rPr>
                <w:rFonts w:ascii="Arial" w:cs="Arial" w:eastAsia="Arial" w:hAnsi="Arial"/>
                <w:sz w:val="18"/>
                <w:szCs w:val="18"/>
                <w:color w:val="auto"/>
                <w:vertAlign w:val="superscript"/>
              </w:rPr>
              <w:t>(d)</w:t>
            </w: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3.0</w:t>
            </w:r>
          </w:p>
        </w:tc>
      </w:tr>
    </w:tbl>
    <w:p>
      <w:pPr>
        <w:spacing w:after="0" w:line="160"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weighted-average fair value was based on performance share units granted during the period.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performance share units.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risk-free rate for the expected term of the performance share units is based on the U.S. Treasury yield curve in effect at the time of grant.</w:t>
      </w:r>
    </w:p>
    <w:p>
      <w:pPr>
        <w:spacing w:after="0" w:line="163" w:lineRule="exact"/>
        <w:rPr>
          <w:rFonts w:ascii="Arial" w:cs="Arial" w:eastAsia="Arial" w:hAnsi="Arial"/>
          <w:sz w:val="14"/>
          <w:szCs w:val="14"/>
          <w:color w:val="auto"/>
        </w:rPr>
      </w:pPr>
    </w:p>
    <w:p>
      <w:pPr>
        <w:ind w:right="300" w:firstLine="8"/>
        <w:spacing w:after="0" w:line="258" w:lineRule="auto"/>
        <w:tabs>
          <w:tab w:leader="none" w:pos="2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2020,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non-vested performance share units’ activity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24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2019</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3,817.7</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2,828.4</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(1,364.4)</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31.65</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(441.0)</w:t>
            </w:r>
          </w:p>
        </w:tc>
        <w:tc>
          <w:tcPr>
            <w:tcW w:w="3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20.62</w:t>
            </w:r>
          </w:p>
        </w:tc>
        <w:tc>
          <w:tcPr>
            <w:tcW w:w="0" w:type="dxa"/>
            <w:vAlign w:val="bottom"/>
          </w:tcPr>
          <w:p>
            <w:pPr>
              <w:spacing w:after="0"/>
              <w:rPr>
                <w:sz w:val="1"/>
                <w:szCs w:val="1"/>
                <w:color w:val="auto"/>
              </w:rPr>
            </w:pP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Non-vested as of December 31, 2020</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4,840.7</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total grant date fair value of performance share units vested during years ended December 31, 2020, 2019 and 2018 was $43.2 million, $13.3 million and $7.0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share option award is estimated as of the date of grant using the Black-Scholes options pricing model.</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Share options awarded prior to 2017 were granted subject to performance criteria based upon certain targets, such as TSR, return on capital employed, and operating income from recurring activities. Subsequent share options granted are time-based awards vesting over three years.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92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weighted-average fair value and the assumptions used to measure fair value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64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Weighted-average fair value </w:t>
            </w:r>
            <w:r>
              <w:rPr>
                <w:rFonts w:ascii="Arial" w:cs="Arial" w:eastAsia="Arial" w:hAnsi="Arial"/>
                <w:sz w:val="18"/>
                <w:szCs w:val="18"/>
                <w:color w:val="auto"/>
                <w:vertAlign w:val="superscript"/>
              </w:rPr>
              <w:t>(a)</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9.07</w:t>
            </w:r>
          </w:p>
        </w:tc>
      </w:tr>
      <w:tr>
        <w:trPr>
          <w:trHeight w:val="189"/>
        </w:trPr>
        <w:tc>
          <w:tcPr>
            <w:tcW w:w="64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8"/>
                <w:szCs w:val="18"/>
                <w:color w:val="auto"/>
                <w:vertAlign w:val="superscript"/>
              </w:rPr>
              <w:t>(b)</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32.5 %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32.5 %</w:t>
            </w:r>
          </w:p>
        </w:tc>
      </w:tr>
      <w:tr>
        <w:trPr>
          <w:trHeight w:val="189"/>
        </w:trPr>
        <w:tc>
          <w:tcPr>
            <w:tcW w:w="6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8"/>
                <w:szCs w:val="18"/>
                <w:color w:val="auto"/>
                <w:vertAlign w:val="superscript"/>
              </w:rPr>
              <w:t>(c)</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89"/>
        </w:trPr>
        <w:tc>
          <w:tcPr>
            <w:tcW w:w="64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Expected dividend yield </w:t>
            </w:r>
            <w:r>
              <w:rPr>
                <w:rFonts w:ascii="Arial" w:cs="Arial" w:eastAsia="Arial" w:hAnsi="Arial"/>
                <w:sz w:val="18"/>
                <w:szCs w:val="18"/>
                <w:color w:val="auto"/>
                <w:vertAlign w:val="superscript"/>
              </w:rPr>
              <w:t>(d)</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89"/>
        </w:trPr>
        <w:tc>
          <w:tcPr>
            <w:tcW w:w="6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Expected term in years </w:t>
            </w:r>
            <w:r>
              <w:rPr>
                <w:rFonts w:ascii="Arial" w:cs="Arial" w:eastAsia="Arial" w:hAnsi="Arial"/>
                <w:sz w:val="18"/>
                <w:szCs w:val="18"/>
                <w:color w:val="auto"/>
                <w:vertAlign w:val="superscript"/>
              </w:rPr>
              <w:t>(e)</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bl>
    <w:p>
      <w:pPr>
        <w:spacing w:after="0" w:line="22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weighted-average fair value was based on stock options granted during the period.</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Expected volatility is based on normalized historical volatility of our shares over a preceding period commensurate with the expected term of the option.</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risk-free rate for the expected term of the option is based on the U.S. Treasury yield curve in effect at the time of grant.</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There were no share options awarded in 2020. Share options awarded in 2019 and 2018 were valued using an expected dividend yield of 2.6% and 2.0%, respectively.</w:t>
      </w:r>
    </w:p>
    <w:p>
      <w:pPr>
        <w:spacing w:after="0" w:line="163" w:lineRule="exact"/>
        <w:rPr>
          <w:rFonts w:ascii="Arial" w:cs="Arial" w:eastAsia="Arial" w:hAnsi="Arial"/>
          <w:sz w:val="14"/>
          <w:szCs w:val="14"/>
          <w:color w:val="auto"/>
        </w:rPr>
      </w:pPr>
    </w:p>
    <w:p>
      <w:pPr>
        <w:ind w:left="340" w:right="200" w:hanging="332"/>
        <w:spacing w:after="0" w:line="258"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awards subject to service-based vesting, due to the lack of historical exercise and post-vesting termination patterns of the post-Merger employee base, the expected term was estimated using a simplified method for all awards granted in 2020,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share option transactions during the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29.68</w:t>
            </w:r>
          </w:p>
        </w:tc>
        <w:tc>
          <w:tcPr>
            <w:tcW w:w="15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9"/>
        </w:trPr>
        <w:tc>
          <w:tcPr>
            <w:tcW w:w="6700" w:type="dxa"/>
            <w:vAlign w:val="bottom"/>
          </w:tcPr>
          <w:p>
            <w:pPr>
              <w:ind w:left="220"/>
              <w:spacing w:after="0"/>
              <w:rPr>
                <w:sz w:val="20"/>
                <w:szCs w:val="20"/>
                <w:color w:val="auto"/>
              </w:rPr>
            </w:pPr>
            <w:r>
              <w:rPr>
                <w:rFonts w:ascii="Arial" w:cs="Arial" w:eastAsia="Arial" w:hAnsi="Arial"/>
                <w:sz w:val="14"/>
                <w:szCs w:val="14"/>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28.08</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4,598.4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29.77</w:t>
            </w:r>
          </w:p>
        </w:tc>
        <w:tc>
          <w:tcPr>
            <w:tcW w:w="15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Exercisable as of December 31, 2020</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3,460.8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31.47</w:t>
            </w:r>
          </w:p>
        </w:tc>
        <w:tc>
          <w:tcPr>
            <w:tcW w:w="1540" w:type="dxa"/>
            <w:vAlign w:val="bottom"/>
            <w:gridSpan w:val="2"/>
          </w:tcPr>
          <w:p>
            <w:pPr>
              <w:jc w:val="center"/>
              <w:ind w:lef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aggregate intrinsic value of stock options outstanding and stock options exercisable as of December 31, 2020 was nil and nil, respectively.</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Cash received from the share option exercises was nil, during each of the years ended December 31, 2020, 2019 and 2018. The total intrinsic value of share options exercised during each of the years ended December 31, 2020, 2019 and 2018 was nil. To exercise share options, an employee may choose (1) to pay, either directly or by way of the group savings plan, the share option strike price to obtain shares, or (2) to sell the shares immediately after having exercised the share option (in this case, the employee does not pay the strike price but instead receives the intrinsic value of the share options in cash).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ranges of outstanding and exercisable share options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2"/>
        </w:trPr>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Exercise Price Range</w:t>
            </w:r>
          </w:p>
        </w:tc>
        <w:tc>
          <w:tcPr>
            <w:tcW w:w="16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2"/>
                <w:szCs w:val="12"/>
                <w:color w:val="auto"/>
              </w:rPr>
            </w:pPr>
          </w:p>
        </w:tc>
        <w:tc>
          <w:tcPr>
            <w:tcW w:w="21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 remaining</w:t>
            </w:r>
          </w:p>
        </w:tc>
        <w:tc>
          <w:tcPr>
            <w:tcW w:w="160" w:type="dxa"/>
            <w:vAlign w:val="bottom"/>
          </w:tcPr>
          <w:p>
            <w:pPr>
              <w:spacing w:after="0"/>
              <w:rPr>
                <w:sz w:val="12"/>
                <w:szCs w:val="12"/>
                <w:color w:val="auto"/>
              </w:rPr>
            </w:pPr>
          </w:p>
        </w:tc>
        <w:tc>
          <w:tcPr>
            <w:tcW w:w="16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Weighted average</w:t>
            </w:r>
          </w:p>
        </w:tc>
        <w:tc>
          <w:tcPr>
            <w:tcW w:w="162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214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$20.00-$33.00</w:t>
            </w:r>
          </w:p>
        </w:tc>
        <w:tc>
          <w:tcPr>
            <w:tcW w:w="1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4,087.2</w:t>
            </w:r>
          </w:p>
        </w:tc>
        <w:tc>
          <w:tcPr>
            <w:tcW w:w="21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rPr>
                <w:sz w:val="20"/>
                <w:szCs w:val="20"/>
                <w:color w:val="auto"/>
              </w:rPr>
            </w:pPr>
            <w:r>
              <w:rPr>
                <w:rFonts w:ascii="Arial" w:cs="Arial" w:eastAsia="Arial" w:hAnsi="Arial"/>
                <w:sz w:val="14"/>
                <w:szCs w:val="14"/>
                <w:color w:val="auto"/>
              </w:rPr>
              <w:t>$45.00-$51.00</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2180" w:type="dxa"/>
            <w:vAlign w:val="bottom"/>
            <w:gridSpan w:val="2"/>
          </w:tcPr>
          <w:p>
            <w:pPr>
              <w:jc w:val="center"/>
              <w:ind w:lef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$55.00-$57.00</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478.2</w:t>
            </w:r>
          </w:p>
        </w:tc>
        <w:tc>
          <w:tcPr>
            <w:tcW w:w="21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c>
          <w:tcPr>
            <w:tcW w:w="120" w:type="dxa"/>
            <w:vAlign w:val="bottom"/>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c>
          <w:tcPr>
            <w:tcW w:w="0" w:type="dxa"/>
            <w:vAlign w:val="bottom"/>
          </w:tcPr>
          <w:p>
            <w:pPr>
              <w:spacing w:after="0"/>
              <w:rPr>
                <w:sz w:val="1"/>
                <w:szCs w:val="1"/>
                <w:color w:val="auto"/>
              </w:rPr>
            </w:pPr>
          </w:p>
        </w:tc>
      </w:tr>
      <w:tr>
        <w:trPr>
          <w:trHeight w:val="183"/>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4,598.4</w:t>
            </w:r>
          </w:p>
        </w:tc>
        <w:tc>
          <w:tcPr>
            <w:tcW w:w="2180" w:type="dxa"/>
            <w:vAlign w:val="bottom"/>
            <w:gridSpan w:val="2"/>
          </w:tcPr>
          <w:p>
            <w:pPr>
              <w:jc w:val="center"/>
              <w:ind w:lef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3,460.8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31.47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908" w:right="359" w:bottom="1440" w:gutter="0" w:footer="0" w:header="0"/>
        </w:sectPr>
      </w:pPr>
    </w:p>
    <w:bookmarkStart w:id="76" w:name="page77"/>
    <w:bookmarkEnd w:id="76"/>
    <w:p>
      <w:pPr>
        <w:spacing w:after="0" w:line="68" w:lineRule="exact"/>
        <w:rPr>
          <w:sz w:val="20"/>
          <w:szCs w:val="20"/>
          <w:color w:val="auto"/>
        </w:rPr>
      </w:pPr>
    </w:p>
    <w:p>
      <w:pPr>
        <w:ind w:right="5480"/>
        <w:spacing w:after="0" w:line="494" w:lineRule="auto"/>
        <w:rPr>
          <w:sz w:val="20"/>
          <w:szCs w:val="20"/>
          <w:color w:val="auto"/>
        </w:rPr>
      </w:pPr>
      <w:r>
        <w:rPr>
          <w:rFonts w:ascii="Arial" w:cs="Arial" w:eastAsia="Arial" w:hAnsi="Arial"/>
          <w:sz w:val="17"/>
          <w:szCs w:val="17"/>
          <w:b w:val="1"/>
          <w:bCs w:val="1"/>
          <w:color w:val="auto"/>
        </w:rPr>
        <w:t xml:space="preserve">NOTE 19. IMPAIRMENT, RESTRUCTURING AND OTHER EXPENSES </w:t>
      </w:r>
      <w:r>
        <w:rPr>
          <w:rFonts w:ascii="Arial" w:cs="Arial" w:eastAsia="Arial" w:hAnsi="Arial"/>
          <w:sz w:val="17"/>
          <w:szCs w:val="17"/>
          <w:color w:val="auto"/>
        </w:rPr>
        <w:t>Impairment, restructuring and other expenses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1,748.4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1,797.6</w:t>
            </w: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704.2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3"/>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3,402.0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2,456.7</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1,815.4</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Long-Lived Assets Impairments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and long-lived assets impairments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1,779.9</w:t>
            </w: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685.5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0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impairments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2,480.3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Due to the substantial decline in global demand for oil caused by the COVID-19 pandemic in 2020 we reviewed the future utilization of our vessels and service potential of our subsea service and surface equipment and determined that the carrying amount of our goodwill and some of our long-lived assets exceeded their respective fair values. We recorded $3,083.4 million and $190.4 million, respectively, related to goodwill and long-lived assets impairments. The $190.4 million of long-lived asset impairments during the year ended December 31, 2020 consisted of $88.4 million attributable to plant, equipment and various machinery infrastructure in our Subsea operating segment;</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$82.0 million mainly related to building and surface equipment in our Surface reportable segment; and $20.0 million of operating lease right-of-use assets impairments.</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prolonged downturn in the energy market and its corresponding impact on our business outlook in 2019 led us to conclude the carrying amount of certain of our assets in our Subsea and Surface Technologies segments exceeded their fair value as of December 31, 2019. During the 2019 year we recorded $1,988.7 million and $491.6 million, respectively, related to goodwill and long-lived assets impairments. The $491.6 million of long-lived asset impairments during the year ended December 31, 2019 primarily consisted of $153.8 million related to vessels in our Subsea operating segment and $168.9 million related to our flexible pipe and umbilical manufacturing facilities in our Surface reportable segment due to the prolonged downturn in the energy market and its corresponding impact on our business outlook.</w:t>
      </w:r>
    </w:p>
    <w:p>
      <w:pPr>
        <w:spacing w:after="0" w:line="15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prolonged downturn in the energy market and its corresponding impact on our business outlook in 2018 led us to conclude the carrying amount of certain of our assets in our Subsea operating segment exceeded their fair value as of December 31, 2018. During the year ended December 31, 2018, we recorded $1,383.0 million and $372.9 million, respectively, related to goodwill and vessel impairments in our Subsea operating segment.</w:t>
      </w:r>
    </w:p>
    <w:p>
      <w:pPr>
        <w:spacing w:after="0" w:line="15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carrying amounts of such assets may not be recoverable. Assessing the recoverability of assets to be held and used involves significant judgement, when determining the present value of expected future cash flows. Significant judgements included expected revenue, operating costs and capital decisions that were available at the time of the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Restructuring and Other Expenses</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Restructuring and other charges primarily consisted of severance and other employee related costs and COVID-19 related expenses across all segments. Restructuring and other expenses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220" w:type="dxa"/>
            <w:vAlign w:val="bottom"/>
          </w:tcPr>
          <w:p>
            <w:pPr>
              <w:spacing w:after="0"/>
              <w:rPr>
                <w:sz w:val="12"/>
                <w:szCs w:val="12"/>
                <w:color w:val="auto"/>
              </w:rPr>
            </w:pPr>
          </w:p>
        </w:tc>
        <w:tc>
          <w:tcPr>
            <w:tcW w:w="1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COVID-19 expenses</w:t>
            </w:r>
          </w:p>
        </w:tc>
        <w:tc>
          <w:tcPr>
            <w:tcW w:w="140" w:type="dxa"/>
            <w:vAlign w:val="bottom"/>
          </w:tcPr>
          <w:p>
            <w:pPr>
              <w:spacing w:after="0"/>
              <w:rPr>
                <w:sz w:val="12"/>
                <w:szCs w:val="12"/>
                <w:color w:val="auto"/>
              </w:rPr>
            </w:pPr>
          </w:p>
        </w:tc>
        <w:tc>
          <w:tcPr>
            <w:tcW w:w="19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160" w:type="dxa"/>
            <w:vAlign w:val="bottom"/>
          </w:tcPr>
          <w:p>
            <w:pPr>
              <w:spacing w:after="0"/>
              <w:rPr>
                <w:sz w:val="12"/>
                <w:szCs w:val="12"/>
                <w:color w:val="auto"/>
              </w:rPr>
            </w:pPr>
          </w:p>
        </w:tc>
        <w:tc>
          <w:tcPr>
            <w:tcW w:w="186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0" w:type="dxa"/>
            <w:vAlign w:val="bottom"/>
          </w:tcPr>
          <w:p>
            <w:pPr>
              <w:spacing w:after="0"/>
              <w:rPr>
                <w:sz w:val="1"/>
                <w:szCs w:val="1"/>
                <w:color w:val="auto"/>
              </w:rPr>
            </w:pPr>
          </w:p>
        </w:tc>
      </w:tr>
      <w:tr>
        <w:trPr>
          <w:trHeight w:val="175"/>
        </w:trPr>
        <w:tc>
          <w:tcPr>
            <w:tcW w:w="2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charges</w:t>
            </w:r>
          </w:p>
        </w:tc>
        <w:tc>
          <w:tcPr>
            <w:tcW w:w="22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5"/>
                <w:szCs w:val="15"/>
                <w:color w:val="auto"/>
              </w:rPr>
            </w:pPr>
          </w:p>
        </w:tc>
        <w:tc>
          <w:tcPr>
            <w:tcW w:w="1860" w:type="dxa"/>
            <w:vAlign w:val="bottom"/>
          </w:tcPr>
          <w:p>
            <w:pPr>
              <w:jc w:val="center"/>
              <w:ind w:right="6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83"/>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14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w:t>
      </w:r>
    </w:p>
    <w:p>
      <w:pPr>
        <w:spacing w:after="0" w:line="15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Prolonged uncertainty in energy markets could lead to further future reductions in capital spending from our customer base. In turn, this may lead to changes in our strategy. We will continue to take actions designed to mitigate the adverse effects of the rapidly changing market environment and expect to continue to adjust our cost structure to market conditions. If market conditions continue to deteriorate, we may record additional restructuring charges and additional impairments of our long-lived assets, operating lease right-of-use assets and equity method investments.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CONTINGENT LIABILITIES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w:t>
      </w:r>
      <w:r>
        <w:rPr>
          <w:rFonts w:ascii="Arial" w:cs="Arial" w:eastAsia="Arial" w:hAnsi="Arial"/>
          <w:sz w:val="18"/>
          <w:szCs w:val="18"/>
          <w:color w:val="auto"/>
        </w:rPr>
        <w:t>- 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of our consolidated subsidiaries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980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r>
      <w:tr>
        <w:trPr>
          <w:trHeight w:val="189"/>
        </w:trPr>
        <w:tc>
          <w:tcPr>
            <w:tcW w:w="980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1,353.9</w:t>
            </w:r>
          </w:p>
        </w:tc>
      </w:tr>
      <w:tr>
        <w:trPr>
          <w:trHeight w:val="20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Maximum potential undiscounted payments</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39" w:lineRule="exact"/>
        <w:rPr>
          <w:rFonts w:ascii="Arial" w:cs="Arial" w:eastAsia="Arial" w:hAnsi="Arial"/>
          <w:sz w:val="14"/>
          <w:szCs w:val="14"/>
          <w:color w:val="auto"/>
        </w:rPr>
      </w:pPr>
    </w:p>
    <w:p>
      <w:pPr>
        <w:ind w:left="340" w:right="320" w:hanging="332"/>
        <w:spacing w:after="0" w:line="258"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believe the ultimate resolution of our known contingencies will not materially adversely affect our consolidated financial position, results of operations, or cash flows.</w:t>
      </w:r>
    </w:p>
    <w:p>
      <w:pPr>
        <w:spacing w:after="0" w:line="126"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legal and tax matters </w:t>
      </w:r>
      <w:r>
        <w:rPr>
          <w:rFonts w:ascii="Arial" w:cs="Arial" w:eastAsia="Arial" w:hAnsi="Arial"/>
          <w:sz w:val="18"/>
          <w:szCs w:val="18"/>
          <w:color w:val="auto"/>
        </w:rPr>
        <w:t>- We are involved in various pending or potential legal and tax actions or disputes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ordinary course of our business. These actions and disputes can involve our agents, suppliers, clients, and venture partners, and can include claims related to payment of fees, service quality, and ownership arrangements, including certain put or call options. We are unable to predict the ultimate outcome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886" w:right="339" w:bottom="1440" w:gutter="0" w:footer="0" w:header="0"/>
        </w:sectPr>
      </w:pPr>
    </w:p>
    <w:bookmarkStart w:id="78" w:name="page79"/>
    <w:bookmarkEnd w:id="78"/>
    <w:p>
      <w:pPr>
        <w:ind w:right="120"/>
        <w:spacing w:after="0" w:line="261" w:lineRule="auto"/>
        <w:rPr>
          <w:sz w:val="20"/>
          <w:szCs w:val="20"/>
          <w:color w:val="auto"/>
        </w:rPr>
      </w:pPr>
      <w:r>
        <w:rPr>
          <w:rFonts w:ascii="Arial" w:cs="Arial" w:eastAsia="Arial" w:hAnsi="Arial"/>
          <w:sz w:val="18"/>
          <w:szCs w:val="18"/>
          <w:color w:val="auto"/>
        </w:rPr>
        <w:t>these actions because of their inherent uncertainty. However, we believe that the most probable, ultimate resolution of these matters will not have a material adverse effect on our consolidated financial position, results of operations or cash flows.</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Contingent liabilities associated with liquidated damages - </w:t>
      </w:r>
      <w:r>
        <w:rPr>
          <w:rFonts w:ascii="Arial" w:cs="Arial" w:eastAsia="Arial" w:hAnsi="Arial"/>
          <w:sz w:val="18"/>
          <w:szCs w:val="18"/>
          <w:color w:val="auto"/>
        </w:rPr>
        <w:t>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as of December 31, 2020 and 2019,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908" w:right="359" w:bottom="1440" w:gutter="0" w:footer="0" w:header="0"/>
        </w:sectPr>
      </w:pPr>
    </w:p>
    <w:bookmarkStart w:id="79" w:name="page80"/>
    <w:bookmarkEnd w:id="79"/>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INCOME TAXES</w:t>
      </w:r>
    </w:p>
    <w:p>
      <w:pPr>
        <w:spacing w:after="0" w:line="17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Components of income (loss) from continuing operations before income taxes - </w:t>
      </w:r>
      <w:r>
        <w:rPr>
          <w:rFonts w:ascii="Arial" w:cs="Arial" w:eastAsia="Arial" w:hAnsi="Arial"/>
          <w:sz w:val="18"/>
          <w:szCs w:val="18"/>
          <w:color w:val="auto"/>
        </w:rPr>
        <w:t>U.S. and outside U.S. components of income (loss)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before income taxes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83"/>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(259.7)</w:t>
            </w:r>
          </w:p>
        </w:tc>
      </w:tr>
      <w:tr>
        <w:trPr>
          <w:trHeight w:val="18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Outside United States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(1,463.5)</w:t>
            </w: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from continuing operations before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(3,498.7)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(2,571.1)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(benefit) for income tax - </w:t>
      </w:r>
      <w:r>
        <w:rPr>
          <w:rFonts w:ascii="Arial" w:cs="Arial" w:eastAsia="Arial" w:hAnsi="Arial"/>
          <w:sz w:val="18"/>
          <w:szCs w:val="18"/>
          <w:color w:val="auto"/>
        </w:rPr>
        <w:t>The provision for income taxes consisted of:</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Current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670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46.6</w:t>
            </w:r>
          </w:p>
        </w:tc>
      </w:tr>
      <w:tr>
        <w:trPr>
          <w:trHeight w:val="189"/>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Outside United States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current income taxes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61.2</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9"/>
        </w:trPr>
        <w:tc>
          <w:tcPr>
            <w:tcW w:w="670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12.0</w:t>
            </w:r>
          </w:p>
        </w:tc>
      </w:tr>
      <w:tr>
        <w:trPr>
          <w:trHeight w:val="189"/>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Outside United States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deferred income taxes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r>
      <w:tr>
        <w:trPr>
          <w:trHeight w:val="20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Provision (benefit) for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1440"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 xml:space="preserve">Deferred tax assets and liabilities - </w:t>
      </w:r>
      <w:r>
        <w:rPr>
          <w:rFonts w:ascii="Arial" w:cs="Arial" w:eastAsia="Arial" w:hAnsi="Arial"/>
          <w:sz w:val="18"/>
          <w:szCs w:val="18"/>
          <w:color w:val="auto"/>
        </w:rPr>
        <w:t>Significant components of deferred tax assets and liabilities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assets attributable to</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61.7</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loss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Non-deductible interest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74.2</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tax credit carryforwards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133.0</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Other tax credits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110.4</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operating loss carryforwards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310.2</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5.7</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 credit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Foreign exchange</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Provisions for pensions and other long-term employee benefits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Contingencies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120.2</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Margin recognition on construction contracts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Leases</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161.8</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Revenue in excess of billings on contracts accounted for under the percentage of completion method</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r>
      <w:tr>
        <w:trPr>
          <w:trHeight w:val="18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1,100.1</w:t>
            </w:r>
          </w:p>
        </w:tc>
      </w:tr>
      <w:tr>
        <w:trPr>
          <w:trHeight w:val="18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(729.1)</w:t>
            </w: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 net of valuation allowance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371.0</w:t>
            </w:r>
          </w:p>
        </w:tc>
      </w:tr>
      <w:tr>
        <w:trPr>
          <w:trHeight w:val="257"/>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Deferred tax liabilities attributable to</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Revenue in excess of billings on contracts accounted for under the percentage of completion method</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Margin recognition on construction contracts</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U.S. tax on foreign subsidiaries’ undistributed earnings not indefinitely reinvested</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10.4</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plant and equipment, intangibles and other assets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235.6</w:t>
            </w:r>
          </w:p>
        </w:tc>
      </w:tr>
      <w:tr>
        <w:trPr>
          <w:trHeight w:val="189"/>
        </w:trPr>
        <w:tc>
          <w:tcPr>
            <w:tcW w:w="8240" w:type="dxa"/>
            <w:vAlign w:val="bottom"/>
          </w:tcPr>
          <w:p>
            <w:pPr>
              <w:ind w:left="220"/>
              <w:spacing w:after="0"/>
              <w:rPr>
                <w:sz w:val="20"/>
                <w:szCs w:val="20"/>
                <w:color w:val="auto"/>
              </w:rPr>
            </w:pPr>
            <w:r>
              <w:rPr>
                <w:rFonts w:ascii="Arial" w:cs="Arial" w:eastAsia="Arial" w:hAnsi="Arial"/>
                <w:sz w:val="14"/>
                <w:szCs w:val="14"/>
                <w:color w:val="auto"/>
              </w:rPr>
              <w:t>Foreign exchange</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22.3</w:t>
            </w:r>
          </w:p>
        </w:tc>
      </w:tr>
      <w:tr>
        <w:trPr>
          <w:trHeight w:val="189"/>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Leases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179.2</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422.9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450.7</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 assets/(liabilities)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At December 31, 2020 and 2019, the carrying amount of net deferred tax assets and the related valuation allowance included the impact of foreign currency translation adjustments.</w:t>
      </w:r>
    </w:p>
    <w:p>
      <w:pPr>
        <w:spacing w:after="0" w:line="12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Non-deductible interest. </w:t>
      </w:r>
      <w:r>
        <w:rPr>
          <w:rFonts w:ascii="Arial" w:cs="Arial" w:eastAsia="Arial" w:hAnsi="Arial"/>
          <w:sz w:val="18"/>
          <w:szCs w:val="18"/>
          <w:color w:val="auto"/>
        </w:rPr>
        <w:t>At December 31, 2020, deferred tax assets include tax benefits related to certain intercompany interest costs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currently deductible, but which may be deductible in future periods. If not utilized, these costs will become permanently non-deductible beginning in 2025. Management believes that it is more likely than not that we will not be able to deduct these costs before expiration of the carry forward period; therefore, we have established a valuation allowance against the related deferred tax assets.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Foreign tax credit carryforwards. </w:t>
      </w:r>
      <w:r>
        <w:rPr>
          <w:rFonts w:ascii="Arial" w:cs="Arial" w:eastAsia="Arial" w:hAnsi="Arial"/>
          <w:sz w:val="18"/>
          <w:szCs w:val="18"/>
          <w:color w:val="auto"/>
        </w:rPr>
        <w:t>At December 31, 2020, deferred tax assets included U.S. foreign tax credit carryforwards of $134.4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if not utilized, will begin to expire in 2024. Realization of these deferred tax assets is dependent on the generation of sufficient U.S. taxable income prior to the above date. Based on long-term forecasts of operating results, management believes that it is more likely than not that our U.S. earnings over the forecast period will not result in sufficient U.S. taxable income to fully realize these deferred tax assets; therefore, we have established a valuation allowance against the related deferred tax assets. In its analysis, management has considered the effect of deemed dividends and other expected adjustments to U.S. earnings that are required in determining U.S. taxable income. Non-U.S. earnings subject to U.S. tax, including deemed dividends for U.S. tax purposes, were $61 thousand in 2020, $3.8 million in 2019 and $307.6 million in 2018.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012" w:right="339" w:bottom="1440" w:gutter="0" w:footer="0" w:header="0"/>
        </w:sectPr>
      </w:pPr>
    </w:p>
    <w:bookmarkStart w:id="81" w:name="page82"/>
    <w:bookmarkEnd w:id="81"/>
    <w:p>
      <w:pPr>
        <w:ind w:right="240"/>
        <w:spacing w:after="0" w:line="256" w:lineRule="auto"/>
        <w:rPr>
          <w:sz w:val="20"/>
          <w:szCs w:val="20"/>
          <w:color w:val="auto"/>
        </w:rPr>
      </w:pPr>
      <w:r>
        <w:rPr>
          <w:rFonts w:ascii="Arial" w:cs="Arial" w:eastAsia="Arial" w:hAnsi="Arial"/>
          <w:sz w:val="18"/>
          <w:szCs w:val="18"/>
          <w:i w:val="1"/>
          <w:iCs w:val="1"/>
          <w:color w:val="auto"/>
        </w:rPr>
        <w:t xml:space="preserve">Net operating loss carryforwards. </w:t>
      </w:r>
      <w:r>
        <w:rPr>
          <w:rFonts w:ascii="Arial" w:cs="Arial" w:eastAsia="Arial" w:hAnsi="Arial"/>
          <w:sz w:val="18"/>
          <w:szCs w:val="18"/>
          <w:color w:val="auto"/>
        </w:rPr>
        <w:t>As of December 31, 2020, deferred tax assets include tax benefits relating to net operating loss</w:t>
      </w:r>
      <w:r>
        <w:rPr>
          <w:rFonts w:ascii="Arial" w:cs="Arial" w:eastAsia="Arial" w:hAnsi="Arial"/>
          <w:sz w:val="18"/>
          <w:szCs w:val="18"/>
          <w:i w:val="1"/>
          <w:iCs w:val="1"/>
          <w:color w:val="auto"/>
        </w:rPr>
        <w:t xml:space="preserve"> </w:t>
      </w:r>
      <w:r>
        <w:rPr>
          <w:rFonts w:ascii="Arial" w:cs="Arial" w:eastAsia="Arial" w:hAnsi="Arial"/>
          <w:sz w:val="18"/>
          <w:szCs w:val="18"/>
          <w:color w:val="auto"/>
        </w:rPr>
        <w:t>carryforwards. If not utilized, these net operating loss carryforward will begin to expire in 2021. Except in Norway (net operating losses of $367.9 million), management believes it is more likely than not that we will not be able to utilize these operating loss carryforwards before expiration; thus, we have established a valuation allowance against the related deferred tax assets (inclusive of NOL’s generated in United Kingdom, Saudi Arabia, Netherlands, Mexico, Brazil, Canada, United States, Luxembourg, and Germany). Except in Canada, Mexico, and Netherlands, all of these tax loss carryforwards extend indefinitely.</w:t>
      </w:r>
    </w:p>
    <w:p>
      <w:pPr>
        <w:spacing w:after="0" w:line="13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 xml:space="preserve">Certain Adjustments to Valuation Allowance. </w:t>
      </w:r>
      <w:r>
        <w:rPr>
          <w:rFonts w:ascii="Arial" w:cs="Arial" w:eastAsia="Arial" w:hAnsi="Arial"/>
          <w:sz w:val="18"/>
          <w:szCs w:val="18"/>
          <w:color w:val="auto"/>
        </w:rPr>
        <w:t>The net increase in valuation allowance from December 31, 2019 to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certain adjustments which did not impact net tax expense. These adjustments include $62.0 million of deferred tax assets which were recorded in 2020 and are related to certain previously unrecorded tax credits in the Netherlands that are subject to a full valuation allowance.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Unrecognized tax benefits - </w:t>
      </w:r>
      <w:r>
        <w:rPr>
          <w:rFonts w:ascii="Arial" w:cs="Arial" w:eastAsia="Arial" w:hAnsi="Arial"/>
          <w:sz w:val="18"/>
          <w:szCs w:val="18"/>
          <w:color w:val="auto"/>
        </w:rPr>
        <w:t>The following table presents a summary of changes in our unrecognized tax benefits: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68"/>
              <w:spacing w:after="0"/>
              <w:rPr>
                <w:sz w:val="20"/>
                <w:szCs w:val="20"/>
                <w:color w:val="auto"/>
              </w:rPr>
            </w:pPr>
            <w:r>
              <w:rPr>
                <w:rFonts w:ascii="Arial" w:cs="Arial" w:eastAsia="Arial" w:hAnsi="Arial"/>
                <w:sz w:val="14"/>
                <w:szCs w:val="14"/>
                <w:b w:val="1"/>
                <w:bCs w:val="1"/>
                <w:color w:val="auto"/>
              </w:rPr>
              <w:t>Federal,</w:t>
            </w:r>
          </w:p>
        </w:tc>
        <w:tc>
          <w:tcPr>
            <w:tcW w:w="0" w:type="dxa"/>
            <w:vAlign w:val="bottom"/>
          </w:tcPr>
          <w:p>
            <w:pPr>
              <w:spacing w:after="0"/>
              <w:rPr>
                <w:sz w:val="1"/>
                <w:szCs w:val="1"/>
                <w:color w:val="auto"/>
              </w:rPr>
            </w:pPr>
          </w:p>
        </w:tc>
      </w:tr>
      <w:tr>
        <w:trPr>
          <w:trHeight w:val="135"/>
        </w:trPr>
        <w:tc>
          <w:tcPr>
            <w:tcW w:w="9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State and</w:t>
            </w:r>
          </w:p>
        </w:tc>
        <w:tc>
          <w:tcPr>
            <w:tcW w:w="0" w:type="dxa"/>
            <w:vAlign w:val="bottom"/>
          </w:tcPr>
          <w:p>
            <w:pPr>
              <w:spacing w:after="0"/>
              <w:rPr>
                <w:sz w:val="1"/>
                <w:szCs w:val="1"/>
                <w:color w:val="auto"/>
              </w:rPr>
            </w:pPr>
          </w:p>
        </w:tc>
      </w:tr>
      <w:tr>
        <w:trPr>
          <w:trHeight w:val="135"/>
        </w:trPr>
        <w:tc>
          <w:tcPr>
            <w:tcW w:w="9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1"/>
                <w:szCs w:val="11"/>
                <w:color w:val="auto"/>
              </w:rPr>
            </w:pPr>
          </w:p>
        </w:tc>
        <w:tc>
          <w:tcPr>
            <w:tcW w:w="120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Foreign</w:t>
            </w:r>
          </w:p>
        </w:tc>
        <w:tc>
          <w:tcPr>
            <w:tcW w:w="0" w:type="dxa"/>
            <w:vAlign w:val="bottom"/>
          </w:tcPr>
          <w:p>
            <w:pPr>
              <w:spacing w:after="0"/>
              <w:rPr>
                <w:sz w:val="1"/>
                <w:szCs w:val="1"/>
                <w:color w:val="auto"/>
              </w:rPr>
            </w:pPr>
          </w:p>
        </w:tc>
      </w:tr>
      <w:tr>
        <w:trPr>
          <w:trHeight w:val="175"/>
        </w:trPr>
        <w:tc>
          <w:tcPr>
            <w:tcW w:w="97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9"/>
              </w:rPr>
              <w:t>Tax</w:t>
            </w:r>
          </w:p>
        </w:tc>
        <w:tc>
          <w:tcPr>
            <w:tcW w:w="0" w:type="dxa"/>
            <w:vAlign w:val="bottom"/>
          </w:tcPr>
          <w:p>
            <w:pPr>
              <w:spacing w:after="0"/>
              <w:rPr>
                <w:sz w:val="1"/>
                <w:szCs w:val="1"/>
                <w:color w:val="auto"/>
              </w:rPr>
            </w:pPr>
          </w:p>
        </w:tc>
      </w:tr>
      <w:tr>
        <w:trPr>
          <w:trHeight w:val="183"/>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89"/>
        </w:trPr>
        <w:tc>
          <w:tcPr>
            <w:tcW w:w="9780" w:type="dxa"/>
            <w:vAlign w:val="bottom"/>
          </w:tcPr>
          <w:p>
            <w:pPr>
              <w:ind w:left="140"/>
              <w:spacing w:after="0"/>
              <w:rPr>
                <w:sz w:val="20"/>
                <w:szCs w:val="20"/>
                <w:color w:val="auto"/>
              </w:rPr>
            </w:pPr>
            <w:r>
              <w:rPr>
                <w:rFonts w:ascii="Arial" w:cs="Arial" w:eastAsia="Arial" w:hAnsi="Arial"/>
                <w:sz w:val="14"/>
                <w:szCs w:val="14"/>
                <w:color w:val="auto"/>
              </w:rPr>
              <w:t>Reductions for tax positions related to prior years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89"/>
        </w:trPr>
        <w:tc>
          <w:tcPr>
            <w:tcW w:w="9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for tax positions related to current year</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9"/>
        </w:trPr>
        <w:tc>
          <w:tcPr>
            <w:tcW w:w="9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Reductions for tax positions due to settlements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2"/>
        </w:trPr>
        <w:tc>
          <w:tcPr>
            <w:tcW w:w="9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89"/>
        </w:trPr>
        <w:tc>
          <w:tcPr>
            <w:tcW w:w="9780" w:type="dxa"/>
            <w:vAlign w:val="bottom"/>
          </w:tcPr>
          <w:p>
            <w:pPr>
              <w:ind w:left="140"/>
              <w:spacing w:after="0"/>
              <w:rPr>
                <w:sz w:val="20"/>
                <w:szCs w:val="20"/>
                <w:color w:val="auto"/>
              </w:rPr>
            </w:pPr>
            <w:r>
              <w:rPr>
                <w:rFonts w:ascii="Arial" w:cs="Arial" w:eastAsia="Arial" w:hAnsi="Arial"/>
                <w:sz w:val="14"/>
                <w:szCs w:val="14"/>
                <w:color w:val="auto"/>
              </w:rPr>
              <w:t>Reductions for tax positions related to prior years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9"/>
        </w:trPr>
        <w:tc>
          <w:tcPr>
            <w:tcW w:w="9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for tax positions related to current year</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9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Reductions for tax positions due to settlements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amounts reported above for uncertain tax positions excludes interest and penalties of $0.6 million, $0.0 million, and $2.7 million for the years ended December 31, 2020, 2019, and 2018, respectively. Interest and penalties relating to these uncertain tax positions were included in income tax expense in our consolidated statements of income. It is reasonably possible that within twelve months, $1.3 million of assets for unrecognized tax benefits will be settled. This amount is reflected in income taxes payable, the remaining balance of the unrecognized tax benefits is recorded in other long term liabilities.</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operate in numerous jurisdictions around the world and could be subject to multiple tax audits at any given time. Most notably, the following tax years and thereafter remain subject to examination: 2010 for Norway, 2016 for Nigeria, 2016 for Brazil, 2017 for France, and 2016 for the United States.</w:t>
      </w:r>
    </w:p>
    <w:p>
      <w:pPr>
        <w:spacing w:after="0" w:line="1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TechnipFMC plc is a public limited company incorporated under the laws of England and Wales. Therefore, our earnings are subject to the U.K. statutory rate which is 19.0% for 2020, 2019, and 2018.</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890" w:right="339" w:bottom="1440" w:gutter="0" w:footer="0" w:header="0"/>
        </w:sectPr>
      </w:pPr>
    </w:p>
    <w:bookmarkStart w:id="82" w:name="page83"/>
    <w:bookmarkEnd w:id="82"/>
    <w:p>
      <w:pPr>
        <w:ind w:right="640"/>
        <w:spacing w:after="0" w:line="282" w:lineRule="auto"/>
        <w:rPr>
          <w:sz w:val="20"/>
          <w:szCs w:val="20"/>
          <w:color w:val="auto"/>
        </w:rPr>
      </w:pPr>
      <w:r>
        <w:rPr>
          <w:rFonts w:ascii="Arial" w:cs="Arial" w:eastAsia="Arial" w:hAnsi="Arial"/>
          <w:sz w:val="18"/>
          <w:szCs w:val="18"/>
          <w:i w:val="1"/>
          <w:iCs w:val="1"/>
          <w:color w:val="auto"/>
        </w:rPr>
        <w:t xml:space="preserve">Effective income tax rate reconciliation - </w:t>
      </w:r>
      <w:r>
        <w:rPr>
          <w:rFonts w:ascii="Arial" w:cs="Arial" w:eastAsia="Arial" w:hAnsi="Arial"/>
          <w:sz w:val="18"/>
          <w:szCs w:val="18"/>
          <w:color w:val="auto"/>
        </w:rPr>
        <w:t>The effective income tax rate was different from the statutory U.K. income tax rate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5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Statutory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r>
      <w:tr>
        <w:trPr>
          <w:trHeight w:val="189"/>
        </w:trPr>
        <w:tc>
          <w:tcPr>
            <w:tcW w:w="7400" w:type="dxa"/>
            <w:vAlign w:val="bottom"/>
            <w:gridSpan w:val="2"/>
          </w:tcPr>
          <w:p>
            <w:pPr>
              <w:ind w:left="20"/>
              <w:spacing w:after="0"/>
              <w:rPr>
                <w:sz w:val="20"/>
                <w:szCs w:val="20"/>
                <w:color w:val="auto"/>
              </w:rPr>
            </w:pPr>
            <w:r>
              <w:rPr>
                <w:rFonts w:ascii="Arial" w:cs="Arial" w:eastAsia="Arial" w:hAnsi="Arial"/>
                <w:sz w:val="14"/>
                <w:szCs w:val="14"/>
                <w:i w:val="1"/>
                <w:iCs w:val="1"/>
                <w:color w:val="auto"/>
              </w:rPr>
              <w:t>Net difference resulting from</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earnings subject to different tax rates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9"/>
        </w:trPr>
        <w:tc>
          <w:tcPr>
            <w:tcW w:w="7400" w:type="dxa"/>
            <w:vAlign w:val="bottom"/>
            <w:gridSpan w:val="2"/>
          </w:tcPr>
          <w:p>
            <w:pPr>
              <w:ind w:left="220"/>
              <w:spacing w:after="0"/>
              <w:rPr>
                <w:sz w:val="20"/>
                <w:szCs w:val="20"/>
                <w:color w:val="auto"/>
              </w:rPr>
            </w:pPr>
            <w:r>
              <w:rPr>
                <w:rFonts w:ascii="Arial" w:cs="Arial" w:eastAsia="Arial" w:hAnsi="Arial"/>
                <w:sz w:val="14"/>
                <w:szCs w:val="14"/>
                <w:color w:val="auto"/>
              </w:rPr>
              <w:t>Adjustments to prior year taxes</w:t>
            </w: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Changes in valuation allowance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9"/>
        </w:trPr>
        <w:tc>
          <w:tcPr>
            <w:tcW w:w="7400" w:type="dxa"/>
            <w:vAlign w:val="bottom"/>
            <w:gridSpan w:val="2"/>
          </w:tcPr>
          <w:p>
            <w:pPr>
              <w:ind w:left="220"/>
              <w:spacing w:after="0"/>
              <w:rPr>
                <w:sz w:val="20"/>
                <w:szCs w:val="20"/>
                <w:color w:val="auto"/>
              </w:rPr>
            </w:pPr>
            <w:r>
              <w:rPr>
                <w:rFonts w:ascii="Arial" w:cs="Arial" w:eastAsia="Arial" w:hAnsi="Arial"/>
                <w:sz w:val="14"/>
                <w:szCs w:val="14"/>
                <w:color w:val="auto"/>
              </w:rPr>
              <w:t>Deferred tax asset/liability revaluation for tax rate change</w:t>
            </w:r>
          </w:p>
        </w:tc>
        <w:tc>
          <w:tcPr>
            <w:tcW w:w="56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89"/>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Impairments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189"/>
        </w:trPr>
        <w:tc>
          <w:tcPr>
            <w:tcW w:w="7400" w:type="dxa"/>
            <w:vAlign w:val="bottom"/>
            <w:gridSpan w:val="2"/>
          </w:tcPr>
          <w:p>
            <w:pPr>
              <w:ind w:left="220"/>
              <w:spacing w:after="0"/>
              <w:rPr>
                <w:sz w:val="20"/>
                <w:szCs w:val="20"/>
                <w:color w:val="auto"/>
              </w:rPr>
            </w:pPr>
            <w:r>
              <w:rPr>
                <w:rFonts w:ascii="Arial" w:cs="Arial" w:eastAsia="Arial" w:hAnsi="Arial"/>
                <w:sz w:val="14"/>
                <w:szCs w:val="14"/>
                <w:color w:val="auto"/>
              </w:rPr>
              <w:t>Non-deductible legal provision</w:t>
            </w:r>
          </w:p>
        </w:tc>
        <w:tc>
          <w:tcPr>
            <w:tcW w:w="56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3"/>
        </w:trPr>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income tax rate</w:t>
            </w:r>
          </w:p>
        </w:tc>
        <w:tc>
          <w:tcPr>
            <w:tcW w:w="5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1"/>
        </w:trPr>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Income tax holidays. </w:t>
      </w:r>
      <w:r>
        <w:rPr>
          <w:rFonts w:ascii="Arial" w:cs="Arial" w:eastAsia="Arial" w:hAnsi="Arial"/>
          <w:sz w:val="18"/>
          <w:szCs w:val="18"/>
          <w:color w:val="auto"/>
        </w:rPr>
        <w:t>We benefit from income tax holidays in Singapore and Malaysia which will expire after 2023 for Singapore and 2020 for</w:t>
      </w:r>
      <w:r>
        <w:rPr>
          <w:rFonts w:ascii="Arial" w:cs="Arial" w:eastAsia="Arial" w:hAnsi="Arial"/>
          <w:sz w:val="18"/>
          <w:szCs w:val="18"/>
          <w:i w:val="1"/>
          <w:iCs w:val="1"/>
          <w:color w:val="auto"/>
        </w:rPr>
        <w:t xml:space="preserve"> </w:t>
      </w:r>
      <w:r>
        <w:rPr>
          <w:rFonts w:ascii="Arial" w:cs="Arial" w:eastAsia="Arial" w:hAnsi="Arial"/>
          <w:sz w:val="18"/>
          <w:szCs w:val="18"/>
          <w:color w:val="auto"/>
        </w:rPr>
        <w:t>Malaysia. For the year ended December 31, 2020, these tax holidays reduced our provision for income taxes by $5.8 million, or $0.01 per share on a diluted basis.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PENSION AND OTHER POST-RETIREMENT BENEFIT PLANS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have funded and unfunded defined benefit pension plans, which provide defined benefits based on years of service and final average salary.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31, 2017, we amended the U.S. retirement plans (the “Plans”) to freeze benefit accruals for all participants of the Plans as of December 31, 2017. After that date, participants in the Plans will no longer accrue any further benefits and participants’ benefits under the Plans will be determined based on credited service and eligible earnings as of December 31, 2017.</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Foreign-based employees are eligible to participate in TechnipFMC-sponsored or government-sponsored benefit plans to which we contribute. Several of the foreign defined benefit pension plans sponsored by us provide for employee contributions; the remaining plans are noncontributory. The most significant of these plans are in the Netherlands, France, and the United Kingdom.</w:t>
      </w:r>
    </w:p>
    <w:p>
      <w:pPr>
        <w:spacing w:after="0" w:line="14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have other post-retirement benefit plans covering substantially all of our U.S. unionized employees. The post-retirement health care plans are contributory; the post-retirement life insurance plans are noncontributory.</w:t>
      </w:r>
    </w:p>
    <w:p>
      <w:pPr>
        <w:spacing w:after="0" w:line="144"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We are required to recognize the funded status of defined benefit post-retirement plans as an asset or liability in the consolidated balance sheet and recognize changes in that funded status in comprehensive income (loss) in the year in which the changes occur. Further, we are required to measure the plan’s assets and its obligations that determine its funded status as of the date of the consolidated balance sheet. We have applied this guidance to our domestic pension and other post-retirement benefit plans as well as for many of our non-U.S. plans, including those in the United Kingdom, Germany, France and Canada. Pension expense measured in compliance with GAAP for the other non-U.S. pension plans is not materially different from the locally reported pension expense.</w:t>
      </w:r>
    </w:p>
    <w:p>
      <w:pPr>
        <w:spacing w:after="0" w:line="15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funded status of our U.S. Pension Plans, certain foreign pension plans and U.S. post-retirement health care and life insurance benefit plans, together with the associated balances recognized in our consolidated balance sheets as of December 31, 2020 and 2019, were as follows: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89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6"/>
          </w:tcPr>
          <w:p>
            <w:pPr>
              <w:jc w:val="center"/>
              <w:ind w:right="16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left="48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960" w:type="dxa"/>
            <w:vAlign w:val="bottom"/>
            <w:gridSpan w:val="4"/>
          </w:tcPr>
          <w:p>
            <w:pPr>
              <w:ind w:left="16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5"/>
                <w:szCs w:val="15"/>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Int’l</w:t>
            </w:r>
          </w:p>
        </w:tc>
        <w:tc>
          <w:tcPr>
            <w:tcW w:w="34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5"/>
                <w:szCs w:val="15"/>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Int’l</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Projected benefit obligation at January 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gridSpan w:val="2"/>
            <w:vMerge w:val="continue"/>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598.1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Service cost</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Actuarial (gain) loss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Amendments</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Curtailments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exchange rate changes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Plan participants’ contributions</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Benefits paid</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3"/>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Projected benefit obligation as of December 31</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669.7</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Fair value of plan assets at January 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477.4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Actual return on plan assets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Company contributions</w:t>
            </w:r>
          </w:p>
        </w:tc>
        <w:tc>
          <w:tcPr>
            <w:tcW w:w="240" w:type="dxa"/>
            <w:vAlign w:val="bottom"/>
          </w:tcPr>
          <w:p>
            <w:pPr>
              <w:spacing w:after="0"/>
              <w:rPr>
                <w:sz w:val="16"/>
                <w:szCs w:val="16"/>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exchange rate changes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Plan participants’ contributions</w:t>
            </w:r>
          </w:p>
        </w:tc>
        <w:tc>
          <w:tcPr>
            <w:tcW w:w="24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20"/>
              <w:spacing w:after="0"/>
              <w:rPr>
                <w:sz w:val="20"/>
                <w:szCs w:val="20"/>
                <w:color w:val="auto"/>
              </w:rPr>
            </w:pPr>
            <w:r>
              <w:rPr>
                <w:rFonts w:ascii="Arial" w:cs="Arial" w:eastAsia="Arial" w:hAnsi="Arial"/>
                <w:sz w:val="14"/>
                <w:szCs w:val="14"/>
                <w:color w:val="auto"/>
              </w:rPr>
              <w:t>Benefits paid</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Fair value of plan assets as of December 31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Funded status of the plans (liability) as of December 31</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6"/>
          </w:tcPr>
          <w:p>
            <w:pPr>
              <w:jc w:val="center"/>
              <w:ind w:right="16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gridSpan w:val="2"/>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gridSpan w:val="2"/>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Current portion of accrued pension and other post-retirement</w:t>
            </w:r>
          </w:p>
        </w:tc>
        <w:tc>
          <w:tcPr>
            <w:tcW w:w="240" w:type="dxa"/>
            <w:vAlign w:val="bottom"/>
            <w:vMerge w:val="restart"/>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1"/>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benefits</w:t>
            </w:r>
          </w:p>
        </w:tc>
        <w:tc>
          <w:tcPr>
            <w:tcW w:w="2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Accrued pension and other post-retirement benefits, net of</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(196.4)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(63.3)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(63.5)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current portion</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Funded status as of December 31</w:t>
            </w:r>
          </w:p>
        </w:tc>
        <w:tc>
          <w:tcPr>
            <w:tcW w:w="240" w:type="dxa"/>
            <w:vAlign w:val="bottom"/>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032" w:right="339" w:bottom="1440" w:gutter="0" w:footer="0" w:header="0"/>
        </w:sectPr>
      </w:pPr>
    </w:p>
    <w:bookmarkStart w:id="84" w:name="page85"/>
    <w:bookmarkEnd w:id="84"/>
    <w:p>
      <w:pPr>
        <w:ind w:right="80"/>
        <w:spacing w:after="0" w:line="261" w:lineRule="auto"/>
        <w:rPr>
          <w:sz w:val="20"/>
          <w:szCs w:val="20"/>
          <w:color w:val="auto"/>
        </w:rPr>
      </w:pPr>
      <w:r>
        <w:rPr>
          <w:rFonts w:ascii="Arial" w:cs="Arial" w:eastAsia="Arial" w:hAnsi="Arial"/>
          <w:sz w:val="18"/>
          <w:szCs w:val="18"/>
          <w:color w:val="auto"/>
        </w:rPr>
        <w:t>The following table summarizes the pre-tax amounts in accumulated other comprehensive (income) loss as of December 31, 2020 and 2019 that have not been recognized as components of net periodic benefit cost:</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32" w:lineRule="exact"/>
        <w:rPr>
          <w:sz w:val="20"/>
          <w:szCs w:val="20"/>
          <w:color w:val="auto"/>
        </w:rPr>
      </w:pPr>
    </w:p>
    <w:p>
      <w:pPr>
        <w:ind w:left="20" w:right="560"/>
        <w:spacing w:after="0" w:line="239" w:lineRule="auto"/>
        <w:rPr>
          <w:sz w:val="20"/>
          <w:szCs w:val="20"/>
          <w:color w:val="auto"/>
        </w:rPr>
      </w:pPr>
      <w:r>
        <w:rPr>
          <w:rFonts w:ascii="Arial" w:cs="Arial" w:eastAsia="Arial" w:hAnsi="Arial"/>
          <w:sz w:val="14"/>
          <w:szCs w:val="14"/>
          <w:i w:val="1"/>
          <w:iCs w:val="1"/>
          <w:color w:val="auto"/>
        </w:rPr>
        <w:t>Pre-tax amounts recognized in accumulated other comprehensive (income) loss</w:t>
      </w:r>
    </w:p>
    <w:p>
      <w:pPr>
        <w:spacing w:after="0" w:line="17" w:lineRule="exact"/>
        <w:rPr>
          <w:sz w:val="20"/>
          <w:szCs w:val="20"/>
          <w:color w:val="auto"/>
        </w:rPr>
      </w:pPr>
    </w:p>
    <w:p>
      <w:pPr>
        <w:ind w:left="220" w:right="1520"/>
        <w:spacing w:after="0" w:line="269" w:lineRule="auto"/>
        <w:rPr>
          <w:sz w:val="20"/>
          <w:szCs w:val="20"/>
          <w:color w:val="auto"/>
        </w:rPr>
      </w:pPr>
      <w:r>
        <w:rPr>
          <w:rFonts w:ascii="Arial" w:cs="Arial" w:eastAsia="Arial" w:hAnsi="Arial"/>
          <w:sz w:val="14"/>
          <w:szCs w:val="14"/>
          <w:color w:val="auto"/>
        </w:rPr>
        <w:t>Unrecognized actuarial loss Unrecognized prior service cost</w:t>
      </w:r>
    </w:p>
    <w:p>
      <w:pPr>
        <w:ind w:left="20"/>
        <w:spacing w:after="0" w:line="243" w:lineRule="auto"/>
        <w:rPr>
          <w:sz w:val="20"/>
          <w:szCs w:val="20"/>
          <w:color w:val="auto"/>
        </w:rPr>
      </w:pPr>
      <w:r>
        <w:rPr>
          <w:rFonts w:ascii="Arial" w:cs="Arial" w:eastAsia="Arial" w:hAnsi="Arial"/>
          <w:sz w:val="14"/>
          <w:szCs w:val="14"/>
          <w:b w:val="1"/>
          <w:bCs w:val="1"/>
          <w:color w:val="auto"/>
        </w:rPr>
        <w:t>Accumulated other comprehensive (income) loss as of December 31</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Pensions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4"/>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Benefits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3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4"/>
        </w:trPr>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-668020</wp:posOffset>
            </wp:positionV>
            <wp:extent cx="71323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-342265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760" w:space="240"/>
            <w:col w:w="7240"/>
          </w:cols>
          <w:pgMar w:left="320" w:top="949" w:right="339" w:bottom="1440" w:gutter="0" w:footer="0" w:header="0"/>
          <w:type w:val="continuous"/>
        </w:sectPr>
      </w:pPr>
    </w:p>
    <w:p>
      <w:pPr>
        <w:ind w:right="480"/>
        <w:spacing w:after="0" w:line="261" w:lineRule="auto"/>
        <w:rPr>
          <w:sz w:val="20"/>
          <w:szCs w:val="20"/>
          <w:color w:val="auto"/>
        </w:rPr>
      </w:pPr>
      <w:r>
        <w:rPr>
          <w:rFonts w:ascii="Arial" w:cs="Arial" w:eastAsia="Arial" w:hAnsi="Arial"/>
          <w:sz w:val="18"/>
          <w:szCs w:val="18"/>
          <w:color w:val="auto"/>
        </w:rPr>
        <w:t>The following tables summarize the projected and accumulated benefit obligations and fair values of plan assets where the projected or accumulated benefit obligation exceeds the fair value of plan assets as of December 31,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Pensions</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3"/>
          </w:tcPr>
          <w:p>
            <w:pPr>
              <w:jc w:val="center"/>
              <w:ind w:left="308"/>
              <w:spacing w:after="0" w:line="135" w:lineRule="exact"/>
              <w:rPr>
                <w:sz w:val="20"/>
                <w:szCs w:val="20"/>
                <w:color w:val="auto"/>
              </w:rPr>
            </w:pPr>
            <w:r>
              <w:rPr>
                <w:rFonts w:ascii="Arial" w:cs="Arial" w:eastAsia="Arial" w:hAnsi="Arial"/>
                <w:sz w:val="14"/>
                <w:szCs w:val="14"/>
                <w:b w:val="1"/>
                <w:bCs w:val="1"/>
                <w:color w:val="auto"/>
              </w:rPr>
              <w:t>Post-retirement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Int’l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Int’l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Plans with underfunded or non-funded projected benefit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obligation</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20"/>
              <w:spacing w:after="0"/>
              <w:rPr>
                <w:sz w:val="20"/>
                <w:szCs w:val="20"/>
                <w:color w:val="auto"/>
              </w:rPr>
            </w:pPr>
            <w:r>
              <w:rPr>
                <w:rFonts w:ascii="Arial" w:cs="Arial" w:eastAsia="Arial" w:hAnsi="Arial"/>
                <w:sz w:val="14"/>
                <w:szCs w:val="14"/>
                <w:color w:val="auto"/>
              </w:rPr>
              <w:t>Aggregate projected benefit obligation</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684.7</w:t>
            </w:r>
          </w:p>
        </w:tc>
        <w:tc>
          <w:tcPr>
            <w:tcW w:w="3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513.1</w:t>
            </w:r>
          </w:p>
        </w:tc>
        <w:tc>
          <w:tcPr>
            <w:tcW w:w="4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668.4</w:t>
            </w:r>
          </w:p>
        </w:tc>
        <w:tc>
          <w:tcPr>
            <w:tcW w:w="60" w:type="dxa"/>
            <w:vAlign w:val="bottom"/>
          </w:tcPr>
          <w:p>
            <w:pPr>
              <w:spacing w:after="0"/>
              <w:rPr>
                <w:sz w:val="16"/>
                <w:szCs w:val="16"/>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459.9</w:t>
            </w:r>
          </w:p>
        </w:tc>
        <w:tc>
          <w:tcPr>
            <w:tcW w:w="860" w:type="dxa"/>
            <w:vAlign w:val="bottom"/>
            <w:gridSpan w:val="3"/>
          </w:tcPr>
          <w:p>
            <w:pPr>
              <w:jc w:val="right"/>
              <w:ind w:right="58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9.4</w:t>
            </w:r>
          </w:p>
        </w:tc>
        <w:tc>
          <w:tcPr>
            <w:tcW w:w="8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right="2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Aggregate fair value of plan assets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483.7</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442.7</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384.4</w:t>
            </w:r>
          </w:p>
        </w:tc>
        <w:tc>
          <w:tcPr>
            <w:tcW w:w="860" w:type="dxa"/>
            <w:vAlign w:val="bottom"/>
            <w:gridSpan w:val="3"/>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2"/>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rPr>
              <w:t>Pensions</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60" w:type="dxa"/>
            <w:vAlign w:val="bottom"/>
            <w:gridSpan w:val="3"/>
          </w:tcPr>
          <w:p>
            <w:pPr>
              <w:jc w:val="center"/>
              <w:ind w:left="188"/>
              <w:spacing w:after="0" w:line="135" w:lineRule="exact"/>
              <w:rPr>
                <w:sz w:val="20"/>
                <w:szCs w:val="20"/>
                <w:color w:val="auto"/>
              </w:rPr>
            </w:pPr>
            <w:r>
              <w:rPr>
                <w:rFonts w:ascii="Arial" w:cs="Arial" w:eastAsia="Arial" w:hAnsi="Arial"/>
                <w:sz w:val="14"/>
                <w:szCs w:val="14"/>
                <w:b w:val="1"/>
                <w:bCs w:val="1"/>
                <w:color w:val="auto"/>
              </w:rPr>
              <w:t>Post-retirement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Plans with underfunded or non-funded accumulated benefit</w:t>
            </w: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obligation</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20"/>
              <w:spacing w:after="0"/>
              <w:rPr>
                <w:sz w:val="20"/>
                <w:szCs w:val="20"/>
                <w:color w:val="auto"/>
              </w:rPr>
            </w:pPr>
            <w:r>
              <w:rPr>
                <w:rFonts w:ascii="Arial" w:cs="Arial" w:eastAsia="Arial" w:hAnsi="Arial"/>
                <w:sz w:val="14"/>
                <w:szCs w:val="14"/>
                <w:color w:val="auto"/>
              </w:rPr>
              <w:t>Aggregate accumulated benefit obligation</w:t>
            </w: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684.7</w:t>
            </w:r>
          </w:p>
        </w:tc>
        <w:tc>
          <w:tcPr>
            <w:tcW w:w="80" w:type="dxa"/>
            <w:vAlign w:val="bottom"/>
          </w:tcPr>
          <w:p>
            <w:pPr>
              <w:spacing w:after="0"/>
              <w:rPr>
                <w:sz w:val="16"/>
                <w:szCs w:val="16"/>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60" w:type="dxa"/>
            <w:vAlign w:val="bottom"/>
          </w:tcPr>
          <w:p>
            <w:pPr>
              <w:spacing w:after="0"/>
              <w:rPr>
                <w:sz w:val="16"/>
                <w:szCs w:val="16"/>
                <w:color w:val="auto"/>
              </w:rPr>
            </w:pPr>
          </w:p>
        </w:tc>
        <w:tc>
          <w:tcPr>
            <w:tcW w:w="4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668.4</w:t>
            </w:r>
          </w:p>
        </w:tc>
        <w:tc>
          <w:tcPr>
            <w:tcW w:w="60" w:type="dxa"/>
            <w:vAlign w:val="bottom"/>
          </w:tcPr>
          <w:p>
            <w:pPr>
              <w:spacing w:after="0"/>
              <w:rPr>
                <w:sz w:val="16"/>
                <w:szCs w:val="16"/>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w:t>
            </w:r>
          </w:p>
        </w:tc>
        <w:tc>
          <w:tcPr>
            <w:tcW w:w="80" w:type="dxa"/>
            <w:vAlign w:val="bottom"/>
          </w:tcPr>
          <w:p>
            <w:pPr>
              <w:spacing w:after="0"/>
              <w:rPr>
                <w:sz w:val="16"/>
                <w:szCs w:val="16"/>
                <w:color w:val="auto"/>
              </w:rPr>
            </w:pPr>
          </w:p>
        </w:tc>
        <w:tc>
          <w:tcPr>
            <w:tcW w:w="860" w:type="dxa"/>
            <w:vAlign w:val="bottom"/>
            <w:gridSpan w:val="3"/>
          </w:tcPr>
          <w:p>
            <w:pPr>
              <w:jc w:val="right"/>
              <w:ind w:right="6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Aggregate fair value of plan assets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483.7</w:t>
            </w:r>
          </w:p>
        </w:tc>
        <w:tc>
          <w:tcPr>
            <w:tcW w:w="8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949" w:right="339" w:bottom="1440" w:gutter="0" w:footer="0" w:header="0"/>
          <w:type w:val="continuous"/>
        </w:sectPr>
      </w:pPr>
    </w:p>
    <w:bookmarkStart w:id="85" w:name="page86"/>
    <w:bookmarkEnd w:id="85"/>
    <w:p>
      <w:pPr>
        <w:ind w:right="380"/>
        <w:spacing w:after="0" w:line="261" w:lineRule="auto"/>
        <w:rPr>
          <w:sz w:val="20"/>
          <w:szCs w:val="20"/>
          <w:color w:val="auto"/>
        </w:rPr>
      </w:pPr>
      <w:r>
        <w:rPr>
          <w:rFonts w:ascii="Arial" w:cs="Arial" w:eastAsia="Arial" w:hAnsi="Arial"/>
          <w:sz w:val="18"/>
          <w:szCs w:val="18"/>
          <w:color w:val="auto"/>
        </w:rPr>
        <w:t>The following table summarizes the components of net periodic benefit cost (income) for the years ended December 31, 2020, 2019 and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6"/>
          </w:tcPr>
          <w:p>
            <w:pPr>
              <w:jc w:val="center"/>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Benefits</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Components of net periodic benefit</w:t>
            </w: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 (income)</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Service cost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cost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Expected return on plan assets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Settlement cost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Curtailment benefit</w:t>
            </w:r>
          </w:p>
        </w:tc>
        <w:tc>
          <w:tcPr>
            <w:tcW w:w="2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Amortization of net actuarial loss</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0.1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w:t>
            </w: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Amortization of prior service cost</w:t>
            </w:r>
          </w:p>
        </w:tc>
        <w:tc>
          <w:tcPr>
            <w:tcW w:w="20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rPr>
                <w:sz w:val="20"/>
                <w:szCs w:val="20"/>
                <w:color w:val="auto"/>
              </w:rPr>
            </w:pPr>
            <w:r>
              <w:rPr>
                <w:rFonts w:ascii="Arial" w:cs="Arial" w:eastAsia="Arial" w:hAnsi="Arial"/>
                <w:sz w:val="14"/>
                <w:szCs w:val="14"/>
                <w:color w:val="auto"/>
              </w:rPr>
              <w:t>(credit)</w:t>
            </w: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periodic benefit cost (income)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summarizes changes in plan assets and benefit obligations recognized in other comprehensive income (loss) for the years ended December 31, 2020, 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ind w:left="480"/>
              <w:spacing w:after="0"/>
              <w:rPr>
                <w:sz w:val="20"/>
                <w:szCs w:val="20"/>
                <w:color w:val="auto"/>
              </w:rPr>
            </w:pPr>
            <w:r>
              <w:rPr>
                <w:rFonts w:ascii="Arial" w:cs="Arial" w:eastAsia="Arial" w:hAnsi="Arial"/>
                <w:sz w:val="14"/>
                <w:szCs w:val="14"/>
                <w:b w:val="1"/>
                <w:bCs w:val="1"/>
                <w:color w:val="auto"/>
              </w:rPr>
              <w:t>Other Post-retirement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Benefits</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i w:val="1"/>
                <w:iCs w:val="1"/>
                <w:color w:val="auto"/>
              </w:rPr>
              <w:t>Changes in plan assets and benefit</w:t>
            </w: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obligations recognized in other</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comprehensive income (loss)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Net actuarial gain (loss) arising</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3"/>
                <w:szCs w:val="13"/>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rPr>
                <w:sz w:val="20"/>
                <w:szCs w:val="20"/>
                <w:color w:val="auto"/>
              </w:rPr>
            </w:pPr>
            <w:r>
              <w:rPr>
                <w:rFonts w:ascii="Arial" w:cs="Arial" w:eastAsia="Arial" w:hAnsi="Arial"/>
                <w:sz w:val="14"/>
                <w:szCs w:val="14"/>
                <w:color w:val="auto"/>
              </w:rPr>
              <w:t>during period</w:t>
            </w: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Prior service (cost) credit arising</w:t>
            </w:r>
          </w:p>
        </w:tc>
        <w:tc>
          <w:tcPr>
            <w:tcW w:w="2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during period</w:t>
            </w:r>
          </w:p>
        </w:tc>
        <w:tc>
          <w:tcPr>
            <w:tcW w:w="2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20"/>
              <w:spacing w:after="0"/>
              <w:rPr>
                <w:sz w:val="20"/>
                <w:szCs w:val="20"/>
                <w:color w:val="auto"/>
              </w:rPr>
            </w:pPr>
            <w:r>
              <w:rPr>
                <w:rFonts w:ascii="Arial" w:cs="Arial" w:eastAsia="Arial" w:hAnsi="Arial"/>
                <w:sz w:val="14"/>
                <w:szCs w:val="14"/>
                <w:color w:val="auto"/>
              </w:rPr>
              <w:t>Settlements and curtailments</w:t>
            </w: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Amortization of net actuarial loss</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w:t>
            </w: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Amortization of prior service cost</w:t>
            </w:r>
          </w:p>
        </w:tc>
        <w:tc>
          <w:tcPr>
            <w:tcW w:w="200" w:type="dxa"/>
            <w:vAlign w:val="bottom"/>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rPr>
                <w:sz w:val="20"/>
                <w:szCs w:val="20"/>
                <w:color w:val="auto"/>
              </w:rPr>
            </w:pPr>
            <w:r>
              <w:rPr>
                <w:rFonts w:ascii="Arial" w:cs="Arial" w:eastAsia="Arial" w:hAnsi="Arial"/>
                <w:sz w:val="14"/>
                <w:szCs w:val="14"/>
                <w:color w:val="auto"/>
              </w:rPr>
              <w:t>(credit)</w:t>
            </w: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29"/>
        </w:trPr>
        <w:tc>
          <w:tcPr>
            <w:tcW w:w="2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recognized in other</w:t>
            </w: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1"/>
                <w:szCs w:val="11"/>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ind w:left="36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comprehensive income (loss)</w:t>
            </w: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Included in accumulated other comprehensive income (loss) as of December 31, 2020, are noncash, pre -tax charges which have not yet been recognized in net periodic benefit cost (income). The estimated amounts expected to be amortized from the portion of each component of accumulated other comprehensive income (loss) as a component of net period benefit cost (income), during the next fiscal year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Pensions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vMerge w:val="continue"/>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5"/>
                <w:szCs w:val="15"/>
                <w:color w:val="auto"/>
              </w:rPr>
            </w:pPr>
          </w:p>
        </w:tc>
        <w:tc>
          <w:tcPr>
            <w:tcW w:w="1020" w:type="dxa"/>
            <w:vAlign w:val="bottom"/>
          </w:tcPr>
          <w:p>
            <w:pPr>
              <w:jc w:val="right"/>
              <w:ind w:right="528"/>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actuarial losses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24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700" w:type="dxa"/>
            <w:vAlign w:val="bottom"/>
          </w:tcPr>
          <w:p>
            <w:pPr>
              <w:ind w:left="20"/>
              <w:spacing w:after="0"/>
              <w:rPr>
                <w:sz w:val="20"/>
                <w:szCs w:val="20"/>
                <w:color w:val="auto"/>
              </w:rPr>
            </w:pPr>
            <w:r>
              <w:rPr>
                <w:rFonts w:ascii="Arial" w:cs="Arial" w:eastAsia="Arial" w:hAnsi="Arial"/>
                <w:sz w:val="14"/>
                <w:szCs w:val="14"/>
                <w:color w:val="auto"/>
              </w:rPr>
              <w:t>Prior service cost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908"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 xml:space="preserve">Key assumptions - </w:t>
      </w:r>
      <w:r>
        <w:rPr>
          <w:rFonts w:ascii="Arial" w:cs="Arial" w:eastAsia="Arial" w:hAnsi="Arial"/>
          <w:sz w:val="18"/>
          <w:szCs w:val="18"/>
          <w:color w:val="auto"/>
        </w:rPr>
        <w:t>The following weighted-average assumptions were used to determine the benefit obligations: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rPr>
              <w:t>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Pensions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4"/>
          </w:tcPr>
          <w:p>
            <w:pPr>
              <w:ind w:left="720"/>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rPr>
              <w:t>Benefits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15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U.S.</w:t>
            </w: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Int’l</w:t>
            </w:r>
          </w:p>
        </w:tc>
        <w:tc>
          <w:tcPr>
            <w:tcW w:w="12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U.S.</w:t>
            </w:r>
          </w:p>
        </w:tc>
        <w:tc>
          <w:tcPr>
            <w:tcW w:w="900" w:type="dxa"/>
            <w:vAlign w:val="bottom"/>
          </w:tcPr>
          <w:p>
            <w:pPr>
              <w:jc w:val="right"/>
              <w:ind w:right="388"/>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2.01 %</w:t>
            </w:r>
          </w:p>
        </w:tc>
        <w:tc>
          <w:tcPr>
            <w:tcW w:w="1280" w:type="dxa"/>
            <w:vAlign w:val="bottom"/>
            <w:tcBorders>
              <w:top w:val="single" w:sz="8" w:color="CCEEFF"/>
            </w:tcBorders>
            <w:gridSpan w:val="2"/>
            <w:shd w:val="clear" w:color="auto" w:fill="CCEEFF"/>
          </w:tcPr>
          <w:p>
            <w:pPr>
              <w:ind w:left="820"/>
              <w:spacing w:after="0"/>
              <w:rPr>
                <w:sz w:val="20"/>
                <w:szCs w:val="20"/>
                <w:color w:val="auto"/>
              </w:rPr>
            </w:pPr>
            <w:r>
              <w:rPr>
                <w:rFonts w:ascii="Arial" w:cs="Arial" w:eastAsia="Arial" w:hAnsi="Arial"/>
                <w:sz w:val="14"/>
                <w:szCs w:val="14"/>
                <w:color w:val="auto"/>
              </w:rPr>
              <w:t>3.63 %</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4.48 %</w:t>
            </w:r>
          </w:p>
        </w:tc>
        <w:tc>
          <w:tcPr>
            <w:tcW w:w="0" w:type="dxa"/>
            <w:vAlign w:val="bottom"/>
          </w:tcPr>
          <w:p>
            <w:pPr>
              <w:spacing w:after="0"/>
              <w:rPr>
                <w:sz w:val="1"/>
                <w:szCs w:val="1"/>
                <w:color w:val="auto"/>
              </w:rPr>
            </w:pPr>
          </w:p>
        </w:tc>
      </w:tr>
      <w:tr>
        <w:trPr>
          <w:trHeight w:val="190"/>
        </w:trPr>
        <w:tc>
          <w:tcPr>
            <w:tcW w:w="3540" w:type="dxa"/>
            <w:vAlign w:val="bottom"/>
          </w:tcPr>
          <w:p>
            <w:pPr>
              <w:ind w:left="20"/>
              <w:spacing w:after="0"/>
              <w:rPr>
                <w:sz w:val="20"/>
                <w:szCs w:val="20"/>
                <w:color w:val="auto"/>
              </w:rPr>
            </w:pPr>
            <w:r>
              <w:rPr>
                <w:rFonts w:ascii="Arial" w:cs="Arial" w:eastAsia="Arial" w:hAnsi="Arial"/>
                <w:sz w:val="14"/>
                <w:szCs w:val="14"/>
                <w:color w:val="auto"/>
              </w:rPr>
              <w:t>Rate of compensation increase</w:t>
            </w:r>
          </w:p>
        </w:tc>
        <w:tc>
          <w:tcPr>
            <w:tcW w:w="1560" w:type="dxa"/>
            <w:vAlign w:val="bottom"/>
            <w:gridSpan w:val="3"/>
          </w:tcPr>
          <w:p>
            <w:pPr>
              <w:jc w:val="right"/>
              <w:ind w:right="420"/>
              <w:spacing w:after="0"/>
              <w:rPr>
                <w:sz w:val="20"/>
                <w:szCs w:val="20"/>
                <w:color w:val="auto"/>
              </w:rPr>
            </w:pPr>
            <w:r>
              <w:rPr>
                <w:rFonts w:ascii="Arial" w:cs="Arial" w:eastAsia="Arial" w:hAnsi="Arial"/>
                <w:sz w:val="14"/>
                <w:szCs w:val="14"/>
                <w:color w:val="auto"/>
              </w:rPr>
              <w:t>N/A</w:t>
            </w:r>
          </w:p>
        </w:tc>
        <w:tc>
          <w:tcPr>
            <w:tcW w:w="880" w:type="dxa"/>
            <w:vAlign w:val="bottom"/>
          </w:tcPr>
          <w:p>
            <w:pPr>
              <w:jc w:val="right"/>
              <w:spacing w:after="0"/>
              <w:rPr>
                <w:sz w:val="20"/>
                <w:szCs w:val="20"/>
                <w:color w:val="auto"/>
              </w:rPr>
            </w:pPr>
            <w:r>
              <w:rPr>
                <w:rFonts w:ascii="Arial" w:cs="Arial" w:eastAsia="Arial" w:hAnsi="Arial"/>
                <w:sz w:val="14"/>
                <w:szCs w:val="14"/>
                <w:color w:val="auto"/>
              </w:rPr>
              <w:t>2.93 %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color w:val="auto"/>
              </w:rPr>
              <w:t>N/A</w:t>
            </w:r>
          </w:p>
        </w:tc>
        <w:tc>
          <w:tcPr>
            <w:tcW w:w="900" w:type="dxa"/>
            <w:vAlign w:val="bottom"/>
          </w:tcPr>
          <w:p>
            <w:pPr>
              <w:jc w:val="right"/>
              <w:spacing w:after="0"/>
              <w:rPr>
                <w:sz w:val="20"/>
                <w:szCs w:val="20"/>
                <w:color w:val="auto"/>
              </w:rPr>
            </w:pPr>
            <w:r>
              <w:rPr>
                <w:rFonts w:ascii="Arial" w:cs="Arial" w:eastAsia="Arial" w:hAnsi="Arial"/>
                <w:sz w:val="14"/>
                <w:szCs w:val="14"/>
                <w:color w:val="auto"/>
              </w:rPr>
              <w:t>3.84 %</w:t>
            </w:r>
          </w:p>
        </w:tc>
        <w:tc>
          <w:tcPr>
            <w:tcW w:w="1280" w:type="dxa"/>
            <w:vAlign w:val="bottom"/>
            <w:gridSpan w:val="2"/>
          </w:tcPr>
          <w:p>
            <w:pPr>
              <w:ind w:left="820"/>
              <w:spacing w:after="0"/>
              <w:rPr>
                <w:sz w:val="20"/>
                <w:szCs w:val="20"/>
                <w:color w:val="auto"/>
              </w:rPr>
            </w:pPr>
            <w:r>
              <w:rPr>
                <w:rFonts w:ascii="Arial" w:cs="Arial" w:eastAsia="Arial" w:hAnsi="Arial"/>
                <w:sz w:val="14"/>
                <w:szCs w:val="14"/>
                <w:color w:val="auto"/>
              </w:rPr>
              <w:t>4.00 %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4.00 %</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determine net periodic benefit cost: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center"/>
              <w:ind w:left="508"/>
              <w:spacing w:after="0"/>
              <w:rPr>
                <w:sz w:val="20"/>
                <w:szCs w:val="20"/>
                <w:color w:val="auto"/>
              </w:rPr>
            </w:pPr>
            <w:r>
              <w:rPr>
                <w:rFonts w:ascii="Arial" w:cs="Arial" w:eastAsia="Arial" w:hAnsi="Arial"/>
                <w:sz w:val="14"/>
                <w:szCs w:val="14"/>
                <w:b w:val="1"/>
                <w:bCs w:val="1"/>
                <w:color w:val="auto"/>
              </w:rPr>
              <w:t>Pensions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rPr>
              <w:t>Post-retirement</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Benefits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U.S.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Int’l</w:t>
            </w: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w:t>
            </w: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2.01 %</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4.40 %</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2.89 %</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2.68 %</w:t>
            </w: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4.48 %</w:t>
            </w: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5.32 %</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4.58 %</w:t>
            </w:r>
          </w:p>
        </w:tc>
        <w:tc>
          <w:tcPr>
            <w:tcW w:w="0" w:type="dxa"/>
            <w:vAlign w:val="bottom"/>
          </w:tcPr>
          <w:p>
            <w:pPr>
              <w:spacing w:after="0"/>
              <w:rPr>
                <w:sz w:val="1"/>
                <w:szCs w:val="1"/>
                <w:color w:val="auto"/>
              </w:rPr>
            </w:pPr>
          </w:p>
        </w:tc>
      </w:tr>
      <w:tr>
        <w:trPr>
          <w:trHeight w:val="189"/>
        </w:trPr>
        <w:tc>
          <w:tcPr>
            <w:tcW w:w="2180" w:type="dxa"/>
            <w:vAlign w:val="bottom"/>
          </w:tcPr>
          <w:p>
            <w:pPr>
              <w:ind w:left="20"/>
              <w:spacing w:after="0"/>
              <w:rPr>
                <w:sz w:val="20"/>
                <w:szCs w:val="20"/>
                <w:color w:val="auto"/>
              </w:rPr>
            </w:pPr>
            <w:r>
              <w:rPr>
                <w:rFonts w:ascii="Arial" w:cs="Arial" w:eastAsia="Arial" w:hAnsi="Arial"/>
                <w:sz w:val="14"/>
                <w:szCs w:val="14"/>
                <w:color w:val="auto"/>
              </w:rPr>
              <w:t>Rate of compensation increase</w:t>
            </w:r>
          </w:p>
        </w:tc>
        <w:tc>
          <w:tcPr>
            <w:tcW w:w="1220" w:type="dxa"/>
            <w:vAlign w:val="bottom"/>
            <w:gridSpan w:val="3"/>
          </w:tcPr>
          <w:p>
            <w:pPr>
              <w:jc w:val="right"/>
              <w:ind w:right="340"/>
              <w:spacing w:after="0"/>
              <w:rPr>
                <w:sz w:val="20"/>
                <w:szCs w:val="20"/>
                <w:color w:val="auto"/>
              </w:rPr>
            </w:pPr>
            <w:r>
              <w:rPr>
                <w:rFonts w:ascii="Arial" w:cs="Arial" w:eastAsia="Arial" w:hAnsi="Arial"/>
                <w:sz w:val="14"/>
                <w:szCs w:val="14"/>
                <w:color w:val="auto"/>
              </w:rPr>
              <w:t>N/A</w:t>
            </w:r>
          </w:p>
        </w:tc>
        <w:tc>
          <w:tcPr>
            <w:tcW w:w="680" w:type="dxa"/>
            <w:vAlign w:val="bottom"/>
          </w:tcPr>
          <w:p>
            <w:pPr>
              <w:jc w:val="right"/>
              <w:spacing w:after="0"/>
              <w:rPr>
                <w:sz w:val="20"/>
                <w:szCs w:val="20"/>
                <w:color w:val="auto"/>
              </w:rPr>
            </w:pPr>
            <w:r>
              <w:rPr>
                <w:rFonts w:ascii="Arial" w:cs="Arial" w:eastAsia="Arial" w:hAnsi="Arial"/>
                <w:sz w:val="14"/>
                <w:szCs w:val="14"/>
                <w:color w:val="auto"/>
              </w:rPr>
              <w:t>3.84 %</w:t>
            </w:r>
          </w:p>
        </w:tc>
        <w:tc>
          <w:tcPr>
            <w:tcW w:w="120" w:type="dxa"/>
            <w:vAlign w:val="bottom"/>
          </w:tcPr>
          <w:p>
            <w:pPr>
              <w:spacing w:after="0"/>
              <w:rPr>
                <w:sz w:val="16"/>
                <w:szCs w:val="16"/>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3.80 %</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3.70 %</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4.00 %</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4.00 %</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4.00 %</w:t>
            </w: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Expected rate of return on plan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7.75 %</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7.27 %</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8.65 %</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7.15 %</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8.57 %</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6.83 %</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Our estimate of expected rate of return on plan assets is primarily based on the historical performance of plan assets, current market conditions, our asset allocation and long-term growth expectations.</w:t>
      </w:r>
    </w:p>
    <w:p>
      <w:pPr>
        <w:spacing w:after="0" w:line="12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Plan assets - </w:t>
      </w:r>
      <w:r>
        <w:rPr>
          <w:rFonts w:ascii="Arial" w:cs="Arial" w:eastAsia="Arial" w:hAnsi="Arial"/>
          <w:sz w:val="18"/>
          <w:szCs w:val="18"/>
          <w:color w:val="auto"/>
        </w:rPr>
        <w:t>We actively monitor how the duration and the expected yield of the investments are matching the expected cash outflows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from the pension obligations. We have not changed the processes used to manage its risks from previous periods. Investments are well diversified, such that the failure of any single investment would not have a material impact on the overall level of assets</w:t>
      </w:r>
      <w:r>
        <w:rPr>
          <w:rFonts w:ascii="Arial" w:cs="Arial" w:eastAsia="Arial" w:hAnsi="Arial"/>
          <w:sz w:val="18"/>
          <w:szCs w:val="18"/>
          <w:i w:val="1"/>
          <w:iCs w:val="1"/>
          <w:color w:val="auto"/>
        </w:rPr>
        <w:t>.</w:t>
      </w:r>
      <w:r>
        <w:rPr>
          <w:rFonts w:ascii="Arial" w:cs="Arial" w:eastAsia="Arial" w:hAnsi="Arial"/>
          <w:sz w:val="18"/>
          <w:szCs w:val="18"/>
          <w:color w:val="auto"/>
        </w:rPr>
        <w:t xml:space="preserve"> Our pension investment strategy emphasizes maximizing returns consistent with balancing risk. Excluding our international plans with insurance-based investments, 99% of our total pension plan assets represent the U.S. qualified plan and the U.K. plan. These plans are primarily invested in equity securities to maximize the long-term returns of the plans. The investment managers of these assets, including the hedge funds and limited partnerships, use Graham and Dodd fundamental investment analysis to select securities that have a margin of safety between the price of the security and the estimated value of the security. This value-oriented approach tends to mitigate the risk of a large equity allocation.</w:t>
      </w:r>
    </w:p>
    <w:p>
      <w:pPr>
        <w:spacing w:after="0" w:line="15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following is a description of the valuation methodologies used for the pension plan assets. There have been no changes in the methodologies used as of December 31, 2020 and 2019.</w:t>
      </w:r>
    </w:p>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is valued at cost, which approximates fair value.</w:t>
      </w:r>
    </w:p>
    <w:p>
      <w:pPr>
        <w:spacing w:after="0" w:line="171"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Equity securities are comprised of common stock and preferred stock. The fair values of equity securities are valued at the closing price reported on the active market on which the securities are traded.</w:t>
      </w:r>
    </w:p>
    <w:p>
      <w:pPr>
        <w:spacing w:after="0" w:line="143"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values of registered investment companies and common/collective trusts are valued based on quoted market prices, which represent the net asset value (“NAV”) of shares held. Registered investment companies primarily include investments in emerging market bonds. Common/collective trusts primarily includes money market instruments with short maturities.</w:t>
      </w:r>
    </w:p>
    <w:p>
      <w:pPr>
        <w:spacing w:after="0" w:line="147"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contracts are valued at book value, which approximates fair value, and is calculated using the prior-year balance plus or minus investment returns and changes in cash flows.</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values of hedge funds are valued using the NAV as determined by the administrator or custodian of the fund. The funds primarily invest in U.S. and international equities, debt securities and other hedge funds.</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values of limited partnerships are valued using the NAV as determined by the administrator or custodian of the fund. The partnerships primarily invest in U.S. and international equities and debt securities.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890" w:right="399" w:bottom="1440" w:gutter="0" w:footer="0" w:header="0"/>
        </w:sectPr>
      </w:pPr>
    </w:p>
    <w:bookmarkStart w:id="87" w:name="page88"/>
    <w:bookmarkEnd w:id="87"/>
    <w:p>
      <w:pPr>
        <w:ind w:left="660" w:right="2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estate and other investments primarily consist of real estate investment trusts and other investments. These investments are measured at quoted market prices, which represent the NAV of the securities held in such funds at year end.</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pension plan assets measured at fair value on a recurring basis are as follows as of December 31, 2020 and 2019. Refer to “Fair value measurements” in Note 1 to these consolidated financial statements for a description of the levels.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International</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Net Asset</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80" w:type="dxa"/>
            <w:vAlign w:val="bottom"/>
            <w:vMerge w:val="restart"/>
          </w:tcPr>
          <w:p>
            <w:pPr>
              <w:spacing w:after="0"/>
              <w:rPr>
                <w:sz w:val="12"/>
                <w:szCs w:val="12"/>
                <w:color w:val="auto"/>
              </w:rPr>
            </w:pPr>
          </w:p>
        </w:tc>
        <w:tc>
          <w:tcPr>
            <w:tcW w:w="82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Net Asset</w:t>
            </w: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line="176"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8"/>
                <w:szCs w:val="18"/>
                <w:b w:val="1"/>
                <w:bCs w:val="1"/>
                <w:color w:val="auto"/>
                <w:w w:val="92"/>
                <w:vertAlign w:val="superscript"/>
              </w:rPr>
              <w:t>(a)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line="176" w:lineRule="exact"/>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8"/>
                <w:szCs w:val="18"/>
                <w:b w:val="1"/>
                <w:bCs w:val="1"/>
                <w:color w:val="auto"/>
                <w:w w:val="96"/>
                <w:vertAlign w:val="superscript"/>
              </w:rPr>
              <w:t>(a)</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i w:val="1"/>
                <w:iCs w:val="1"/>
                <w:color w:val="auto"/>
              </w:rPr>
              <w:t>Equity securities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companies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20"/>
              <w:spacing w:after="0"/>
              <w:rPr>
                <w:sz w:val="20"/>
                <w:szCs w:val="20"/>
                <w:color w:val="auto"/>
              </w:rPr>
            </w:pPr>
            <w:r>
              <w:rPr>
                <w:rFonts w:ascii="Arial" w:cs="Arial" w:eastAsia="Arial" w:hAnsi="Arial"/>
                <w:sz w:val="14"/>
                <w:szCs w:val="14"/>
                <w:color w:val="auto"/>
              </w:rPr>
              <w:t>International companies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Registered investment companies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Hedge funds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Arial" w:cs="Arial" w:eastAsia="Arial" w:hAnsi="Arial"/>
                <w:sz w:val="14"/>
                <w:szCs w:val="14"/>
                <w:color w:val="auto"/>
              </w:rPr>
              <w:t>Real estate and other</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Equity securities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220"/>
              <w:spacing w:after="0"/>
              <w:rPr>
                <w:sz w:val="20"/>
                <w:szCs w:val="20"/>
                <w:color w:val="auto"/>
              </w:rPr>
            </w:pPr>
            <w:r>
              <w:rPr>
                <w:rFonts w:ascii="Arial" w:cs="Arial" w:eastAsia="Arial" w:hAnsi="Arial"/>
                <w:sz w:val="14"/>
                <w:szCs w:val="14"/>
                <w:color w:val="auto"/>
              </w:rPr>
              <w:t>U.S. companies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International companies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Registered investment companies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Common/collective trusts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Hedge funds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Limited partnerships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3"/>
        </w:trPr>
        <w:tc>
          <w:tcPr>
            <w:tcW w:w="2220" w:type="dxa"/>
            <w:vAlign w:val="bottom"/>
          </w:tcPr>
          <w:p>
            <w:pPr>
              <w:ind w:left="220"/>
              <w:spacing w:after="0" w:line="153" w:lineRule="exact"/>
              <w:rPr>
                <w:sz w:val="20"/>
                <w:szCs w:val="20"/>
                <w:color w:val="auto"/>
              </w:rPr>
            </w:pPr>
            <w:r>
              <w:rPr>
                <w:rFonts w:ascii="Arial" w:cs="Arial" w:eastAsia="Arial" w:hAnsi="Arial"/>
                <w:sz w:val="14"/>
                <w:szCs w:val="14"/>
                <w:color w:val="auto"/>
              </w:rPr>
              <w:t>Real estate and other</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investments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Contributions - </w:t>
      </w:r>
      <w:r>
        <w:rPr>
          <w:rFonts w:ascii="Arial" w:cs="Arial" w:eastAsia="Arial" w:hAnsi="Arial"/>
          <w:sz w:val="18"/>
          <w:szCs w:val="18"/>
          <w:color w:val="auto"/>
        </w:rPr>
        <w:t>We expect to contribute approximately $18.9 million to our international pension plans, representing primarily the U.K.</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pension plans. We do not expect to make any contributions to our U.S. Qualified Pension Plan and our U.S. Non-Qualified Defined Benefit Pension Plan in 2021. All of the contributions are expected to be in the form of cash. In 2020 and 2019, we contributed $27.1 million and $5.3 million to all pension plans,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908" w:right="339" w:bottom="1440" w:gutter="0" w:footer="0" w:header="0"/>
        </w:sectPr>
      </w:pPr>
    </w:p>
    <w:bookmarkStart w:id="88" w:name="page89"/>
    <w:bookmarkEnd w:id="88"/>
    <w:p>
      <w:pPr>
        <w:ind w:right="780"/>
        <w:spacing w:after="0" w:line="282" w:lineRule="auto"/>
        <w:rPr>
          <w:sz w:val="20"/>
          <w:szCs w:val="20"/>
          <w:color w:val="auto"/>
        </w:rPr>
      </w:pPr>
      <w:r>
        <w:rPr>
          <w:rFonts w:ascii="Arial" w:cs="Arial" w:eastAsia="Arial" w:hAnsi="Arial"/>
          <w:sz w:val="18"/>
          <w:szCs w:val="18"/>
          <w:i w:val="1"/>
          <w:iCs w:val="1"/>
          <w:color w:val="auto"/>
        </w:rPr>
        <w:t xml:space="preserve">Estimated future benefit payments - </w:t>
      </w:r>
      <w:r>
        <w:rPr>
          <w:rFonts w:ascii="Arial" w:cs="Arial" w:eastAsia="Arial" w:hAnsi="Arial"/>
          <w:sz w:val="18"/>
          <w:szCs w:val="18"/>
          <w:color w:val="auto"/>
        </w:rPr>
        <w:t>The following table summarizes expected benefit payments from our various pension and post-retirement benefit plans through 2028. Actual benefit payments may differ from expected benefit payments.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5"/>
                <w:szCs w:val="15"/>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4"/>
                <w:szCs w:val="14"/>
                <w:color w:val="auto"/>
              </w:rPr>
              <w:t>2024</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0"/>
        </w:trPr>
        <w:tc>
          <w:tcPr>
            <w:tcW w:w="6700" w:type="dxa"/>
            <w:vAlign w:val="bottom"/>
          </w:tcPr>
          <w:p>
            <w:pPr>
              <w:ind w:left="20"/>
              <w:spacing w:after="0"/>
              <w:rPr>
                <w:sz w:val="20"/>
                <w:szCs w:val="20"/>
                <w:color w:val="auto"/>
              </w:rPr>
            </w:pPr>
            <w:r>
              <w:rPr>
                <w:rFonts w:ascii="Arial" w:cs="Arial" w:eastAsia="Arial" w:hAnsi="Arial"/>
                <w:sz w:val="14"/>
                <w:szCs w:val="14"/>
                <w:color w:val="auto"/>
              </w:rPr>
              <w:t>2025-2029</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i w:val="1"/>
          <w:iCs w:val="1"/>
          <w:color w:val="auto"/>
        </w:rPr>
        <w:t xml:space="preserve">Savings plans - </w:t>
      </w:r>
      <w:r>
        <w:rPr>
          <w:rFonts w:ascii="Arial" w:cs="Arial" w:eastAsia="Arial" w:hAnsi="Arial"/>
          <w:sz w:val="18"/>
          <w:szCs w:val="18"/>
          <w:color w:val="auto"/>
        </w:rPr>
        <w:t>The TechnipFMC Retirement Savings Plan (“Qualified Plan”), a qualified salary reduction plan under Section 401(k)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is a defined contribution plan. Additionally, we have a non-qualified deferred compensation plan, the Non-Qualified Plan, which allows certain highly compensated employees the option to defer the receipt of a portion of their salary. We match a portion of the participants’ deferrals to both plans. Both plans relate to FMC Technologies, Inc.</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Participants in the Non-Qualified Plan earn a return based on hypothetical investments in the same options as our 401(k) plan. Changes in the market value of these participant investments are reflected as an adjustment to the deferred compensation liability with an offset to other income (expense), net. As of December 31, 2020 and 2019, our liability for the Non-Qualified Plan was $22.8 million and $26.3 million, respectively, and was recorded in other liabilities in our consolidated balance sheets. We hedge the financial impact of changes in the participants’ hypothetical investments by purchasing the investments that the participants have chosen. Changes in the fair value of these investments are recognized as an offset to other income (expense), net in our consolidated statements of income. As of December 31, 2020 and 2019, we had investments for the Non-Qualified Plan totaling $22.8 million and $26.3 million at fair market value, respectively.</w:t>
      </w:r>
    </w:p>
    <w:p>
      <w:pPr>
        <w:spacing w:after="0" w:line="15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years ended December 31, 2020, and 2019 we recognized expense of $21.3 million and $22.2 million, respectively for matching contributions to these plans in 2020 and 2019, respectively. Additionally, during the years ended December 31, 2020 and 2019, we recognized expense of $8.3 million and $8.0 million, respectively, for non-elective contributions.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DERIVATIVE FINANCIAL INSTRUMENTS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is reflected in earnings in the period such change occurs.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consolidated balance sheets. As of December 31, 2020, we held the following material net positions: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890"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30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rPr>
              <w:t>Net Notional Amount</w:t>
            </w:r>
          </w:p>
        </w:tc>
        <w:tc>
          <w:tcPr>
            <w:tcW w:w="700" w:type="dxa"/>
            <w:vAlign w:val="bottom"/>
          </w:tcPr>
          <w:p>
            <w:pPr>
              <w:spacing w:after="0"/>
              <w:rPr>
                <w:sz w:val="14"/>
                <w:szCs w:val="14"/>
                <w:color w:val="auto"/>
              </w:rPr>
            </w:pPr>
          </w:p>
        </w:tc>
      </w:tr>
      <w:tr>
        <w:trPr>
          <w:trHeight w:val="175"/>
        </w:trPr>
        <w:tc>
          <w:tcPr>
            <w:tcW w:w="8200" w:type="dxa"/>
            <w:vAlign w:val="bottom"/>
          </w:tcPr>
          <w:p>
            <w:pPr>
              <w:spacing w:after="0"/>
              <w:rPr>
                <w:sz w:val="15"/>
                <w:szCs w:val="15"/>
                <w:color w:val="auto"/>
              </w:rPr>
            </w:pPr>
          </w:p>
        </w:tc>
        <w:tc>
          <w:tcPr>
            <w:tcW w:w="230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rPr>
              <w:t>Bought (Sold)</w:t>
            </w:r>
          </w:p>
        </w:tc>
        <w:tc>
          <w:tcPr>
            <w:tcW w:w="700" w:type="dxa"/>
            <w:vAlign w:val="bottom"/>
            <w:tcBorders>
              <w:bottom w:val="single" w:sz="8" w:color="auto"/>
            </w:tcBorders>
          </w:tcPr>
          <w:p>
            <w:pPr>
              <w:spacing w:after="0"/>
              <w:rPr>
                <w:sz w:val="15"/>
                <w:szCs w:val="15"/>
                <w:color w:val="auto"/>
              </w:rPr>
            </w:pPr>
          </w:p>
        </w:tc>
      </w:tr>
      <w:tr>
        <w:trPr>
          <w:trHeight w:val="18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352.8</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432.9</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939.7</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1,283.9</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Malaysian ringgit</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77.2</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1,374.7</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161.1</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681.4</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Singapore dollar</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156.2</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118.0</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Mexican peso</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(156.8)</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Australian dollar</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(163.8)</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(126.5)</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 rupee</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254.3</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Yuan Renminbi</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(52.6)</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Kuwaiti Dinar</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Russian Ruble</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500.9</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Canadian dollar</w:t>
            </w:r>
          </w:p>
        </w:tc>
        <w:tc>
          <w:tcPr>
            <w:tcW w:w="1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Saudi Riyal</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(23.7)</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 dollar</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(97.6)</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89"/>
        </w:trPr>
        <w:tc>
          <w:tcPr>
            <w:tcW w:w="8200" w:type="dxa"/>
            <w:vAlign w:val="bottom"/>
          </w:tcPr>
          <w:p>
            <w:pPr>
              <w:ind w:left="20"/>
              <w:spacing w:after="0"/>
              <w:rPr>
                <w:sz w:val="20"/>
                <w:szCs w:val="20"/>
                <w:color w:val="auto"/>
              </w:rPr>
            </w:pPr>
            <w:r>
              <w:rPr>
                <w:rFonts w:ascii="Arial" w:cs="Arial" w:eastAsia="Arial" w:hAnsi="Arial"/>
                <w:sz w:val="14"/>
                <w:szCs w:val="14"/>
                <w:color w:val="auto"/>
              </w:rPr>
              <w:t>Indonesian rupiah</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(201,679.7)</w:t>
            </w:r>
          </w:p>
        </w:tc>
        <w:tc>
          <w:tcPr>
            <w:tcW w:w="7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18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dollar</w:t>
            </w: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(1,046.1)</w:t>
            </w:r>
          </w:p>
        </w:tc>
        <w:tc>
          <w:tcPr>
            <w:tcW w:w="7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(1,046.1)</w:t>
            </w:r>
          </w:p>
        </w:tc>
      </w:tr>
    </w:tbl>
    <w:p>
      <w:pPr>
        <w:spacing w:after="0" w:line="19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As of December 31, 2020, our portfolio of these instruments included the following material net positions: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0" w:type="dxa"/>
            <w:vAlign w:val="bottom"/>
          </w:tcPr>
          <w:p>
            <w:pPr>
              <w:jc w:val="right"/>
              <w:ind w:right="108"/>
              <w:spacing w:after="0"/>
              <w:rPr>
                <w:sz w:val="20"/>
                <w:szCs w:val="20"/>
                <w:color w:val="auto"/>
              </w:rPr>
            </w:pPr>
            <w:r>
              <w:rPr>
                <w:rFonts w:ascii="Arial" w:cs="Arial" w:eastAsia="Arial" w:hAnsi="Arial"/>
                <w:sz w:val="14"/>
                <w:szCs w:val="14"/>
                <w:b w:val="1"/>
                <w:bCs w:val="1"/>
                <w:color w:val="auto"/>
              </w:rPr>
              <w:t>Net Notional Amount</w:t>
            </w:r>
          </w:p>
        </w:tc>
        <w:tc>
          <w:tcPr>
            <w:tcW w:w="600" w:type="dxa"/>
            <w:vAlign w:val="bottom"/>
          </w:tcPr>
          <w:p>
            <w:pPr>
              <w:spacing w:after="0"/>
              <w:rPr>
                <w:sz w:val="14"/>
                <w:szCs w:val="14"/>
                <w:color w:val="auto"/>
              </w:rPr>
            </w:pPr>
          </w:p>
        </w:tc>
      </w:tr>
      <w:tr>
        <w:trPr>
          <w:trHeight w:val="176"/>
        </w:trPr>
        <w:tc>
          <w:tcPr>
            <w:tcW w:w="8240" w:type="dxa"/>
            <w:vAlign w:val="bottom"/>
          </w:tcPr>
          <w:p>
            <w:pPr>
              <w:spacing w:after="0"/>
              <w:rPr>
                <w:sz w:val="15"/>
                <w:szCs w:val="15"/>
                <w:color w:val="auto"/>
              </w:rPr>
            </w:pPr>
          </w:p>
        </w:tc>
        <w:tc>
          <w:tcPr>
            <w:tcW w:w="2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Bought (Sold)</w:t>
            </w:r>
          </w:p>
        </w:tc>
        <w:tc>
          <w:tcPr>
            <w:tcW w:w="600" w:type="dxa"/>
            <w:vAlign w:val="bottom"/>
            <w:tcBorders>
              <w:bottom w:val="single" w:sz="8" w:color="auto"/>
            </w:tcBorders>
          </w:tcPr>
          <w:p>
            <w:pPr>
              <w:spacing w:after="0"/>
              <w:rPr>
                <w:sz w:val="15"/>
                <w:szCs w:val="15"/>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USD Equivalent</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24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77.9</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Hong Kong dollar</w:t>
            </w:r>
          </w:p>
        </w:tc>
        <w:tc>
          <w:tcPr>
            <w:tcW w:w="2400" w:type="dxa"/>
            <w:vAlign w:val="bottom"/>
          </w:tcPr>
          <w:p>
            <w:pPr>
              <w:jc w:val="right"/>
              <w:ind w:right="948"/>
              <w:spacing w:after="0"/>
              <w:rPr>
                <w:sz w:val="20"/>
                <w:szCs w:val="20"/>
                <w:color w:val="auto"/>
              </w:rPr>
            </w:pPr>
            <w:r>
              <w:rPr>
                <w:rFonts w:ascii="Arial" w:cs="Arial" w:eastAsia="Arial" w:hAnsi="Arial"/>
                <w:sz w:val="14"/>
                <w:szCs w:val="14"/>
                <w:color w:val="auto"/>
              </w:rPr>
              <w:t>48.3</w:t>
            </w: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240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2400" w:type="dxa"/>
            <w:vAlign w:val="bottom"/>
          </w:tcPr>
          <w:p>
            <w:pPr>
              <w:jc w:val="right"/>
              <w:ind w:right="908"/>
              <w:spacing w:after="0"/>
              <w:rPr>
                <w:sz w:val="20"/>
                <w:szCs w:val="20"/>
                <w:color w:val="auto"/>
              </w:rPr>
            </w:pPr>
            <w:r>
              <w:rPr>
                <w:rFonts w:ascii="Arial" w:cs="Arial" w:eastAsia="Arial" w:hAnsi="Arial"/>
                <w:sz w:val="14"/>
                <w:szCs w:val="14"/>
                <w:color w:val="auto"/>
              </w:rPr>
              <w:t>(142.8)</w:t>
            </w:r>
          </w:p>
        </w:tc>
        <w:tc>
          <w:tcPr>
            <w:tcW w:w="60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dollar</w:t>
            </w:r>
          </w:p>
        </w:tc>
        <w:tc>
          <w:tcPr>
            <w:tcW w:w="24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5.2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bl>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24 for further details. Accordingly, the estimates presented may not be indicative of the amounts that we would realize in a current market exchange and may not be indicative of the gains or losses we may ultimately incur when these contracts are settled.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924"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6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480"/>
              <w:spacing w:after="0"/>
              <w:rPr>
                <w:sz w:val="20"/>
                <w:szCs w:val="20"/>
                <w:color w:val="auto"/>
              </w:rPr>
            </w:pPr>
            <w:r>
              <w:rPr>
                <w:rFonts w:ascii="Arial" w:cs="Arial" w:eastAsia="Arial" w:hAnsi="Arial"/>
                <w:sz w:val="14"/>
                <w:szCs w:val="14"/>
                <w:color w:val="auto"/>
              </w:rPr>
              <w:t>Current - Derivative financial instruments</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Long-term - Derivative financial instruments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480"/>
              <w:spacing w:after="0" w:line="153" w:lineRule="exact"/>
              <w:rPr>
                <w:sz w:val="20"/>
                <w:szCs w:val="20"/>
                <w:color w:val="auto"/>
              </w:rPr>
            </w:pPr>
            <w:r>
              <w:rPr>
                <w:rFonts w:ascii="Arial" w:cs="Arial" w:eastAsia="Arial" w:hAnsi="Arial"/>
                <w:sz w:val="14"/>
                <w:szCs w:val="14"/>
                <w:color w:val="auto"/>
              </w:rPr>
              <w:t>Long-term - Derivative financial instruments - Synthetic Bonds - Call Option</w:t>
            </w: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Premium</w:t>
            </w:r>
          </w:p>
        </w:tc>
        <w:tc>
          <w:tcPr>
            <w:tcW w:w="24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480"/>
              <w:spacing w:after="0" w:line="153" w:lineRule="exact"/>
              <w:rPr>
                <w:sz w:val="20"/>
                <w:szCs w:val="20"/>
                <w:color w:val="auto"/>
              </w:rPr>
            </w:pPr>
            <w:r>
              <w:rPr>
                <w:rFonts w:ascii="Arial" w:cs="Arial" w:eastAsia="Arial" w:hAnsi="Arial"/>
                <w:sz w:val="14"/>
                <w:szCs w:val="14"/>
                <w:color w:val="auto"/>
              </w:rPr>
              <w:t>Long-term - Derivative financial instruments - Synthetic Bonds - Embedded</w:t>
            </w:r>
          </w:p>
        </w:tc>
        <w:tc>
          <w:tcPr>
            <w:tcW w:w="24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1"/>
        </w:trPr>
        <w:tc>
          <w:tcPr>
            <w:tcW w:w="5620" w:type="dxa"/>
            <w:vAlign w:val="bottom"/>
          </w:tcPr>
          <w:p>
            <w:pPr>
              <w:ind w:left="480"/>
              <w:spacing w:after="0"/>
              <w:rPr>
                <w:sz w:val="20"/>
                <w:szCs w:val="20"/>
                <w:color w:val="auto"/>
              </w:rPr>
            </w:pPr>
            <w:r>
              <w:rPr>
                <w:rFonts w:ascii="Arial" w:cs="Arial" w:eastAsia="Arial" w:hAnsi="Arial"/>
                <w:sz w:val="14"/>
                <w:szCs w:val="14"/>
                <w:color w:val="auto"/>
              </w:rPr>
              <w:t>Derivatives</w:t>
            </w: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Cash flow hedges of forecasted transactions, net of tax, which qualify for hedge accounting, resulted in accumulated other comprehensive gains (losses) of $12.9 million and $(4.1) million as of December 31, 2020 and 2019, respectively. We expect to transfer an approximately $91.2 million gain from accumulated OCI to earnings during the next 12 months when the anticipated transactions actually occur. All anticipated transactions currently being hedged are expected to occur by the second half of 2023.</w:t>
      </w:r>
    </w:p>
    <w:p>
      <w:pPr>
        <w:spacing w:after="0" w:line="15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following tables present the location of gains (losses) in the consolidated statements of income related to derivative instruments designated as cash flow hedges.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Gain (Loss) Recognized in OCI</w:t>
            </w:r>
          </w:p>
        </w:tc>
        <w:tc>
          <w:tcPr>
            <w:tcW w:w="1120" w:type="dxa"/>
            <w:vAlign w:val="bottom"/>
            <w:tcBorders>
              <w:bottom w:val="single" w:sz="8" w:color="auto"/>
            </w:tcBorders>
          </w:tcPr>
          <w:p>
            <w:pPr>
              <w:spacing w:after="0"/>
              <w:rPr>
                <w:sz w:val="16"/>
                <w:szCs w:val="16"/>
                <w:color w:val="auto"/>
              </w:rPr>
            </w:pPr>
          </w:p>
        </w:tc>
      </w:tr>
      <w:tr>
        <w:trPr>
          <w:trHeight w:val="182"/>
        </w:trPr>
        <w:tc>
          <w:tcPr>
            <w:tcW w:w="65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right="26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r>
      <w:tr>
        <w:trPr>
          <w:trHeight w:val="18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908" w:right="35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The following represents the effect of cash flow hedge accounting on the consolidated statements of income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w:t>
      </w:r>
    </w:p>
    <w:p>
      <w:pPr>
        <w:sectPr>
          <w:pgSz w:w="11900" w:h="16838" w:orient="portrait"/>
          <w:cols w:equalWidth="0" w:num="1">
            <w:col w:w="11200"/>
          </w:cols>
          <w:pgMar w:left="320" w:top="976" w:right="379" w:bottom="1440" w:gutter="0" w:footer="0" w:header="0"/>
        </w:sectPr>
      </w:pPr>
    </w:p>
    <w:p>
      <w:pPr>
        <w:spacing w:after="0" w:line="373"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(In millions)</w:t>
      </w:r>
    </w:p>
    <w:p>
      <w:pPr>
        <w:spacing w:after="0" w:line="36" w:lineRule="exact"/>
        <w:rPr>
          <w:sz w:val="20"/>
          <w:szCs w:val="20"/>
          <w:color w:val="auto"/>
        </w:rPr>
      </w:pPr>
    </w:p>
    <w:p>
      <w:pPr>
        <w:ind w:left="580" w:right="80"/>
        <w:spacing w:after="0" w:line="237" w:lineRule="auto"/>
        <w:rPr>
          <w:sz w:val="20"/>
          <w:szCs w:val="20"/>
          <w:color w:val="auto"/>
        </w:rPr>
      </w:pPr>
      <w:r>
        <w:rPr>
          <w:rFonts w:ascii="Arial" w:cs="Arial" w:eastAsia="Arial" w:hAnsi="Arial"/>
          <w:sz w:val="10"/>
          <w:szCs w:val="10"/>
          <w:b w:val="1"/>
          <w:bCs w:val="1"/>
          <w:color w:val="auto"/>
        </w:rPr>
        <w:t>Total amount of income (expense) presented in the consolidated statements of income associated with hedges and derivatives</w:t>
      </w:r>
    </w:p>
    <w:p>
      <w:pPr>
        <w:spacing w:after="0" w:line="23" w:lineRule="exact"/>
        <w:rPr>
          <w:sz w:val="20"/>
          <w:szCs w:val="20"/>
          <w:color w:val="auto"/>
        </w:rPr>
      </w:pPr>
    </w:p>
    <w:p>
      <w:pPr>
        <w:ind w:left="580" w:right="220"/>
        <w:spacing w:after="0" w:line="225" w:lineRule="auto"/>
        <w:rPr>
          <w:sz w:val="20"/>
          <w:szCs w:val="20"/>
          <w:color w:val="auto"/>
        </w:rPr>
      </w:pPr>
      <w:r>
        <w:rPr>
          <w:rFonts w:ascii="Arial" w:cs="Arial" w:eastAsia="Arial" w:hAnsi="Arial"/>
          <w:sz w:val="11"/>
          <w:szCs w:val="11"/>
          <w:i w:val="1"/>
          <w:iCs w:val="1"/>
          <w:color w:val="auto"/>
        </w:rPr>
        <w:t>Cash Flow hedge gain (loss) recognized in income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1"/>
          <w:szCs w:val="11"/>
          <w:i w:val="1"/>
          <w:iCs w:val="1"/>
          <w:color w:val="auto"/>
        </w:rPr>
        <w:t>Foreign Exchange</w:t>
      </w:r>
    </w:p>
    <w:p>
      <w:pPr>
        <w:ind w:left="660"/>
        <w:spacing w:after="0"/>
        <w:rPr>
          <w:sz w:val="20"/>
          <w:szCs w:val="20"/>
          <w:color w:val="auto"/>
        </w:rPr>
      </w:pPr>
      <w:r>
        <w:rPr>
          <w:rFonts w:ascii="Arial" w:cs="Arial" w:eastAsia="Arial" w:hAnsi="Arial"/>
          <w:sz w:val="11"/>
          <w:szCs w:val="11"/>
          <w:i w:val="1"/>
          <w:iCs w:val="1"/>
          <w:color w:val="auto"/>
        </w:rPr>
        <w:t>Contracts</w:t>
      </w:r>
    </w:p>
    <w:p>
      <w:pPr>
        <w:spacing w:after="0" w:line="36" w:lineRule="exact"/>
        <w:rPr>
          <w:sz w:val="20"/>
          <w:szCs w:val="20"/>
          <w:color w:val="auto"/>
        </w:rPr>
      </w:pPr>
    </w:p>
    <w:p>
      <w:pPr>
        <w:ind w:left="740" w:right="40"/>
        <w:spacing w:after="0" w:line="218" w:lineRule="auto"/>
        <w:rPr>
          <w:sz w:val="20"/>
          <w:szCs w:val="20"/>
          <w:color w:val="auto"/>
        </w:rPr>
      </w:pPr>
      <w:r>
        <w:rPr>
          <w:rFonts w:ascii="Arial" w:cs="Arial" w:eastAsia="Arial" w:hAnsi="Arial"/>
          <w:sz w:val="11"/>
          <w:szCs w:val="11"/>
          <w:color w:val="auto"/>
        </w:rPr>
        <w:t>Amounts reclassified from accumulated OCI to income (loss)</w:t>
      </w:r>
    </w:p>
    <w:p>
      <w:pPr>
        <w:spacing w:after="0" w:line="33" w:lineRule="exact"/>
        <w:rPr>
          <w:sz w:val="20"/>
          <w:szCs w:val="20"/>
          <w:color w:val="auto"/>
        </w:rPr>
      </w:pPr>
    </w:p>
    <w:p>
      <w:pPr>
        <w:ind w:left="740"/>
        <w:spacing w:after="0" w:line="256" w:lineRule="auto"/>
        <w:rPr>
          <w:sz w:val="20"/>
          <w:szCs w:val="20"/>
          <w:color w:val="auto"/>
        </w:rPr>
      </w:pPr>
      <w:r>
        <w:rPr>
          <w:rFonts w:ascii="Arial" w:cs="Arial" w:eastAsia="Arial" w:hAnsi="Arial"/>
          <w:sz w:val="10"/>
          <w:szCs w:val="10"/>
          <w:color w:val="auto"/>
        </w:rPr>
        <w:t>Amounts excluded from effectiveness testing</w:t>
      </w:r>
    </w:p>
    <w:p>
      <w:pPr>
        <w:spacing w:after="0" w:line="13" w:lineRule="exact"/>
        <w:rPr>
          <w:sz w:val="20"/>
          <w:szCs w:val="20"/>
          <w:color w:val="auto"/>
        </w:rPr>
      </w:pPr>
    </w:p>
    <w:p>
      <w:pPr>
        <w:ind w:left="580" w:right="20"/>
        <w:spacing w:after="0" w:line="226" w:lineRule="auto"/>
        <w:rPr>
          <w:sz w:val="20"/>
          <w:szCs w:val="20"/>
          <w:color w:val="auto"/>
        </w:rPr>
      </w:pPr>
      <w:r>
        <w:rPr>
          <w:rFonts w:ascii="Arial" w:cs="Arial" w:eastAsia="Arial" w:hAnsi="Arial"/>
          <w:sz w:val="11"/>
          <w:szCs w:val="11"/>
          <w:b w:val="1"/>
          <w:bCs w:val="1"/>
          <w:color w:val="auto"/>
        </w:rPr>
        <w:t>Total cash flow hedge gain (loss) recognized in income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720"/>
        <w:spacing w:after="0"/>
        <w:rPr>
          <w:sz w:val="20"/>
          <w:szCs w:val="20"/>
          <w:color w:val="auto"/>
        </w:rPr>
      </w:pPr>
      <w:r>
        <w:rPr>
          <w:rFonts w:ascii="Arial" w:cs="Arial" w:eastAsia="Arial" w:hAnsi="Arial"/>
          <w:sz w:val="11"/>
          <w:szCs w:val="11"/>
          <w:b w:val="1"/>
          <w:bCs w:val="1"/>
          <w:color w:val="auto"/>
        </w:rPr>
        <w:t>Year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575"/>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9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554"/>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Selling,</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9"/>
              </w:rPr>
              <w:t>Selling,</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9"/>
              </w:rPr>
              <w:t>general</w:t>
            </w: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9"/>
              </w:rPr>
              <w:t>general</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6"/>
              </w:rPr>
              <w:t>Cost of</w:t>
            </w:r>
          </w:p>
        </w:tc>
        <w:tc>
          <w:tcPr>
            <w:tcW w:w="120" w:type="dxa"/>
            <w:vAlign w:val="bottom"/>
          </w:tcPr>
          <w:p>
            <w:pPr>
              <w:spacing w:after="0"/>
              <w:rPr>
                <w:sz w:val="7"/>
                <w:szCs w:val="7"/>
                <w:color w:val="auto"/>
              </w:rPr>
            </w:pPr>
          </w:p>
        </w:tc>
        <w:tc>
          <w:tcPr>
            <w:tcW w:w="96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9"/>
              </w:rPr>
              <w:t>and</w:t>
            </w:r>
          </w:p>
        </w:tc>
        <w:tc>
          <w:tcPr>
            <w:tcW w:w="82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Other income</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rPr>
              <w:t>Cost of</w:t>
            </w:r>
          </w:p>
        </w:tc>
        <w:tc>
          <w:tcPr>
            <w:tcW w:w="88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Other income</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6"/>
              </w:rPr>
              <w:t>Cost of</w:t>
            </w:r>
          </w:p>
        </w:tc>
        <w:tc>
          <w:tcPr>
            <w:tcW w:w="9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9"/>
              </w:rPr>
              <w:t>and</w:t>
            </w:r>
          </w:p>
        </w:tc>
        <w:tc>
          <w:tcPr>
            <w:tcW w:w="7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Other income</w:t>
            </w:r>
          </w:p>
        </w:tc>
        <w:tc>
          <w:tcPr>
            <w:tcW w:w="0" w:type="dxa"/>
            <w:vAlign w:val="bottom"/>
          </w:tcPr>
          <w:p>
            <w:pPr>
              <w:spacing w:after="0"/>
              <w:rPr>
                <w:sz w:val="1"/>
                <w:szCs w:val="1"/>
                <w:color w:val="auto"/>
              </w:rPr>
            </w:pPr>
          </w:p>
        </w:tc>
      </w:tr>
      <w:tr>
        <w:trPr>
          <w:trHeight w:val="81"/>
        </w:trPr>
        <w:tc>
          <w:tcPr>
            <w:tcW w:w="6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Revenue</w:t>
            </w:r>
          </w:p>
        </w:tc>
        <w:tc>
          <w:tcPr>
            <w:tcW w:w="100" w:type="dxa"/>
            <w:vAlign w:val="bottom"/>
            <w:vMerge w:val="restart"/>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8"/>
              </w:rPr>
              <w:t>administrative</w:t>
            </w:r>
          </w:p>
        </w:tc>
        <w:tc>
          <w:tcPr>
            <w:tcW w:w="820" w:type="dxa"/>
            <w:vAlign w:val="bottom"/>
            <w:gridSpan w:val="2"/>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Revenue</w:t>
            </w:r>
          </w:p>
        </w:tc>
        <w:tc>
          <w:tcPr>
            <w:tcW w:w="100" w:type="dxa"/>
            <w:vAlign w:val="bottom"/>
            <w:vMerge w:val="restart"/>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Revenue</w:t>
            </w:r>
          </w:p>
        </w:tc>
        <w:tc>
          <w:tcPr>
            <w:tcW w:w="100" w:type="dxa"/>
            <w:vAlign w:val="bottom"/>
            <w:vMerge w:val="restart"/>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8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rPr>
              <w:t>administrative</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sales</w:t>
            </w:r>
          </w:p>
        </w:tc>
        <w:tc>
          <w:tcPr>
            <w:tcW w:w="12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expense</w:t>
            </w:r>
          </w:p>
        </w:tc>
        <w:tc>
          <w:tcPr>
            <w:tcW w:w="120" w:type="dxa"/>
            <w:vAlign w:val="bottom"/>
          </w:tcPr>
          <w:p>
            <w:pPr>
              <w:spacing w:after="0"/>
              <w:rPr>
                <w:sz w:val="10"/>
                <w:szCs w:val="1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(expense), net</w:t>
            </w:r>
          </w:p>
        </w:tc>
        <w:tc>
          <w:tcPr>
            <w:tcW w:w="120" w:type="dxa"/>
            <w:vAlign w:val="bottom"/>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sales</w:t>
            </w:r>
          </w:p>
        </w:tc>
        <w:tc>
          <w:tcPr>
            <w:tcW w:w="100" w:type="dxa"/>
            <w:vAlign w:val="bottom"/>
          </w:tcPr>
          <w:p>
            <w:pPr>
              <w:spacing w:after="0"/>
              <w:rPr>
                <w:sz w:val="10"/>
                <w:szCs w:val="1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(expense), net</w:t>
            </w:r>
          </w:p>
        </w:tc>
        <w:tc>
          <w:tcPr>
            <w:tcW w:w="120" w:type="dxa"/>
            <w:vAlign w:val="bottom"/>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sales</w:t>
            </w:r>
          </w:p>
        </w:tc>
        <w:tc>
          <w:tcPr>
            <w:tcW w:w="10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expense</w:t>
            </w:r>
          </w:p>
        </w:tc>
        <w:tc>
          <w:tcPr>
            <w:tcW w:w="120" w:type="dxa"/>
            <w:vAlign w:val="bottom"/>
          </w:tcPr>
          <w:p>
            <w:pPr>
              <w:spacing w:after="0"/>
              <w:rPr>
                <w:sz w:val="10"/>
                <w:szCs w:val="1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(expense),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231140</wp:posOffset>
            </wp:positionV>
            <wp:extent cx="64376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76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0" w:type="dxa"/>
            <w:vAlign w:val="bottom"/>
          </w:tcPr>
          <w:p>
            <w:pPr>
              <w:jc w:val="right"/>
              <w:spacing w:after="0"/>
              <w:rPr>
                <w:sz w:val="20"/>
                <w:szCs w:val="20"/>
                <w:color w:val="auto"/>
              </w:rPr>
            </w:pPr>
            <w:r>
              <w:rPr>
                <w:rFonts w:ascii="Arial" w:cs="Arial" w:eastAsia="Arial" w:hAnsi="Arial"/>
                <w:sz w:val="13"/>
                <w:szCs w:val="13"/>
                <w:color w:val="auto"/>
              </w:rPr>
              <w:t>$   (83.7)</w:t>
            </w:r>
          </w:p>
        </w:tc>
        <w:tc>
          <w:tcPr>
            <w:tcW w:w="1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68.5</w:t>
            </w:r>
          </w:p>
        </w:tc>
        <w:tc>
          <w:tcPr>
            <w:tcW w:w="12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3"/>
                <w:szCs w:val="13"/>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79"/>
        </w:trPr>
        <w:tc>
          <w:tcPr>
            <w:tcW w:w="64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349"/>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58.7</w:t>
            </w: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-400685</wp:posOffset>
            </wp:positionV>
            <wp:extent cx="64376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7630" cy="17145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10160</wp:posOffset>
            </wp:positionV>
            <wp:extent cx="64376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3763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0"/>
            <w:col w:w="9280"/>
          </w:cols>
          <w:pgMar w:left="320" w:top="976" w:right="379" w:bottom="1440" w:gutter="0" w:footer="0" w:header="0"/>
          <w:type w:val="continuous"/>
        </w:sectPr>
      </w:pP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1280" w:type="dxa"/>
            <w:vAlign w:val="bottom"/>
          </w:tcPr>
          <w:p>
            <w:pPr>
              <w:spacing w:after="0"/>
              <w:rPr>
                <w:sz w:val="20"/>
                <w:szCs w:val="20"/>
                <w:color w:val="auto"/>
              </w:rPr>
            </w:pPr>
            <w:r>
              <w:rPr>
                <w:rFonts w:ascii="Arial" w:cs="Arial" w:eastAsia="Arial" w:hAnsi="Arial"/>
                <w:sz w:val="11"/>
                <w:szCs w:val="11"/>
                <w:color w:val="auto"/>
              </w:rPr>
              <w:t>Gain (loss) recognized in</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line="108" w:lineRule="exact"/>
              <w:rPr>
                <w:sz w:val="20"/>
                <w:szCs w:val="20"/>
                <w:color w:val="auto"/>
              </w:rPr>
            </w:pPr>
            <w:r>
              <w:rPr>
                <w:rFonts w:ascii="Arial" w:cs="Arial" w:eastAsia="Arial" w:hAnsi="Arial"/>
                <w:sz w:val="11"/>
                <w:szCs w:val="11"/>
                <w:color w:val="auto"/>
              </w:rPr>
              <w:t>income on derivatives not</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line="108" w:lineRule="exact"/>
              <w:rPr>
                <w:sz w:val="20"/>
                <w:szCs w:val="20"/>
                <w:color w:val="auto"/>
              </w:rPr>
            </w:pPr>
            <w:r>
              <w:rPr>
                <w:rFonts w:ascii="Arial" w:cs="Arial" w:eastAsia="Arial" w:hAnsi="Arial"/>
                <w:sz w:val="11"/>
                <w:szCs w:val="11"/>
                <w:color w:val="auto"/>
              </w:rPr>
              <w:t>designated as hedging</w:t>
            </w:r>
          </w:p>
        </w:tc>
        <w:tc>
          <w:tcPr>
            <w:tcW w:w="240" w:type="dxa"/>
            <w:vAlign w:val="bottom"/>
          </w:tcPr>
          <w:p>
            <w:pPr>
              <w:spacing w:after="0"/>
              <w:rPr>
                <w:sz w:val="9"/>
                <w:szCs w:val="9"/>
                <w:color w:val="auto"/>
              </w:rPr>
            </w:pPr>
          </w:p>
        </w:tc>
        <w:tc>
          <w:tcPr>
            <w:tcW w:w="500" w:type="dxa"/>
            <w:vAlign w:val="bottom"/>
            <w:vMerge w:val="restart"/>
          </w:tcPr>
          <w:p>
            <w:pPr>
              <w:jc w:val="right"/>
              <w:ind w:right="17"/>
              <w:spacing w:after="0"/>
              <w:rPr>
                <w:sz w:val="20"/>
                <w:szCs w:val="20"/>
                <w:color w:val="auto"/>
              </w:rPr>
            </w:pPr>
            <w:r>
              <w:rPr>
                <w:rFonts w:ascii="Arial" w:cs="Arial" w:eastAsia="Arial" w:hAnsi="Arial"/>
                <w:sz w:val="13"/>
                <w:szCs w:val="13"/>
                <w:color w:val="auto"/>
              </w:rPr>
              <w:t>(0.8)</w:t>
            </w:r>
          </w:p>
        </w:tc>
        <w:tc>
          <w:tcPr>
            <w:tcW w:w="240" w:type="dxa"/>
            <w:vAlign w:val="bottom"/>
          </w:tcPr>
          <w:p>
            <w:pPr>
              <w:spacing w:after="0"/>
              <w:rPr>
                <w:sz w:val="9"/>
                <w:szCs w:val="9"/>
                <w:color w:val="auto"/>
              </w:rPr>
            </w:pPr>
          </w:p>
        </w:tc>
        <w:tc>
          <w:tcPr>
            <w:tcW w:w="440" w:type="dxa"/>
            <w:vAlign w:val="bottom"/>
            <w:vMerge w:val="restart"/>
          </w:tcPr>
          <w:p>
            <w:pPr>
              <w:jc w:val="right"/>
              <w:ind w:right="37"/>
              <w:spacing w:after="0"/>
              <w:rPr>
                <w:sz w:val="20"/>
                <w:szCs w:val="20"/>
                <w:color w:val="auto"/>
              </w:rPr>
            </w:pPr>
            <w:r>
              <w:rPr>
                <w:rFonts w:ascii="Arial" w:cs="Arial" w:eastAsia="Arial" w:hAnsi="Arial"/>
                <w:sz w:val="13"/>
                <w:szCs w:val="13"/>
                <w:color w:val="auto"/>
              </w:rPr>
              <w:t>3.4</w:t>
            </w:r>
          </w:p>
        </w:tc>
        <w:tc>
          <w:tcPr>
            <w:tcW w:w="400" w:type="dxa"/>
            <w:vAlign w:val="bottom"/>
          </w:tcPr>
          <w:p>
            <w:pPr>
              <w:spacing w:after="0"/>
              <w:rPr>
                <w:sz w:val="9"/>
                <w:szCs w:val="9"/>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9"/>
                <w:szCs w:val="9"/>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3"/>
                <w:szCs w:val="13"/>
                <w:color w:val="auto"/>
              </w:rPr>
              <w:t>35.9</w:t>
            </w:r>
          </w:p>
        </w:tc>
        <w:tc>
          <w:tcPr>
            <w:tcW w:w="260" w:type="dxa"/>
            <w:vAlign w:val="bottom"/>
          </w:tcPr>
          <w:p>
            <w:pPr>
              <w:spacing w:after="0"/>
              <w:rPr>
                <w:sz w:val="9"/>
                <w:szCs w:val="9"/>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(1.6)</w:t>
            </w:r>
          </w:p>
        </w:tc>
        <w:tc>
          <w:tcPr>
            <w:tcW w:w="280" w:type="dxa"/>
            <w:vAlign w:val="bottom"/>
          </w:tcPr>
          <w:p>
            <w:pPr>
              <w:spacing w:after="0"/>
              <w:rPr>
                <w:sz w:val="9"/>
                <w:szCs w:val="9"/>
                <w:color w:val="auto"/>
              </w:rPr>
            </w:pPr>
          </w:p>
        </w:tc>
        <w:tc>
          <w:tcPr>
            <w:tcW w:w="400" w:type="dxa"/>
            <w:vAlign w:val="bottom"/>
            <w:vMerge w:val="restart"/>
          </w:tcPr>
          <w:p>
            <w:pPr>
              <w:jc w:val="right"/>
              <w:ind w:right="17"/>
              <w:spacing w:after="0"/>
              <w:rPr>
                <w:sz w:val="20"/>
                <w:szCs w:val="20"/>
                <w:color w:val="auto"/>
              </w:rPr>
            </w:pPr>
            <w:r>
              <w:rPr>
                <w:rFonts w:ascii="Arial" w:cs="Arial" w:eastAsia="Arial" w:hAnsi="Arial"/>
                <w:sz w:val="13"/>
                <w:szCs w:val="13"/>
                <w:color w:val="auto"/>
              </w:rPr>
              <w:t>0.2</w:t>
            </w:r>
          </w:p>
        </w:tc>
        <w:tc>
          <w:tcPr>
            <w:tcW w:w="3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(21.4)</w:t>
            </w:r>
          </w:p>
        </w:tc>
        <w:tc>
          <w:tcPr>
            <w:tcW w:w="300" w:type="dxa"/>
            <w:vAlign w:val="bottom"/>
          </w:tcPr>
          <w:p>
            <w:pPr>
              <w:spacing w:after="0"/>
              <w:rPr>
                <w:sz w:val="9"/>
                <w:szCs w:val="9"/>
                <w:color w:val="auto"/>
              </w:rPr>
            </w:pPr>
          </w:p>
        </w:tc>
        <w:tc>
          <w:tcPr>
            <w:tcW w:w="480" w:type="dxa"/>
            <w:vAlign w:val="bottom"/>
            <w:vMerge w:val="restart"/>
          </w:tcPr>
          <w:p>
            <w:pPr>
              <w:jc w:val="right"/>
              <w:ind w:right="17"/>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9"/>
                <w:szCs w:val="9"/>
                <w:color w:val="auto"/>
              </w:rPr>
            </w:pPr>
          </w:p>
        </w:tc>
        <w:tc>
          <w:tcPr>
            <w:tcW w:w="440" w:type="dxa"/>
            <w:vAlign w:val="bottom"/>
            <w:vMerge w:val="restart"/>
          </w:tcPr>
          <w:p>
            <w:pPr>
              <w:jc w:val="right"/>
              <w:ind w:right="57"/>
              <w:spacing w:after="0"/>
              <w:rPr>
                <w:sz w:val="20"/>
                <w:szCs w:val="20"/>
                <w:color w:val="auto"/>
              </w:rPr>
            </w:pPr>
            <w:r>
              <w:rPr>
                <w:rFonts w:ascii="Arial" w:cs="Arial" w:eastAsia="Arial" w:hAnsi="Arial"/>
                <w:sz w:val="13"/>
                <w:szCs w:val="13"/>
                <w:color w:val="auto"/>
              </w:rPr>
              <w:t>0.2</w:t>
            </w:r>
          </w:p>
        </w:tc>
        <w:tc>
          <w:tcPr>
            <w:tcW w:w="400" w:type="dxa"/>
            <w:vAlign w:val="bottom"/>
          </w:tcPr>
          <w:p>
            <w:pPr>
              <w:spacing w:after="0"/>
              <w:rPr>
                <w:sz w:val="9"/>
                <w:szCs w:val="9"/>
                <w:color w:val="auto"/>
              </w:rPr>
            </w:pP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36"/>
        </w:trPr>
        <w:tc>
          <w:tcPr>
            <w:tcW w:w="1280" w:type="dxa"/>
            <w:vAlign w:val="bottom"/>
          </w:tcPr>
          <w:p>
            <w:pPr>
              <w:spacing w:after="0"/>
              <w:rPr>
                <w:sz w:val="20"/>
                <w:szCs w:val="20"/>
                <w:color w:val="auto"/>
              </w:rPr>
            </w:pPr>
            <w:r>
              <w:rPr>
                <w:rFonts w:ascii="Arial" w:cs="Arial" w:eastAsia="Arial" w:hAnsi="Arial"/>
                <w:sz w:val="11"/>
                <w:szCs w:val="11"/>
                <w:color w:val="auto"/>
              </w:rPr>
              <w:t>instruments</w:t>
            </w:r>
          </w:p>
        </w:tc>
        <w:tc>
          <w:tcPr>
            <w:tcW w:w="2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(76.8)</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62.1</w:t>
            </w:r>
          </w:p>
        </w:tc>
        <w:tc>
          <w:tcPr>
            <w:tcW w:w="4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(0.6)</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36.0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(27.6)</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(29.9)</w:t>
            </w:r>
          </w:p>
        </w:tc>
        <w:tc>
          <w:tcPr>
            <w:tcW w:w="3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(6.3)</w:t>
            </w:r>
          </w:p>
        </w:tc>
        <w:tc>
          <w:tcPr>
            <w:tcW w:w="2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4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3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-122555</wp:posOffset>
            </wp:positionV>
            <wp:extent cx="643763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7630" cy="154305"/>
                    </a:xfrm>
                    <a:prstGeom prst="rect">
                      <a:avLst/>
                    </a:prstGeom>
                    <a:noFill/>
                  </pic:spPr>
                </pic:pic>
              </a:graphicData>
            </a:graphic>
          </wp:anchor>
        </w:drawing>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 net</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the gross derivative assets against gross derivative liabilities. Each instrument is accounted for individually and assets and liabilities are not offset. As of December 31, 2020 and 2019, we had no collateralized derivative contracts. The following tables present both gross information and net information of recognized derivative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 Amount</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 Amount</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Permitted Under</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Master Netting</w:t>
            </w:r>
          </w:p>
        </w:tc>
        <w:tc>
          <w:tcPr>
            <w:tcW w:w="160" w:type="dxa"/>
            <w:vAlign w:val="bottom"/>
          </w:tcPr>
          <w:p>
            <w:pPr>
              <w:spacing w:after="0"/>
              <w:rPr>
                <w:sz w:val="11"/>
                <w:szCs w:val="11"/>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976" w:right="37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24.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i w:val="1"/>
                <w:iCs w:val="1"/>
                <w:color w:val="auto"/>
              </w:rPr>
              <w:t>Investments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Money market fund</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Stable value fund</w:t>
            </w:r>
            <w:r>
              <w:rPr>
                <w:rFonts w:ascii="Arial" w:cs="Arial" w:eastAsia="Arial" w:hAnsi="Arial"/>
                <w:sz w:val="18"/>
                <w:szCs w:val="18"/>
                <w:color w:val="auto"/>
                <w:vertAlign w:val="superscript"/>
              </w:rPr>
              <w:t>(b)</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Held-to-maturity debt securities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Synthetic bonds - call option premium</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exchange contracts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360"/>
              <w:spacing w:after="0"/>
              <w:rPr>
                <w:sz w:val="20"/>
                <w:szCs w:val="20"/>
                <w:color w:val="auto"/>
              </w:rPr>
            </w:pPr>
            <w:r>
              <w:rPr>
                <w:rFonts w:ascii="Arial" w:cs="Arial" w:eastAsia="Arial" w:hAnsi="Arial"/>
                <w:sz w:val="14"/>
                <w:szCs w:val="14"/>
                <w:color w:val="auto"/>
              </w:rPr>
              <w:t>Synthetic bonds - embedded derivatives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exchange contracts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Liabilities held for sale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 xml:space="preserve">Equity securities and Available-for-sale Securities - </w:t>
      </w:r>
      <w:r>
        <w:rPr>
          <w:rFonts w:ascii="Arial" w:cs="Arial" w:eastAsia="Arial" w:hAnsi="Arial"/>
          <w:sz w:val="18"/>
          <w:szCs w:val="18"/>
          <w:color w:val="auto"/>
        </w:rPr>
        <w:t>The fair value measurement of our traded securities and Available-for-sale-Securities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10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1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We own a 51% share in Island Offshore Subsea AS that was subsequently renamed to TIOS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 is recorded as mezzanine equity at fair value. The fair value measurement is based upon significant unobservable inputs not observable in the market and is consequently classified as a Level 3 fair value measurement. As of December 31, 2020 and 2019, the fair value of our redeemable non-controlling interest was $43.7 million and $41.1 million, respectively. See Note 3 for further details.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156" w:right="359" w:bottom="1440" w:gutter="0" w:footer="0" w:header="0"/>
        </w:sectPr>
      </w:pPr>
    </w:p>
    <w:bookmarkStart w:id="93" w:name="page94"/>
    <w:bookmarkEnd w:id="93"/>
    <w:p>
      <w:pPr>
        <w:ind w:right="40"/>
        <w:spacing w:after="0" w:line="254"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 We have no credit-risk-related contingent features in our agreements with the financial institutions that would require us to post collateral for derivative positions in a liability position. See Note 23 for further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carrying amounts of such assets may not be recoverable.</w:t>
      </w:r>
    </w:p>
    <w:p>
      <w:pPr>
        <w:spacing w:after="0" w:line="12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summarizes impairments of long-lived assets and related post-impairment fair value for the years ended December 31, 2020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340" w:type="dxa"/>
            <w:vAlign w:val="bottom"/>
            <w:tcBorders>
              <w:bottom w:val="single" w:sz="8" w:color="CCEEFF"/>
            </w:tcBorders>
          </w:tcPr>
          <w:p>
            <w:pPr>
              <w:spacing w:after="0"/>
              <w:rPr>
                <w:sz w:val="15"/>
                <w:szCs w:val="15"/>
                <w:color w:val="auto"/>
              </w:rPr>
            </w:pPr>
          </w:p>
        </w:tc>
      </w:tr>
      <w:tr>
        <w:trPr>
          <w:trHeight w:val="18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 xml:space="preserve">342.5   </w:t>
            </w:r>
            <w:r>
              <w:rPr>
                <w:rFonts w:ascii="Arial" w:cs="Arial" w:eastAsia="Arial" w:hAnsi="Arial"/>
                <w:sz w:val="12"/>
                <w:szCs w:val="12"/>
                <w:color w:val="auto"/>
              </w:rPr>
              <w:t>(b)</w:t>
            </w:r>
          </w:p>
        </w:tc>
      </w:tr>
    </w:tbl>
    <w:p>
      <w:pPr>
        <w:spacing w:after="0" w:line="275"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Measured as of the impairment date using the income approach and a 10.8% risk-adjusted rate of interest, resulting in a Level 3 fair value measurement.</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$104.0 million fair value of vessels determined using the transaction price of a similar vessel, resulting in a Level 2 fair value measurement.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fair value of our Synthetic Bonds, Senior Notes and private placement notes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4"/>
                <w:szCs w:val="14"/>
                <w:b w:val="1"/>
                <w:bCs w:val="1"/>
                <w:color w:val="auto"/>
              </w:rPr>
              <w:t>December 31, 2019</w:t>
            </w:r>
          </w:p>
        </w:tc>
      </w:tr>
      <w:tr>
        <w:trPr>
          <w:trHeight w:val="291"/>
        </w:trPr>
        <w:tc>
          <w:tcPr>
            <w:tcW w:w="3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8"/>
                <w:szCs w:val="18"/>
                <w:b w:val="1"/>
                <w:bCs w:val="1"/>
                <w:color w:val="auto"/>
                <w:vertAlign w:val="superscript"/>
              </w:rPr>
              <w:t>(a)</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(b)</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18"/>
                <w:szCs w:val="18"/>
                <w:b w:val="1"/>
                <w:bCs w:val="1"/>
                <w:color w:val="auto"/>
                <w:vertAlign w:val="superscript"/>
              </w:rPr>
              <w:t>(a)</w:t>
            </w:r>
          </w:p>
        </w:tc>
        <w:tc>
          <w:tcPr>
            <w:tcW w:w="280" w:type="dxa"/>
            <w:vAlign w:val="bottom"/>
          </w:tcPr>
          <w:p>
            <w:pPr>
              <w:spacing w:after="0"/>
              <w:rPr>
                <w:sz w:val="24"/>
                <w:szCs w:val="24"/>
                <w:color w:val="auto"/>
              </w:rPr>
            </w:pPr>
          </w:p>
        </w:tc>
        <w:tc>
          <w:tcPr>
            <w:tcW w:w="1500" w:type="dxa"/>
            <w:vAlign w:val="bottom"/>
          </w:tcPr>
          <w:p>
            <w:pPr>
              <w:jc w:val="right"/>
              <w:ind w:right="40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(b)</w:t>
            </w:r>
          </w:p>
        </w:tc>
      </w:tr>
      <w:tr>
        <w:trPr>
          <w:trHeight w:val="183"/>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Synthetic bonds due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551.2</w:t>
            </w: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492.9</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513.1</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3.45%</w:t>
            </w:r>
          </w:p>
        </w:tc>
        <w:tc>
          <w:tcPr>
            <w:tcW w:w="3280" w:type="dxa"/>
            <w:vAlign w:val="bottom"/>
          </w:tcPr>
          <w:p>
            <w:pPr>
              <w:ind w:left="20"/>
              <w:spacing w:after="0"/>
              <w:rPr>
                <w:sz w:val="20"/>
                <w:szCs w:val="20"/>
                <w:color w:val="auto"/>
              </w:rPr>
            </w:pPr>
            <w:r>
              <w:rPr>
                <w:rFonts w:ascii="Arial" w:cs="Arial" w:eastAsia="Arial" w:hAnsi="Arial"/>
                <w:sz w:val="14"/>
                <w:szCs w:val="14"/>
                <w:color w:val="auto"/>
              </w:rPr>
              <w:t>Senior Notes due 2022</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499.2</w:t>
            </w: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5.00% Notes due 2020</w:t>
            </w: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3.40%</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2022</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180.6</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2023</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3.15%</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2023</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150.5</w:t>
            </w: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4.50% Notes due 2025</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2027</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96.4</w:t>
            </w: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due 2032</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r>
      <w:tr>
        <w:trPr>
          <w:trHeight w:val="190"/>
        </w:trPr>
        <w:tc>
          <w:tcPr>
            <w:tcW w:w="460" w:type="dxa"/>
            <w:vAlign w:val="bottom"/>
          </w:tcPr>
          <w:p>
            <w:pPr>
              <w:ind w:left="20"/>
              <w:spacing w:after="0"/>
              <w:rPr>
                <w:sz w:val="20"/>
                <w:szCs w:val="20"/>
                <w:color w:val="auto"/>
              </w:rPr>
            </w:pPr>
            <w:r>
              <w:rPr>
                <w:rFonts w:ascii="Arial" w:cs="Arial" w:eastAsia="Arial" w:hAnsi="Arial"/>
                <w:sz w:val="14"/>
                <w:szCs w:val="14"/>
                <w:color w:val="auto"/>
              </w:rPr>
              <w:t>3.75%</w:t>
            </w:r>
          </w:p>
        </w:tc>
        <w:tc>
          <w:tcPr>
            <w:tcW w:w="3280" w:type="dxa"/>
            <w:vAlign w:val="bottom"/>
          </w:tcPr>
          <w:p>
            <w:pPr>
              <w:ind w:left="20"/>
              <w:spacing w:after="0"/>
              <w:rPr>
                <w:sz w:val="20"/>
                <w:szCs w:val="20"/>
                <w:color w:val="auto"/>
              </w:rPr>
            </w:pPr>
            <w:r>
              <w:rPr>
                <w:rFonts w:ascii="Arial" w:cs="Arial" w:eastAsia="Arial" w:hAnsi="Arial"/>
                <w:sz w:val="14"/>
                <w:szCs w:val="14"/>
                <w:color w:val="auto"/>
              </w:rPr>
              <w:t>Notes due 2033</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123.8</w:t>
            </w:r>
          </w:p>
        </w:tc>
      </w:tr>
    </w:tbl>
    <w:p>
      <w:pPr>
        <w:spacing w:after="0" w:line="219" w:lineRule="exact"/>
        <w:rPr>
          <w:sz w:val="20"/>
          <w:szCs w:val="20"/>
          <w:color w:val="auto"/>
        </w:rPr>
      </w:pPr>
    </w:p>
    <w:p>
      <w:pPr>
        <w:ind w:left="340" w:right="100" w:hanging="332"/>
        <w:spacing w:after="0" w:line="258"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Carrying amounts include unamortized debt discounts and premiums and unamortized debt issuance costs of $12.8 million and $9.1 million as of December 31, 2020, and 2019, respectively.</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Fair values are based on Level 2 quoted market prices.</w:t>
      </w:r>
    </w:p>
    <w:p>
      <w:pPr>
        <w:spacing w:after="0" w:line="13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as well as amounts included in other current assets and other current liabilities that meet the definition of financial instruments, approximate fair value.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890" w:right="339" w:bottom="1440" w:gutter="0" w:footer="0" w:header="0"/>
        </w:sectPr>
      </w:pPr>
    </w:p>
    <w:bookmarkStart w:id="94" w:name="page95"/>
    <w:bookmarkEnd w:id="94"/>
    <w:p>
      <w:pPr>
        <w:ind w:right="6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February 16, 2021, we completed the Spin-off, see Note 2 for further details. In connection with the Spin-off, we executed a series of refinancing transactions in order to provide a capital structure with sufficient cash resources to support future operating and investment plans.</w:t>
      </w:r>
    </w:p>
    <w:p>
      <w:pPr>
        <w:spacing w:after="0" w:line="14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February 16, 2021, we entered into a credit agreement, which provides for a $1.0 billion three-year senior secured multicurrency Revolving Credit Facility including a $450.0 million letter of credit subfacility. We incurred $27.9 million of debt issuance costs in connection with the Revolving Credit Facility. Availability of borrowings under the Revolving Credit Facility is reduced by the outstanding letters of credit issued against the facility. As of February 25, 2021 there were no outstanding letters of credit and availability of borrowings under the Revolving Credit Facility was $800.0 million.</w:t>
      </w:r>
    </w:p>
    <w:p>
      <w:pPr>
        <w:spacing w:after="0" w:line="15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January 29, 2021, we issued $1.0 billion of 6.500% senior notes due 2026. The interest on the 2021 Notes is paid semi-annually on February 1 and August 1 of each year, beginning on August 1, 2021. The 2021 Notes are senior unsecured obligations and are guaranteed on a senior unsecured basis by substantially all of our wholly-owned U.S. subsidiaries and non-U.S. subsidiaries in Brazil, the Netherlands, Norway, Singapore and the United Kingdom. We incurred $25.7 million of debt issuance costs in connection with issuance of the 2021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debt issuance described above along with the available cash on hand were used to fund:</w:t>
      </w:r>
    </w:p>
    <w:p>
      <w:pPr>
        <w:spacing w:after="0" w:line="17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repayment of all $542.4 million of the outstanding Synthetic Convertible Bonds that matured in January 2021;</w:t>
      </w:r>
    </w:p>
    <w:p>
      <w:pPr>
        <w:spacing w:after="0" w:line="171" w:lineRule="exact"/>
        <w:rPr>
          <w:rFonts w:ascii="Arial" w:cs="Arial" w:eastAsia="Arial" w:hAnsi="Arial"/>
          <w:sz w:val="18"/>
          <w:szCs w:val="18"/>
          <w:color w:val="auto"/>
        </w:rPr>
      </w:pPr>
    </w:p>
    <w:p>
      <w:pPr>
        <w:jc w:val="both"/>
        <w:ind w:left="660" w:right="80" w:hanging="652"/>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repayment of all $500.0 million aggregate principal amount of outstanding 3.45% Senior Notes due 2022. In connection with the repayment, we recorded a loss on extinguishment of debt of $23.5 million related to the difference between the amount paid and the net carrying value of the debt; and</w:t>
      </w:r>
    </w:p>
    <w:p>
      <w:pPr>
        <w:spacing w:after="0" w:line="147" w:lineRule="exact"/>
        <w:rPr>
          <w:rFonts w:ascii="Arial" w:cs="Arial" w:eastAsia="Arial" w:hAnsi="Arial"/>
          <w:sz w:val="18"/>
          <w:szCs w:val="18"/>
          <w:color w:val="auto"/>
        </w:rPr>
      </w:pPr>
    </w:p>
    <w:p>
      <w:pPr>
        <w:ind w:left="660" w:right="160" w:hanging="652"/>
        <w:spacing w:after="0" w:line="25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termination of the $2.5 billion senior unsecured revolving credit facility entered into on January 17, 2017; and the termination of the €500.0 million Euro Facility entered into on May 19, 2020; and the termination of the CCFF Program entered into on May 19, 2020. In connection with the termination of these credit facilities, we repaid $830.9 million of the outstanding commercial paper borrowings.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Technip Energies</w:t>
      </w:r>
    </w:p>
    <w:p>
      <w:pPr>
        <w:spacing w:after="0" w:line="18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discussed in Note 2, immediately following the completion of the Spin-off, we owned 49.9% of the outstanding shares of Technip Energies. On January 7, 2021, Bpifrance Participations SA (“BPI”) entered into a share purchase agreement with us (the “Share Purchase Agreement”) pursuant to which BPI agreed to purchase a portion of our retained stake in Technip Energies N.V. (the “BPI Investment”) for $200.0 million (the “Purchase Price”), subject to certain adjustments. On March 31, 2021, BPI ultimately purchased 7.5 million shares in Technip Energies from us for $100.0 million. Accordingly, on April 8, 2021, we refunded $100.0 million to BPI as a result of their revised level of investment.</w:t>
      </w:r>
    </w:p>
    <w:p>
      <w:pPr>
        <w:spacing w:after="0" w:line="15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On April 27, 2021 we sold 25.0 million Technip Energies shares, representing 14% of Technip Energies’ share capital, through a private placement by way of an accelerated bookbuild offering (the “April Placement”). The sale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89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price of the shares in the April Placement was set at €11.10 per share, yielding total gross proceeds of €277.5 million, or $335.2 million.</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Concurrently with the April Placement, Technip Energies purchased from us 1.8 million shares of Technip Energies (equivalent to 1% of share capital) at € 11.10 per share, corresponding to the price of the April Placement (the “Concurrent Sale to Technip Energies”). The sale of shares to Technip Energies yielded total gross proceeds of €20.0 million or $24.2 million. This purchase was separate from the April Placement.</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July 29, 2021 we announced the launch and pricing of the sale of 16.0 million Technip Energies shares, representing 9% of Technip Energies’ issued and outstanding share capital, through a private placement by way of an accelerated bookbuild offering (the “July Placement”). The sale price of the shares in the July Placement was set at €11.20 per share, yielding total gross proceeds of €179.2 million, or $212.8 million. We agreed to a 60-day lock-up for our remaining shares in Technip Energies, subject to waiver from the Joint Global Coordinators and certain other customary exceptions.</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2, 2021 we announced the sale of 17.6 million Technip Energies shares, representing approximately 10% of Technip Energies’ issued and outstanding share capital, through a private sale transaction (the “September Sale”). The sale price of the shares in the September Sale was set at €11.15 per share, yielding total gross proceeds of €196.2 million, or $231.5 million. The Joint Global Coordinators from the July Placement granted a waiver of the 60-day lock-up associated with the July Placement solely for the purpose of the September Sale. The original 60-day lock-up applicable to the July Placement remains in effect in all other respects until October 2, 2021.</w:t>
      </w:r>
    </w:p>
    <w:p>
      <w:pPr>
        <w:spacing w:after="0" w:line="2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Upon completion of the April Placement, the Concurrent Sale to Technip Energies, the July Placement and the September Sale, we retain a direct stake of 21.9 million shares, representing 12.3% of Technip Energies’ issued and outstanding share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G1200 Vessel</w:t>
      </w:r>
    </w:p>
    <w:p>
      <w:pPr>
        <w:spacing w:after="0" w:line="247"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In March 2021, we entered into a Memorandum of Agreement to sell our G1200 vessel. The agreement was subject to certain conditions precedent to complete the transaction. We completed the sale and received $48.0 million in cash in the second quarter of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TIOS Non-Controlling Interest</w:t>
      </w:r>
    </w:p>
    <w:p>
      <w:pPr>
        <w:spacing w:after="0" w:line="2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accordance with the Share Purchase Agreement between Technip-Coflexip UK Holdings Limited (“TUK”) and Island Offshore Management AS (“Island Offshore”) that was executed on March 12, 2018, whereby TUK initially purchased 51% of the shares of TIOS AS, a joint venture between TUK and Island Offshore (“TIOS”), TUK acquired the remaining 49% interest in TIOS at a total price of $48.7 million. As of December 31, 2020, we owned a 51% share in TIOS and the redeemable non-controlling interest was recorded as mezzanine equity at fair value of $43.7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6.500% Senior Notes due 2026 Tender Offer</w:t>
      </w:r>
    </w:p>
    <w:p>
      <w:pPr>
        <w:spacing w:after="0" w:line="2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August 31, 2021, we announced the commencement of a tender offer (the “Tender Offer”) for up to $250.0 million aggregate principal amount of our 6.50% Senior Notes due 2026. The Tender Offer will expire at 11:59 P.M., New York City time, on September 28, 2021, unless extended or earlier terminated. We intend to fund the Tender Offer with cash on hand.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908" w:right="339" w:bottom="1440" w:gutter="0" w:footer="0" w:header="0"/>
        </w:sectPr>
      </w:pPr>
    </w:p>
    <w:bookmarkStart w:id="96" w:name="page97"/>
    <w:bookmarkEnd w:id="96"/>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(a) (2), Financial Statement Schedule</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Schedule II—Valuation and Qualifying Accounts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Charged to</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Beginning of</w:t>
            </w:r>
          </w:p>
        </w:tc>
        <w:tc>
          <w:tcPr>
            <w:tcW w:w="140" w:type="dxa"/>
            <w:vAlign w:val="bottom"/>
          </w:tcPr>
          <w:p>
            <w:pPr>
              <w:spacing w:after="0"/>
              <w:rPr>
                <w:sz w:val="4"/>
                <w:szCs w:val="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rPr>
              <w:t>Other Accounts</w:t>
            </w:r>
            <w:r>
              <w:rPr>
                <w:rFonts w:ascii="Arial" w:cs="Arial" w:eastAsia="Arial" w:hAnsi="Arial"/>
                <w:sz w:val="15"/>
                <w:szCs w:val="15"/>
                <w:b w:val="1"/>
                <w:bCs w:val="1"/>
                <w:color w:val="auto"/>
                <w:vertAlign w:val="subscript"/>
              </w:rPr>
              <w:t>(a)</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ind w:left="20"/>
              <w:spacing w:after="0"/>
              <w:rPr>
                <w:sz w:val="20"/>
                <w:szCs w:val="20"/>
                <w:color w:val="auto"/>
              </w:rPr>
            </w:pPr>
            <w:r>
              <w:rPr>
                <w:rFonts w:ascii="Arial" w:cs="Arial" w:eastAsia="Arial" w:hAnsi="Arial"/>
                <w:sz w:val="9"/>
                <w:szCs w:val="9"/>
                <w:b w:val="1"/>
                <w:bCs w:val="1"/>
                <w:color w:val="auto"/>
              </w:rPr>
              <w:t>(b)</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Period</w:t>
            </w:r>
          </w:p>
        </w:tc>
        <w:tc>
          <w:tcPr>
            <w:tcW w:w="140" w:type="dxa"/>
            <w:vAlign w:val="bottom"/>
          </w:tcPr>
          <w:p>
            <w:pPr>
              <w:spacing w:after="0"/>
              <w:rPr>
                <w:sz w:val="8"/>
                <w:szCs w:val="8"/>
                <w:color w:val="auto"/>
              </w:rPr>
            </w:pPr>
          </w:p>
        </w:tc>
        <w:tc>
          <w:tcPr>
            <w:tcW w:w="134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and Expenses</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tcPr>
          <w:p>
            <w:pPr>
              <w:ind w:left="60"/>
              <w:spacing w:after="0" w:line="95" w:lineRule="exact"/>
              <w:rPr>
                <w:sz w:val="20"/>
                <w:szCs w:val="20"/>
                <w:color w:val="auto"/>
              </w:rPr>
            </w:pPr>
            <w:r>
              <w:rPr>
                <w:rFonts w:ascii="Arial" w:cs="Arial" w:eastAsia="Arial" w:hAnsi="Arial"/>
                <w:sz w:val="10"/>
                <w:szCs w:val="10"/>
                <w:b w:val="1"/>
                <w:bCs w:val="1"/>
                <w:color w:val="auto"/>
              </w:rPr>
              <w:t>and Adjustments</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jc w:val="right"/>
              <w:ind w:right="131"/>
              <w:spacing w:after="0" w:line="95" w:lineRule="exact"/>
              <w:rPr>
                <w:sz w:val="20"/>
                <w:szCs w:val="20"/>
                <w:color w:val="auto"/>
              </w:rPr>
            </w:pPr>
            <w:r>
              <w:rPr>
                <w:rFonts w:ascii="Arial" w:cs="Arial" w:eastAsia="Arial" w:hAnsi="Arial"/>
                <w:sz w:val="10"/>
                <w:szCs w:val="10"/>
                <w:b w:val="1"/>
                <w:bCs w:val="1"/>
                <w:color w:val="auto"/>
              </w:rPr>
              <w:t>End of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Trade receivables 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ind w:left="20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460" w:type="dxa"/>
            <w:vAlign w:val="bottom"/>
            <w:gridSpan w:val="2"/>
          </w:tcPr>
          <w:p>
            <w:pPr>
              <w:jc w:val="right"/>
              <w:ind w:right="14"/>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496.6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2019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ind w:left="200"/>
              <w:spacing w:after="0"/>
              <w:rPr>
                <w:sz w:val="20"/>
                <w:szCs w:val="20"/>
                <w:color w:val="auto"/>
              </w:rPr>
            </w:pPr>
            <w:r>
              <w:rPr>
                <w:rFonts w:ascii="Arial" w:cs="Arial" w:eastAsia="Arial" w:hAnsi="Arial"/>
                <w:sz w:val="14"/>
                <w:szCs w:val="14"/>
                <w:color w:val="auto"/>
              </w:rPr>
              <w:t>Trade receivables allowance for doubtful accounts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w w:val="95"/>
              </w:rPr>
              <w:t>47.6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2020</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4"/>
                <w:szCs w:val="14"/>
                <w:color w:val="auto"/>
              </w:rPr>
              <w:t xml:space="preserve">Trade receivables allowance for doubtful accounts </w:t>
            </w:r>
            <w:r>
              <w:rPr>
                <w:rFonts w:ascii="Arial" w:cs="Arial" w:eastAsia="Arial" w:hAnsi="Arial"/>
                <w:sz w:val="18"/>
                <w:szCs w:val="18"/>
                <w:color w:val="auto"/>
                <w:vertAlign w:val="superscript"/>
              </w:rPr>
              <w:t>(c)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gridSpan w:val="2"/>
          </w:tcPr>
          <w:p>
            <w:pPr>
              <w:ind w:left="200"/>
              <w:spacing w:after="0"/>
              <w:rPr>
                <w:sz w:val="20"/>
                <w:szCs w:val="20"/>
                <w:color w:val="auto"/>
              </w:rPr>
            </w:pPr>
            <w:r>
              <w:rPr>
                <w:rFonts w:ascii="Arial" w:cs="Arial" w:eastAsia="Arial" w:hAnsi="Arial"/>
                <w:sz w:val="14"/>
                <w:szCs w:val="14"/>
                <w:color w:val="auto"/>
              </w:rPr>
              <w:t>Valuation allowance for deferred tax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729.1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815.1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"Additions charged to other accounts” includes translation adjustments.</w:t>
      </w:r>
    </w:p>
    <w:p>
      <w:pPr>
        <w:spacing w:after="0" w:line="163" w:lineRule="exact"/>
        <w:rPr>
          <w:rFonts w:ascii="Arial" w:cs="Arial" w:eastAsia="Arial" w:hAnsi="Arial"/>
          <w:sz w:val="14"/>
          <w:szCs w:val="14"/>
          <w:color w:val="auto"/>
        </w:rPr>
      </w:pPr>
    </w:p>
    <w:p>
      <w:pPr>
        <w:ind w:left="340" w:right="260" w:hanging="332"/>
        <w:spacing w:after="0" w:line="258"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“Deductions and adjustments” includes write-offs, net of recoveries, increases in allowances offset by increases to deferred tax assets, and reductions in the allowances credited to expense.</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January 1, 2020, we adopted ASU 2016-13, resulting in a $2.0 million increase to our trade receivables allowance for doubtful accounts. See Note 4 for further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endash "/>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2021-09-08T15:43:39Z</dcterms:created>
  <dcterms:modified xsi:type="dcterms:W3CDTF">2021-09-08T15:43:39Z</dcterms:modified>
</cp:coreProperties>
</file>