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955" w:hAnchor="page" w:vAnchor="page" w:x="2772" w:y="197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2995" w:hAnchor="page" w:vAnchor="page" w:x="1691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02/21/2024  Restricted Stock</w:t>
      </w:r>
    </w:p>
    <w:p>
      <w:pPr>
        <w:pStyle w:val="Normal"/>
        <w:framePr w:w="810" w:hAnchor="page" w:vAnchor="page" w:x="4439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717" w:hAnchor="page" w:vAnchor="page" w:x="7922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5691</w:t>
      </w:r>
    </w:p>
    <w:p>
      <w:pPr>
        <w:pStyle w:val="Normal"/>
        <w:framePr w:w="2804" w:hAnchor="page" w:vAnchor="page" w:x="9228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02/21/2024  Compensation</w:t>
      </w:r>
    </w:p>
    <w:p>
      <w:pPr>
        <w:pStyle w:val="Normal"/>
        <w:framePr w:w="1316" w:hAnchor="page" w:vAnchor="page" w:x="4628" w:y="1917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610" w:hAnchor="page" w:vAnchor="page" w:x="2949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Transaction</w:t>
      </w:r>
    </w:p>
    <w:p>
      <w:pPr>
        <w:pStyle w:val="Normal"/>
        <w:framePr w:w="1316" w:hAnchor="page" w:vAnchor="page" w:x="6858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316" w:hAnchor="page" w:vAnchor="page" w:x="8051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866" w:hAnchor="page" w:vAnchor="page" w:x="697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Class</w:t>
      </w:r>
    </w:p>
    <w:p>
      <w:pPr>
        <w:pStyle w:val="Normal"/>
        <w:framePr w:w="1316" w:hAnchor="page" w:vAnchor="page" w:x="1708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027" w:hAnchor="page" w:vAnchor="page" w:x="47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Whom</w:t>
      </w:r>
    </w:p>
    <w:p>
      <w:pPr>
        <w:pStyle w:val="Normal"/>
        <w:framePr w:w="851" w:hAnchor="page" w:vAnchor="page" w:x="6041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Gift?</w:t>
      </w:r>
    </w:p>
    <w:p>
      <w:pPr>
        <w:pStyle w:val="Normal"/>
        <w:framePr w:w="1658" w:hAnchor="page" w:vAnchor="page" w:x="9269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</w:t>
      </w:r>
    </w:p>
    <w:p>
      <w:pPr>
        <w:pStyle w:val="Normal"/>
        <w:framePr w:w="1856" w:hAnchor="page" w:vAnchor="page" w:x="105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 *</w:t>
      </w:r>
    </w:p>
    <w:p>
      <w:pPr>
        <w:pStyle w:val="Normal"/>
        <w:framePr w:w="1556" w:hAnchor="page" w:vAnchor="page" w:x="2973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Acquisition</w:t>
      </w:r>
    </w:p>
    <w:p>
      <w:pPr>
        <w:pStyle w:val="Normal"/>
        <w:framePr w:w="983" w:hAnchor="page" w:vAnchor="page" w:x="700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Donor</w:t>
      </w:r>
    </w:p>
    <w:p>
      <w:pPr>
        <w:pStyle w:val="Normal"/>
        <w:framePr w:w="1365" w:hAnchor="page" w:vAnchor="page" w:x="802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1492" w:hAnchor="page" w:vAnchor="page" w:x="41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</w:t>
      </w:r>
    </w:p>
    <w:p>
      <w:pPr>
        <w:pStyle w:val="Normal"/>
        <w:framePr w:w="1666" w:hAnchor="page" w:vAnchor="page" w:x="1730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you</w:t>
      </w:r>
    </w:p>
    <w:p>
      <w:pPr>
        <w:pStyle w:val="Normal"/>
        <w:framePr w:w="1661" w:hAnchor="page" w:vAnchor="page" w:x="447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Person from</w:t>
      </w:r>
    </w:p>
    <w:p>
      <w:pPr>
        <w:pStyle w:val="Normal"/>
        <w:framePr w:w="1145" w:hAnchor="page" w:vAnchor="page" w:x="5907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Is this a</w:t>
      </w:r>
    </w:p>
    <w:p>
      <w:pPr>
        <w:pStyle w:val="Normal"/>
        <w:framePr w:w="1078" w:hAnchor="page" w:vAnchor="page" w:x="9353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1338" w:hAnchor="page" w:vAnchor="page" w:x="10616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1338" w:hAnchor="page" w:vAnchor="page" w:x="3072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792" w:hAnchor="page" w:vAnchor="page" w:x="7096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</w:t>
      </w:r>
    </w:p>
    <w:p>
      <w:pPr>
        <w:pStyle w:val="Normal"/>
        <w:framePr w:w="1475" w:hAnchor="page" w:vAnchor="page" w:x="7979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Amount of</w:t>
      </w:r>
    </w:p>
    <w:p>
      <w:pPr>
        <w:pStyle w:val="Normal"/>
        <w:framePr w:w="1210" w:hAnchor="page" w:vAnchor="page" w:x="4676" w:y="183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of</w:t>
      </w:r>
    </w:p>
    <w:p>
      <w:pPr>
        <w:pStyle w:val="Normal"/>
        <w:framePr w:w="6380" w:hAnchor="page" w:vAnchor="page" w:x="280" w:y="17417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To Be Sold</w:t>
      </w:r>
    </w:p>
    <w:p>
      <w:pPr>
        <w:pStyle w:val="Normal"/>
        <w:framePr w:w="8635" w:hAnchor="page" w:vAnchor="page" w:x="280" w:y="1682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payment of all or any part of the purchase price or other consideration therefor:</w:t>
      </w:r>
    </w:p>
    <w:p>
      <w:pPr>
        <w:pStyle w:val="Normal"/>
        <w:framePr w:w="13104" w:hAnchor="page" w:vAnchor="page" w:x="280" w:y="1655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with respect to the acquisition of the securities to be sold and with respect to the</w:t>
      </w:r>
    </w:p>
    <w:p>
      <w:pPr>
        <w:pStyle w:val="Normal"/>
        <w:framePr w:w="2196" w:hAnchor="page" w:vAnchor="page" w:x="2772" w:y="156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Smithfield RI 02917</w:t>
      </w:r>
    </w:p>
    <w:p>
      <w:pPr>
        <w:pStyle w:val="Normal"/>
        <w:framePr w:w="1866" w:hAnchor="page" w:vAnchor="page" w:x="2772" w:y="154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900 Salem Street</w:t>
      </w:r>
    </w:p>
    <w:p>
      <w:pPr>
        <w:pStyle w:val="Normal"/>
        <w:framePr w:w="1127" w:hAnchor="page" w:vAnchor="page" w:x="35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717" w:hAnchor="page" w:vAnchor="page" w:x="509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5691</w:t>
      </w:r>
    </w:p>
    <w:p>
      <w:pPr>
        <w:pStyle w:val="Normal"/>
        <w:framePr w:w="1252" w:hAnchor="page" w:vAnchor="page" w:x="634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125088.18</w:t>
      </w:r>
    </w:p>
    <w:p>
      <w:pPr>
        <w:pStyle w:val="Normal"/>
        <w:framePr w:w="1311" w:hAnchor="page" w:vAnchor="page" w:x="7711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432847108</w:t>
      </w:r>
    </w:p>
    <w:p>
      <w:pPr>
        <w:pStyle w:val="Normal"/>
        <w:framePr w:w="1325" w:hAnchor="page" w:vAnchor="page" w:x="9123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03/01/2024</w:t>
      </w:r>
    </w:p>
    <w:p>
      <w:pPr>
        <w:pStyle w:val="Normal"/>
        <w:framePr w:w="863" w:hAnchor="page" w:vAnchor="page" w:x="1060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NYSE</w:t>
      </w:r>
    </w:p>
    <w:p>
      <w:pPr>
        <w:pStyle w:val="Normal"/>
        <w:framePr w:w="1555" w:hAnchor="page" w:vAnchor="page" w:x="2772" w:y="151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Services LLC</w:t>
      </w:r>
    </w:p>
    <w:p>
      <w:pPr>
        <w:pStyle w:val="Normal"/>
        <w:framePr w:w="2031" w:hAnchor="page" w:vAnchor="page" w:x="2772" w:y="149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Fidelity Brokerage</w:t>
      </w:r>
    </w:p>
    <w:p>
      <w:pPr>
        <w:pStyle w:val="Normal"/>
        <w:framePr w:w="1123" w:hAnchor="page" w:vAnchor="page" w:x="5287" w:y="1455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Be Sold</w:t>
      </w:r>
    </w:p>
    <w:p>
      <w:pPr>
        <w:pStyle w:val="Normal"/>
        <w:framePr w:w="1674" w:hAnchor="page" w:vAnchor="page" w:x="7731" w:y="1441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Outstanding</w:t>
      </w:r>
    </w:p>
    <w:p>
      <w:pPr>
        <w:pStyle w:val="Normal"/>
        <w:framePr w:w="1216" w:hAnchor="page" w:vAnchor="page" w:x="524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Units To</w:t>
      </w:r>
    </w:p>
    <w:p>
      <w:pPr>
        <w:pStyle w:val="Normal"/>
        <w:framePr w:w="900" w:hAnchor="page" w:vAnchor="page" w:x="669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Value</w:t>
      </w:r>
    </w:p>
    <w:p>
      <w:pPr>
        <w:pStyle w:val="Normal"/>
        <w:framePr w:w="1365" w:hAnchor="page" w:vAnchor="page" w:x="10746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Exchange</w:t>
      </w:r>
    </w:p>
    <w:p>
      <w:pPr>
        <w:pStyle w:val="Normal"/>
        <w:framePr w:w="2640" w:hAnchor="page" w:vAnchor="page" w:x="439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 To Be Sold</w:t>
      </w:r>
    </w:p>
    <w:p>
      <w:pPr>
        <w:pStyle w:val="Normal"/>
        <w:framePr w:w="1485" w:hAnchor="page" w:vAnchor="page" w:x="3336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the Broker</w:t>
      </w:r>
    </w:p>
    <w:p>
      <w:pPr>
        <w:pStyle w:val="Normal"/>
        <w:framePr w:w="1607" w:hAnchor="page" w:vAnchor="page" w:x="7761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 Units</w:t>
      </w:r>
    </w:p>
    <w:p>
      <w:pPr>
        <w:pStyle w:val="Normal"/>
        <w:framePr w:w="1614" w:hAnchor="page" w:vAnchor="page" w:x="9207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 Sale</w:t>
      </w:r>
    </w:p>
    <w:p>
      <w:pPr>
        <w:pStyle w:val="Normal"/>
        <w:framePr w:w="939" w:hAnchor="page" w:vAnchor="page" w:x="5370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</w:t>
      </w:r>
    </w:p>
    <w:p>
      <w:pPr>
        <w:pStyle w:val="Normal"/>
        <w:framePr w:w="1115" w:hAnchor="page" w:vAnchor="page" w:x="659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Market</w:t>
      </w:r>
    </w:p>
    <w:p>
      <w:pPr>
        <w:pStyle w:val="Normal"/>
        <w:framePr w:w="1365" w:hAnchor="page" w:vAnchor="page" w:x="1074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2446" w:hAnchor="page" w:vAnchor="page" w:x="527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 Class of</w:t>
      </w:r>
    </w:p>
    <w:p>
      <w:pPr>
        <w:pStyle w:val="Normal"/>
        <w:framePr w:w="2689" w:hAnchor="page" w:vAnchor="page" w:x="2788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and Address of</w:t>
      </w:r>
    </w:p>
    <w:p>
      <w:pPr>
        <w:pStyle w:val="Normal"/>
        <w:framePr w:w="1338" w:hAnchor="page" w:vAnchor="page" w:x="7884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756" w:hAnchor="page" w:vAnchor="page" w:x="9142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Approximate</w:t>
      </w:r>
    </w:p>
    <w:p>
      <w:pPr>
        <w:pStyle w:val="Normal"/>
        <w:framePr w:w="1338" w:hAnchor="page" w:vAnchor="page" w:x="5189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418" w:hAnchor="page" w:vAnchor="page" w:x="6458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Aggregate</w:t>
      </w:r>
    </w:p>
    <w:p>
      <w:pPr>
        <w:pStyle w:val="Normal"/>
        <w:framePr w:w="1343" w:hAnchor="page" w:vAnchor="page" w:x="10757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the</w:t>
      </w:r>
    </w:p>
    <w:p>
      <w:pPr>
        <w:pStyle w:val="Normal"/>
        <w:framePr w:w="1490" w:hAnchor="page" w:vAnchor="page" w:x="7815" w:y="136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1490" w:hAnchor="page" w:vAnchor="page" w:x="5120" w:y="134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6722" w:hAnchor="page" w:vAnchor="page" w:x="280" w:y="12523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Information</w:t>
      </w:r>
    </w:p>
    <w:p>
      <w:pPr>
        <w:pStyle w:val="Normal"/>
        <w:framePr w:w="2568" w:hAnchor="page" w:vAnchor="page" w:x="325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Relationship to Issuer</w:t>
      </w:r>
    </w:p>
    <w:p>
      <w:pPr>
        <w:pStyle w:val="Normal"/>
        <w:framePr w:w="1022" w:hAnchor="page" w:vAnchor="page" w:x="8297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Officer</w:t>
      </w:r>
    </w:p>
    <w:p>
      <w:pPr>
        <w:pStyle w:val="Normal"/>
        <w:framePr w:w="7560" w:hAnchor="page" w:vAnchor="page" w:x="325" w:y="112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aggregated with sales for the account of the person filing this notice. </w:t>
      </w:r>
    </w:p>
    <w:p>
      <w:pPr>
        <w:pStyle w:val="Normal"/>
        <w:framePr w:w="13009" w:hAnchor="page" w:vAnchor="page" w:x="325" w:y="110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  shall  be  given  as  to  sales  by  all  persons  whose  sales  are  required  by  paragraph  (e)  of  Rule  144  to  be</w:t>
      </w:r>
    </w:p>
    <w:p>
      <w:pPr>
        <w:pStyle w:val="Normal"/>
        <w:framePr w:w="13006" w:hAnchor="page" w:vAnchor="page" w:x="325" w:y="107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whose  account  the  securities  are  to  be  sold  but  also  as  to  all  other  persons  included  in  that  definition.  In  addition,</w:t>
      </w:r>
    </w:p>
    <w:p>
      <w:pPr>
        <w:pStyle w:val="Normal"/>
        <w:framePr w:w="13002" w:hAnchor="page" w:vAnchor="page" w:x="325" w:y="104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See the definition of "person" in paragraph (a) of Rule 144. Information is to be given not only as to the person for</w:t>
      </w:r>
    </w:p>
    <w:p>
      <w:pPr>
        <w:pStyle w:val="Normal"/>
        <w:framePr w:w="7238" w:hAnchor="page" w:vAnchor="page" w:x="325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Person for Whose Account the Securities are To Be Sold</w:t>
      </w:r>
    </w:p>
    <w:p>
      <w:pPr>
        <w:pStyle w:val="Normal"/>
        <w:framePr w:w="2032" w:hAnchor="page" w:vAnchor="page" w:x="8297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Landes Jonathan</w:t>
      </w:r>
    </w:p>
    <w:p>
      <w:pPr>
        <w:pStyle w:val="Normal"/>
        <w:framePr w:w="925" w:hAnchor="page" w:vAnchor="page" w:x="325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2047" w:hAnchor="page" w:vAnchor="page" w:x="8297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44 191 295 0303</w:t>
      </w:r>
    </w:p>
    <w:p>
      <w:pPr>
        <w:pStyle w:val="Normal"/>
        <w:framePr w:w="1255" w:hAnchor="page" w:vAnchor="page" w:x="8297" w:y="94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NE6 3PL</w:t>
      </w:r>
    </w:p>
    <w:p>
      <w:pPr>
        <w:pStyle w:val="Normal"/>
        <w:framePr w:w="2655" w:hAnchor="page" w:vAnchor="page" w:x="8297" w:y="92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KINGDOM </w:t>
      </w:r>
    </w:p>
    <w:p>
      <w:pPr>
        <w:pStyle w:val="Normal"/>
        <w:framePr w:w="2113" w:hAnchor="page" w:vAnchor="page" w:x="325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Address of Issuer</w:t>
      </w:r>
    </w:p>
    <w:p>
      <w:pPr>
        <w:pStyle w:val="Normal"/>
        <w:framePr w:w="3420" w:hAnchor="page" w:vAnchor="page" w:x="8297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NEWCASTLE UPON TYNE</w:t>
      </w:r>
    </w:p>
    <w:p>
      <w:pPr>
        <w:pStyle w:val="Normal"/>
        <w:framePr w:w="2869" w:hAnchor="page" w:vAnchor="page" w:x="8297" w:y="86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WINCOMBLEE ROAD</w:t>
      </w:r>
    </w:p>
    <w:p>
      <w:pPr>
        <w:pStyle w:val="Normal"/>
        <w:framePr w:w="2429" w:hAnchor="page" w:vAnchor="page" w:x="8297" w:y="83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HADRIAN HOUSE</w:t>
      </w:r>
    </w:p>
    <w:p>
      <w:pPr>
        <w:pStyle w:val="Normal"/>
        <w:framePr w:w="2158" w:hAnchor="page" w:vAnchor="page" w:x="325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SEC File Number</w:t>
      </w:r>
    </w:p>
    <w:p>
      <w:pPr>
        <w:pStyle w:val="Normal"/>
        <w:framePr w:w="1409" w:hAnchor="page" w:vAnchor="page" w:x="8297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001-37983</w:t>
      </w:r>
    </w:p>
    <w:p>
      <w:pPr>
        <w:pStyle w:val="Normal"/>
        <w:framePr w:w="1878" w:hAnchor="page" w:vAnchor="page" w:x="325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Issuer</w:t>
      </w:r>
    </w:p>
    <w:p>
      <w:pPr>
        <w:pStyle w:val="Normal"/>
        <w:framePr w:w="2058" w:hAnchor="page" w:vAnchor="page" w:x="8297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TechnipFMC plc</w:t>
      </w:r>
    </w:p>
    <w:p>
      <w:pPr>
        <w:pStyle w:val="Normal"/>
        <w:framePr w:w="5900" w:hAnchor="page" w:vAnchor="page" w:x="280" w:y="6818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Issuer Information</w:t>
      </w:r>
    </w:p>
    <w:p>
      <w:pPr>
        <w:pStyle w:val="Normal"/>
        <w:framePr w:w="1944" w:hAnchor="page" w:vAnchor="page" w:x="325" w:y="617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E-Mail Address</w:t>
      </w:r>
    </w:p>
    <w:p>
      <w:pPr>
        <w:pStyle w:val="Normal"/>
        <w:framePr w:w="925" w:hAnchor="page" w:vAnchor="page" w:x="325" w:y="584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895" w:hAnchor="page" w:vAnchor="page" w:x="325" w:y="551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</w:t>
      </w:r>
    </w:p>
    <w:p>
      <w:pPr>
        <w:pStyle w:val="Normal"/>
        <w:framePr w:w="3847" w:hAnchor="page" w:vAnchor="page" w:x="325" w:y="48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Submission Contact Information</w:t>
      </w:r>
    </w:p>
    <w:p>
      <w:pPr>
        <w:pStyle w:val="Normal"/>
        <w:framePr w:w="3552" w:hAnchor="page" w:vAnchor="page" w:x="325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 this a LIVE or TEST Filing?</w:t>
      </w:r>
    </w:p>
    <w:p>
      <w:pPr>
        <w:pStyle w:val="Normal"/>
        <w:framePr w:w="6971" w:hAnchor="page" w:vAnchor="page" w:x="3883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Radio button checked LIVE     Radio button not checked TEST</w:t>
      </w:r>
    </w:p>
    <w:p>
      <w:pPr>
        <w:pStyle w:val="Normal"/>
        <w:framePr w:w="1358" w:hAnchor="page" w:vAnchor="page" w:x="325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CCC</w:t>
      </w:r>
    </w:p>
    <w:p>
      <w:pPr>
        <w:pStyle w:val="Normal"/>
        <w:framePr w:w="1790" w:hAnchor="page" w:vAnchor="page" w:x="3643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XXXXXXXX</w:t>
      </w:r>
    </w:p>
    <w:p>
      <w:pPr>
        <w:pStyle w:val="Normal"/>
        <w:framePr w:w="1284" w:hAnchor="page" w:vAnchor="page" w:x="325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CIK</w:t>
      </w:r>
    </w:p>
    <w:p>
      <w:pPr>
        <w:pStyle w:val="Normal"/>
        <w:framePr w:w="1585" w:hAnchor="page" w:vAnchor="page" w:x="3643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0001828055</w:t>
      </w:r>
    </w:p>
    <w:p>
      <w:pPr>
        <w:pStyle w:val="Normal"/>
        <w:framePr w:w="5606" w:hAnchor="page" w:vAnchor="page" w:x="280" w:y="2960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Filer Information</w:t>
      </w:r>
    </w:p>
    <w:p>
      <w:pPr>
        <w:pStyle w:val="Normal"/>
        <w:framePr w:w="717" w:hAnchor="page" w:vAnchor="page" w:x="2937" w:y="23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1933</w:t>
      </w:r>
    </w:p>
    <w:p>
      <w:pPr>
        <w:pStyle w:val="Normal"/>
        <w:framePr w:w="6668" w:hAnchor="page" w:vAnchor="page" w:x="2937" w:y="20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PURSUANT TO RULE 144 UNDER THE SECURITIES ACT OF</w:t>
      </w:r>
    </w:p>
    <w:p>
      <w:pPr>
        <w:pStyle w:val="Normal"/>
        <w:framePr w:w="1475" w:hAnchor="page" w:vAnchor="page" w:x="1051" w:y="20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</w:t>
      </w:r>
    </w:p>
    <w:p>
      <w:pPr>
        <w:pStyle w:val="Normal"/>
        <w:framePr w:w="5233" w:hAnchor="page" w:vAnchor="page" w:x="2937" w:y="18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NOTICE OF PROPOSED SALE OF SECURITIES </w:t>
      </w:r>
    </w:p>
    <w:p>
      <w:pPr>
        <w:pStyle w:val="Normal"/>
        <w:framePr w:w="1365" w:hAnchor="page" w:vAnchor="page" w:x="2937" w:y="128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Form 144 </w:t>
      </w:r>
    </w:p>
    <w:p>
      <w:pPr>
        <w:pStyle w:val="Normal"/>
        <w:framePr w:w="1526" w:hAnchor="page" w:vAnchor="page" w:x="325" w:y="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</w:t>
      </w:r>
    </w:p>
    <w:p>
      <w:pPr>
        <w:pStyle w:val="Normal"/>
        <w:framePr w:w="2943" w:hAnchor="page" w:vAnchor="page" w:x="2937" w:y="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Washington, D.C. 20549 </w:t>
      </w:r>
    </w:p>
    <w:p>
      <w:pPr>
        <w:pStyle w:val="Normal"/>
        <w:framePr w:w="1864" w:hAnchor="page" w:vAnchor="page" w:x="325" w:y="69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 Filer</w:t>
      </w:r>
    </w:p>
    <w:p>
      <w:pPr>
        <w:pStyle w:val="Normal"/>
        <w:framePr w:w="5737" w:hAnchor="page" w:vAnchor="page" w:x="2937" w:y="47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SECURITIES AND EXCHANGE COMMISSION </w:t>
      </w:r>
    </w:p>
    <w:p>
      <w:pPr>
        <w:pStyle w:val="Normal"/>
        <w:framePr w:w="2297" w:hAnchor="page" w:vAnchor="page" w:x="2937" w:y="20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STATES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.4pt;margin-top:669.45pt;z-index:-16777208;width:585.25pt;height:1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671.3pt;z-index:-16777204;width:121.3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36.1pt;margin-top:671.3pt;z-index:-16777200;width:116.8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52.45pt;margin-top:671.3pt;z-index:-16777196;width:62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314.75pt;margin-top:671.3pt;z-index:-16777192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383.05pt;margin-top:671.3pt;z-index:-16777188;width:71.0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453.6pt;margin-top:671.3pt;z-index:-16777184;width:74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527.95pt;margin-top:671.3pt;z-index:-16777180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5.25pt;margin-top:741.85pt;z-index:-16777176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3.85pt;margin-top:671.3pt;z-index:-1677717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5.25pt;margin-top:671.3pt;z-index:-1677716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6.1pt;margin-top:741.85pt;z-index:-16777164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50.2pt;margin-top:671.3pt;z-index:-1677716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36.1pt;margin-top:671.3pt;z-index:-1677715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52.45pt;margin-top:741.85pt;z-index:-16777152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312.5pt;margin-top:671.3pt;z-index:-1677714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252.45pt;margin-top:671.3pt;z-index:-1677714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314.75pt;margin-top:741.85pt;z-index:-1677714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80.8pt;margin-top:671.3pt;z-index:-1677713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14.75pt;margin-top:671.3pt;z-index:-1677713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83.05pt;margin-top:741.85pt;z-index:-16777128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451.35pt;margin-top:671.3pt;z-index:-1677712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383.05pt;margin-top:671.3pt;z-index:-1677712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453.6pt;margin-top:741.85pt;z-index:-167771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25.7pt;margin-top:671.3pt;z-index:-1677711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453.6pt;margin-top:671.3pt;z-index:-1677710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527.95pt;margin-top:741.85pt;z-index:-1677710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594pt;margin-top:671.3pt;z-index:-1677710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527.95pt;margin-top:671.3pt;z-index:-1677709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25pt;margin-top:796.65pt;z-index:-16777092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3.85pt;margin-top:744.1pt;z-index:-1677708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5.25pt;margin-top:744.1pt;z-index:-1677708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6.1pt;margin-top:796.65pt;z-index:-16777080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250.2pt;margin-top:744.1pt;z-index:-1677707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36.1pt;margin-top:744.1pt;z-index:-1677707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252.45pt;margin-top:796.65pt;z-index:-16777068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312.5pt;margin-top:744.1pt;z-index:-1677706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252.45pt;margin-top:744.1pt;z-index:-1677706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314.75pt;margin-top:796.65pt;z-index:-16777056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380.8pt;margin-top:744.1pt;z-index:-1677705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314.75pt;margin-top:744.1pt;z-index:-1677704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383.05pt;margin-top:796.65pt;z-index:-16777044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51.35pt;margin-top:744.1pt;z-index:-1677704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383.05pt;margin-top:744.1pt;z-index:-1677703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53.6pt;margin-top:796.65pt;z-index:-167770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525.7pt;margin-top:744.1pt;z-index:-1677702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453.6pt;margin-top:744.1pt;z-index:-1677702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527.95pt;margin-top:796.65pt;z-index:-1677702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594pt;margin-top:744.1pt;z-index:-1677701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527.95pt;margin-top:744.1pt;z-index:-167770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3.4pt;margin-top:914.15pt;z-index:-16777008;width:585.25pt;height:92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5.25pt;margin-top:916pt;z-index:-16777004;width:67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82.05pt;margin-top:916pt;z-index:-16777000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36.1pt;margin-top:916pt;z-index:-16776996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219.45pt;margin-top:916pt;z-index:-16776992;width:71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90.75pt;margin-top:916pt;z-index:-16776988;width:49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339.55pt;margin-top:916pt;z-index:-16776984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393.55pt;margin-top:916pt;z-index:-16776980;width:65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58.9pt;margin-top:916pt;z-index:-16776976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512.9pt;margin-top:916pt;z-index:-16776972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5.25pt;margin-top:973.05pt;z-index:-1677696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79.8pt;margin-top:916pt;z-index:-1677696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82.05pt;margin-top:973.05pt;z-index:-1677696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33.85pt;margin-top:916pt;z-index:-1677695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82.05pt;margin-top:916pt;z-index:-1677695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6.1pt;margin-top:973.05pt;z-index:-167769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217.2pt;margin-top:916pt;z-index:-1677694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6.1pt;margin-top:916pt;z-index:-1677694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219.45pt;margin-top:973.05pt;z-index:-1677693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288.5pt;margin-top:916pt;z-index:-1677693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219.45pt;margin-top:916pt;z-index:-1677692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90.75pt;margin-top:973.05pt;z-index:-1677692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337.3pt;margin-top:916pt;z-index:-1677692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90.75pt;margin-top:916pt;z-index:-1677691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339.55pt;margin-top:973.05pt;z-index:-1677691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391.3pt;margin-top:916pt;z-index:-1677690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339.55pt;margin-top:916pt;z-index:-1677690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393.55pt;margin-top:973.05pt;z-index:-1677690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56.65pt;margin-top:916pt;z-index:-1677689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393.55pt;margin-top:916pt;z-index:-1677689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58.9pt;margin-top:973.05pt;z-index:-1677688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510.65pt;margin-top:916pt;z-index:-1677688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458.9pt;margin-top:916pt;z-index:-1677688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512.9pt;margin-top:973.05pt;z-index:-167768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512.9pt;margin-top:916pt;z-index:-1677687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79.8pt;margin-top:975.3pt;z-index:-1677686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133.85pt;margin-top:975.3pt;z-index:-1677686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82.05pt;margin-top:975.3pt;z-index:-1677686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17.2pt;margin-top:975.3pt;z-index:-1677685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6.1pt;margin-top:975.3pt;z-index:-1677685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288.5pt;margin-top:975.3pt;z-index:-1677684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19.45pt;margin-top:975.3pt;z-index:-1677684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37.3pt;margin-top:975.3pt;z-index:-1677684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290.75pt;margin-top:975.3pt;z-index:-1677683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391.3pt;margin-top:975.3pt;z-index:-1677683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39.55pt;margin-top:975.3pt;z-index:-1677682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56.65pt;margin-top:975.3pt;z-index:-1677682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393.55pt;margin-top:975.3pt;z-index:-1677682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10.65pt;margin-top:975.3pt;z-index:-1677681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58.9pt;margin-top:975.3pt;z-index:-1677681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12.9pt;margin-top:975.3pt;z-index:-1677680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182.15pt;margin-top:227.2pt;z-index:-1677680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32.25pt;margin-top:227.2pt;z-index:-167768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</w:p>
    <w:p>
      <w:pPr>
        <w:pStyle w:val="Normal"/>
        <w:framePr w:w="880" w:hAnchor="page" w:vAnchor="page" w:x="5840" w:y="1084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1001)</w:t>
      </w:r>
    </w:p>
    <w:p>
      <w:pPr>
        <w:pStyle w:val="Normal"/>
        <w:framePr w:w="12831" w:hAnchor="page" w:vAnchor="page" w:x="408" w:y="1057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 Intentional misstatements or omission of facts constitute Federal Criminal Violations (See 18 U.S.C.</w:t>
      </w:r>
    </w:p>
    <w:p>
      <w:pPr>
        <w:pStyle w:val="Normal"/>
        <w:framePr w:w="6251" w:hAnchor="page" w:vAnchor="page" w:x="4499" w:y="1024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Services LLC, as attorney-in-fact for Jonathan D Landes</w:t>
      </w:r>
    </w:p>
    <w:p>
      <w:pPr>
        <w:pStyle w:val="Normal"/>
        <w:framePr w:w="1277" w:hAnchor="page" w:vAnchor="page" w:x="325" w:y="101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Signature</w:t>
      </w:r>
    </w:p>
    <w:p>
      <w:pPr>
        <w:pStyle w:val="Normal"/>
        <w:framePr w:w="8342" w:hAnchor="page" w:vAnchor="page" w:x="4499" w:y="997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/s/ Jennifer Ruchti, as a duly authorized representative of Fidelity Brokerage</w:t>
      </w:r>
    </w:p>
    <w:p>
      <w:pPr>
        <w:pStyle w:val="Normal"/>
        <w:framePr w:w="1966" w:hAnchor="page" w:vAnchor="page" w:x="325" w:y="964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 date.</w:t>
      </w:r>
    </w:p>
    <w:p>
      <w:pPr>
        <w:pStyle w:val="Normal"/>
        <w:framePr w:w="13007" w:hAnchor="page" w:vAnchor="page" w:x="325" w:y="937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that the plan was adopted or the instruction given, that person makes such representation as of the plan adoption or</w:t>
      </w:r>
    </w:p>
    <w:p>
      <w:pPr>
        <w:pStyle w:val="Normal"/>
        <w:framePr w:w="13008" w:hAnchor="page" w:vAnchor="page" w:x="325" w:y="910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plan or given trading instructions to satisfy Rule 10b5-1 under the Exchange Act, by signing the form and indicating the</w:t>
      </w:r>
    </w:p>
    <w:p>
      <w:pPr>
        <w:pStyle w:val="Normal"/>
        <w:framePr w:w="12999" w:hAnchor="page" w:vAnchor="page" w:x="325" w:y="883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Issuer of the securities to be sold which has not been publicly disclosed. If such person has adopted a written trading</w:t>
      </w:r>
    </w:p>
    <w:p>
      <w:pPr>
        <w:pStyle w:val="Normal"/>
        <w:framePr w:w="13003" w:hAnchor="page" w:vAnchor="page" w:x="325" w:y="856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notice that he does not know any material adverse information in regard to the current and prospective operations of the</w:t>
      </w:r>
    </w:p>
    <w:p>
      <w:pPr>
        <w:pStyle w:val="Normal"/>
        <w:framePr w:w="13007" w:hAnchor="page" w:vAnchor="page" w:x="325" w:y="829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The person for whose account the securities to which this notice relates are to be sold hereby represents by signing this</w:t>
      </w:r>
    </w:p>
    <w:p>
      <w:pPr>
        <w:pStyle w:val="Normal"/>
        <w:framePr w:w="1849" w:hAnchor="page" w:vAnchor="page" w:x="325" w:y="76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</w:t>
      </w:r>
    </w:p>
    <w:p>
      <w:pPr>
        <w:pStyle w:val="Normal"/>
        <w:framePr w:w="4330" w:hAnchor="page" w:vAnchor="page" w:x="325" w:y="731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Instruction, If Relying on Rule 10b5-1</w:t>
      </w:r>
    </w:p>
    <w:p>
      <w:pPr>
        <w:pStyle w:val="Normal"/>
        <w:framePr w:w="1458" w:hAnchor="page" w:vAnchor="page" w:x="4499" w:y="718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11/30/2023</w:t>
      </w:r>
    </w:p>
    <w:p>
      <w:pPr>
        <w:pStyle w:val="Normal"/>
        <w:framePr w:w="4021" w:hAnchor="page" w:vAnchor="page" w:x="325" w:y="704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Plan Adoption or Giving of</w:t>
      </w:r>
    </w:p>
    <w:p>
      <w:pPr>
        <w:pStyle w:val="Normal"/>
        <w:framePr w:w="1819" w:hAnchor="page" w:vAnchor="page" w:x="325" w:y="671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Notice</w:t>
      </w:r>
    </w:p>
    <w:p>
      <w:pPr>
        <w:pStyle w:val="Normal"/>
        <w:framePr w:w="1468" w:hAnchor="page" w:vAnchor="page" w:x="4499" w:y="671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03/01/2024</w:t>
      </w:r>
    </w:p>
    <w:p>
      <w:pPr>
        <w:pStyle w:val="Normal"/>
        <w:framePr w:w="1203" w:hAnchor="page" w:vAnchor="page" w:x="325" w:y="638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Remarks</w:t>
      </w:r>
    </w:p>
    <w:p>
      <w:pPr>
        <w:pStyle w:val="Normal"/>
        <w:framePr w:w="6992" w:hAnchor="page" w:vAnchor="page" w:x="280" w:y="5482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Remarks and Signature</w:t>
      </w:r>
    </w:p>
    <w:p>
      <w:pPr>
        <w:pStyle w:val="Normal"/>
        <w:framePr w:w="4529" w:hAnchor="page" w:vAnchor="page" w:x="325" w:y="482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Nothing to Report     Checkbox checked</w:t>
      </w:r>
    </w:p>
    <w:p>
      <w:pPr>
        <w:pStyle w:val="Normal"/>
        <w:framePr w:w="11083" w:hAnchor="page" w:vAnchor="page" w:x="280" w:y="3921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Sold During The Past 3 Months</w:t>
      </w:r>
    </w:p>
    <w:p>
      <w:pPr>
        <w:pStyle w:val="Normal"/>
        <w:framePr w:w="4086" w:hAnchor="page" w:vAnchor="page" w:x="280" w:y="332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account the securities are to be sold.</w:t>
      </w:r>
    </w:p>
    <w:p>
      <w:pPr>
        <w:pStyle w:val="Normal"/>
        <w:framePr w:w="13099" w:hAnchor="page" w:vAnchor="page" w:x="280" w:y="305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as to all securities of the issuer sold during the past 3 months by the person for whose</w:t>
      </w:r>
    </w:p>
    <w:p>
      <w:pPr>
        <w:pStyle w:val="Normal"/>
        <w:framePr w:w="5520" w:hAnchor="page" w:vAnchor="page" w:x="280" w:y="19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was discharged in full or the last installment paid.</w:t>
      </w:r>
    </w:p>
    <w:p>
      <w:pPr>
        <w:pStyle w:val="Normal"/>
        <w:framePr w:w="13103" w:hAnchor="page" w:vAnchor="page" w:x="280" w:y="170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obligation, or if payment was made in installments describe the arrangement and state when the note or other obligation</w:t>
      </w:r>
    </w:p>
    <w:p>
      <w:pPr>
        <w:pStyle w:val="Normal"/>
        <w:framePr w:w="13099" w:hAnchor="page" w:vAnchor="page" w:x="280" w:y="143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table  or  in  a  note  thereto  the  nature  of  the  consideration  given.  If  the  consideration  consisted  of  any  note  or  other</w:t>
      </w:r>
    </w:p>
    <w:p>
      <w:pPr>
        <w:pStyle w:val="Normal"/>
        <w:framePr w:w="13100" w:hAnchor="page" w:vAnchor="page" w:x="280" w:y="116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*</w:t>
      </w: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 If the securities were purchased and full payment therefor was not made in cash at the time of purchase, explain in the</w:t>
      </w:r>
    </w:p>
    <w:p>
      <w:pPr>
        <w:pStyle w:val="Normal"/>
        <w:framePr w:w="1020" w:hAnchor="page" w:vAnchor="page" w:x="5865" w:y="5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62" w:hAnchor="page" w:vAnchor="page" w:x="5865" w:y="2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849" w:hAnchor="page" w:vAnchor="page" w:x="6105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pt;margin-top:1pt;z-index:-16776796;width:598pt;height:58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13.4pt;margin-top:1pt;z-index:-16776792;width:585.25pt;height:4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.25pt;margin-top:40.8pt;z-index:-167767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79.8pt;margin-top:1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82.05pt;margin-top:40.8pt;z-index:-167767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33.85pt;margin-top:1pt;z-index:-167767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82.05pt;margin-top:1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136.1pt;margin-top:40.8pt;z-index:-167767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17.2pt;margin-top:1pt;z-index:-167767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136.1pt;margin-top:1pt;z-index:-167767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219.45pt;margin-top:40.8pt;z-index:-167767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288.5pt;margin-top:1pt;z-index:-167767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219.45pt;margin-top:1pt;z-index:-167767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290.75pt;margin-top:40.8pt;z-index:-167767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37.3pt;margin-top:1pt;z-index:-167767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290.75pt;margin-top:1pt;z-index:-167767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39.55pt;margin-top:40.8pt;z-index:-167767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91.3pt;margin-top:1pt;z-index:-167767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39.55pt;margin-top:1pt;z-index:-167767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393.55pt;margin-top:40.8pt;z-index:-167767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456.65pt;margin-top:1pt;z-index:-167767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93.55pt;margin-top:1pt;z-index:-167767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58.9pt;margin-top:40.8pt;z-index:-167767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510.65pt;margin-top:1pt;z-index:-167767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58.9pt;margin-top:1pt;z-index:-167767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512.9pt;margin-top:40.8pt;z-index:-167766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512.9pt;margin-top:1pt;z-index:-167766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93.25pt;margin-top:2pt;z-index:-1677668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07.1pt;margin-top:241.45pt;z-index:-167766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</w:p>
    <w:sectPr>
      <w:pgSz w:w="12240" w:h="2016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caef09bc-0000-0000-0000-000000000000}"/>
  </w:font>
  <w:font w:name="TimesNewRomanPS-BoldItalicMT">
    <w:panose-1>"02020703060505090304"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0dfc9f5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styles.xml" Type="http://schemas.openxmlformats.org/officeDocument/2006/relationships/styles"/><Relationship Id="rId135" Target="fontTable.xml" Type="http://schemas.openxmlformats.org/officeDocument/2006/relationships/fontTable"/><Relationship Id="rId136" Target="settings.xml" Type="http://schemas.openxmlformats.org/officeDocument/2006/relationships/settings"/><Relationship Id="rId137" Target="webSettings.xml" Type="http://schemas.openxmlformats.org/officeDocument/2006/relationships/webSettings"/><Relationship Id="rId14" Target="media/image14.png" Type="http://schemas.openxmlformats.org/officeDocument/2006/relationships/image"/><Relationship Id="rId15" Target="media/image15.png" Type="http://schemas.openxmlformats.org/officeDocument/2006/relationships/image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618</Words>
  <Characters>3144</Characters>
  <Application>e-iceblue</Application>
  <DocSecurity>0</DocSecurity>
  <Lines>136</Lines>
  <Paragraphs>136</Paragraphs>
  <ScaleCrop>false</ScaleCrop>
  <Company>e-iceblue</Company>
  <LinksUpToDate>false</LinksUpToDate>
  <CharactersWithSpaces>3704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2024-03-01T20:15:15Z</dcterms:created>
  <dc:creator>root</dc:creator>
  <cp:lastModifiedBy>root</cp:lastModifiedBy>
  <dcterms:modified xsi:type="dcterms:W3CDTF">2024-03-01T20:15:15Z</dcterms:modified>
  <cp:revision>1</cp:revision>
</cp:coreProperties>
</file>