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12,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001-37983</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98-1283037</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60" w:space="720"/>
            <w:col w:w="3100"/>
          </w:cols>
          <w:pgMar w:left="320" w:top="535" w:right="339" w:bottom="1440" w:gutter="0" w:footer="0" w:header="0"/>
          <w:type w:val="continuous"/>
        </w:sectPr>
      </w:pP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+44 203 429 3950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35"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6"/>
          <w:szCs w:val="16"/>
          <w:color w:val="auto"/>
        </w:rPr>
      </w:pPr>
    </w:p>
    <w:p>
      <w:pPr>
        <w:ind w:left="34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23"/>
        </w:trPr>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$1.00 par value per share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FTI</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to Revolving Credit Facility Agreements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color w:val="333333"/>
        </w:rPr>
        <w:t>On June 12, 2020, the Company entered into Amendment No 1. to its $2.5 billion senior unsecured revolving credit facility agreement (the “</w:t>
      </w:r>
      <w:r>
        <w:rPr>
          <w:rFonts w:ascii="Arial" w:cs="Arial" w:eastAsia="Arial" w:hAnsi="Arial"/>
          <w:sz w:val="17"/>
          <w:szCs w:val="17"/>
          <w:b w:val="1"/>
          <w:bCs w:val="1"/>
          <w:color w:val="333333"/>
        </w:rPr>
        <w:t>RCF</w:t>
      </w:r>
      <w:r>
        <w:rPr>
          <w:rFonts w:ascii="Arial" w:cs="Arial" w:eastAsia="Arial" w:hAnsi="Arial"/>
          <w:sz w:val="17"/>
          <w:szCs w:val="17"/>
          <w:color w:val="333333"/>
        </w:rPr>
        <w:t xml:space="preserve">”) and an Amendment and Restatement Agreement to its </w:t>
      </w:r>
      <w:r>
        <w:rPr>
          <w:rFonts w:ascii="Arial" w:cs="Arial" w:eastAsia="Arial" w:hAnsi="Arial"/>
          <w:sz w:val="17"/>
          <w:szCs w:val="17"/>
          <w:color w:val="000000"/>
        </w:rPr>
        <w:t>€500 million senior unsecured revolving credit facility agreement (the “</w:t>
      </w:r>
      <w:r>
        <w:rPr>
          <w:rFonts w:ascii="Arial" w:cs="Arial" w:eastAsia="Arial" w:hAnsi="Arial"/>
          <w:sz w:val="17"/>
          <w:szCs w:val="17"/>
          <w:b w:val="1"/>
          <w:bCs w:val="1"/>
          <w:color w:val="000000"/>
        </w:rPr>
        <w:t>Euro Facility</w:t>
      </w:r>
      <w:r>
        <w:rPr>
          <w:rFonts w:ascii="Arial" w:cs="Arial" w:eastAsia="Arial" w:hAnsi="Arial"/>
          <w:sz w:val="17"/>
          <w:szCs w:val="17"/>
          <w:color w:val="000000"/>
        </w:rPr>
        <w:t>”). Capitalized</w:t>
      </w:r>
      <w:r>
        <w:rPr>
          <w:rFonts w:ascii="Arial" w:cs="Arial" w:eastAsia="Arial" w:hAnsi="Arial"/>
          <w:sz w:val="17"/>
          <w:szCs w:val="17"/>
          <w:color w:val="333333"/>
        </w:rPr>
        <w:t xml:space="preserve"> </w:t>
      </w:r>
      <w:r>
        <w:rPr>
          <w:rFonts w:ascii="Arial" w:cs="Arial" w:eastAsia="Arial" w:hAnsi="Arial"/>
          <w:sz w:val="17"/>
          <w:szCs w:val="17"/>
          <w:color w:val="000000"/>
        </w:rPr>
        <w:t>terms used in this Form 8-K but not defined have the meaning provided in the relevant credit facility agreements.</w:t>
      </w:r>
    </w:p>
    <w:p>
      <w:pPr>
        <w:spacing w:after="0" w:line="1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333333"/>
        </w:rPr>
        <w:t>The amendments permit the Company to include approximately $3.2 billion of goodwill (which was impaired in the quarter ended March 31, 2020) to the calculation of Consolidated Net Worth. These amendments are permanent for the purpose of calculating the Company’s Total Capitalization Ratio for purposes of quarterly compliance and are effective through the respective expirations of the RCF and Euro Facility.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333333"/>
        </w:rPr>
        <w:t>The Company’s Total Capitalization Ratio would have been 38% if these amendments were in effect as of March 31,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333333"/>
        </w:rPr>
        <w:t>The Total Capitalization Ratio covenant is unchanged with a threshold of 60% at the end of any financial quarter.</w:t>
      </w:r>
    </w:p>
    <w:p>
      <w:pPr>
        <w:spacing w:after="0" w:line="225"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The foregoing descriptions are a summary of the key terms of Amendment No. 1 to the RCF and the Amendment and Restatement Agreement to the Euro Facility, copies of which are filed as Exhibit 10.1 and 10.2, respectively, to this Current Report on Form 8-K and are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and Off-Balance Sheet Arrangement of a Registrant.</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set forth under Item 1.01. above is incorporated by reference into this Item 2.03, insofar as it relates to the creation of a direct financial obligation.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600" w:type="dxa"/>
            <w:vAlign w:val="bottom"/>
            <w:gridSpan w:val="2"/>
          </w:tcPr>
          <w:p>
            <w:pPr>
              <w:spacing w:after="0"/>
              <w:rPr>
                <w:sz w:val="20"/>
                <w:szCs w:val="20"/>
                <w:color w:val="auto"/>
              </w:rPr>
            </w:pPr>
            <w:r>
              <w:rPr>
                <w:rFonts w:ascii="Arial" w:cs="Arial" w:eastAsia="Arial" w:hAnsi="Arial"/>
                <w:sz w:val="18"/>
                <w:szCs w:val="18"/>
                <w:color w:val="auto"/>
              </w:rPr>
              <w:t>Desciption of Exhibit</w:t>
            </w:r>
          </w:p>
        </w:tc>
        <w:tc>
          <w:tcPr>
            <w:tcW w:w="0" w:type="dxa"/>
            <w:vAlign w:val="bottom"/>
          </w:tcPr>
          <w:p>
            <w:pPr>
              <w:spacing w:after="0"/>
              <w:rPr>
                <w:sz w:val="1"/>
                <w:szCs w:val="1"/>
                <w:color w:val="auto"/>
              </w:rPr>
            </w:pPr>
          </w:p>
        </w:tc>
      </w:tr>
      <w:tr>
        <w:trPr>
          <w:trHeight w:val="216"/>
        </w:trPr>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p>
        </w:tc>
        <w:tc>
          <w:tcPr>
            <w:tcW w:w="220" w:type="dxa"/>
            <w:vAlign w:val="bottom"/>
            <w:shd w:val="clear" w:color="auto" w:fill="CCEEFF"/>
          </w:tcPr>
          <w:p>
            <w:pPr>
              <w:spacing w:after="0"/>
              <w:rPr>
                <w:sz w:val="17"/>
                <w:szCs w:val="17"/>
                <w:color w:val="auto"/>
              </w:rPr>
            </w:pPr>
          </w:p>
        </w:tc>
        <w:tc>
          <w:tcPr>
            <w:tcW w:w="9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Amendment No. 1 to $2,500,000,000 Facility Agreement, dated as of June 12, 2020, by and among TechnipFMC plc, FMC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90"/>
              </w:rPr>
              <w:t>Technologies, Inc. and Technip Eurocash SNC, as borrowers; JPMorgan Chase Bank, N.A., as agent and an arranger; SG Americas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Securities LLC as an arranger; and the other lenders party thereto.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10.2</w:t>
              </w:r>
            </w:hyperlink>
          </w:p>
        </w:tc>
        <w:tc>
          <w:tcPr>
            <w:tcW w:w="220" w:type="dxa"/>
            <w:vAlign w:val="bottom"/>
            <w:shd w:val="clear" w:color="auto" w:fill="CCEEFF"/>
          </w:tcPr>
          <w:p>
            <w:pPr>
              <w:spacing w:after="0"/>
              <w:rPr>
                <w:sz w:val="17"/>
                <w:szCs w:val="17"/>
                <w:color w:val="auto"/>
              </w:rPr>
            </w:pPr>
          </w:p>
        </w:tc>
        <w:tc>
          <w:tcPr>
            <w:tcW w:w="9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Amendment and Restatement Agreement to €500,000,000 Facility Agreement dated as of June 12, 2020 between TechnipFMC plc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and Technip Eurocash SNC, as borrowers; HSBC France, as Agent; and the lenders party thereto.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Inline XBRL for the cover page of this Current Report on Form 8-K</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TechnipFMC plc</w:t>
            </w:r>
          </w:p>
        </w:tc>
      </w:tr>
      <w:tr>
        <w:trPr>
          <w:trHeight w:val="452"/>
        </w:trPr>
        <w:tc>
          <w:tcPr>
            <w:tcW w:w="3580" w:type="dxa"/>
            <w:vAlign w:val="bottom"/>
          </w:tcPr>
          <w:p>
            <w:pPr>
              <w:spacing w:after="0"/>
              <w:rPr>
                <w:sz w:val="24"/>
                <w:szCs w:val="24"/>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Dianne B. Ralston</w:t>
            </w: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Date:  June 15, 2020</w:t>
            </w:r>
          </w:p>
        </w:tc>
        <w:tc>
          <w:tcPr>
            <w:tcW w:w="2400" w:type="dxa"/>
            <w:vAlign w:val="bottom"/>
          </w:tcPr>
          <w:p>
            <w:pPr>
              <w:spacing w:after="0"/>
              <w:rPr>
                <w:sz w:val="17"/>
                <w:szCs w:val="17"/>
                <w:color w:val="auto"/>
              </w:rPr>
            </w:pPr>
          </w:p>
        </w:tc>
        <w:tc>
          <w:tcPr>
            <w:tcW w:w="5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Dianne B. Ralston</w:t>
            </w: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ind w:left="540"/>
              <w:spacing w:after="0"/>
              <w:rPr>
                <w:sz w:val="20"/>
                <w:szCs w:val="20"/>
                <w:color w:val="auto"/>
              </w:rPr>
            </w:pPr>
            <w:r>
              <w:rPr>
                <w:rFonts w:ascii="Arial" w:cs="Arial" w:eastAsia="Arial" w:hAnsi="Arial"/>
                <w:sz w:val="18"/>
                <w:szCs w:val="18"/>
                <w:color w:val="auto"/>
              </w:rPr>
              <w:t>Chief Legal Officer and Secretary</w:t>
            </w:r>
          </w:p>
        </w:tc>
      </w:tr>
      <w:tr>
        <w:trPr>
          <w:trHeight w:val="426"/>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20" w:type="dxa"/>
            <w:vAlign w:val="bottom"/>
            <w:gridSpan w:val="2"/>
          </w:tcPr>
          <w:p>
            <w:pPr>
              <w:ind w:left="3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420" w:type="dxa"/>
            <w:vAlign w:val="bottom"/>
          </w:tcPr>
          <w:p>
            <w:pPr>
              <w:spacing w:after="0"/>
              <w:rPr>
                <w:sz w:val="20"/>
                <w:szCs w:val="20"/>
                <w:color w:val="auto"/>
              </w:rPr>
            </w:pPr>
            <w:r>
              <w:rPr>
                <w:rFonts w:ascii="Arial" w:cs="Arial" w:eastAsia="Arial" w:hAnsi="Arial"/>
                <w:sz w:val="18"/>
                <w:szCs w:val="18"/>
                <w:color w:val="auto"/>
              </w:rPr>
              <w:t>Exhibit No.</w:t>
            </w:r>
          </w:p>
        </w:tc>
        <w:tc>
          <w:tcPr>
            <w:tcW w:w="9840" w:type="dxa"/>
            <w:vAlign w:val="bottom"/>
            <w:gridSpan w:val="3"/>
          </w:tcPr>
          <w:p>
            <w:pPr>
              <w:ind w:left="220"/>
              <w:spacing w:after="0"/>
              <w:rPr>
                <w:sz w:val="20"/>
                <w:szCs w:val="20"/>
                <w:color w:val="auto"/>
              </w:rPr>
            </w:pPr>
            <w:r>
              <w:rPr>
                <w:rFonts w:ascii="Arial" w:cs="Arial" w:eastAsia="Arial" w:hAnsi="Arial"/>
                <w:sz w:val="18"/>
                <w:szCs w:val="18"/>
                <w:color w:val="auto"/>
              </w:rPr>
              <w:t>Desciption of Exhibit</w:t>
            </w: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shd w:val="clear" w:color="auto" w:fill="CCEEFF"/>
          </w:tcPr>
          <w:p>
            <w:pPr>
              <w:spacing w:after="0" w:line="195"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p>
        </w:tc>
        <w:tc>
          <w:tcPr>
            <w:tcW w:w="220" w:type="dxa"/>
            <w:vAlign w:val="bottom"/>
            <w:tcBorders>
              <w:top w:val="single" w:sz="8" w:color="CCEEFF"/>
            </w:tcBorders>
            <w:shd w:val="clear" w:color="auto" w:fill="CCEEFF"/>
          </w:tcPr>
          <w:p>
            <w:pPr>
              <w:spacing w:after="0"/>
              <w:rPr>
                <w:sz w:val="16"/>
                <w:szCs w:val="16"/>
                <w:color w:val="auto"/>
              </w:rPr>
            </w:pPr>
          </w:p>
        </w:tc>
        <w:tc>
          <w:tcPr>
            <w:tcW w:w="9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Amendment No. 1 to $2,500,000,000 Facility Agreement, dated as of June 12, 2020, by and among TechnipFMC plc, FMC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Technologies, Inc. and Technip Eurocash SNC, as borrowers; JPMorgan Chase Bank, N.A., as agent and an arranger; SG Americas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20"/>
                <w:szCs w:val="20"/>
                <w:color w:val="auto"/>
              </w:rPr>
            </w:pPr>
          </w:p>
        </w:tc>
        <w:tc>
          <w:tcPr>
            <w:tcW w:w="9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LLC as an arranger; and the other lenders party thereto.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10.2</w:t>
              </w:r>
            </w:hyperlink>
          </w:p>
        </w:tc>
        <w:tc>
          <w:tcPr>
            <w:tcW w:w="98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Amendment and Restatement Agreement to €500,000,000 Facility Agreement dated as of June 12, 2020 between TechnipFMC plc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20"/>
                <w:szCs w:val="20"/>
                <w:color w:val="auto"/>
              </w:rPr>
            </w:pPr>
          </w:p>
        </w:tc>
        <w:tc>
          <w:tcPr>
            <w:tcW w:w="9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Technip Eurocash SNC, as borrowers; HSBC France, as Agent; and the lenders party thereto.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9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Inline XBRL for the cover page of this Current Report on Form 8-K</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FACILITY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AMENDMENT NO. 1 TO FACILITY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June 12, 2020, is entered into by and among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 TECHNIP EUROCASH SNC (“</w:t>
      </w:r>
      <w:r>
        <w:rPr>
          <w:rFonts w:ascii="Arial" w:cs="Arial" w:eastAsia="Arial" w:hAnsi="Arial"/>
          <w:sz w:val="18"/>
          <w:szCs w:val="18"/>
          <w:u w:val="single" w:color="auto"/>
          <w:color w:val="auto"/>
        </w:rPr>
        <w:t>Technip Eurocash</w:t>
      </w:r>
      <w:r>
        <w:rPr>
          <w:rFonts w:ascii="Arial" w:cs="Arial" w:eastAsia="Arial" w:hAnsi="Arial"/>
          <w:sz w:val="18"/>
          <w:szCs w:val="18"/>
          <w:color w:val="auto"/>
        </w:rPr>
        <w:t>”), FMC TECHNOLOGIES, INC. (“</w:t>
      </w:r>
      <w:r>
        <w:rPr>
          <w:rFonts w:ascii="Arial" w:cs="Arial" w:eastAsia="Arial" w:hAnsi="Arial"/>
          <w:sz w:val="18"/>
          <w:szCs w:val="18"/>
          <w:u w:val="single" w:color="auto"/>
          <w:color w:val="auto"/>
        </w:rPr>
        <w:t>FMC Technologies</w:t>
      </w:r>
      <w:r>
        <w:rPr>
          <w:rFonts w:ascii="Arial" w:cs="Arial" w:eastAsia="Arial" w:hAnsi="Arial"/>
          <w:sz w:val="18"/>
          <w:szCs w:val="18"/>
          <w:color w:val="auto"/>
        </w:rPr>
        <w:t>” and together with the Company and Technip Eurocash,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(as defined below) party hereto and JPMORGAN CHASE BANK, N.A., as agent of the Finance Parties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Capitalized terms used but not otherwise defined herein shall have the meanings given to them in the Facility Agreement referenced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the Borrowers, the Agent, the financial institutions party thereto from time to time as lenders (each, a “</w:t>
      </w:r>
      <w:r>
        <w:rPr>
          <w:rFonts w:ascii="Arial" w:cs="Arial" w:eastAsia="Arial" w:hAnsi="Arial"/>
          <w:sz w:val="17"/>
          <w:szCs w:val="17"/>
          <w:u w:val="single" w:color="auto"/>
          <w:color w:val="auto"/>
        </w:rPr>
        <w:t>Lender</w:t>
      </w:r>
      <w:r>
        <w:rPr>
          <w:rFonts w:ascii="Arial" w:cs="Arial" w:eastAsia="Arial" w:hAnsi="Arial"/>
          <w:sz w:val="17"/>
          <w:szCs w:val="17"/>
          <w:color w:val="auto"/>
        </w:rPr>
        <w:t>”) and the other parties thereto from time to time are parties to that certain Facility Agreement, dated as of January 12, 2017 (as amended, supplemented or otherwise modified prior to the date hereof, the “</w:t>
      </w:r>
      <w:r>
        <w:rPr>
          <w:rFonts w:ascii="Arial" w:cs="Arial" w:eastAsia="Arial" w:hAnsi="Arial"/>
          <w:sz w:val="17"/>
          <w:szCs w:val="17"/>
          <w:u w:val="single" w:color="auto"/>
          <w:color w:val="auto"/>
        </w:rPr>
        <w:t>Existing Facility Agreement</w:t>
      </w:r>
      <w:r>
        <w:rPr>
          <w:rFonts w:ascii="Arial" w:cs="Arial" w:eastAsia="Arial" w:hAnsi="Arial"/>
          <w:sz w:val="17"/>
          <w:szCs w:val="17"/>
          <w:color w:val="auto"/>
        </w:rPr>
        <w:t>”; and the Existing Facility Agreement, as amended, restated, amended and restated, supplemented or otherwise modified from time to time, including as amended by this Amendment, the “</w:t>
      </w:r>
      <w:r>
        <w:rPr>
          <w:rFonts w:ascii="Arial" w:cs="Arial" w:eastAsia="Arial" w:hAnsi="Arial"/>
          <w:sz w:val="17"/>
          <w:szCs w:val="17"/>
          <w:u w:val="single" w:color="auto"/>
          <w:color w:val="auto"/>
        </w:rPr>
        <w:t>Facility Agreement</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Borrowers have requested that the Agent and the Lenders agree to amend certain provisions of the Facility Agreement; and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Lenders party hereto, constituting the Majority Lenders, have agreed to amend the Existing Facility Agreement on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parties hereto hereby agree as follows:</w:t>
      </w:r>
    </w:p>
    <w:p>
      <w:pPr>
        <w:spacing w:after="0" w:line="16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Facility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satisfaction of the conditions precedent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to the following amendments to the Facility Agreement:</w:t>
      </w:r>
    </w:p>
    <w:p>
      <w:pPr>
        <w:spacing w:after="0" w:line="16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1 of the Facility Agreement is amended by adding a new Clause 1.5 as follows: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5"/>
          <w:szCs w:val="15"/>
          <w:b w:val="1"/>
          <w:bCs w:val="1"/>
          <w:color w:val="auto"/>
        </w:rPr>
        <w:t>Divisions</w:t>
      </w:r>
    </w:p>
    <w:p>
      <w:pPr>
        <w:spacing w:after="0" w:line="229"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For all purposes under the Finance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ind w:left="664" w:hanging="664"/>
        <w:spacing w:after="0"/>
        <w:tabs>
          <w:tab w:leader="none" w:pos="66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following new defined terms shall be added to Clause 1.1 of the Facility Agreement in the appropriate alphabetical order:</w:t>
      </w:r>
    </w:p>
    <w:p>
      <w:pPr>
        <w:spacing w:after="0" w:line="232" w:lineRule="exact"/>
        <w:rPr>
          <w:rFonts w:ascii="Arial" w:cs="Arial" w:eastAsia="Arial" w:hAnsi="Arial"/>
          <w:sz w:val="17"/>
          <w:szCs w:val="17"/>
          <w:color w:val="auto"/>
        </w:rPr>
      </w:pPr>
    </w:p>
    <w:p>
      <w:pPr>
        <w:ind w:left="644"/>
        <w:spacing w:after="0" w:line="282"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161" w:lineRule="exact"/>
        <w:rPr>
          <w:rFonts w:ascii="Arial" w:cs="Arial" w:eastAsia="Arial" w:hAnsi="Arial"/>
          <w:sz w:val="17"/>
          <w:szCs w:val="17"/>
          <w:color w:val="auto"/>
        </w:rPr>
      </w:pPr>
    </w:p>
    <w:p>
      <w:pPr>
        <w:ind w:left="644" w:right="4080"/>
        <w:spacing w:after="0" w:line="503"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w:t>
      </w:r>
      <w:r>
        <w:rPr>
          <w:rFonts w:ascii="Arial" w:cs="Arial" w:eastAsia="Arial" w:hAnsi="Arial"/>
          <w:sz w:val="18"/>
          <w:szCs w:val="18"/>
          <w:b w:val="1"/>
          <w:bCs w:val="1"/>
          <w:color w:val="auto"/>
        </w:rPr>
        <w:t>Bail-In Legislation”</w:t>
      </w:r>
      <w:r>
        <w:rPr>
          <w:rFonts w:ascii="Arial" w:cs="Arial" w:eastAsia="Arial" w:hAnsi="Arial"/>
          <w:sz w:val="18"/>
          <w:szCs w:val="18"/>
          <w:color w:val="auto"/>
        </w:rPr>
        <w:t xml:space="preserve"> means:</w:t>
      </w:r>
    </w:p>
    <w:p>
      <w:pPr>
        <w:ind w:left="1304" w:hanging="656"/>
        <w:spacing w:after="0" w:line="277" w:lineRule="auto"/>
        <w:tabs>
          <w:tab w:leader="none" w:pos="1304" w:val="left"/>
        </w:tabs>
        <w:numPr>
          <w:ilvl w:val="1"/>
          <w:numId w:val="4"/>
        </w:numPr>
        <w:rPr>
          <w:rFonts w:ascii="Arial" w:cs="Arial" w:eastAsia="Arial" w:hAnsi="Arial"/>
          <w:sz w:val="18"/>
          <w:szCs w:val="18"/>
          <w:color w:val="010000"/>
        </w:rPr>
      </w:pPr>
      <w:r>
        <w:rPr>
          <w:rFonts w:ascii="Arial" w:cs="Arial" w:eastAsia="Arial" w:hAnsi="Arial"/>
          <w:sz w:val="18"/>
          <w:szCs w:val="18"/>
          <w:color w:val="auto"/>
        </w:rPr>
        <w:t>in relation to an EEA Member Country that has implemented, or that at any time implements, Article 55 BRRD, the relevant implementing law or regulation as described in the EU Bail-In Legislation Schedule from time to time; and</w:t>
      </w:r>
    </w:p>
    <w:p>
      <w:pPr>
        <w:spacing w:after="0" w:line="170" w:lineRule="exact"/>
        <w:rPr>
          <w:rFonts w:ascii="Arial" w:cs="Arial" w:eastAsia="Arial" w:hAnsi="Arial"/>
          <w:sz w:val="18"/>
          <w:szCs w:val="18"/>
          <w:color w:val="010000"/>
        </w:rPr>
      </w:pPr>
    </w:p>
    <w:p>
      <w:pPr>
        <w:jc w:val="both"/>
        <w:ind w:left="1304" w:hanging="656"/>
        <w:spacing w:after="0" w:line="263" w:lineRule="auto"/>
        <w:tabs>
          <w:tab w:leader="none" w:pos="1304" w:val="left"/>
        </w:tabs>
        <w:numPr>
          <w:ilvl w:val="1"/>
          <w:numId w:val="4"/>
        </w:numPr>
        <w:rPr>
          <w:rFonts w:ascii="Arial" w:cs="Arial" w:eastAsia="Arial" w:hAnsi="Arial"/>
          <w:sz w:val="18"/>
          <w:szCs w:val="18"/>
          <w:color w:val="010000"/>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that requires contractual recognition of any Write-down and Conversion Powers contained in that law or regulation.</w:t>
      </w:r>
    </w:p>
    <w:p>
      <w:pPr>
        <w:spacing w:after="0" w:line="18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left="64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162" w:lineRule="exact"/>
        <w:rPr>
          <w:sz w:val="20"/>
          <w:szCs w:val="20"/>
          <w:color w:val="auto"/>
        </w:rPr>
      </w:pPr>
    </w:p>
    <w:p>
      <w:pPr>
        <w:ind w:left="64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Nominating Body</w:t>
      </w:r>
      <w:r>
        <w:rPr>
          <w:rFonts w:ascii="Arial" w:cs="Arial" w:eastAsia="Arial" w:hAnsi="Arial"/>
          <w:sz w:val="16"/>
          <w:szCs w:val="16"/>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1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29" w:lineRule="exact"/>
        <w:rPr>
          <w:sz w:val="20"/>
          <w:szCs w:val="20"/>
          <w:color w:val="auto"/>
        </w:rPr>
      </w:pPr>
    </w:p>
    <w:p>
      <w:pPr>
        <w:ind w:left="1304" w:hanging="656"/>
        <w:spacing w:after="0"/>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225" w:lineRule="exact"/>
        <w:rPr>
          <w:rFonts w:ascii="Arial" w:cs="Arial" w:eastAsia="Arial" w:hAnsi="Arial"/>
          <w:sz w:val="18"/>
          <w:szCs w:val="18"/>
          <w:color w:val="auto"/>
        </w:rPr>
      </w:pPr>
    </w:p>
    <w:p>
      <w:pPr>
        <w:ind w:left="1944" w:hanging="648"/>
        <w:spacing w:after="0" w:line="277" w:lineRule="auto"/>
        <w:tabs>
          <w:tab w:leader="none" w:pos="1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170" w:lineRule="exact"/>
        <w:rPr>
          <w:rFonts w:ascii="Arial" w:cs="Arial" w:eastAsia="Arial" w:hAnsi="Arial"/>
          <w:sz w:val="18"/>
          <w:szCs w:val="18"/>
          <w:color w:val="auto"/>
        </w:rPr>
      </w:pPr>
    </w:p>
    <w:p>
      <w:pPr>
        <w:ind w:left="1944" w:hanging="648"/>
        <w:spacing w:after="0"/>
        <w:tabs>
          <w:tab w:leader="none" w:pos="1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6" w:name="page7"/>
    <w:bookmarkEnd w:id="6"/>
    <w:p>
      <w:pPr>
        <w:ind w:left="180" w:right="2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70" w:lineRule="exact"/>
        <w:rPr>
          <w:sz w:val="20"/>
          <w:szCs w:val="20"/>
          <w:color w:val="auto"/>
        </w:rPr>
      </w:pPr>
    </w:p>
    <w:p>
      <w:pPr>
        <w:ind w:left="840" w:hanging="656"/>
        <w:spacing w:after="0" w:line="308"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opinion of the Agent (acting on the instructions of the Majority Lenders) and the Company, generally accepted in the international or any relevant domestic syndicated loan markets as the appropriate successor to a Screen Rate; or</w:t>
      </w:r>
    </w:p>
    <w:p>
      <w:pPr>
        <w:spacing w:after="0" w:line="146" w:lineRule="exact"/>
        <w:rPr>
          <w:rFonts w:ascii="Arial" w:cs="Arial" w:eastAsia="Arial" w:hAnsi="Arial"/>
          <w:sz w:val="17"/>
          <w:szCs w:val="17"/>
          <w:color w:val="auto"/>
        </w:rPr>
      </w:pPr>
    </w:p>
    <w:p>
      <w:pPr>
        <w:ind w:left="840" w:hanging="656"/>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opinion of the Agent (acting on the instructions of the Majority Lenders) and the Company, an appropriate successor to a Screen Rate.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Residual Specified Impairment Charges</w:t>
      </w:r>
      <w:r>
        <w:rPr>
          <w:rFonts w:ascii="Arial" w:cs="Arial" w:eastAsia="Arial" w:hAnsi="Arial"/>
          <w:sz w:val="18"/>
          <w:szCs w:val="18"/>
          <w:color w:val="auto"/>
        </w:rPr>
        <w:t>” means, for any financial quarter:</w:t>
      </w:r>
    </w:p>
    <w:p>
      <w:pPr>
        <w:spacing w:after="0" w:line="229" w:lineRule="exact"/>
        <w:rPr>
          <w:sz w:val="20"/>
          <w:szCs w:val="20"/>
          <w:color w:val="auto"/>
        </w:rPr>
      </w:pPr>
    </w:p>
    <w:p>
      <w:pPr>
        <w:ind w:left="420" w:hanging="23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$3,188,000,000, </w:t>
      </w:r>
      <w:r>
        <w:rPr>
          <w:rFonts w:ascii="Arial" w:cs="Arial" w:eastAsia="Arial" w:hAnsi="Arial"/>
          <w:sz w:val="18"/>
          <w:szCs w:val="18"/>
          <w:i w:val="1"/>
          <w:iCs w:val="1"/>
          <w:color w:val="auto"/>
        </w:rPr>
        <w:t>minus</w:t>
      </w:r>
    </w:p>
    <w:p>
      <w:pPr>
        <w:spacing w:after="0" w:line="225" w:lineRule="exact"/>
        <w:rPr>
          <w:rFonts w:ascii="Arial" w:cs="Arial" w:eastAsia="Arial" w:hAnsi="Arial"/>
          <w:sz w:val="18"/>
          <w:szCs w:val="18"/>
          <w:color w:val="auto"/>
        </w:rPr>
      </w:pPr>
    </w:p>
    <w:p>
      <w:pPr>
        <w:ind w:left="180" w:firstLine="4"/>
        <w:spacing w:after="0" w:line="342" w:lineRule="auto"/>
        <w:tabs>
          <w:tab w:leader="none" w:pos="45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increase in the goodwill of the Company (as compared to the goodwill of the Company at 31 March 2020 as reflected in the financial statements of the Company for such financial quarter delivered to the Agent pursuant to Clause 25.1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2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if the calculation of Residual Specified Impairment Charges for any financial quarter is negative, the amount of Residual Specified Impairment Charges for such financial quarter shall be deemed to be zero and (y) if, for any financial quarter, Residual Specified Impairment Charges are equal to (or deemed to be) zero, Residual Specified Impairment Charges shall be deemed to be zero for each financial quarter ending after such financial quarter.</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xml:space="preserve"> means any body that has authority to exercise any Write-down and Conversion Powers.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xml:space="preserve"> means, in relation to a Screen Rate:</w:t>
      </w:r>
    </w:p>
    <w:p>
      <w:pPr>
        <w:spacing w:after="0" w:line="229" w:lineRule="exact"/>
        <w:rPr>
          <w:sz w:val="20"/>
          <w:szCs w:val="20"/>
          <w:color w:val="auto"/>
        </w:rPr>
      </w:pPr>
    </w:p>
    <w:p>
      <w:pPr>
        <w:ind w:left="840" w:hanging="656"/>
        <w:spacing w:after="0" w:line="277" w:lineRule="auto"/>
        <w:tabs>
          <w:tab w:leader="none" w:pos="84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methodology, formula or other means of determining that Screen Rate has, in the opinion of the Agent (acting on the instruction of the Majority Lenders) and the Company, materially changed;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010000"/>
        </w:rPr>
        <w:t>(b)</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2120" w:right="20" w:hanging="640"/>
        <w:spacing w:after="0" w:line="277" w:lineRule="auto"/>
        <w:tabs>
          <w:tab w:leader="none" w:pos="2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170" w:lineRule="exact"/>
        <w:rPr>
          <w:rFonts w:ascii="Arial" w:cs="Arial" w:eastAsia="Arial" w:hAnsi="Arial"/>
          <w:sz w:val="18"/>
          <w:szCs w:val="18"/>
          <w:color w:val="auto"/>
        </w:rPr>
      </w:pPr>
    </w:p>
    <w:p>
      <w:pPr>
        <w:jc w:val="both"/>
        <w:ind w:left="2120" w:hanging="640"/>
        <w:spacing w:after="0" w:line="263" w:lineRule="auto"/>
        <w:tabs>
          <w:tab w:leader="none" w:pos="2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that reasonably confirms that the administrator of that Screen Rate is insolvent,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7" w:name="page8"/>
    <w:bookmarkEnd w:id="7"/>
    <w:p>
      <w:pPr>
        <w:ind w:left="1480"/>
        <w:spacing w:after="0"/>
        <w:rPr>
          <w:sz w:val="20"/>
          <w:szCs w:val="20"/>
          <w:color w:val="auto"/>
        </w:rPr>
      </w:pPr>
      <w:r>
        <w:rPr>
          <w:rFonts w:ascii="Arial" w:cs="Arial" w:eastAsia="Arial" w:hAnsi="Arial"/>
          <w:sz w:val="16"/>
          <w:szCs w:val="16"/>
          <w:color w:val="auto"/>
        </w:rPr>
        <w:t>provided that, in each case, at that time, there is no successor administrator to continue to provide that Screen Rate;</w:t>
      </w:r>
    </w:p>
    <w:p>
      <w:pPr>
        <w:spacing w:after="0" w:line="248" w:lineRule="exact"/>
        <w:rPr>
          <w:sz w:val="20"/>
          <w:szCs w:val="20"/>
          <w:color w:val="auto"/>
        </w:rPr>
      </w:pPr>
    </w:p>
    <w:p>
      <w:pPr>
        <w:jc w:val="both"/>
        <w:ind w:left="1480" w:hanging="648"/>
        <w:spacing w:after="0" w:line="263"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183" w:lineRule="exact"/>
        <w:rPr>
          <w:rFonts w:ascii="Arial" w:cs="Arial" w:eastAsia="Arial" w:hAnsi="Arial"/>
          <w:sz w:val="18"/>
          <w:szCs w:val="18"/>
          <w:color w:val="auto"/>
        </w:rPr>
      </w:pPr>
    </w:p>
    <w:p>
      <w:pPr>
        <w:ind w:left="1480" w:hanging="648"/>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announces that that Screen Rate may no longer be used; or</w:t>
      </w:r>
    </w:p>
    <w:p>
      <w:pPr>
        <w:spacing w:after="0" w:line="237" w:lineRule="exact"/>
        <w:rPr>
          <w:sz w:val="20"/>
          <w:szCs w:val="20"/>
          <w:color w:val="auto"/>
        </w:rPr>
      </w:pPr>
    </w:p>
    <w:p>
      <w:pPr>
        <w:ind w:left="840" w:hanging="656"/>
        <w:spacing w:after="0" w:line="277" w:lineRule="auto"/>
        <w:tabs>
          <w:tab w:leader="none" w:pos="84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in the opinion of both the Agent (acting on the instruction of the Majority Lenders) and the Company, that Screen Rate is otherwise no longer appropriate for the purposes of calculating interest under this Agreement.</w:t>
      </w:r>
    </w:p>
    <w:p>
      <w:pPr>
        <w:spacing w:after="0" w:line="166" w:lineRule="exact"/>
        <w:rPr>
          <w:sz w:val="20"/>
          <w:szCs w:val="20"/>
          <w:color w:val="auto"/>
        </w:rPr>
      </w:pPr>
    </w:p>
    <w:p>
      <w:pPr>
        <w:jc w:val="both"/>
        <w:ind w:left="18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Impairment Charges</w:t>
      </w:r>
      <w:r>
        <w:rPr>
          <w:rFonts w:ascii="Arial" w:cs="Arial" w:eastAsia="Arial" w:hAnsi="Arial"/>
          <w:sz w:val="16"/>
          <w:szCs w:val="16"/>
          <w:color w:val="auto"/>
        </w:rPr>
        <w:t>” means the goodwill impairment charges recorded by the Company during the financial quarter ended 31 March 2020 in an amount equal to $3,188,000,000, as reflected on the unaudited consolidated interim financial statements of the Company delivered to the Agent pursuant to Clause 25.1(c) (</w:t>
      </w:r>
      <w:r>
        <w:rPr>
          <w:rFonts w:ascii="Arial" w:cs="Arial" w:eastAsia="Arial" w:hAnsi="Arial"/>
          <w:sz w:val="16"/>
          <w:szCs w:val="16"/>
          <w:i w:val="1"/>
          <w:iCs w:val="1"/>
          <w:color w:val="auto"/>
        </w:rPr>
        <w:t>Financial statements</w:t>
      </w:r>
      <w:r>
        <w:rPr>
          <w:rFonts w:ascii="Arial" w:cs="Arial" w:eastAsia="Arial" w:hAnsi="Arial"/>
          <w:sz w:val="16"/>
          <w:szCs w:val="16"/>
          <w:color w:val="auto"/>
        </w:rPr>
        <w:t>) and described in Note 17 to such financial statements.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Ordinance</w:t>
      </w:r>
      <w:r>
        <w:rPr>
          <w:rFonts w:ascii="Arial" w:cs="Arial" w:eastAsia="Arial" w:hAnsi="Arial"/>
          <w:sz w:val="18"/>
          <w:szCs w:val="18"/>
          <w:color w:val="auto"/>
        </w:rPr>
        <w:t>” has the meaning given to that term in Section 14.</w:t>
      </w:r>
    </w:p>
    <w:p>
      <w:pPr>
        <w:spacing w:after="0" w:line="225" w:lineRule="exact"/>
        <w:rPr>
          <w:sz w:val="20"/>
          <w:szCs w:val="20"/>
          <w:color w:val="auto"/>
        </w:rPr>
      </w:pPr>
    </w:p>
    <w:p>
      <w:pPr>
        <w:jc w:val="both"/>
        <w:ind w:left="1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Technip Eurocash Short Term Indebtedness</w:t>
      </w:r>
      <w:r>
        <w:rPr>
          <w:rFonts w:ascii="Arial" w:cs="Arial" w:eastAsia="Arial" w:hAnsi="Arial"/>
          <w:sz w:val="17"/>
          <w:szCs w:val="17"/>
          <w:color w:val="auto"/>
        </w:rPr>
        <w:t>” means unsecured Indebtedness of Technip Eurocash consisting of (i) commercial paper or (ii) Indebtedness under any liquidity backstop facility incurred to refinance maturing commercial paper issued by Technip Eurocash, in each case to the extent due and payable by its terms within one (1) calendar year of the incurrence thereof.</w:t>
      </w:r>
    </w:p>
    <w:p>
      <w:pPr>
        <w:spacing w:after="0" w:line="158" w:lineRule="exact"/>
        <w:rPr>
          <w:sz w:val="20"/>
          <w:szCs w:val="20"/>
          <w:color w:val="auto"/>
        </w:rPr>
      </w:pPr>
    </w:p>
    <w:p>
      <w:pPr>
        <w:jc w:val="both"/>
        <w:ind w:left="180" w:firstLine="5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Bail-In Legislation</w:t>
      </w:r>
      <w:r>
        <w:rPr>
          <w:rFonts w:ascii="Arial" w:cs="Arial" w:eastAsia="Arial" w:hAnsi="Arial"/>
          <w:sz w:val="18"/>
          <w:szCs w:val="18"/>
          <w:color w:val="auto"/>
        </w:rPr>
        <w:t>” means (to the extent that the United Kingdom is not an EEA Member Country that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257175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8" w:name="page9"/>
    <w:bookmarkEnd w:id="8"/>
    <w:p>
      <w:pPr>
        <w:ind w:left="1304" w:hanging="656"/>
        <w:spacing w:after="0" w:line="277" w:lineRule="auto"/>
        <w:tabs>
          <w:tab w:leader="none" w:pos="1304"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70" w:lineRule="exact"/>
        <w:rPr>
          <w:rFonts w:ascii="Arial" w:cs="Arial" w:eastAsia="Arial" w:hAnsi="Arial"/>
          <w:sz w:val="18"/>
          <w:szCs w:val="18"/>
          <w:color w:val="010000"/>
        </w:rPr>
      </w:pPr>
    </w:p>
    <w:p>
      <w:pPr>
        <w:ind w:left="1304" w:hanging="656"/>
        <w:spacing w:after="0"/>
        <w:tabs>
          <w:tab w:leader="none" w:pos="1304"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in relation to any other applicable Bail-In Legislation:</w:t>
      </w:r>
    </w:p>
    <w:p>
      <w:pPr>
        <w:spacing w:after="0" w:line="225" w:lineRule="exact"/>
        <w:rPr>
          <w:rFonts w:ascii="Arial" w:cs="Arial" w:eastAsia="Arial" w:hAnsi="Arial"/>
          <w:sz w:val="18"/>
          <w:szCs w:val="18"/>
          <w:color w:val="010000"/>
        </w:rPr>
      </w:pPr>
    </w:p>
    <w:p>
      <w:pPr>
        <w:jc w:val="both"/>
        <w:ind w:left="1944" w:hanging="648"/>
        <w:spacing w:after="0" w:line="254" w:lineRule="auto"/>
        <w:tabs>
          <w:tab w:leader="none" w:pos="1944" w:val="left"/>
        </w:tabs>
        <w:numPr>
          <w:ilvl w:val="2"/>
          <w:numId w:val="12"/>
        </w:numPr>
        <w:rPr>
          <w:rFonts w:ascii="Arial" w:cs="Arial" w:eastAsia="Arial" w:hAnsi="Arial"/>
          <w:sz w:val="18"/>
          <w:szCs w:val="18"/>
          <w:color w:val="010000"/>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94" w:lineRule="exact"/>
        <w:rPr>
          <w:rFonts w:ascii="Arial" w:cs="Arial" w:eastAsia="Arial" w:hAnsi="Arial"/>
          <w:sz w:val="18"/>
          <w:szCs w:val="18"/>
          <w:color w:val="010000"/>
        </w:rPr>
      </w:pPr>
    </w:p>
    <w:p>
      <w:pPr>
        <w:ind w:left="1944" w:hanging="648"/>
        <w:spacing w:after="0"/>
        <w:tabs>
          <w:tab w:leader="none" w:pos="1944" w:val="left"/>
        </w:tabs>
        <w:numPr>
          <w:ilvl w:val="2"/>
          <w:numId w:val="12"/>
        </w:numPr>
        <w:rPr>
          <w:rFonts w:ascii="Arial" w:cs="Arial" w:eastAsia="Arial" w:hAnsi="Arial"/>
          <w:sz w:val="18"/>
          <w:szCs w:val="18"/>
          <w:color w:val="010000"/>
        </w:rPr>
      </w:pPr>
      <w:r>
        <w:rPr>
          <w:rFonts w:ascii="Arial" w:cs="Arial" w:eastAsia="Arial" w:hAnsi="Arial"/>
          <w:sz w:val="18"/>
          <w:szCs w:val="18"/>
          <w:color w:val="auto"/>
        </w:rPr>
        <w:t>any similar or analogous powers under that Bail-In Legislation; and</w:t>
      </w:r>
    </w:p>
    <w:p>
      <w:pPr>
        <w:spacing w:after="0" w:line="225" w:lineRule="exact"/>
        <w:rPr>
          <w:rFonts w:ascii="Arial" w:cs="Arial" w:eastAsia="Arial" w:hAnsi="Arial"/>
          <w:sz w:val="18"/>
          <w:szCs w:val="18"/>
          <w:color w:val="010000"/>
        </w:rPr>
      </w:pPr>
    </w:p>
    <w:p>
      <w:pPr>
        <w:ind w:left="1304" w:hanging="656"/>
        <w:spacing w:after="0"/>
        <w:tabs>
          <w:tab w:leader="none" w:pos="1304"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in relation to any UK Bail-In Legislation:</w:t>
      </w:r>
    </w:p>
    <w:p>
      <w:pPr>
        <w:spacing w:after="0" w:line="225" w:lineRule="exact"/>
        <w:rPr>
          <w:rFonts w:ascii="Arial" w:cs="Arial" w:eastAsia="Arial" w:hAnsi="Arial"/>
          <w:sz w:val="18"/>
          <w:szCs w:val="18"/>
          <w:color w:val="010000"/>
        </w:rPr>
      </w:pPr>
    </w:p>
    <w:p>
      <w:pPr>
        <w:jc w:val="both"/>
        <w:ind w:left="1944" w:hanging="648"/>
        <w:spacing w:after="0" w:line="254" w:lineRule="auto"/>
        <w:tabs>
          <w:tab w:leader="none" w:pos="1944" w:val="left"/>
        </w:tabs>
        <w:numPr>
          <w:ilvl w:val="2"/>
          <w:numId w:val="12"/>
        </w:numPr>
        <w:rPr>
          <w:rFonts w:ascii="Arial" w:cs="Arial" w:eastAsia="Arial" w:hAnsi="Arial"/>
          <w:sz w:val="18"/>
          <w:szCs w:val="18"/>
          <w:color w:val="010000"/>
        </w:rPr>
      </w:pPr>
      <w:r>
        <w:rPr>
          <w:rFonts w:ascii="Arial" w:cs="Arial" w:eastAsia="Arial" w:hAnsi="Arial"/>
          <w:sz w:val="18"/>
          <w:szCs w:val="18"/>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94" w:lineRule="exact"/>
        <w:rPr>
          <w:rFonts w:ascii="Arial" w:cs="Arial" w:eastAsia="Arial" w:hAnsi="Arial"/>
          <w:sz w:val="18"/>
          <w:szCs w:val="18"/>
          <w:color w:val="010000"/>
        </w:rPr>
      </w:pPr>
    </w:p>
    <w:p>
      <w:pPr>
        <w:ind w:left="1944" w:hanging="648"/>
        <w:spacing w:after="0"/>
        <w:tabs>
          <w:tab w:leader="none" w:pos="1944" w:val="left"/>
        </w:tabs>
        <w:numPr>
          <w:ilvl w:val="2"/>
          <w:numId w:val="12"/>
        </w:numPr>
        <w:rPr>
          <w:rFonts w:ascii="Arial" w:cs="Arial" w:eastAsia="Arial" w:hAnsi="Arial"/>
          <w:sz w:val="18"/>
          <w:szCs w:val="18"/>
          <w:color w:val="010000"/>
        </w:rPr>
      </w:pPr>
      <w:r>
        <w:rPr>
          <w:rFonts w:ascii="Arial" w:cs="Arial" w:eastAsia="Arial" w:hAnsi="Arial"/>
          <w:sz w:val="18"/>
          <w:szCs w:val="18"/>
          <w:color w:val="auto"/>
        </w:rPr>
        <w:t>similar or analogous powers under that UK Bail-In Legislation.</w:t>
      </w:r>
    </w:p>
    <w:p>
      <w:pPr>
        <w:spacing w:after="0" w:line="225" w:lineRule="exact"/>
        <w:rPr>
          <w:rFonts w:ascii="Arial" w:cs="Arial" w:eastAsia="Arial" w:hAnsi="Arial"/>
          <w:sz w:val="18"/>
          <w:szCs w:val="18"/>
          <w:color w:val="010000"/>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Clause 26.1 of the Facility Agreement is hereby amended by adding a new paragraph (c) as follows:</w:t>
      </w:r>
    </w:p>
    <w:p>
      <w:pPr>
        <w:spacing w:after="0" w:line="225" w:lineRule="exact"/>
        <w:rPr>
          <w:rFonts w:ascii="Arial" w:cs="Arial" w:eastAsia="Arial" w:hAnsi="Arial"/>
          <w:sz w:val="18"/>
          <w:szCs w:val="18"/>
          <w:color w:val="auto"/>
        </w:rPr>
      </w:pPr>
    </w:p>
    <w:p>
      <w:pPr>
        <w:jc w:val="both"/>
        <w:ind w:left="1304" w:hanging="656"/>
        <w:spacing w:after="0" w:line="272" w:lineRule="auto"/>
        <w:tabs>
          <w:tab w:leader="none" w:pos="1304"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Notwithstanding anything to the contrary herein, solely for purposes of calculating compliance with Clause 26.1 (and not for the purposes of (i) calculating Consolidated Net Worth under Clause 27.4 or Clause 27.5(q), (ii) measuring pro forma compliance with Clause 26.1 pursuant to Clauses 27.6(b), 27.6(c), 27.6(d) or 27.6(e) or (iii) for any other purpose hereunder), (1) Consolidated Net Worth at the end of the financial quarter ending on 30 June 2020 (as a component of Total Capitalisation) shall be increased by the amount of the Specified Impairment Charges and (2) Consolidated Net Worth at the end of each financial quarter ending thereafter (as a component of Total Capitalisation) shall be increased by the amount of the Residual Specified Impairment Charges for such financial quarter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9" w:name="page10"/>
    <w:bookmarkEnd w:id="9"/>
    <w:p>
      <w:pPr>
        <w:ind w:left="664" w:hanging="664"/>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Clause 27.4 of the Facility Agreement is hereby amended and restated in its entirety as follows:</w:t>
      </w:r>
    </w:p>
    <w:p>
      <w:pPr>
        <w:spacing w:after="0" w:line="225"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7"/>
          <w:szCs w:val="17"/>
          <w:color w:val="auto"/>
        </w:rPr>
        <w:t>The Obligors will not, and will not permit any Restricted Subsidiary to, permit the sum (without duplication) of (a) the aggregate principal amount of all Indebtedness of the Company and its Restricted Subsidiaries which is secured by a Lien permitted under Clause 27.5(q) (</w:t>
      </w:r>
      <w:r>
        <w:rPr>
          <w:rFonts w:ascii="Arial" w:cs="Arial" w:eastAsia="Arial" w:hAnsi="Arial"/>
          <w:sz w:val="17"/>
          <w:szCs w:val="17"/>
          <w:i w:val="1"/>
          <w:iCs w:val="1"/>
          <w:color w:val="auto"/>
        </w:rPr>
        <w:t>Negative pledge</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all unsecured Indebtedness of the Restricted Subsidiaries that are not Specified Obligors (other than (i) Indebtedness owing by a Restricted Subsidiary to the Company or any other Restricted Subsidiary and (ii) any Technip Eurocash Short Term Indebtedness, not to exceed $1,500,000,000 in the aggregate),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aggregate principal amount of all Indebtedness consisting of unpaid reimbursement obligations owing by the Obligors in respect of letters of credit (including Letters of Credit) or similar instruments (other than undrawn amounts under such instruments), to exceed in the aggregate 20% of Consolidated Net Worth.</w:t>
      </w:r>
    </w:p>
    <w:p>
      <w:pPr>
        <w:spacing w:after="0" w:line="178"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Clause 40.5 of the Facility Agreement is hereby amended and restated in its entirety as follows:</w:t>
      </w:r>
    </w:p>
    <w:p>
      <w:pPr>
        <w:spacing w:after="0" w:line="225" w:lineRule="exact"/>
        <w:rPr>
          <w:rFonts w:ascii="Arial" w:cs="Arial" w:eastAsia="Arial" w:hAnsi="Arial"/>
          <w:sz w:val="18"/>
          <w:szCs w:val="18"/>
          <w:color w:val="auto"/>
        </w:rPr>
      </w:pPr>
    </w:p>
    <w:p>
      <w:pPr>
        <w:ind w:left="644" w:right="20"/>
        <w:spacing w:after="0" w:line="277" w:lineRule="auto"/>
        <w:rPr>
          <w:rFonts w:ascii="Arial" w:cs="Arial" w:eastAsia="Arial" w:hAnsi="Arial"/>
          <w:sz w:val="18"/>
          <w:szCs w:val="18"/>
          <w:color w:val="auto"/>
        </w:rPr>
      </w:pPr>
      <w:r>
        <w:rPr>
          <w:rFonts w:ascii="Arial" w:cs="Arial" w:eastAsia="Arial" w:hAnsi="Arial"/>
          <w:sz w:val="18"/>
          <w:szCs w:val="18"/>
          <w:color w:val="auto"/>
        </w:rPr>
        <w:t>Subject to Clause 40.4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any Screen Rate for a currency that can be selected for a Loan, any amendment or waiver that relates to:</w:t>
      </w:r>
    </w:p>
    <w:p>
      <w:pPr>
        <w:spacing w:after="0" w:line="170" w:lineRule="exact"/>
        <w:rPr>
          <w:rFonts w:ascii="Arial" w:cs="Arial" w:eastAsia="Arial" w:hAnsi="Arial"/>
          <w:sz w:val="18"/>
          <w:szCs w:val="18"/>
          <w:color w:val="auto"/>
        </w:rPr>
      </w:pPr>
    </w:p>
    <w:p>
      <w:pPr>
        <w:ind w:left="1944" w:hanging="648"/>
        <w:spacing w:after="0" w:line="277" w:lineRule="auto"/>
        <w:tabs>
          <w:tab w:leader="none" w:pos="19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relation to that currency in place of the affected Screen Rate (including without limitation);</w:t>
      </w:r>
    </w:p>
    <w:p>
      <w:pPr>
        <w:spacing w:after="0" w:line="170" w:lineRule="exact"/>
        <w:rPr>
          <w:rFonts w:ascii="Arial" w:cs="Arial" w:eastAsia="Arial" w:hAnsi="Arial"/>
          <w:sz w:val="18"/>
          <w:szCs w:val="18"/>
          <w:color w:val="auto"/>
        </w:rPr>
      </w:pPr>
    </w:p>
    <w:p>
      <w:pPr>
        <w:ind w:left="1944" w:hanging="648"/>
        <w:spacing w:after="0"/>
        <w:tabs>
          <w:tab w:leader="none" w:pos="19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25" w:lineRule="exact"/>
        <w:rPr>
          <w:rFonts w:ascii="Arial" w:cs="Arial" w:eastAsia="Arial" w:hAnsi="Arial"/>
          <w:sz w:val="18"/>
          <w:szCs w:val="18"/>
          <w:color w:val="auto"/>
        </w:rPr>
      </w:pPr>
    </w:p>
    <w:p>
      <w:pPr>
        <w:jc w:val="both"/>
        <w:ind w:left="1944" w:hanging="648"/>
        <w:spacing w:after="0" w:line="263" w:lineRule="auto"/>
        <w:tabs>
          <w:tab w:leader="none" w:pos="19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3" w:lineRule="exact"/>
        <w:rPr>
          <w:rFonts w:ascii="Arial" w:cs="Arial" w:eastAsia="Arial" w:hAnsi="Arial"/>
          <w:sz w:val="18"/>
          <w:szCs w:val="18"/>
          <w:color w:val="auto"/>
        </w:rPr>
      </w:pPr>
    </w:p>
    <w:p>
      <w:pPr>
        <w:ind w:left="1944" w:hanging="648"/>
        <w:spacing w:after="0"/>
        <w:tabs>
          <w:tab w:leader="none" w:pos="19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0" w:name="page11"/>
    <w:bookmarkEnd w:id="10"/>
    <w:p>
      <w:pPr>
        <w:jc w:val="both"/>
        <w:ind w:left="1944" w:hanging="648"/>
        <w:spacing w:after="0" w:line="301" w:lineRule="auto"/>
        <w:tabs>
          <w:tab w:leader="none" w:pos="19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Company.</w:t>
      </w:r>
    </w:p>
    <w:p>
      <w:pPr>
        <w:spacing w:after="0" w:line="225" w:lineRule="exact"/>
        <w:rPr>
          <w:sz w:val="20"/>
          <w:szCs w:val="20"/>
          <w:color w:val="auto"/>
        </w:rPr>
      </w:pPr>
    </w:p>
    <w:p>
      <w:pPr>
        <w:ind w:left="684" w:hanging="684"/>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Section 13 of the Facility Agreement shall be added as follows:</w:t>
      </w:r>
    </w:p>
    <w:p>
      <w:pPr>
        <w:spacing w:after="0" w:line="22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SECTION 13</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CONTRACTUAL RECOGNITION OF BAIL-IN</w:t>
      </w:r>
    </w:p>
    <w:p>
      <w:pPr>
        <w:spacing w:after="0" w:line="211"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87" w:lineRule="exact"/>
        <w:rPr>
          <w:sz w:val="20"/>
          <w:szCs w:val="20"/>
          <w:color w:val="auto"/>
        </w:rPr>
      </w:pPr>
    </w:p>
    <w:p>
      <w:pPr>
        <w:ind w:left="1944" w:hanging="648"/>
        <w:spacing w:after="0"/>
        <w:tabs>
          <w:tab w:leader="none" w:pos="19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rFonts w:ascii="Arial" w:cs="Arial" w:eastAsia="Arial" w:hAnsi="Arial"/>
          <w:sz w:val="18"/>
          <w:szCs w:val="18"/>
          <w:color w:val="auto"/>
        </w:rPr>
      </w:pPr>
    </w:p>
    <w:p>
      <w:pPr>
        <w:ind w:left="2584" w:hanging="640"/>
        <w:spacing w:after="0" w:line="277" w:lineRule="auto"/>
        <w:tabs>
          <w:tab w:leader="none" w:pos="258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rFonts w:ascii="Arial" w:cs="Arial" w:eastAsia="Arial" w:hAnsi="Arial"/>
          <w:sz w:val="18"/>
          <w:szCs w:val="18"/>
          <w:color w:val="auto"/>
        </w:rPr>
      </w:pPr>
    </w:p>
    <w:p>
      <w:pPr>
        <w:ind w:left="2584" w:hanging="640"/>
        <w:spacing w:after="0" w:line="277" w:lineRule="auto"/>
        <w:tabs>
          <w:tab w:leader="none" w:pos="258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70" w:lineRule="exact"/>
        <w:rPr>
          <w:rFonts w:ascii="Arial" w:cs="Arial" w:eastAsia="Arial" w:hAnsi="Arial"/>
          <w:sz w:val="18"/>
          <w:szCs w:val="18"/>
          <w:color w:val="auto"/>
        </w:rPr>
      </w:pPr>
    </w:p>
    <w:p>
      <w:pPr>
        <w:ind w:left="2584" w:hanging="640"/>
        <w:spacing w:after="0"/>
        <w:tabs>
          <w:tab w:leader="none" w:pos="258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1944" w:right="20" w:hanging="648"/>
        <w:spacing w:after="0" w:line="277" w:lineRule="auto"/>
        <w:tabs>
          <w:tab w:leader="none" w:pos="19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Section 14 of the Facility Agreement shall be added as follows:</w:t>
      </w:r>
    </w:p>
    <w:p>
      <w:pPr>
        <w:spacing w:after="0" w:line="221"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SECTION 14</w:t>
      </w:r>
    </w:p>
    <w:p>
      <w:pPr>
        <w:spacing w:after="0" w:line="2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WAIVER OF ORDINANCE N° 2020-306</w:t>
      </w:r>
    </w:p>
    <w:p>
      <w:pPr>
        <w:spacing w:after="0" w:line="211" w:lineRule="exact"/>
        <w:rPr>
          <w:sz w:val="20"/>
          <w:szCs w:val="20"/>
          <w:color w:val="auto"/>
        </w:rPr>
      </w:pPr>
    </w:p>
    <w:p>
      <w:pPr>
        <w:jc w:val="both"/>
        <w:ind w:left="644"/>
        <w:spacing w:after="0" w:line="275" w:lineRule="auto"/>
        <w:rPr>
          <w:sz w:val="20"/>
          <w:szCs w:val="20"/>
          <w:color w:val="auto"/>
        </w:rPr>
      </w:pPr>
      <w:r>
        <w:rPr>
          <w:rFonts w:ascii="Arial" w:cs="Arial" w:eastAsia="Arial" w:hAnsi="Arial"/>
          <w:sz w:val="17"/>
          <w:szCs w:val="17"/>
          <w:color w:val="auto"/>
        </w:rPr>
        <w:t>To the extent they can legally do so and so far these provisions would become applicable to this Agreement, the parties hereto expressly agree to waive the application of, and any remedies under, the provisions of French Ordinance n° 2020-306 of 25 March 2020 (as supplemented by Ordinance n° 2020-427 of 15 April 2020, and as may be further supplemented from time to time) (the “</w:t>
      </w:r>
      <w:r>
        <w:rPr>
          <w:rFonts w:ascii="Arial" w:cs="Arial" w:eastAsia="Arial" w:hAnsi="Arial"/>
          <w:sz w:val="17"/>
          <w:szCs w:val="17"/>
          <w:b w:val="1"/>
          <w:bCs w:val="1"/>
          <w:color w:val="auto"/>
        </w:rPr>
        <w:t>Subject</w:t>
      </w:r>
      <w:r>
        <w:rPr>
          <w:rFonts w:ascii="Arial" w:cs="Arial" w:eastAsia="Arial" w:hAnsi="Arial"/>
          <w:sz w:val="17"/>
          <w:szCs w:val="17"/>
          <w:color w:val="auto"/>
        </w:rPr>
        <w:t xml:space="preserve"> </w:t>
      </w:r>
      <w:r>
        <w:rPr>
          <w:rFonts w:ascii="Arial" w:cs="Arial" w:eastAsia="Arial" w:hAnsi="Arial"/>
          <w:sz w:val="17"/>
          <w:szCs w:val="17"/>
          <w:b w:val="1"/>
          <w:bCs w:val="1"/>
          <w:color w:val="auto"/>
        </w:rPr>
        <w:t>Ordinance</w:t>
      </w:r>
      <w:r>
        <w:rPr>
          <w:rFonts w:ascii="Arial" w:cs="Arial" w:eastAsia="Arial" w:hAnsi="Arial"/>
          <w:sz w:val="17"/>
          <w:szCs w:val="17"/>
          <w:color w:val="auto"/>
        </w:rPr>
        <w:t>”) suspending the legal effect of any penalty clause, termination clause or suspension of right clause during the COVID-19</w:t>
      </w:r>
      <w:r>
        <w:rPr>
          <w:rFonts w:ascii="Arial" w:cs="Arial" w:eastAsia="Arial" w:hAnsi="Arial"/>
          <w:sz w:val="17"/>
          <w:szCs w:val="17"/>
          <w:b w:val="1"/>
          <w:bCs w:val="1"/>
          <w:color w:val="auto"/>
        </w:rPr>
        <w:t xml:space="preserve"> </w:t>
      </w:r>
      <w:r>
        <w:rPr>
          <w:rFonts w:ascii="Arial" w:cs="Arial" w:eastAsia="Arial" w:hAnsi="Arial"/>
          <w:sz w:val="17"/>
          <w:szCs w:val="17"/>
          <w:color w:val="auto"/>
        </w:rPr>
        <w:t>sanitary period (including any extension thereof), pursuant to Article 4 of the Subject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223520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1" w:name="page12"/>
    <w:bookmarkEnd w:id="11"/>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on the date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of the following conditions is satisfied (or waived in accordance with Clause 40 of the Facility Agreement):</w:t>
      </w:r>
    </w:p>
    <w:p>
      <w:pPr>
        <w:spacing w:after="0" w:line="166" w:lineRule="exact"/>
        <w:rPr>
          <w:sz w:val="20"/>
          <w:szCs w:val="20"/>
          <w:color w:val="auto"/>
        </w:rPr>
      </w:pPr>
    </w:p>
    <w:p>
      <w:pPr>
        <w:ind w:left="1380" w:hanging="724"/>
        <w:spacing w:after="0"/>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Agent shall have received counterparts to this Amendment, duly executed by each Borrower and Lenders constituting the Majority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jc w:val="both"/>
        <w:ind w:right="20" w:firstLine="656"/>
        <w:spacing w:after="0" w:line="263"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Borrowers shall have paid, to the extent invoiced prior to the Amendment No. 1 Effective Date, all out-of-pocket expenses required to be reimbursed or paid by the Borrowers pursuant to the Facility Amendment or any other Finance Document (including, without limitation, the fees and expenses of Sidley Austin LLP, counsel to the Agent).</w:t>
      </w:r>
    </w:p>
    <w:p>
      <w:pPr>
        <w:spacing w:after="0" w:line="183" w:lineRule="exact"/>
        <w:rPr>
          <w:rFonts w:ascii="Arial" w:cs="Arial" w:eastAsia="Arial" w:hAnsi="Arial"/>
          <w:sz w:val="18"/>
          <w:szCs w:val="18"/>
          <w:color w:val="auto"/>
        </w:rPr>
      </w:pPr>
    </w:p>
    <w:p>
      <w:pPr>
        <w:ind w:firstLine="656"/>
        <w:spacing w:after="0" w:line="277" w:lineRule="auto"/>
        <w:tabs>
          <w:tab w:leader="none" w:pos="13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Agent shall have received all fees required to be paid pursuant to that certain Fee Letter, dated as of the date hereof, by and among the Borrowers and the Agent.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3 hereof shall be true and correct.</w:t>
      </w:r>
    </w:p>
    <w:p>
      <w:pPr>
        <w:spacing w:after="0" w:line="22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Representations and Warranties of Borrowers</w:t>
      </w:r>
      <w:r>
        <w:rPr>
          <w:rFonts w:ascii="Arial" w:cs="Arial" w:eastAsia="Arial" w:hAnsi="Arial"/>
          <w:sz w:val="16"/>
          <w:szCs w:val="16"/>
          <w:color w:val="auto"/>
        </w:rPr>
        <w:t>. Each Borrower hereby represents and warrants as follows:</w:t>
      </w:r>
    </w:p>
    <w:p>
      <w:pPr>
        <w:spacing w:after="0" w:line="22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prior to and after giving effect to this Amendment, no Default shall have occurred and be continuing.</w:t>
      </w:r>
    </w:p>
    <w:p>
      <w:pPr>
        <w:spacing w:after="0" w:line="225" w:lineRule="exact"/>
        <w:rPr>
          <w:rFonts w:ascii="Arial" w:cs="Arial" w:eastAsia="Arial" w:hAnsi="Arial"/>
          <w:sz w:val="18"/>
          <w:szCs w:val="18"/>
          <w:color w:val="auto"/>
        </w:rPr>
      </w:pPr>
    </w:p>
    <w:p>
      <w:pPr>
        <w:ind w:firstLine="656"/>
        <w:spacing w:after="0" w:line="277" w:lineRule="auto"/>
        <w:tabs>
          <w:tab w:leader="none" w:pos="14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Borrower has the power to enter into, deliver and perform, and has taken all necessary action to authorise the entry into and performance of, this Amendment and the transactions contemplated by this Amendment.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6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14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Effect on Facility Agreement; Ratification</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277" w:lineRule="auto"/>
        <w:tabs>
          <w:tab w:leader="none" w:pos="13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effectiveness of this Amendment, each reference in the Finance Documents to the “Agreement” or the “Facility Agreement” shall mean and be a reference to the Facility Agreement, as amended and modified hereby.</w:t>
      </w:r>
    </w:p>
    <w:p>
      <w:pPr>
        <w:spacing w:after="0" w:line="170" w:lineRule="exact"/>
        <w:rPr>
          <w:rFonts w:ascii="Arial" w:cs="Arial" w:eastAsia="Arial" w:hAnsi="Arial"/>
          <w:sz w:val="18"/>
          <w:szCs w:val="18"/>
          <w:color w:val="auto"/>
        </w:rPr>
      </w:pPr>
    </w:p>
    <w:p>
      <w:pPr>
        <w:ind w:firstLine="656"/>
        <w:spacing w:after="0" w:line="342" w:lineRule="auto"/>
        <w:tabs>
          <w:tab w:leader="none" w:pos="13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specifically amended and modified above, the Facility Agreement, the other Finance Documents, and all other documents, instruments and agreements executed and/or delivered in connection therewith shall remain in full force and effect, and are hereby ratified and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56"/>
        <w:spacing w:after="0" w:line="263" w:lineRule="auto"/>
        <w:tabs>
          <w:tab w:leader="none" w:pos="1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except as expressly provided herein, neither operate as a waiver of any right, power or remedy of the Agent or any Lender, nor constitute a waiver of any provision of the Facility Agreement, any other Finance Document or any other documents, instruments and agreements executed and/or delivered in connection therewith.</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any non-contractual obligations arising out of or in connection with it are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English law.</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are for ease of reference only. If any provision of this Amendment is or becomes invalid,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in any respect under any law the validity, legality or enforceability of the remaining provisions shall not be affected or impaired in any way.</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No Novation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to this Amendment confirms that the amendment of the Facility Agreement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not constitute a novation of the Facility Agreement.</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Further Assurance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shall, at the request of the Agent and at its own expense, do all such acts and things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to give effect to the amendments effected or to be effected pursuant to this Amendment.</w:t>
      </w:r>
    </w:p>
    <w:p>
      <w:pPr>
        <w:spacing w:after="0" w:line="16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counterparts, and this has the same effect as if the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counterparts were on a single copy of the Amendment. Delivery of an executed counterpart of a signature page of this Amendment by facsimile, e-mailed .pdf or any other electronic means that reproduces an image of the actual executed signature page shall be effective as delivery of a manually executed counterpart of this Amendment.</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229"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(a) may be modified or amended only in accordance with the Facility Agreement and (b) shall constitute a Finance Document for all purposes of the Facility Agreement and the other Finance Documents.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provisions of clauses 1.2 (</w:t>
      </w:r>
      <w:r>
        <w:rPr>
          <w:rFonts w:ascii="Arial" w:cs="Arial" w:eastAsia="Arial" w:hAnsi="Arial"/>
          <w:sz w:val="17"/>
          <w:szCs w:val="17"/>
          <w:i w:val="1"/>
          <w:iCs w:val="1"/>
          <w:color w:val="auto"/>
        </w:rPr>
        <w:t>Construction</w:t>
      </w:r>
      <w:r>
        <w:rPr>
          <w:rFonts w:ascii="Arial" w:cs="Arial" w:eastAsia="Arial" w:hAnsi="Arial"/>
          <w:sz w:val="17"/>
          <w:szCs w:val="17"/>
          <w:color w:val="auto"/>
        </w:rPr>
        <w:t>), 1.4 (</w:t>
      </w:r>
      <w:r>
        <w:rPr>
          <w:rFonts w:ascii="Arial" w:cs="Arial" w:eastAsia="Arial" w:hAnsi="Arial"/>
          <w:sz w:val="17"/>
          <w:szCs w:val="17"/>
          <w:i w:val="1"/>
          <w:iCs w:val="1"/>
          <w:color w:val="auto"/>
        </w:rPr>
        <w:t>Third party rights</w:t>
      </w:r>
      <w:r>
        <w:rPr>
          <w:rFonts w:ascii="Arial" w:cs="Arial" w:eastAsia="Arial" w:hAnsi="Arial"/>
          <w:sz w:val="17"/>
          <w:szCs w:val="17"/>
          <w:color w:val="auto"/>
        </w:rPr>
        <w:t>) 36 (</w:t>
      </w:r>
      <w:r>
        <w:rPr>
          <w:rFonts w:ascii="Arial" w:cs="Arial" w:eastAsia="Arial" w:hAnsi="Arial"/>
          <w:sz w:val="17"/>
          <w:szCs w:val="17"/>
          <w:i w:val="1"/>
          <w:iCs w:val="1"/>
          <w:color w:val="auto"/>
        </w:rPr>
        <w:t>Notices</w:t>
      </w:r>
      <w:r>
        <w:rPr>
          <w:rFonts w:ascii="Arial" w:cs="Arial" w:eastAsia="Arial" w:hAnsi="Arial"/>
          <w:sz w:val="17"/>
          <w:szCs w:val="17"/>
          <w:color w:val="auto"/>
        </w:rPr>
        <w:t>), clause 38 (</w:t>
      </w:r>
      <w:r>
        <w:rPr>
          <w:rFonts w:ascii="Arial" w:cs="Arial" w:eastAsia="Arial" w:hAnsi="Arial"/>
          <w:sz w:val="17"/>
          <w:szCs w:val="17"/>
          <w:i w:val="1"/>
          <w:iCs w:val="1"/>
          <w:color w:val="auto"/>
        </w:rPr>
        <w:t>Partial Invalidity</w:t>
      </w:r>
      <w:r>
        <w:rPr>
          <w:rFonts w:ascii="Arial" w:cs="Arial" w:eastAsia="Arial" w:hAnsi="Arial"/>
          <w:sz w:val="17"/>
          <w:szCs w:val="17"/>
          <w:color w:val="auto"/>
        </w:rPr>
        <w:t>) clause 39 (</w:t>
      </w:r>
      <w:r>
        <w:rPr>
          <w:rFonts w:ascii="Arial" w:cs="Arial" w:eastAsia="Arial" w:hAnsi="Arial"/>
          <w:sz w:val="17"/>
          <w:szCs w:val="17"/>
          <w:i w:val="1"/>
          <w:iCs w:val="1"/>
          <w:color w:val="auto"/>
        </w:rPr>
        <w:t>Remedies and</w:t>
      </w:r>
      <w:r>
        <w:rPr>
          <w:rFonts w:ascii="Arial" w:cs="Arial" w:eastAsia="Arial" w:hAnsi="Arial"/>
          <w:sz w:val="17"/>
          <w:szCs w:val="17"/>
          <w:color w:val="auto"/>
        </w:rPr>
        <w:t xml:space="preserve"> </w:t>
      </w:r>
      <w:r>
        <w:rPr>
          <w:rFonts w:ascii="Arial" w:cs="Arial" w:eastAsia="Arial" w:hAnsi="Arial"/>
          <w:sz w:val="17"/>
          <w:szCs w:val="17"/>
          <w:i w:val="1"/>
          <w:iCs w:val="1"/>
          <w:color w:val="auto"/>
        </w:rPr>
        <w:t>Waivers</w:t>
      </w:r>
      <w:r>
        <w:rPr>
          <w:rFonts w:ascii="Arial" w:cs="Arial" w:eastAsia="Arial" w:hAnsi="Arial"/>
          <w:sz w:val="17"/>
          <w:szCs w:val="17"/>
          <w:color w:val="auto"/>
        </w:rPr>
        <w:t>) and clause 47 (</w:t>
      </w:r>
      <w:r>
        <w:rPr>
          <w:rFonts w:ascii="Arial" w:cs="Arial" w:eastAsia="Arial" w:hAnsi="Arial"/>
          <w:sz w:val="17"/>
          <w:szCs w:val="17"/>
          <w:i w:val="1"/>
          <w:iCs w:val="1"/>
          <w:color w:val="auto"/>
        </w:rPr>
        <w:t>Enforcement</w:t>
      </w:r>
      <w:r>
        <w:rPr>
          <w:rFonts w:ascii="Arial" w:cs="Arial" w:eastAsia="Arial" w:hAnsi="Arial"/>
          <w:sz w:val="17"/>
          <w:szCs w:val="17"/>
          <w:color w:val="auto"/>
        </w:rPr>
        <w:t>) of the Facility Agreement shall be incorporated into this Amendment as if set out in full in this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as if references in those clauses to “this Agreement” or “the Finance Documents” are references to this Amendment.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 WITNESS WHEREOF, this Amendment has been duly executed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TECHNIPFMC PLC</w:t>
      </w:r>
      <w:r>
        <w:rPr>
          <w:rFonts w:ascii="Arial" w:cs="Arial" w:eastAsia="Arial" w:hAnsi="Arial"/>
          <w:sz w:val="18"/>
          <w:szCs w:val="18"/>
          <w:color w:val="auto"/>
        </w:rPr>
        <w:t>, as a Borrower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FMC TECHNOLOGIES, INC.</w:t>
      </w:r>
      <w:r>
        <w:rPr>
          <w:rFonts w:ascii="Arial" w:cs="Arial" w:eastAsia="Arial" w:hAnsi="Arial"/>
          <w:sz w:val="17"/>
          <w:szCs w:val="17"/>
          <w:color w:val="auto"/>
        </w:rPr>
        <w:t>, as a Borrower</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TECHNIP EUROCASH SNC</w:t>
      </w:r>
      <w:r>
        <w:rPr>
          <w:rFonts w:ascii="Arial" w:cs="Arial" w:eastAsia="Arial" w:hAnsi="Arial"/>
          <w:sz w:val="17"/>
          <w:szCs w:val="17"/>
          <w:color w:val="auto"/>
        </w:rPr>
        <w:t>, as a Borrower</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Agnès Brault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Agnès Brault</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247015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 as Agent and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Anson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Anson Williams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7"/>
          <w:szCs w:val="17"/>
          <w:b w:val="1"/>
          <w:bCs w:val="1"/>
          <w:color w:val="auto"/>
        </w:rPr>
        <w:t>SOCIÉTÉ GÉNÉRALE</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John Hogan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Lender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Raza Jafferi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Raza Jafferi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BNPP</w:t>
      </w:r>
      <w:r>
        <w:rPr>
          <w:rFonts w:ascii="Arial" w:cs="Arial" w:eastAsia="Arial" w:hAnsi="Arial"/>
          <w:sz w:val="18"/>
          <w:szCs w:val="18"/>
          <w:color w:val="auto"/>
        </w:rPr>
        <w:t>, as a Lender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Thomas Taffin de Tilques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Thomas Taffin de Tilques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Corporate Coverage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Benjamin Binetter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Benjamin Binetter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IG Finance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4520"/>
        <w:spacing w:after="0" w:line="282" w:lineRule="auto"/>
        <w:rPr>
          <w:sz w:val="20"/>
          <w:szCs w:val="20"/>
          <w:color w:val="auto"/>
        </w:rPr>
      </w:pPr>
      <w:r>
        <w:rPr>
          <w:rFonts w:ascii="Arial" w:cs="Arial" w:eastAsia="Arial" w:hAnsi="Arial"/>
          <w:sz w:val="18"/>
          <w:szCs w:val="18"/>
          <w:b w:val="1"/>
          <w:bCs w:val="1"/>
          <w:color w:val="auto"/>
        </w:rPr>
        <w:t>CREDIT AGRICOLE CORPORATE AND INVESTMENT BANK</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Nicolas Penhouet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Nicolas Penhouet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DOD 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Jérôme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Jérôme Bernard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Banker</w:t>
      </w:r>
    </w:p>
    <w:p>
      <w:pPr>
        <w:spacing w:after="0" w:line="21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121" w:right="419" w:bottom="1440" w:gutter="0" w:footer="0" w:header="0"/>
        </w:sectPr>
      </w:pPr>
    </w:p>
    <w:bookmarkStart w:id="19" w:name="page20"/>
    <w:bookmarkEnd w:id="19"/>
    <w:p>
      <w:pPr>
        <w:ind w:left="4520"/>
        <w:spacing w:after="0" w:line="282" w:lineRule="auto"/>
        <w:rPr>
          <w:sz w:val="20"/>
          <w:szCs w:val="20"/>
          <w:color w:val="auto"/>
        </w:rPr>
      </w:pPr>
      <w:r>
        <w:rPr>
          <w:rFonts w:ascii="Arial" w:cs="Arial" w:eastAsia="Arial" w:hAnsi="Arial"/>
          <w:sz w:val="18"/>
          <w:szCs w:val="18"/>
          <w:b w:val="1"/>
          <w:bCs w:val="1"/>
          <w:color w:val="auto"/>
        </w:rPr>
        <w:t>Sumitomo Mitsui Banking Corporation Europe Limited, Paris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a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Benoit Buret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Benoit Duret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French Corporates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Sebastien Valy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Sebastien Valy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Credit</w:t>
      </w:r>
    </w:p>
    <w:p>
      <w:pPr>
        <w:spacing w:after="0" w:line="242"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20" w:name="page21"/>
    <w:bookmarkEnd w:id="20"/>
    <w:p>
      <w:pPr>
        <w:ind w:left="4520"/>
        <w:spacing w:after="0"/>
        <w:rPr>
          <w:sz w:val="20"/>
          <w:szCs w:val="20"/>
          <w:color w:val="auto"/>
        </w:rPr>
      </w:pPr>
      <w:r>
        <w:rPr>
          <w:rFonts w:ascii="Arial" w:cs="Arial" w:eastAsia="Arial" w:hAnsi="Arial"/>
          <w:sz w:val="16"/>
          <w:szCs w:val="16"/>
          <w:b w:val="1"/>
          <w:bCs w:val="1"/>
          <w:color w:val="auto"/>
        </w:rPr>
        <w:t>MUFG Bank, Ltd.</w:t>
      </w:r>
      <w:r>
        <w:rPr>
          <w:rFonts w:ascii="Arial" w:cs="Arial" w:eastAsia="Arial" w:hAnsi="Arial"/>
          <w:sz w:val="16"/>
          <w:szCs w:val="16"/>
          <w:color w:val="auto"/>
        </w:rPr>
        <w:t>, as a Lender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Koichi Fujisawa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Koichi Fujisawa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Manager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16"/>
          <w:szCs w:val="16"/>
          <w:b w:val="1"/>
          <w:bCs w:val="1"/>
          <w:color w:val="auto"/>
        </w:rPr>
        <w:t>Wells Fargo Bank International UC</w:t>
      </w:r>
      <w:r>
        <w:rPr>
          <w:rFonts w:ascii="Arial" w:cs="Arial" w:eastAsia="Arial" w:hAnsi="Arial"/>
          <w:sz w:val="16"/>
          <w:szCs w:val="16"/>
          <w:color w:val="auto"/>
        </w:rPr>
        <w:t>, as a Lender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Oisín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Oisín Kelly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Corporate Banking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452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Lender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Grischa Wenzeler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Grischa Wenzeler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7"/>
          <w:szCs w:val="17"/>
          <w:b w:val="1"/>
          <w:bCs w:val="1"/>
          <w:color w:val="auto"/>
        </w:rPr>
        <w:t>CITIBANK EUROPE PLC</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Andrew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Andrew Mason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2260" w:type="dxa"/>
            <w:vAlign w:val="bottom"/>
            <w:gridSpan w:val="2"/>
          </w:tcPr>
          <w:p>
            <w:pPr>
              <w:spacing w:after="0"/>
              <w:rPr>
                <w:sz w:val="20"/>
                <w:szCs w:val="20"/>
                <w:color w:val="auto"/>
              </w:rPr>
            </w:pPr>
            <w:r>
              <w:rPr>
                <w:rFonts w:ascii="Arial" w:cs="Arial" w:eastAsia="Arial" w:hAnsi="Arial"/>
                <w:sz w:val="18"/>
                <w:szCs w:val="18"/>
                <w:color w:val="auto"/>
              </w:rPr>
              <w:t>By: /s/ Sina Jabbar</w:t>
            </w:r>
          </w:p>
        </w:tc>
        <w:tc>
          <w:tcPr>
            <w:tcW w:w="3340" w:type="dxa"/>
            <w:vAlign w:val="bottom"/>
          </w:tcPr>
          <w:p>
            <w:pPr>
              <w:ind w:left="540"/>
              <w:spacing w:after="0"/>
              <w:rPr>
                <w:sz w:val="20"/>
                <w:szCs w:val="20"/>
                <w:color w:val="auto"/>
              </w:rPr>
            </w:pPr>
            <w:r>
              <w:rPr>
                <w:rFonts w:ascii="Arial" w:cs="Arial" w:eastAsia="Arial" w:hAnsi="Arial"/>
                <w:sz w:val="18"/>
                <w:szCs w:val="18"/>
                <w:color w:val="auto"/>
              </w:rPr>
              <w:t>Franz-Josef Ewerhardy</w:t>
            </w:r>
          </w:p>
        </w:tc>
      </w:tr>
      <w:tr>
        <w:trPr>
          <w:trHeight w:val="202"/>
        </w:trPr>
        <w:tc>
          <w:tcPr>
            <w:tcW w:w="320" w:type="dxa"/>
            <w:vAlign w:val="bottom"/>
          </w:tcPr>
          <w:p>
            <w:pPr>
              <w:spacing w:after="0"/>
              <w:rPr>
                <w:sz w:val="17"/>
                <w:szCs w:val="17"/>
                <w:color w:val="auto"/>
              </w:rPr>
            </w:pPr>
          </w:p>
        </w:tc>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Sina Jabbar</w:t>
            </w:r>
          </w:p>
        </w:tc>
        <w:tc>
          <w:tcPr>
            <w:tcW w:w="3340" w:type="dxa"/>
            <w:vAlign w:val="bottom"/>
            <w:tcBorders>
              <w:top w:val="single" w:sz="8" w:color="auto"/>
            </w:tcBorders>
          </w:tcPr>
          <w:p>
            <w:pPr>
              <w:ind w:left="540"/>
              <w:spacing w:after="0" w:line="201" w:lineRule="exact"/>
              <w:rPr>
                <w:sz w:val="20"/>
                <w:szCs w:val="20"/>
                <w:color w:val="auto"/>
              </w:rPr>
            </w:pPr>
            <w:r>
              <w:rPr>
                <w:rFonts w:ascii="Arial" w:cs="Arial" w:eastAsia="Arial" w:hAnsi="Arial"/>
                <w:sz w:val="18"/>
                <w:szCs w:val="18"/>
                <w:color w:val="auto"/>
              </w:rPr>
              <w:t>Franz-Josef Ewerhardy</w:t>
            </w:r>
          </w:p>
        </w:tc>
      </w:tr>
      <w:tr>
        <w:trPr>
          <w:trHeight w:val="230"/>
        </w:trPr>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spacing w:after="0"/>
              <w:rPr>
                <w:sz w:val="20"/>
                <w:szCs w:val="20"/>
                <w:color w:val="auto"/>
              </w:rPr>
            </w:pPr>
          </w:p>
        </w:tc>
      </w:tr>
    </w:tbl>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 w:name="page26"/>
    <w:bookmarkEnd w:id="25"/>
    <w:tbl>
      <w:tblPr>
        <w:tblLayout w:type="fixed"/>
        <w:tblInd w:w="4520" w:type="dxa"/>
        <w:tblCellMar>
          <w:top w:w="0" w:type="dxa"/>
          <w:left w:w="0" w:type="dxa"/>
          <w:bottom w:w="0" w:type="dxa"/>
          <w:right w:w="0" w:type="dxa"/>
        </w:tblCellMar>
      </w:tblP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HSBC France</w:t>
            </w:r>
            <w:r>
              <w:rPr>
                <w:rFonts w:ascii="Arial" w:cs="Arial" w:eastAsia="Arial" w:hAnsi="Arial"/>
                <w:sz w:val="18"/>
                <w:szCs w:val="18"/>
                <w:color w:val="auto"/>
              </w:rPr>
              <w:t>, as a Lender</w:t>
            </w:r>
          </w:p>
        </w:tc>
        <w:tc>
          <w:tcPr>
            <w:tcW w:w="3020" w:type="dxa"/>
            <w:vAlign w:val="bottom"/>
          </w:tcPr>
          <w:p>
            <w:pPr>
              <w:spacing w:after="0"/>
              <w:rPr>
                <w:sz w:val="20"/>
                <w:szCs w:val="20"/>
                <w:color w:val="auto"/>
              </w:rPr>
            </w:pPr>
          </w:p>
        </w:tc>
      </w:tr>
      <w:tr>
        <w:trPr>
          <w:trHeight w:val="439"/>
        </w:trPr>
        <w:tc>
          <w:tcPr>
            <w:tcW w:w="2580" w:type="dxa"/>
            <w:vAlign w:val="bottom"/>
            <w:gridSpan w:val="2"/>
          </w:tcPr>
          <w:p>
            <w:pPr>
              <w:spacing w:after="0"/>
              <w:rPr>
                <w:sz w:val="20"/>
                <w:szCs w:val="20"/>
                <w:color w:val="auto"/>
              </w:rPr>
            </w:pPr>
            <w:r>
              <w:rPr>
                <w:rFonts w:ascii="Arial" w:cs="Arial" w:eastAsia="Arial" w:hAnsi="Arial"/>
                <w:sz w:val="18"/>
                <w:szCs w:val="18"/>
                <w:color w:val="auto"/>
              </w:rPr>
              <w:t>By: /s/ Nicolas Symphorien</w:t>
            </w:r>
          </w:p>
        </w:tc>
        <w:tc>
          <w:tcPr>
            <w:tcW w:w="3020" w:type="dxa"/>
            <w:vAlign w:val="bottom"/>
          </w:tcPr>
          <w:p>
            <w:pPr>
              <w:ind w:left="220"/>
              <w:spacing w:after="0"/>
              <w:rPr>
                <w:sz w:val="20"/>
                <w:szCs w:val="20"/>
                <w:color w:val="auto"/>
              </w:rPr>
            </w:pPr>
            <w:r>
              <w:rPr>
                <w:rFonts w:ascii="Arial" w:cs="Arial" w:eastAsia="Arial" w:hAnsi="Arial"/>
                <w:sz w:val="18"/>
                <w:szCs w:val="18"/>
                <w:color w:val="auto"/>
              </w:rPr>
              <w:t>Alexis Derly</w:t>
            </w:r>
          </w:p>
        </w:tc>
      </w:tr>
      <w:tr>
        <w:trPr>
          <w:trHeight w:val="202"/>
        </w:trPr>
        <w:tc>
          <w:tcPr>
            <w:tcW w:w="320" w:type="dxa"/>
            <w:vAlign w:val="bottom"/>
          </w:tcPr>
          <w:p>
            <w:pPr>
              <w:spacing w:after="0"/>
              <w:rPr>
                <w:sz w:val="17"/>
                <w:szCs w:val="17"/>
                <w:color w:val="auto"/>
              </w:rPr>
            </w:pPr>
          </w:p>
        </w:tc>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Nicolas Symphorien</w:t>
            </w:r>
          </w:p>
        </w:tc>
        <w:tc>
          <w:tcPr>
            <w:tcW w:w="302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Alexis Derly</w:t>
            </w:r>
          </w:p>
        </w:tc>
      </w:tr>
      <w:tr>
        <w:trPr>
          <w:trHeight w:val="230"/>
        </w:trPr>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Title:  Director</w:t>
            </w:r>
          </w:p>
        </w:tc>
        <w:tc>
          <w:tcPr>
            <w:tcW w:w="3020" w:type="dxa"/>
            <w:vAlign w:val="bottom"/>
          </w:tcPr>
          <w:p>
            <w:pPr>
              <w:ind w:left="220"/>
              <w:spacing w:after="0"/>
              <w:rPr>
                <w:sz w:val="20"/>
                <w:szCs w:val="20"/>
                <w:color w:val="auto"/>
              </w:rPr>
            </w:pPr>
            <w:r>
              <w:rPr>
                <w:rFonts w:ascii="Arial" w:cs="Arial" w:eastAsia="Arial" w:hAnsi="Arial"/>
                <w:sz w:val="18"/>
                <w:szCs w:val="18"/>
                <w:color w:val="auto"/>
              </w:rPr>
              <w:t>Director</w:t>
            </w:r>
          </w:p>
        </w:tc>
      </w:tr>
    </w:tbl>
    <w:p>
      <w:pPr>
        <w:spacing w:after="0" w:line="19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Skandinaviska Enskilda Banken AB (publ)</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2480" w:type="dxa"/>
            <w:vAlign w:val="bottom"/>
            <w:gridSpan w:val="2"/>
          </w:tcPr>
          <w:p>
            <w:pPr>
              <w:spacing w:after="0"/>
              <w:rPr>
                <w:sz w:val="20"/>
                <w:szCs w:val="20"/>
                <w:color w:val="auto"/>
              </w:rPr>
            </w:pPr>
            <w:r>
              <w:rPr>
                <w:rFonts w:ascii="Arial" w:cs="Arial" w:eastAsia="Arial" w:hAnsi="Arial"/>
                <w:sz w:val="18"/>
                <w:szCs w:val="18"/>
                <w:color w:val="auto"/>
              </w:rPr>
              <w:t>By: /s/ Micael Ljunggren</w:t>
            </w:r>
          </w:p>
        </w:tc>
        <w:tc>
          <w:tcPr>
            <w:tcW w:w="3120" w:type="dxa"/>
            <w:vAlign w:val="bottom"/>
          </w:tcPr>
          <w:p>
            <w:pPr>
              <w:ind w:left="320"/>
              <w:spacing w:after="0"/>
              <w:rPr>
                <w:sz w:val="20"/>
                <w:szCs w:val="20"/>
                <w:color w:val="auto"/>
              </w:rPr>
            </w:pPr>
            <w:r>
              <w:rPr>
                <w:rFonts w:ascii="Arial" w:cs="Arial" w:eastAsia="Arial" w:hAnsi="Arial"/>
                <w:sz w:val="18"/>
                <w:szCs w:val="18"/>
                <w:color w:val="auto"/>
              </w:rPr>
              <w:t>Mikael Bellander</w:t>
            </w:r>
          </w:p>
        </w:tc>
      </w:tr>
      <w:tr>
        <w:trPr>
          <w:trHeight w:val="202"/>
        </w:trPr>
        <w:tc>
          <w:tcPr>
            <w:tcW w:w="320" w:type="dxa"/>
            <w:vAlign w:val="bottom"/>
          </w:tcPr>
          <w:p>
            <w:pPr>
              <w:spacing w:after="0"/>
              <w:rPr>
                <w:sz w:val="17"/>
                <w:szCs w:val="17"/>
                <w:color w:val="auto"/>
              </w:rPr>
            </w:pP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Micael Ljunggren</w:t>
            </w:r>
          </w:p>
        </w:tc>
        <w:tc>
          <w:tcPr>
            <w:tcW w:w="312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Mikael Bellander</w:t>
            </w:r>
          </w:p>
        </w:tc>
      </w:tr>
      <w:tr>
        <w:trPr>
          <w:trHeight w:val="230"/>
        </w:trPr>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p>
        </w:tc>
      </w:tr>
    </w:tbl>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Standard Chartered Bank</w:t>
      </w:r>
      <w:r>
        <w:rPr>
          <w:rFonts w:ascii="Arial" w:cs="Arial" w:eastAsia="Arial" w:hAnsi="Arial"/>
          <w:sz w:val="18"/>
          <w:szCs w:val="18"/>
          <w:color w:val="auto"/>
        </w:rPr>
        <w:t>, as a Lender</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/s/ S. Derrick</w:t>
      </w:r>
    </w:p>
    <w:p>
      <w:pPr>
        <w:spacing w:after="0" w:line="23" w:lineRule="exact"/>
        <w:rPr>
          <w:sz w:val="20"/>
          <w:szCs w:val="20"/>
          <w:color w:val="auto"/>
        </w:rPr>
      </w:pPr>
    </w:p>
    <w:tbl>
      <w:tblPr>
        <w:tblLayout w:type="fixed"/>
        <w:tblInd w:w="4840" w:type="dxa"/>
        <w:tblCellMar>
          <w:top w:w="0" w:type="dxa"/>
          <w:left w:w="0" w:type="dxa"/>
          <w:bottom w:w="0" w:type="dxa"/>
          <w:right w:w="0" w:type="dxa"/>
        </w:tblCellMar>
      </w:tblPr>
      <w:tr>
        <w:trPr>
          <w:trHeight w:val="209"/>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S. Derrick</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1000"/>
              <w:spacing w:after="0"/>
              <w:rPr>
                <w:sz w:val="20"/>
                <w:szCs w:val="20"/>
                <w:color w:val="auto"/>
              </w:rPr>
            </w:pPr>
            <w:r>
              <w:rPr>
                <w:rFonts w:ascii="Arial" w:cs="Arial" w:eastAsia="Arial" w:hAnsi="Arial"/>
                <w:sz w:val="18"/>
                <w:szCs w:val="18"/>
                <w:color w:val="auto"/>
              </w:rPr>
              <w:t>Managing Director</w:t>
            </w:r>
          </w:p>
        </w:tc>
      </w:tr>
    </w:tbl>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b w:val="1"/>
          <w:bCs w:val="1"/>
          <w:color w:val="auto"/>
        </w:rPr>
        <w:t>Banco Santander, S.A.</w:t>
      </w:r>
      <w:r>
        <w:rPr>
          <w:rFonts w:ascii="Arial" w:cs="Arial" w:eastAsia="Arial" w:hAnsi="Arial"/>
          <w:sz w:val="18"/>
          <w:szCs w:val="18"/>
          <w:color w:val="auto"/>
        </w:rPr>
        <w:t>, as a Lender</w:t>
      </w:r>
    </w:p>
    <w:p>
      <w:pPr>
        <w:spacing w:after="0" w:line="229" w:lineRule="exact"/>
        <w:rPr>
          <w:sz w:val="20"/>
          <w:szCs w:val="20"/>
          <w:color w:val="auto"/>
        </w:rPr>
      </w:pPr>
    </w:p>
    <w:p>
      <w:pPr>
        <w:ind w:left="4520"/>
        <w:spacing w:after="0"/>
        <w:tabs>
          <w:tab w:leader="none" w:pos="5060" w:val="left"/>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Isabel Pastor</w:t>
      </w:r>
      <w:r>
        <w:rPr>
          <w:sz w:val="20"/>
          <w:szCs w:val="20"/>
          <w:color w:val="auto"/>
        </w:rPr>
        <w:tab/>
      </w:r>
      <w:r>
        <w:rPr>
          <w:rFonts w:ascii="Arial" w:cs="Arial" w:eastAsia="Arial" w:hAnsi="Arial"/>
          <w:sz w:val="16"/>
          <w:szCs w:val="16"/>
          <w:color w:val="auto"/>
        </w:rPr>
        <w:t>/  Jean-Baptiste Cottus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Name: Isabel Pastor / Jean-Baptiste Cottus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  Vice President / Executive Director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6"/>
          <w:szCs w:val="16"/>
          <w:b w:val="1"/>
          <w:bCs w:val="1"/>
          <w:color w:val="auto"/>
        </w:rPr>
        <w:t>The Northern Trust Company</w:t>
      </w:r>
      <w:r>
        <w:rPr>
          <w:rFonts w:ascii="Arial" w:cs="Arial" w:eastAsia="Arial" w:hAnsi="Arial"/>
          <w:sz w:val="16"/>
          <w:szCs w:val="16"/>
          <w:color w:val="auto"/>
        </w:rPr>
        <w:t>, as a Lender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Keith L.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Keith L. Burson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No. 1 to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CLIFFORD CHANCE EUROPE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1457325"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12 June 2020</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between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TECHNIPFMC PLC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TECHNIP EUROCASH SNC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HSBC FRANCE</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149860</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AMENDMENT AND RESTATEMENT AGREEMENT</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THE ORIGINAL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151765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81"/>
        </w:trPr>
        <w:tc>
          <w:tcPr>
            <w:tcW w:w="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80" w:type="dxa"/>
            <w:vAlign w:val="bottom"/>
            <w:gridSpan w:val="2"/>
          </w:tcPr>
          <w:p>
            <w:pPr>
              <w:jc w:val="right"/>
              <w:ind w:right="5040"/>
              <w:spacing w:after="0"/>
              <w:rPr>
                <w:sz w:val="20"/>
                <w:szCs w:val="20"/>
                <w:color w:val="auto"/>
              </w:rPr>
            </w:pPr>
            <w:r>
              <w:rPr>
                <w:rFonts w:ascii="Arial" w:cs="Arial" w:eastAsia="Arial" w:hAnsi="Arial"/>
                <w:sz w:val="22"/>
                <w:szCs w:val="22"/>
                <w:b w:val="1"/>
                <w:bCs w:val="1"/>
                <w:color w:val="auto"/>
              </w:rPr>
              <w:t>CONTENTS</w:t>
            </w:r>
          </w:p>
        </w:tc>
        <w:tc>
          <w:tcPr>
            <w:tcW w:w="0" w:type="dxa"/>
            <w:vAlign w:val="bottom"/>
          </w:tcPr>
          <w:p>
            <w:pPr>
              <w:spacing w:after="0"/>
              <w:rPr>
                <w:sz w:val="1"/>
                <w:szCs w:val="1"/>
                <w:color w:val="auto"/>
              </w:rPr>
            </w:pPr>
          </w:p>
        </w:tc>
      </w:tr>
      <w:tr>
        <w:trPr>
          <w:trHeight w:val="449"/>
        </w:trPr>
        <w:tc>
          <w:tcPr>
            <w:tcW w:w="540" w:type="dxa"/>
            <w:vAlign w:val="bottom"/>
          </w:tcPr>
          <w:p>
            <w:pPr>
              <w:spacing w:after="0"/>
              <w:rPr>
                <w:sz w:val="20"/>
                <w:szCs w:val="20"/>
                <w:color w:val="auto"/>
              </w:rPr>
            </w:pPr>
            <w:r>
              <w:rPr>
                <w:rFonts w:ascii="Arial" w:cs="Arial" w:eastAsia="Arial" w:hAnsi="Arial"/>
                <w:sz w:val="18"/>
                <w:szCs w:val="18"/>
                <w:color w:val="auto"/>
                <w:w w:val="92"/>
              </w:rPr>
              <w:t>Clause</w:t>
            </w:r>
          </w:p>
        </w:tc>
        <w:tc>
          <w:tcPr>
            <w:tcW w:w="4240" w:type="dxa"/>
            <w:vAlign w:val="bottom"/>
          </w:tcPr>
          <w:p>
            <w:pPr>
              <w:spacing w:after="0"/>
              <w:rPr>
                <w:sz w:val="24"/>
                <w:szCs w:val="24"/>
                <w:color w:val="auto"/>
              </w:rPr>
            </w:pPr>
          </w:p>
        </w:tc>
        <w:tc>
          <w:tcPr>
            <w:tcW w:w="648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Definitions</w:t>
            </w:r>
          </w:p>
        </w:tc>
        <w:tc>
          <w:tcPr>
            <w:tcW w:w="6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tcPr>
          <w:p>
            <w:pPr>
              <w:ind w:left="40"/>
              <w:spacing w:after="0"/>
              <w:rPr>
                <w:sz w:val="20"/>
                <w:szCs w:val="20"/>
                <w:color w:val="auto"/>
              </w:rPr>
            </w:pPr>
            <w:r>
              <w:rPr>
                <w:rFonts w:ascii="Arial" w:cs="Arial" w:eastAsia="Arial" w:hAnsi="Arial"/>
                <w:sz w:val="18"/>
                <w:szCs w:val="18"/>
                <w:color w:val="auto"/>
              </w:rPr>
              <w:t>Amendments to the Original Facility Agreement</w:t>
            </w:r>
          </w:p>
        </w:tc>
        <w:tc>
          <w:tcPr>
            <w:tcW w:w="6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Conditions Precedent</w:t>
            </w:r>
          </w:p>
        </w:tc>
        <w:tc>
          <w:tcPr>
            <w:tcW w:w="6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4240" w:type="dxa"/>
            <w:vAlign w:val="bottom"/>
          </w:tcPr>
          <w:p>
            <w:pPr>
              <w:ind w:left="40"/>
              <w:spacing w:after="0"/>
              <w:rPr>
                <w:sz w:val="20"/>
                <w:szCs w:val="20"/>
                <w:color w:val="auto"/>
              </w:rPr>
            </w:pPr>
            <w:r>
              <w:rPr>
                <w:rFonts w:ascii="Arial" w:cs="Arial" w:eastAsia="Arial" w:hAnsi="Arial"/>
                <w:sz w:val="18"/>
                <w:szCs w:val="18"/>
                <w:color w:val="auto"/>
                <w:w w:val="94"/>
              </w:rPr>
              <w:t>Scope of this Amendment and Restatement Agreement</w:t>
            </w:r>
          </w:p>
        </w:tc>
        <w:tc>
          <w:tcPr>
            <w:tcW w:w="64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Representations and Warranties</w:t>
            </w:r>
          </w:p>
        </w:tc>
        <w:tc>
          <w:tcPr>
            <w:tcW w:w="6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424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6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Schedule 1 Facility Agreement</w:t>
            </w:r>
          </w:p>
        </w:tc>
        <w:tc>
          <w:tcPr>
            <w:tcW w:w="6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 xml:space="preserve">THIS AMENDMENT AND RESTATEMENT AGREEMENT </w:t>
      </w:r>
      <w:r>
        <w:rPr>
          <w:rFonts w:ascii="Arial" w:cs="Arial" w:eastAsia="Arial" w:hAnsi="Arial"/>
          <w:sz w:val="22"/>
          <w:szCs w:val="22"/>
          <w:color w:val="auto"/>
        </w:rPr>
        <w:t>is made on 12 June 2020:</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42" w:lineRule="exact"/>
        <w:rPr>
          <w:sz w:val="20"/>
          <w:szCs w:val="20"/>
          <w:color w:val="auto"/>
        </w:rPr>
      </w:pPr>
    </w:p>
    <w:p>
      <w:pPr>
        <w:ind w:left="760" w:hanging="752"/>
        <w:spacing w:after="0" w:line="312"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TECHNIPFMC PLC</w:t>
      </w:r>
      <w:r>
        <w:rPr>
          <w:rFonts w:ascii="Arial" w:cs="Arial" w:eastAsia="Arial" w:hAnsi="Arial"/>
          <w:sz w:val="17"/>
          <w:szCs w:val="17"/>
          <w:color w:val="auto"/>
        </w:rPr>
        <w:t>, a public limited company incorporated in England and Wales with company number 09909709 and having its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 at One, St. Paul's Churchyard, London EC4M 8AP, United Kingdom, as borrower and guarantor ("</w:t>
      </w:r>
      <w:r>
        <w:rPr>
          <w:rFonts w:ascii="Arial" w:cs="Arial" w:eastAsia="Arial" w:hAnsi="Arial"/>
          <w:sz w:val="17"/>
          <w:szCs w:val="17"/>
          <w:b w:val="1"/>
          <w:bCs w:val="1"/>
          <w:color w:val="auto"/>
        </w:rPr>
        <w:t>TechnipFMC plc</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760" w:hanging="752"/>
        <w:spacing w:after="0" w:line="289"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TECHNIP EUROCASH SNC</w:t>
      </w:r>
      <w:r>
        <w:rPr>
          <w:rFonts w:ascii="Arial" w:cs="Arial" w:eastAsia="Arial" w:hAnsi="Arial"/>
          <w:sz w:val="17"/>
          <w:szCs w:val="17"/>
          <w:color w:val="auto"/>
        </w:rPr>
        <w:t>, a company incorporated under the laws of France as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en nom collectif</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registered office at 6-8</w:t>
      </w:r>
      <w:r>
        <w:rPr>
          <w:rFonts w:ascii="Arial" w:cs="Arial" w:eastAsia="Arial" w:hAnsi="Arial"/>
          <w:sz w:val="17"/>
          <w:szCs w:val="17"/>
          <w:b w:val="1"/>
          <w:bCs w:val="1"/>
          <w:color w:val="auto"/>
        </w:rPr>
        <w:t xml:space="preserve"> </w:t>
      </w:r>
      <w:r>
        <w:rPr>
          <w:rFonts w:ascii="Arial" w:cs="Arial" w:eastAsia="Arial" w:hAnsi="Arial"/>
          <w:sz w:val="17"/>
          <w:szCs w:val="17"/>
          <w:color w:val="auto"/>
        </w:rPr>
        <w:t>allée de l'Arche Faubourg de l'Arche Zac Danton, 92400 Courbevoie, France, registered with the Trade and Companies Registry of Nanterre under number 428 574 248, as borrower ("</w:t>
      </w:r>
      <w:r>
        <w:rPr>
          <w:rFonts w:ascii="Arial" w:cs="Arial" w:eastAsia="Arial" w:hAnsi="Arial"/>
          <w:sz w:val="17"/>
          <w:szCs w:val="17"/>
          <w:b w:val="1"/>
          <w:bCs w:val="1"/>
          <w:color w:val="auto"/>
        </w:rPr>
        <w:t>Technip Eurocash SNC</w:t>
      </w:r>
      <w:r>
        <w:rPr>
          <w:rFonts w:ascii="Arial" w:cs="Arial" w:eastAsia="Arial" w:hAnsi="Arial"/>
          <w:sz w:val="17"/>
          <w:szCs w:val="17"/>
          <w:color w:val="auto"/>
        </w:rPr>
        <w:t>" and together with TechnipFMC plc, the "</w:t>
      </w:r>
      <w:r>
        <w:rPr>
          <w:rFonts w:ascii="Arial" w:cs="Arial" w:eastAsia="Arial" w:hAnsi="Arial"/>
          <w:sz w:val="17"/>
          <w:szCs w:val="17"/>
          <w:b w:val="1"/>
          <w:bCs w:val="1"/>
          <w:color w:val="auto"/>
        </w:rPr>
        <w:t>Borrowers</w:t>
      </w:r>
      <w:r>
        <w:rPr>
          <w:rFonts w:ascii="Arial" w:cs="Arial" w:eastAsia="Arial" w:hAnsi="Arial"/>
          <w:sz w:val="17"/>
          <w:szCs w:val="17"/>
          <w:color w:val="auto"/>
        </w:rPr>
        <w:t>"); and</w:t>
      </w:r>
    </w:p>
    <w:p>
      <w:pPr>
        <w:spacing w:after="0" w:line="184" w:lineRule="exact"/>
        <w:rPr>
          <w:rFonts w:ascii="Arial" w:cs="Arial" w:eastAsia="Arial" w:hAnsi="Arial"/>
          <w:sz w:val="17"/>
          <w:szCs w:val="17"/>
          <w:color w:val="auto"/>
        </w:rPr>
      </w:pPr>
    </w:p>
    <w:p>
      <w:pPr>
        <w:ind w:left="760" w:hanging="752"/>
        <w:spacing w:after="0" w:line="282"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HSBC FRANCE</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France, having its registered office at 103, avenue des Champs-Elysées,</w:t>
      </w:r>
      <w:r>
        <w:rPr>
          <w:rFonts w:ascii="Arial" w:cs="Arial" w:eastAsia="Arial" w:hAnsi="Arial"/>
          <w:sz w:val="18"/>
          <w:szCs w:val="18"/>
          <w:b w:val="1"/>
          <w:bCs w:val="1"/>
          <w:color w:val="auto"/>
        </w:rPr>
        <w:t xml:space="preserve"> </w:t>
      </w:r>
      <w:r>
        <w:rPr>
          <w:rFonts w:ascii="Arial" w:cs="Arial" w:eastAsia="Arial" w:hAnsi="Arial"/>
          <w:sz w:val="18"/>
          <w:szCs w:val="18"/>
          <w:color w:val="auto"/>
        </w:rPr>
        <w:t>75008 Paris, registered under number 775 670 284 RCS Paris, as agent of the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46" w:lineRule="exact"/>
        <w:rPr>
          <w:sz w:val="20"/>
          <w:szCs w:val="20"/>
          <w:color w:val="auto"/>
        </w:rPr>
      </w:pPr>
    </w:p>
    <w:p>
      <w:pPr>
        <w:ind w:left="760" w:hanging="752"/>
        <w:spacing w:after="0" w:line="308"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Parties entered into a facility agreement dated 19 May 2020 pursuant to which the Original Lenders (as defined therein) made available to the Borrowers a revolving credit facility in an aggregate amount of EUR 500,000,000 (the "</w:t>
      </w:r>
      <w:r>
        <w:rPr>
          <w:rFonts w:ascii="Arial" w:cs="Arial" w:eastAsia="Arial" w:hAnsi="Arial"/>
          <w:sz w:val="17"/>
          <w:szCs w:val="17"/>
          <w:b w:val="1"/>
          <w:bCs w:val="1"/>
          <w:color w:val="auto"/>
        </w:rPr>
        <w:t>Original Facility Agreement</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760" w:hanging="752"/>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Parties agreed to amend and restate the Original Facility Agreement in accordance with the terms and conditions of this amendment and restatement agreement (the "</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 IS AGREED AS FOLLOWS:</w:t>
      </w:r>
    </w:p>
    <w:p>
      <w:pPr>
        <w:spacing w:after="0" w:line="242"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49" w:lineRule="exact"/>
        <w:rPr>
          <w:sz w:val="20"/>
          <w:szCs w:val="20"/>
          <w:color w:val="auto"/>
        </w:rPr>
      </w:pPr>
    </w:p>
    <w:p>
      <w:pPr>
        <w:jc w:val="both"/>
        <w:ind w:left="820"/>
        <w:spacing w:after="0"/>
        <w:rPr>
          <w:sz w:val="20"/>
          <w:szCs w:val="20"/>
          <w:color w:val="auto"/>
        </w:rPr>
      </w:pPr>
      <w:r>
        <w:rPr>
          <w:rFonts w:ascii="Arial" w:cs="Arial" w:eastAsia="Arial" w:hAnsi="Arial"/>
          <w:sz w:val="22"/>
          <w:szCs w:val="22"/>
          <w:color w:val="auto"/>
        </w:rPr>
        <w:t>In this Amendment and Restatement Agreement (including in the introduction and recitals hereto), except where the context otherwise requires or unless defined herein, capitalised terms shall have the meaning ascribed to them in the Facility Agreement and:</w:t>
      </w:r>
    </w:p>
    <w:p>
      <w:pPr>
        <w:spacing w:after="0" w:line="207" w:lineRule="exact"/>
        <w:rPr>
          <w:sz w:val="20"/>
          <w:szCs w:val="20"/>
          <w:color w:val="auto"/>
        </w:rPr>
      </w:pPr>
    </w:p>
    <w:p>
      <w:pPr>
        <w:jc w:val="both"/>
        <w:ind w:left="8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Agreement</w:t>
      </w:r>
      <w:r>
        <w:rPr>
          <w:rFonts w:ascii="Arial" w:cs="Arial" w:eastAsia="Arial" w:hAnsi="Arial"/>
          <w:sz w:val="22"/>
          <w:szCs w:val="22"/>
          <w:color w:val="auto"/>
        </w:rPr>
        <w:t>" means the Original Facility Agreement as amended and restated by this Amendment and Restatement Agreement.</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means a party to this Amendment and Restatement Agreement.</w:t>
      </w:r>
    </w:p>
    <w:p>
      <w:pPr>
        <w:spacing w:after="0" w:line="242"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AMENDMENTS TO THE ORIGINAL FACILITY AGREEMENT</w:t>
      </w:r>
    </w:p>
    <w:p>
      <w:pPr>
        <w:spacing w:after="0" w:line="256" w:lineRule="exact"/>
        <w:rPr>
          <w:sz w:val="20"/>
          <w:szCs w:val="20"/>
          <w:color w:val="auto"/>
        </w:rPr>
      </w:pPr>
    </w:p>
    <w:p>
      <w:pPr>
        <w:jc w:val="both"/>
        <w:ind w:left="760" w:hanging="755"/>
        <w:spacing w:after="0" w:line="277"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Parties agree that, as at and with effect from the Effective Date (as defined in Clause 3 below), the Original Facility Agreement shall be amended in the form set out in Schedule 1 (</w:t>
      </w:r>
      <w:r>
        <w:rPr>
          <w:rFonts w:ascii="Arial" w:cs="Arial" w:eastAsia="Arial" w:hAnsi="Arial"/>
          <w:sz w:val="18"/>
          <w:szCs w:val="18"/>
          <w:i w:val="1"/>
          <w:iCs w:val="1"/>
          <w:color w:val="auto"/>
        </w:rPr>
        <w:t>Facility Agreement</w:t>
      </w:r>
      <w:r>
        <w:rPr>
          <w:rFonts w:ascii="Arial" w:cs="Arial" w:eastAsia="Arial" w:hAnsi="Arial"/>
          <w:sz w:val="18"/>
          <w:szCs w:val="18"/>
          <w:color w:val="auto"/>
        </w:rPr>
        <w:t>) to this Amendment and Restatement Agreement.</w:t>
      </w:r>
    </w:p>
    <w:p>
      <w:pPr>
        <w:spacing w:after="0" w:line="197"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Subject to the terms of this Amendment and Restatement Agreement, the Original Facility Agreement will remain in full force and effect as from the Effective Date and references in the Facility Agreement to "this Agreement", "hereunder", "herein" and like terms or to any provision of the Facility Agreement shall be construed, as from the Effective Date, as a reference to the Original Facility Agreement, or such provision, as amended by this Amendment and Restatement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left="760" w:hanging="752"/>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249" w:lineRule="exact"/>
        <w:rPr>
          <w:sz w:val="20"/>
          <w:szCs w:val="20"/>
          <w:color w:val="auto"/>
        </w:rPr>
      </w:pPr>
    </w:p>
    <w:p>
      <w:pPr>
        <w:jc w:val="both"/>
        <w:ind w:left="820"/>
        <w:spacing w:after="0"/>
        <w:rPr>
          <w:sz w:val="20"/>
          <w:szCs w:val="20"/>
          <w:color w:val="auto"/>
        </w:rPr>
      </w:pPr>
      <w:r>
        <w:rPr>
          <w:rFonts w:ascii="Arial" w:cs="Arial" w:eastAsia="Arial" w:hAnsi="Arial"/>
          <w:sz w:val="22"/>
          <w:szCs w:val="22"/>
          <w:color w:val="auto"/>
        </w:rPr>
        <w:t>The amendments provided for in this Amendment and Restatement Agreement enter into effect on the date (the "</w:t>
      </w:r>
      <w:r>
        <w:rPr>
          <w:rFonts w:ascii="Arial" w:cs="Arial" w:eastAsia="Arial" w:hAnsi="Arial"/>
          <w:sz w:val="22"/>
          <w:szCs w:val="22"/>
          <w:b w:val="1"/>
          <w:bCs w:val="1"/>
          <w:color w:val="auto"/>
        </w:rPr>
        <w:t>Effective Date</w:t>
      </w:r>
      <w:r>
        <w:rPr>
          <w:rFonts w:ascii="Arial" w:cs="Arial" w:eastAsia="Arial" w:hAnsi="Arial"/>
          <w:sz w:val="22"/>
          <w:szCs w:val="22"/>
          <w:color w:val="auto"/>
        </w:rPr>
        <w:t>") on which each of the following conditions is satisfied (or waived in accordance with Clause 34 (</w:t>
      </w:r>
      <w:r>
        <w:rPr>
          <w:rFonts w:ascii="Arial" w:cs="Arial" w:eastAsia="Arial" w:hAnsi="Arial"/>
          <w:sz w:val="22"/>
          <w:szCs w:val="22"/>
          <w:i w:val="1"/>
          <w:iCs w:val="1"/>
          <w:color w:val="auto"/>
        </w:rPr>
        <w:t>Amendments and waivers</w:t>
      </w:r>
      <w:r>
        <w:rPr>
          <w:rFonts w:ascii="Arial" w:cs="Arial" w:eastAsia="Arial" w:hAnsi="Arial"/>
          <w:sz w:val="22"/>
          <w:szCs w:val="22"/>
          <w:color w:val="auto"/>
        </w:rPr>
        <w:t>)of the Original Facility Agreement):</w:t>
      </w:r>
    </w:p>
    <w:p>
      <w:pPr>
        <w:spacing w:after="0" w:line="220" w:lineRule="exact"/>
        <w:rPr>
          <w:sz w:val="20"/>
          <w:szCs w:val="20"/>
          <w:color w:val="auto"/>
        </w:rPr>
      </w:pPr>
    </w:p>
    <w:p>
      <w:pPr>
        <w:ind w:left="1260" w:hanging="496"/>
        <w:spacing w:after="0" w:line="277"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Borrowers shall have paid, to the extent invoiced prior to the Effective Date, all out-of-pocket expenses required to be reimbursed or paid by the Borrowers pursuant to the Facility Agreement or any other Finance Document;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and warranties set out in Clause 5 shall be true and correct.</w:t>
      </w:r>
    </w:p>
    <w:p>
      <w:pPr>
        <w:spacing w:after="0" w:line="248" w:lineRule="exact"/>
        <w:rPr>
          <w:rFonts w:ascii="Arial" w:cs="Arial" w:eastAsia="Arial" w:hAnsi="Arial"/>
          <w:sz w:val="18"/>
          <w:szCs w:val="18"/>
          <w:color w:val="auto"/>
        </w:rPr>
      </w:pPr>
    </w:p>
    <w:p>
      <w:pPr>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SCOPE OF THIS AMENDMENT AND RESTATEMENT AGREEMENT</w:t>
      </w:r>
    </w:p>
    <w:p>
      <w:pPr>
        <w:spacing w:after="0" w:line="256" w:lineRule="exact"/>
        <w:rPr>
          <w:sz w:val="20"/>
          <w:szCs w:val="20"/>
          <w:color w:val="auto"/>
        </w:rPr>
      </w:pPr>
    </w:p>
    <w:p>
      <w:pPr>
        <w:jc w:val="both"/>
        <w:ind w:left="760" w:right="20" w:hanging="755"/>
        <w:spacing w:after="0" w:line="277"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Amendment and Restatement Agreement is limited as specified herein and shall not otherwise constitute a modification, acceptance or waiver of any other provision of the Original Facility Agreement or any other document or agreement.</w:t>
      </w:r>
    </w:p>
    <w:p>
      <w:pPr>
        <w:spacing w:after="0" w:line="197"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Except to the extent expressly amended by the terms of this Amendment and Restatement Agreement, all terms and conditions of the Original Facility Agreement and all other Finance Documents remain in full force and effect and the rights and obligations of each party to any Finance Document shall not be affected or impaired by the execution, delivery or performance of this Amendment and Restatement Agreement except to the extent expressly provided herein.</w:t>
      </w:r>
    </w:p>
    <w:p>
      <w:pPr>
        <w:spacing w:after="0" w:line="210"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Each Obligor makes the representations and warranties set out in this Clause 5 to the Finance Parties.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 Default is continuing or would result from the entering into this Amendment and Restatement Agreement by it.</w:t>
      </w:r>
    </w:p>
    <w:p>
      <w:pPr>
        <w:spacing w:after="0" w:line="252" w:lineRule="exact"/>
        <w:rPr>
          <w:sz w:val="20"/>
          <w:szCs w:val="20"/>
          <w:color w:val="auto"/>
        </w:rPr>
      </w:pPr>
    </w:p>
    <w:p>
      <w:pPr>
        <w:jc w:val="both"/>
        <w:ind w:left="760" w:hanging="755"/>
        <w:spacing w:after="0" w:line="308" w:lineRule="auto"/>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Each Borrower has the power to enter into and perform, and has taken all necessary actions to authorise the entry into and performance of, this Amendment and Restatement Agreement and the transactions contemplated by this Amendment and Restatement Agreement.</w:t>
      </w:r>
    </w:p>
    <w:p>
      <w:pPr>
        <w:spacing w:after="0" w:line="173"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Further Assurances</w:t>
      </w:r>
    </w:p>
    <w:p>
      <w:pPr>
        <w:spacing w:after="0" w:line="245" w:lineRule="exact"/>
        <w:rPr>
          <w:sz w:val="20"/>
          <w:szCs w:val="20"/>
          <w:color w:val="auto"/>
        </w:rPr>
      </w:pPr>
    </w:p>
    <w:p>
      <w:pPr>
        <w:jc w:val="both"/>
        <w:ind w:left="820"/>
        <w:spacing w:after="0" w:line="257" w:lineRule="auto"/>
        <w:rPr>
          <w:sz w:val="20"/>
          <w:szCs w:val="20"/>
          <w:color w:val="auto"/>
        </w:rPr>
      </w:pPr>
      <w:r>
        <w:rPr>
          <w:rFonts w:ascii="Arial" w:cs="Arial" w:eastAsia="Arial" w:hAnsi="Arial"/>
          <w:sz w:val="21"/>
          <w:szCs w:val="21"/>
          <w:color w:val="auto"/>
        </w:rPr>
        <w:t>The Borrowers shall, at the request of the Agent, execute, acknowledge, deliver, file and/or register all such agreements, instruments, certificates, documents and assurances and perform such other acts as the Agent shall reasonably deem to be necessary to give effect to this Amendment and Restatement Agreement.</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Finance Document</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Parties agree that this Amendment and Restatement Agreement is a Finance Document.</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No Hardship</w:t>
      </w:r>
    </w:p>
    <w:p>
      <w:pPr>
        <w:spacing w:after="0" w:line="245" w:lineRule="exact"/>
        <w:rPr>
          <w:sz w:val="20"/>
          <w:szCs w:val="20"/>
          <w:color w:val="auto"/>
        </w:rPr>
      </w:pPr>
    </w:p>
    <w:p>
      <w:pPr>
        <w:jc w:val="both"/>
        <w:ind w:left="820"/>
        <w:spacing w:after="0"/>
        <w:rPr>
          <w:sz w:val="20"/>
          <w:szCs w:val="20"/>
          <w:color w:val="auto"/>
        </w:rPr>
      </w:pPr>
      <w:r>
        <w:rPr>
          <w:rFonts w:ascii="Arial" w:cs="Arial" w:eastAsia="Arial" w:hAnsi="Arial"/>
          <w:sz w:val="22"/>
          <w:szCs w:val="22"/>
          <w:color w:val="auto"/>
        </w:rPr>
        <w:t xml:space="preserve">Each party hereto hereby acknowledges that the provisions of the article 1195 of the French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shall not apply to it with respect to its obligations under this Amendment and Restatement Agreement and that it shall not be entitled to make any claim under article 1195 of the French </w:t>
      </w:r>
      <w:r>
        <w:rPr>
          <w:rFonts w:ascii="Arial" w:cs="Arial" w:eastAsia="Arial" w:hAnsi="Arial"/>
          <w:sz w:val="22"/>
          <w:szCs w:val="22"/>
          <w:i w:val="1"/>
          <w:iCs w:val="1"/>
          <w:color w:val="auto"/>
        </w:rPr>
        <w:t>Code civil</w:t>
      </w:r>
      <w:r>
        <w:rPr>
          <w:rFonts w:ascii="Arial" w:cs="Arial" w:eastAsia="Arial" w:hAnsi="Arial"/>
          <w:sz w:val="22"/>
          <w:szCs w:val="22"/>
          <w:color w:val="auto"/>
        </w:rPr>
        <w:t>.</w:t>
      </w:r>
    </w:p>
    <w:p>
      <w:pPr>
        <w:spacing w:after="0" w:line="220" w:lineRule="exact"/>
        <w:rPr>
          <w:sz w:val="20"/>
          <w:szCs w:val="20"/>
          <w:color w:val="auto"/>
        </w:rPr>
      </w:pPr>
    </w:p>
    <w:p>
      <w:pPr>
        <w:ind w:left="760" w:hanging="755"/>
        <w:spacing w:after="0" w:line="342" w:lineRule="auto"/>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Clauses 30 (</w:t>
      </w:r>
      <w:r>
        <w:rPr>
          <w:rFonts w:ascii="Arial" w:cs="Arial" w:eastAsia="Arial" w:hAnsi="Arial"/>
          <w:sz w:val="16"/>
          <w:szCs w:val="16"/>
          <w:i w:val="1"/>
          <w:iCs w:val="1"/>
          <w:color w:val="auto"/>
        </w:rPr>
        <w:t>Notices</w:t>
      </w:r>
      <w:r>
        <w:rPr>
          <w:rFonts w:ascii="Arial" w:cs="Arial" w:eastAsia="Arial" w:hAnsi="Arial"/>
          <w:sz w:val="16"/>
          <w:szCs w:val="16"/>
          <w:color w:val="auto"/>
        </w:rPr>
        <w:t>), 32 (</w:t>
      </w:r>
      <w:r>
        <w:rPr>
          <w:rFonts w:ascii="Arial" w:cs="Arial" w:eastAsia="Arial" w:hAnsi="Arial"/>
          <w:sz w:val="16"/>
          <w:szCs w:val="16"/>
          <w:i w:val="1"/>
          <w:iCs w:val="1"/>
          <w:color w:val="auto"/>
        </w:rPr>
        <w:t>Partial Invalidity</w:t>
      </w:r>
      <w:r>
        <w:rPr>
          <w:rFonts w:ascii="Arial" w:cs="Arial" w:eastAsia="Arial" w:hAnsi="Arial"/>
          <w:sz w:val="16"/>
          <w:szCs w:val="16"/>
          <w:color w:val="auto"/>
        </w:rPr>
        <w:t>), 38 (</w:t>
      </w:r>
      <w:r>
        <w:rPr>
          <w:rFonts w:ascii="Arial" w:cs="Arial" w:eastAsia="Arial" w:hAnsi="Arial"/>
          <w:sz w:val="16"/>
          <w:szCs w:val="16"/>
          <w:i w:val="1"/>
          <w:iCs w:val="1"/>
          <w:color w:val="auto"/>
        </w:rPr>
        <w:t>Governing Law</w:t>
      </w:r>
      <w:r>
        <w:rPr>
          <w:rFonts w:ascii="Arial" w:cs="Arial" w:eastAsia="Arial" w:hAnsi="Arial"/>
          <w:sz w:val="16"/>
          <w:szCs w:val="16"/>
          <w:color w:val="auto"/>
        </w:rPr>
        <w:t>) and 39 (</w:t>
      </w:r>
      <w:r>
        <w:rPr>
          <w:rFonts w:ascii="Arial" w:cs="Arial" w:eastAsia="Arial" w:hAnsi="Arial"/>
          <w:sz w:val="16"/>
          <w:szCs w:val="16"/>
          <w:i w:val="1"/>
          <w:iCs w:val="1"/>
          <w:color w:val="auto"/>
        </w:rPr>
        <w:t>Enforcement</w:t>
      </w:r>
      <w:r>
        <w:rPr>
          <w:rFonts w:ascii="Arial" w:cs="Arial" w:eastAsia="Arial" w:hAnsi="Arial"/>
          <w:sz w:val="16"/>
          <w:szCs w:val="16"/>
          <w:color w:val="auto"/>
        </w:rPr>
        <w:t>) of the Facility Agreement shall be deemed incorporated in this Amendment and Restatement Agreement (with such conforming amendments as the context requires) as if set out herein.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FACILITY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514350"/>
                    </a:xfrm>
                    <a:prstGeom prst="rect">
                      <a:avLst/>
                    </a:prstGeom>
                    <a:noFill/>
                  </pic:spPr>
                </pic:pic>
              </a:graphicData>
            </a:graphic>
          </wp:anchor>
        </w:drawing>
        <w:t>€500,000,000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FACILITY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TECHNIPFMC PLC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TECHNIP EUROCASH SNC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HSBC FRANCE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ACTING AS AGENT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19 May 2020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on 12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290830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81"/>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60" w:type="dxa"/>
            <w:vAlign w:val="bottom"/>
          </w:tcPr>
          <w:p>
            <w:pPr>
              <w:ind w:left="3900"/>
              <w:spacing w:after="0"/>
              <w:rPr>
                <w:sz w:val="20"/>
                <w:szCs w:val="20"/>
                <w:color w:val="auto"/>
              </w:rPr>
            </w:pPr>
            <w:r>
              <w:rPr>
                <w:rFonts w:ascii="Arial" w:cs="Arial" w:eastAsia="Arial" w:hAnsi="Arial"/>
                <w:sz w:val="22"/>
                <w:szCs w:val="22"/>
                <w:b w:val="1"/>
                <w:bCs w:val="1"/>
                <w:color w:val="auto"/>
              </w:rPr>
              <w:t>CONTENTS</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40" w:type="dxa"/>
            <w:vAlign w:val="bottom"/>
          </w:tcPr>
          <w:p>
            <w:pPr>
              <w:spacing w:after="0"/>
              <w:rPr>
                <w:sz w:val="20"/>
                <w:szCs w:val="20"/>
                <w:color w:val="auto"/>
              </w:rPr>
            </w:pPr>
            <w:r>
              <w:rPr>
                <w:rFonts w:ascii="Arial" w:cs="Arial" w:eastAsia="Arial" w:hAnsi="Arial"/>
                <w:sz w:val="18"/>
                <w:szCs w:val="18"/>
                <w:color w:val="auto"/>
                <w:w w:val="92"/>
              </w:rPr>
              <w:t>Clause</w:t>
            </w:r>
          </w:p>
        </w:tc>
        <w:tc>
          <w:tcPr>
            <w:tcW w:w="5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8980" w:type="dxa"/>
            <w:vAlign w:val="bottom"/>
            <w:gridSpan w:val="3"/>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 INTERPRETATION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Definitions and Interpretation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1.2</w:t>
            </w:r>
          </w:p>
        </w:tc>
        <w:tc>
          <w:tcPr>
            <w:tcW w:w="786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2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symbols and definitions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2 THE FACILITY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The Facility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Facility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2.2</w:t>
            </w:r>
          </w:p>
        </w:tc>
        <w:tc>
          <w:tcPr>
            <w:tcW w:w="7860" w:type="dxa"/>
            <w:vAlign w:val="bottom"/>
          </w:tcPr>
          <w:p>
            <w:pPr>
              <w:ind w:left="20"/>
              <w:spacing w:after="0"/>
              <w:rPr>
                <w:sz w:val="20"/>
                <w:szCs w:val="20"/>
                <w:color w:val="auto"/>
              </w:rPr>
            </w:pPr>
            <w:r>
              <w:rPr>
                <w:rFonts w:ascii="Arial" w:cs="Arial" w:eastAsia="Arial" w:hAnsi="Arial"/>
                <w:sz w:val="18"/>
                <w:szCs w:val="18"/>
                <w:color w:val="auto"/>
              </w:rPr>
              <w:t>Finance Parties' rights and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8440" w:type="dxa"/>
            <w:vAlign w:val="bottom"/>
            <w:gridSpan w:val="2"/>
          </w:tcPr>
          <w:p>
            <w:pPr>
              <w:ind w:left="40"/>
              <w:spacing w:after="0"/>
              <w:rPr>
                <w:sz w:val="20"/>
                <w:szCs w:val="20"/>
                <w:color w:val="auto"/>
              </w:rPr>
            </w:pPr>
            <w:r>
              <w:rPr>
                <w:rFonts w:ascii="Arial" w:cs="Arial" w:eastAsia="Arial" w:hAnsi="Arial"/>
                <w:sz w:val="18"/>
                <w:szCs w:val="18"/>
                <w:color w:val="auto"/>
              </w:rPr>
              <w:t>Purpose</w:t>
            </w:r>
          </w:p>
        </w:tc>
        <w:tc>
          <w:tcPr>
            <w:tcW w:w="2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3.1</w:t>
            </w:r>
          </w:p>
        </w:tc>
        <w:tc>
          <w:tcPr>
            <w:tcW w:w="7860" w:type="dxa"/>
            <w:vAlign w:val="bottom"/>
          </w:tcPr>
          <w:p>
            <w:pPr>
              <w:ind w:left="20"/>
              <w:spacing w:after="0"/>
              <w:rPr>
                <w:sz w:val="20"/>
                <w:szCs w:val="20"/>
                <w:color w:val="auto"/>
              </w:rPr>
            </w:pPr>
            <w:r>
              <w:rPr>
                <w:rFonts w:ascii="Arial" w:cs="Arial" w:eastAsia="Arial" w:hAnsi="Arial"/>
                <w:sz w:val="18"/>
                <w:szCs w:val="18"/>
                <w:color w:val="auto"/>
              </w:rPr>
              <w:t>Purpose</w:t>
            </w:r>
          </w:p>
        </w:tc>
        <w:tc>
          <w:tcPr>
            <w:tcW w:w="2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Monitoring</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Conditions of Utilisation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conditions precedent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4.2</w:t>
            </w:r>
          </w:p>
        </w:tc>
        <w:tc>
          <w:tcPr>
            <w:tcW w:w="7860" w:type="dxa"/>
            <w:vAlign w:val="bottom"/>
          </w:tcPr>
          <w:p>
            <w:pPr>
              <w:ind w:left="20"/>
              <w:spacing w:after="0"/>
              <w:rPr>
                <w:sz w:val="20"/>
                <w:szCs w:val="20"/>
                <w:color w:val="auto"/>
              </w:rPr>
            </w:pPr>
            <w:r>
              <w:rPr>
                <w:rFonts w:ascii="Arial" w:cs="Arial" w:eastAsia="Arial" w:hAnsi="Arial"/>
                <w:sz w:val="18"/>
                <w:szCs w:val="18"/>
                <w:color w:val="auto"/>
              </w:rPr>
              <w:t>Further conditions precedent</w:t>
            </w:r>
          </w:p>
        </w:tc>
        <w:tc>
          <w:tcPr>
            <w:tcW w:w="22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Conditions precedent for the sole benefit of the Lenders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4.4</w:t>
            </w:r>
          </w:p>
        </w:tc>
        <w:tc>
          <w:tcPr>
            <w:tcW w:w="7860" w:type="dxa"/>
            <w:vAlign w:val="bottom"/>
          </w:tcPr>
          <w:p>
            <w:pPr>
              <w:ind w:left="20"/>
              <w:spacing w:after="0"/>
              <w:rPr>
                <w:sz w:val="20"/>
                <w:szCs w:val="20"/>
                <w:color w:val="auto"/>
              </w:rPr>
            </w:pPr>
            <w:r>
              <w:rPr>
                <w:rFonts w:ascii="Arial" w:cs="Arial" w:eastAsia="Arial" w:hAnsi="Arial"/>
                <w:sz w:val="18"/>
                <w:szCs w:val="18"/>
                <w:color w:val="auto"/>
              </w:rPr>
              <w:t>Maximum number of Utilisations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SECTION 3 UTILISATION</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8440" w:type="dxa"/>
            <w:vAlign w:val="bottom"/>
            <w:gridSpan w:val="2"/>
          </w:tcPr>
          <w:p>
            <w:pPr>
              <w:ind w:left="40"/>
              <w:spacing w:after="0"/>
              <w:rPr>
                <w:sz w:val="20"/>
                <w:szCs w:val="20"/>
                <w:color w:val="auto"/>
              </w:rPr>
            </w:pPr>
            <w:r>
              <w:rPr>
                <w:rFonts w:ascii="Arial" w:cs="Arial" w:eastAsia="Arial" w:hAnsi="Arial"/>
                <w:sz w:val="18"/>
                <w:szCs w:val="18"/>
                <w:color w:val="auto"/>
              </w:rPr>
              <w:t>Utilisation</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5.1</w:t>
            </w:r>
          </w:p>
        </w:tc>
        <w:tc>
          <w:tcPr>
            <w:tcW w:w="7860" w:type="dxa"/>
            <w:vAlign w:val="bottom"/>
          </w:tcPr>
          <w:p>
            <w:pPr>
              <w:ind w:left="20"/>
              <w:spacing w:after="0"/>
              <w:rPr>
                <w:sz w:val="20"/>
                <w:szCs w:val="20"/>
                <w:color w:val="auto"/>
              </w:rPr>
            </w:pPr>
            <w:r>
              <w:rPr>
                <w:rFonts w:ascii="Arial" w:cs="Arial" w:eastAsia="Arial" w:hAnsi="Arial"/>
                <w:sz w:val="18"/>
                <w:szCs w:val="18"/>
                <w:color w:val="auto"/>
              </w:rPr>
              <w:t>Delivery of a Utilisation Request</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5.2</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Completion of a Utilisation Request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5.3</w:t>
            </w:r>
          </w:p>
        </w:tc>
        <w:tc>
          <w:tcPr>
            <w:tcW w:w="7860" w:type="dxa"/>
            <w:vAlign w:val="bottom"/>
          </w:tcPr>
          <w:p>
            <w:pPr>
              <w:ind w:left="20"/>
              <w:spacing w:after="0"/>
              <w:rPr>
                <w:sz w:val="20"/>
                <w:szCs w:val="20"/>
                <w:color w:val="auto"/>
              </w:rPr>
            </w:pPr>
            <w:r>
              <w:rPr>
                <w:rFonts w:ascii="Arial" w:cs="Arial" w:eastAsia="Arial" w:hAnsi="Arial"/>
                <w:sz w:val="18"/>
                <w:szCs w:val="18"/>
                <w:color w:val="auto"/>
              </w:rPr>
              <w:t>Currency and amount</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5.4</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Lenders' participation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5.5</w:t>
            </w:r>
          </w:p>
        </w:tc>
        <w:tc>
          <w:tcPr>
            <w:tcW w:w="7860" w:type="dxa"/>
            <w:vAlign w:val="bottom"/>
          </w:tcPr>
          <w:p>
            <w:pPr>
              <w:ind w:left="20"/>
              <w:spacing w:after="0"/>
              <w:rPr>
                <w:sz w:val="20"/>
                <w:szCs w:val="20"/>
                <w:color w:val="auto"/>
              </w:rPr>
            </w:pPr>
            <w:r>
              <w:rPr>
                <w:rFonts w:ascii="Arial" w:cs="Arial" w:eastAsia="Arial" w:hAnsi="Arial"/>
                <w:sz w:val="18"/>
                <w:szCs w:val="18"/>
                <w:color w:val="auto"/>
              </w:rPr>
              <w:t>Cancellation of Commitments</w:t>
            </w:r>
          </w:p>
        </w:tc>
        <w:tc>
          <w:tcPr>
            <w:tcW w:w="22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4 REPAYMENT, PREPAYMENT AND CANCELLATION</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Repayment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Prepayment, Cancellation and Replacement of Lenders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Illegality</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7.2</w:t>
            </w:r>
          </w:p>
        </w:tc>
        <w:tc>
          <w:tcPr>
            <w:tcW w:w="7860" w:type="dxa"/>
            <w:vAlign w:val="bottom"/>
          </w:tcPr>
          <w:p>
            <w:pPr>
              <w:ind w:left="20"/>
              <w:spacing w:after="0"/>
              <w:rPr>
                <w:sz w:val="20"/>
                <w:szCs w:val="20"/>
                <w:color w:val="auto"/>
              </w:rPr>
            </w:pPr>
            <w:r>
              <w:rPr>
                <w:rFonts w:ascii="Arial" w:cs="Arial" w:eastAsia="Arial" w:hAnsi="Arial"/>
                <w:sz w:val="18"/>
                <w:szCs w:val="18"/>
                <w:color w:val="auto"/>
              </w:rPr>
              <w:t>Mandatory Prepayment of Technip Eurocash</w:t>
            </w: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7.3</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of Control</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7.4</w:t>
            </w:r>
          </w:p>
        </w:tc>
        <w:tc>
          <w:tcPr>
            <w:tcW w:w="7860" w:type="dxa"/>
            <w:vAlign w:val="bottom"/>
          </w:tcPr>
          <w:p>
            <w:pPr>
              <w:ind w:left="20"/>
              <w:spacing w:after="0"/>
              <w:rPr>
                <w:sz w:val="20"/>
                <w:szCs w:val="20"/>
                <w:color w:val="auto"/>
              </w:rPr>
            </w:pPr>
            <w:r>
              <w:rPr>
                <w:rFonts w:ascii="Arial" w:cs="Arial" w:eastAsia="Arial" w:hAnsi="Arial"/>
                <w:sz w:val="18"/>
                <w:szCs w:val="18"/>
                <w:color w:val="auto"/>
              </w:rPr>
              <w:t>Voluntary cancellation</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Voluntary prepayment of Loans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7.6</w:t>
            </w:r>
          </w:p>
        </w:tc>
        <w:tc>
          <w:tcPr>
            <w:tcW w:w="7860" w:type="dxa"/>
            <w:vAlign w:val="bottom"/>
          </w:tcPr>
          <w:p>
            <w:pPr>
              <w:ind w:left="20"/>
              <w:spacing w:after="0"/>
              <w:rPr>
                <w:sz w:val="20"/>
                <w:szCs w:val="20"/>
                <w:color w:val="auto"/>
              </w:rPr>
            </w:pPr>
            <w:r>
              <w:rPr>
                <w:rFonts w:ascii="Arial" w:cs="Arial" w:eastAsia="Arial" w:hAnsi="Arial"/>
                <w:sz w:val="18"/>
                <w:szCs w:val="18"/>
                <w:color w:val="auto"/>
              </w:rPr>
              <w:t>Right of prepayment and cancellation or replacement in relation to a single Lender</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w:t>
            </w:r>
          </w:p>
        </w:tc>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Restrictions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7.8</w:t>
            </w:r>
          </w:p>
        </w:tc>
        <w:tc>
          <w:tcPr>
            <w:tcW w:w="7860" w:type="dxa"/>
            <w:vAlign w:val="bottom"/>
          </w:tcPr>
          <w:p>
            <w:pPr>
              <w:ind w:left="20"/>
              <w:spacing w:after="0"/>
              <w:rPr>
                <w:sz w:val="20"/>
                <w:szCs w:val="20"/>
                <w:color w:val="auto"/>
              </w:rPr>
            </w:pPr>
            <w:r>
              <w:rPr>
                <w:rFonts w:ascii="Arial" w:cs="Arial" w:eastAsia="Arial" w:hAnsi="Arial"/>
                <w:sz w:val="18"/>
                <w:szCs w:val="18"/>
                <w:color w:val="auto"/>
              </w:rPr>
              <w:t>Application of prepayments</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SECTION 5 COSTS OF UTILISATION</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580" w:type="dxa"/>
            <w:vAlign w:val="bottom"/>
          </w:tcPr>
          <w:p>
            <w:pPr>
              <w:ind w:left="40"/>
              <w:spacing w:after="0"/>
              <w:rPr>
                <w:sz w:val="20"/>
                <w:szCs w:val="20"/>
                <w:color w:val="auto"/>
              </w:rPr>
            </w:pPr>
            <w:r>
              <w:rPr>
                <w:rFonts w:ascii="Arial" w:cs="Arial" w:eastAsia="Arial" w:hAnsi="Arial"/>
                <w:sz w:val="18"/>
                <w:szCs w:val="18"/>
                <w:color w:val="auto"/>
                <w:w w:val="86"/>
              </w:rPr>
              <w:t>Interest</w:t>
            </w:r>
          </w:p>
        </w:tc>
        <w:tc>
          <w:tcPr>
            <w:tcW w:w="7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8.1</w:t>
            </w:r>
          </w:p>
        </w:tc>
        <w:tc>
          <w:tcPr>
            <w:tcW w:w="7860" w:type="dxa"/>
            <w:vAlign w:val="bottom"/>
          </w:tcPr>
          <w:p>
            <w:pPr>
              <w:ind w:left="20"/>
              <w:spacing w:after="0"/>
              <w:rPr>
                <w:sz w:val="20"/>
                <w:szCs w:val="20"/>
                <w:color w:val="auto"/>
              </w:rPr>
            </w:pPr>
            <w:r>
              <w:rPr>
                <w:rFonts w:ascii="Arial" w:cs="Arial" w:eastAsia="Arial" w:hAnsi="Arial"/>
                <w:sz w:val="18"/>
                <w:szCs w:val="18"/>
                <w:color w:val="auto"/>
              </w:rPr>
              <w:t>Calculation of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interest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8.3</w:t>
            </w:r>
          </w:p>
        </w:tc>
        <w:tc>
          <w:tcPr>
            <w:tcW w:w="6680" w:type="dxa"/>
            <w:vAlign w:val="bottom"/>
          </w:tcPr>
          <w:p>
            <w:pPr>
              <w:ind w:left="120"/>
              <w:spacing w:after="0"/>
              <w:rPr>
                <w:sz w:val="20"/>
                <w:szCs w:val="20"/>
                <w:color w:val="auto"/>
              </w:rPr>
            </w:pPr>
            <w:r>
              <w:rPr>
                <w:rFonts w:ascii="Arial" w:cs="Arial" w:eastAsia="Arial" w:hAnsi="Arial"/>
                <w:sz w:val="18"/>
                <w:szCs w:val="18"/>
                <w:color w:val="auto"/>
              </w:rPr>
              <w:t>Default interest</w:t>
            </w:r>
          </w:p>
        </w:tc>
        <w:tc>
          <w:tcPr>
            <w:tcW w:w="35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8.4</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Notification of rates of interest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8.5</w:t>
            </w:r>
          </w:p>
        </w:tc>
        <w:tc>
          <w:tcPr>
            <w:tcW w:w="6680" w:type="dxa"/>
            <w:vAlign w:val="bottom"/>
          </w:tcPr>
          <w:p>
            <w:pPr>
              <w:ind w:left="120"/>
              <w:spacing w:after="0"/>
              <w:rPr>
                <w:sz w:val="20"/>
                <w:szCs w:val="20"/>
                <w:color w:val="auto"/>
              </w:rPr>
            </w:pPr>
            <w:r>
              <w:rPr>
                <w:rFonts w:ascii="Arial" w:cs="Arial" w:eastAsia="Arial" w:hAnsi="Arial"/>
                <w:sz w:val="18"/>
                <w:szCs w:val="18"/>
                <w:color w:val="auto"/>
              </w:rPr>
              <w:t>Effective Global Rate (</w:t>
            </w:r>
            <w:r>
              <w:rPr>
                <w:rFonts w:ascii="Arial" w:cs="Arial" w:eastAsia="Arial" w:hAnsi="Arial"/>
                <w:sz w:val="18"/>
                <w:szCs w:val="18"/>
                <w:i w:val="1"/>
                <w:iCs w:val="1"/>
                <w:color w:val="auto"/>
              </w:rPr>
              <w:t>Taux Effectif Global</w:t>
            </w:r>
            <w:r>
              <w:rPr>
                <w:rFonts w:ascii="Arial" w:cs="Arial" w:eastAsia="Arial" w:hAnsi="Arial"/>
                <w:sz w:val="18"/>
                <w:szCs w:val="18"/>
                <w:color w:val="auto"/>
              </w:rPr>
              <w:t>)</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Interest Periods</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9.1</w:t>
            </w:r>
          </w:p>
        </w:tc>
        <w:tc>
          <w:tcPr>
            <w:tcW w:w="6680" w:type="dxa"/>
            <w:vAlign w:val="bottom"/>
          </w:tcPr>
          <w:p>
            <w:pPr>
              <w:ind w:left="120"/>
              <w:spacing w:after="0"/>
              <w:rPr>
                <w:sz w:val="20"/>
                <w:szCs w:val="20"/>
                <w:color w:val="auto"/>
              </w:rPr>
            </w:pPr>
            <w:r>
              <w:rPr>
                <w:rFonts w:ascii="Arial" w:cs="Arial" w:eastAsia="Arial" w:hAnsi="Arial"/>
                <w:sz w:val="18"/>
                <w:szCs w:val="18"/>
                <w:color w:val="auto"/>
              </w:rPr>
              <w:t>Selection of Interest Periods</w:t>
            </w:r>
          </w:p>
        </w:tc>
        <w:tc>
          <w:tcPr>
            <w:tcW w:w="3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Non-Business Days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0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to the Calculation of Interest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Unavailability of Screen Rate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10.2</w:t>
            </w:r>
          </w:p>
        </w:tc>
        <w:tc>
          <w:tcPr>
            <w:tcW w:w="6680" w:type="dxa"/>
            <w:vAlign w:val="bottom"/>
          </w:tcPr>
          <w:p>
            <w:pPr>
              <w:ind w:left="120"/>
              <w:spacing w:after="0"/>
              <w:rPr>
                <w:sz w:val="20"/>
                <w:szCs w:val="20"/>
                <w:color w:val="auto"/>
              </w:rPr>
            </w:pPr>
            <w:r>
              <w:rPr>
                <w:rFonts w:ascii="Arial" w:cs="Arial" w:eastAsia="Arial" w:hAnsi="Arial"/>
                <w:sz w:val="18"/>
                <w:szCs w:val="18"/>
                <w:color w:val="auto"/>
              </w:rPr>
              <w:t>Market disruption</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funds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10.4</w:t>
            </w:r>
          </w:p>
        </w:tc>
        <w:tc>
          <w:tcPr>
            <w:tcW w:w="6680" w:type="dxa"/>
            <w:vAlign w:val="bottom"/>
          </w:tcPr>
          <w:p>
            <w:pPr>
              <w:ind w:left="120"/>
              <w:spacing w:after="0"/>
              <w:rPr>
                <w:sz w:val="20"/>
                <w:szCs w:val="20"/>
                <w:color w:val="auto"/>
              </w:rPr>
            </w:pPr>
            <w:r>
              <w:rPr>
                <w:rFonts w:ascii="Arial" w:cs="Arial" w:eastAsia="Arial" w:hAnsi="Arial"/>
                <w:sz w:val="18"/>
                <w:szCs w:val="18"/>
                <w:color w:val="auto"/>
              </w:rPr>
              <w:t>Break Costs</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620" w:type="dxa"/>
            <w:vAlign w:val="bottom"/>
          </w:tcPr>
          <w:p>
            <w:pPr>
              <w:ind w:left="180"/>
              <w:spacing w:after="0"/>
              <w:rPr>
                <w:sz w:val="20"/>
                <w:szCs w:val="20"/>
                <w:color w:val="auto"/>
              </w:rPr>
            </w:pPr>
            <w:r>
              <w:rPr>
                <w:rFonts w:ascii="Arial" w:cs="Arial" w:eastAsia="Arial" w:hAnsi="Arial"/>
                <w:sz w:val="18"/>
                <w:szCs w:val="18"/>
                <w:color w:val="auto"/>
              </w:rPr>
              <w:t>Fees</w:t>
            </w:r>
          </w:p>
        </w:tc>
        <w:tc>
          <w:tcPr>
            <w:tcW w:w="668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11.1</w:t>
            </w:r>
          </w:p>
        </w:tc>
        <w:tc>
          <w:tcPr>
            <w:tcW w:w="6680" w:type="dxa"/>
            <w:vAlign w:val="bottom"/>
          </w:tcPr>
          <w:p>
            <w:pPr>
              <w:ind w:left="120"/>
              <w:spacing w:after="0"/>
              <w:rPr>
                <w:sz w:val="20"/>
                <w:szCs w:val="20"/>
                <w:color w:val="auto"/>
              </w:rPr>
            </w:pPr>
            <w:r>
              <w:rPr>
                <w:rFonts w:ascii="Arial" w:cs="Arial" w:eastAsia="Arial" w:hAnsi="Arial"/>
                <w:sz w:val="18"/>
                <w:szCs w:val="18"/>
                <w:color w:val="auto"/>
              </w:rPr>
              <w:t>Commitment fee</w:t>
            </w:r>
          </w:p>
        </w:tc>
        <w:tc>
          <w:tcPr>
            <w:tcW w:w="3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Utilisation fee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11.3</w:t>
            </w:r>
          </w:p>
        </w:tc>
        <w:tc>
          <w:tcPr>
            <w:tcW w:w="6680" w:type="dxa"/>
            <w:vAlign w:val="bottom"/>
          </w:tcPr>
          <w:p>
            <w:pPr>
              <w:ind w:left="120"/>
              <w:spacing w:after="0"/>
              <w:rPr>
                <w:sz w:val="20"/>
                <w:szCs w:val="20"/>
                <w:color w:val="auto"/>
              </w:rPr>
            </w:pPr>
            <w:r>
              <w:rPr>
                <w:rFonts w:ascii="Arial" w:cs="Arial" w:eastAsia="Arial" w:hAnsi="Arial"/>
                <w:sz w:val="18"/>
                <w:szCs w:val="18"/>
                <w:color w:val="auto"/>
              </w:rPr>
              <w:t>Upfront Fee</w:t>
            </w:r>
          </w:p>
        </w:tc>
        <w:tc>
          <w:tcPr>
            <w:tcW w:w="35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11.4</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Agency fee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6 ADDITIONAL PAYMENT OBLIGATIONS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0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Gross up and Indemnities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12.2</w:t>
            </w:r>
          </w:p>
        </w:tc>
        <w:tc>
          <w:tcPr>
            <w:tcW w:w="6680" w:type="dxa"/>
            <w:vAlign w:val="bottom"/>
          </w:tcPr>
          <w:p>
            <w:pPr>
              <w:ind w:left="120"/>
              <w:spacing w:after="0"/>
              <w:rPr>
                <w:sz w:val="20"/>
                <w:szCs w:val="20"/>
                <w:color w:val="auto"/>
              </w:rPr>
            </w:pPr>
            <w:r>
              <w:rPr>
                <w:rFonts w:ascii="Arial" w:cs="Arial" w:eastAsia="Arial" w:hAnsi="Arial"/>
                <w:sz w:val="18"/>
                <w:szCs w:val="18"/>
                <w:color w:val="auto"/>
              </w:rPr>
              <w:t>Tax gross-up</w:t>
            </w:r>
          </w:p>
        </w:tc>
        <w:tc>
          <w:tcPr>
            <w:tcW w:w="35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indemnity</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12.4</w:t>
            </w:r>
          </w:p>
        </w:tc>
        <w:tc>
          <w:tcPr>
            <w:tcW w:w="6680" w:type="dxa"/>
            <w:vAlign w:val="bottom"/>
          </w:tcPr>
          <w:p>
            <w:pPr>
              <w:ind w:left="120"/>
              <w:spacing w:after="0"/>
              <w:rPr>
                <w:sz w:val="20"/>
                <w:szCs w:val="20"/>
                <w:color w:val="auto"/>
              </w:rPr>
            </w:pPr>
            <w:r>
              <w:rPr>
                <w:rFonts w:ascii="Arial" w:cs="Arial" w:eastAsia="Arial" w:hAnsi="Arial"/>
                <w:sz w:val="18"/>
                <w:szCs w:val="18"/>
                <w:color w:val="auto"/>
              </w:rPr>
              <w:t>Tax Credit</w:t>
            </w:r>
          </w:p>
        </w:tc>
        <w:tc>
          <w:tcPr>
            <w:tcW w:w="35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Lender status confirmation</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12.6</w:t>
            </w:r>
          </w:p>
        </w:tc>
        <w:tc>
          <w:tcPr>
            <w:tcW w:w="6680" w:type="dxa"/>
            <w:vAlign w:val="bottom"/>
          </w:tcPr>
          <w:p>
            <w:pPr>
              <w:ind w:left="120"/>
              <w:spacing w:after="0"/>
              <w:rPr>
                <w:sz w:val="20"/>
                <w:szCs w:val="20"/>
                <w:color w:val="auto"/>
              </w:rPr>
            </w:pPr>
            <w:r>
              <w:rPr>
                <w:rFonts w:ascii="Arial" w:cs="Arial" w:eastAsia="Arial" w:hAnsi="Arial"/>
                <w:sz w:val="18"/>
                <w:szCs w:val="18"/>
                <w:color w:val="auto"/>
              </w:rPr>
              <w:t>Stamp taxes</w:t>
            </w:r>
          </w:p>
        </w:tc>
        <w:tc>
          <w:tcPr>
            <w:tcW w:w="35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12.7</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12.8</w:t>
            </w:r>
          </w:p>
        </w:tc>
        <w:tc>
          <w:tcPr>
            <w:tcW w:w="6680" w:type="dxa"/>
            <w:vAlign w:val="bottom"/>
          </w:tcPr>
          <w:p>
            <w:pPr>
              <w:ind w:left="120"/>
              <w:spacing w:after="0"/>
              <w:rPr>
                <w:sz w:val="20"/>
                <w:szCs w:val="20"/>
                <w:color w:val="auto"/>
              </w:rPr>
            </w:pPr>
            <w:r>
              <w:rPr>
                <w:rFonts w:ascii="Arial" w:cs="Arial" w:eastAsia="Arial" w:hAnsi="Arial"/>
                <w:sz w:val="18"/>
                <w:szCs w:val="18"/>
                <w:color w:val="auto"/>
              </w:rPr>
              <w:t>FATCA Information</w:t>
            </w:r>
          </w:p>
        </w:tc>
        <w:tc>
          <w:tcPr>
            <w:tcW w:w="35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12.9</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FATCA Deduction</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0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Increased Costs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Increased costs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13.2</w:t>
            </w:r>
          </w:p>
        </w:tc>
        <w:tc>
          <w:tcPr>
            <w:tcW w:w="6680" w:type="dxa"/>
            <w:vAlign w:val="bottom"/>
          </w:tcPr>
          <w:p>
            <w:pPr>
              <w:ind w:left="120"/>
              <w:spacing w:after="0"/>
              <w:rPr>
                <w:sz w:val="20"/>
                <w:szCs w:val="20"/>
                <w:color w:val="auto"/>
              </w:rPr>
            </w:pPr>
            <w:r>
              <w:rPr>
                <w:rFonts w:ascii="Arial" w:cs="Arial" w:eastAsia="Arial" w:hAnsi="Arial"/>
                <w:sz w:val="18"/>
                <w:szCs w:val="18"/>
                <w:color w:val="auto"/>
              </w:rPr>
              <w:t>Increased cost claims</w:t>
            </w:r>
          </w:p>
        </w:tc>
        <w:tc>
          <w:tcPr>
            <w:tcW w:w="3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Exceptions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0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Indemnities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 indemnity</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14.2</w:t>
            </w:r>
          </w:p>
        </w:tc>
        <w:tc>
          <w:tcPr>
            <w:tcW w:w="6680" w:type="dxa"/>
            <w:vAlign w:val="bottom"/>
          </w:tcPr>
          <w:p>
            <w:pPr>
              <w:ind w:left="120"/>
              <w:spacing w:after="0"/>
              <w:rPr>
                <w:sz w:val="20"/>
                <w:szCs w:val="20"/>
                <w:color w:val="auto"/>
              </w:rPr>
            </w:pPr>
            <w:r>
              <w:rPr>
                <w:rFonts w:ascii="Arial" w:cs="Arial" w:eastAsia="Arial" w:hAnsi="Arial"/>
                <w:sz w:val="18"/>
                <w:szCs w:val="18"/>
                <w:color w:val="auto"/>
              </w:rPr>
              <w:t>Other indemnities</w:t>
            </w:r>
          </w:p>
        </w:tc>
        <w:tc>
          <w:tcPr>
            <w:tcW w:w="35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Indemnity to the Agent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0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Mitigation by the Lenders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Mitigation</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15.2</w:t>
            </w:r>
          </w:p>
        </w:tc>
        <w:tc>
          <w:tcPr>
            <w:tcW w:w="6680" w:type="dxa"/>
            <w:vAlign w:val="bottom"/>
          </w:tcPr>
          <w:p>
            <w:pPr>
              <w:ind w:left="120"/>
              <w:spacing w:after="0"/>
              <w:rPr>
                <w:sz w:val="20"/>
                <w:szCs w:val="20"/>
                <w:color w:val="auto"/>
              </w:rPr>
            </w:pPr>
            <w:r>
              <w:rPr>
                <w:rFonts w:ascii="Arial" w:cs="Arial" w:eastAsia="Arial" w:hAnsi="Arial"/>
                <w:sz w:val="18"/>
                <w:szCs w:val="18"/>
                <w:color w:val="auto"/>
              </w:rPr>
              <w:t>Limitation of liability</w:t>
            </w:r>
          </w:p>
        </w:tc>
        <w:tc>
          <w:tcPr>
            <w:tcW w:w="3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Costs and Expenses</w:t>
            </w:r>
          </w:p>
        </w:tc>
        <w:tc>
          <w:tcPr>
            <w:tcW w:w="3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16.1</w:t>
            </w:r>
          </w:p>
        </w:tc>
        <w:tc>
          <w:tcPr>
            <w:tcW w:w="6680" w:type="dxa"/>
            <w:vAlign w:val="bottom"/>
          </w:tcPr>
          <w:p>
            <w:pPr>
              <w:ind w:left="120"/>
              <w:spacing w:after="0"/>
              <w:rPr>
                <w:sz w:val="20"/>
                <w:szCs w:val="20"/>
                <w:color w:val="auto"/>
              </w:rPr>
            </w:pPr>
            <w:r>
              <w:rPr>
                <w:rFonts w:ascii="Arial" w:cs="Arial" w:eastAsia="Arial" w:hAnsi="Arial"/>
                <w:sz w:val="18"/>
                <w:szCs w:val="18"/>
                <w:color w:val="auto"/>
              </w:rPr>
              <w:t>Transaction expenses</w:t>
            </w:r>
          </w:p>
        </w:tc>
        <w:tc>
          <w:tcPr>
            <w:tcW w:w="3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Amendment costs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16.3</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Enforcement costs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3"/>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7 GUARANTEE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5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Guarantee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3"/>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8 REPRESENTATIONS, UNDERTAKINGS AND EVENTS OF DEFAULT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5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Representations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Status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18.2</w:t>
            </w:r>
          </w:p>
        </w:tc>
        <w:tc>
          <w:tcPr>
            <w:tcW w:w="7880" w:type="dxa"/>
            <w:vAlign w:val="bottom"/>
          </w:tcPr>
          <w:p>
            <w:pPr>
              <w:ind w:left="80"/>
              <w:spacing w:after="0"/>
              <w:rPr>
                <w:sz w:val="20"/>
                <w:szCs w:val="20"/>
                <w:color w:val="auto"/>
              </w:rPr>
            </w:pPr>
            <w:r>
              <w:rPr>
                <w:rFonts w:ascii="Arial" w:cs="Arial" w:eastAsia="Arial" w:hAnsi="Arial"/>
                <w:sz w:val="18"/>
                <w:szCs w:val="18"/>
                <w:color w:val="auto"/>
              </w:rPr>
              <w:t>Powers and authority</w:t>
            </w:r>
          </w:p>
        </w:tc>
        <w:tc>
          <w:tcPr>
            <w:tcW w:w="23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18.3</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validity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18.4</w:t>
            </w:r>
          </w:p>
        </w:tc>
        <w:tc>
          <w:tcPr>
            <w:tcW w:w="7880" w:type="dxa"/>
            <w:vAlign w:val="bottom"/>
          </w:tcPr>
          <w:p>
            <w:pPr>
              <w:ind w:left="80"/>
              <w:spacing w:after="0"/>
              <w:rPr>
                <w:sz w:val="20"/>
                <w:szCs w:val="20"/>
                <w:color w:val="auto"/>
              </w:rPr>
            </w:pPr>
            <w:r>
              <w:rPr>
                <w:rFonts w:ascii="Arial" w:cs="Arial" w:eastAsia="Arial" w:hAnsi="Arial"/>
                <w:sz w:val="18"/>
                <w:szCs w:val="18"/>
                <w:color w:val="auto"/>
              </w:rPr>
              <w:t>No conflict</w:t>
            </w:r>
          </w:p>
        </w:tc>
        <w:tc>
          <w:tcPr>
            <w:tcW w:w="23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18.5</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Governmental Consents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18.6</w:t>
            </w:r>
          </w:p>
        </w:tc>
        <w:tc>
          <w:tcPr>
            <w:tcW w:w="7880" w:type="dxa"/>
            <w:vAlign w:val="bottom"/>
          </w:tcPr>
          <w:p>
            <w:pPr>
              <w:ind w:left="80"/>
              <w:spacing w:after="0"/>
              <w:rPr>
                <w:sz w:val="20"/>
                <w:szCs w:val="20"/>
                <w:color w:val="auto"/>
              </w:rPr>
            </w:pPr>
            <w:r>
              <w:rPr>
                <w:rFonts w:ascii="Arial" w:cs="Arial" w:eastAsia="Arial" w:hAnsi="Arial"/>
                <w:sz w:val="18"/>
                <w:szCs w:val="18"/>
                <w:color w:val="auto"/>
              </w:rPr>
              <w:t>Deduction of Tax</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18.7</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Filing, Stamp duties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18.8</w:t>
            </w:r>
          </w:p>
        </w:tc>
        <w:tc>
          <w:tcPr>
            <w:tcW w:w="788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18.9</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Pari passu ranking</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18.10</w:t>
            </w:r>
          </w:p>
        </w:tc>
        <w:tc>
          <w:tcPr>
            <w:tcW w:w="788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18.11</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Environmental matters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18.12</w:t>
            </w:r>
          </w:p>
        </w:tc>
        <w:tc>
          <w:tcPr>
            <w:tcW w:w="7880" w:type="dxa"/>
            <w:vAlign w:val="bottom"/>
          </w:tcPr>
          <w:p>
            <w:pPr>
              <w:ind w:left="80"/>
              <w:spacing w:after="0"/>
              <w:rPr>
                <w:sz w:val="20"/>
                <w:szCs w:val="20"/>
                <w:color w:val="auto"/>
              </w:rPr>
            </w:pPr>
            <w:r>
              <w:rPr>
                <w:rFonts w:ascii="Arial" w:cs="Arial" w:eastAsia="Arial" w:hAnsi="Arial"/>
                <w:sz w:val="18"/>
                <w:szCs w:val="18"/>
                <w:color w:val="auto"/>
              </w:rPr>
              <w:t>Accuracy of disclosure</w:t>
            </w:r>
          </w:p>
        </w:tc>
        <w:tc>
          <w:tcPr>
            <w:tcW w:w="23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18.13</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Compliance with laws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18.14</w:t>
            </w:r>
          </w:p>
        </w:tc>
        <w:tc>
          <w:tcPr>
            <w:tcW w:w="7880" w:type="dxa"/>
            <w:vAlign w:val="bottom"/>
          </w:tcPr>
          <w:p>
            <w:pPr>
              <w:ind w:left="80"/>
              <w:spacing w:after="0"/>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18.15</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Material adverse change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18.16</w:t>
            </w:r>
          </w:p>
        </w:tc>
        <w:tc>
          <w:tcPr>
            <w:tcW w:w="7880" w:type="dxa"/>
            <w:vAlign w:val="bottom"/>
          </w:tcPr>
          <w:p>
            <w:pPr>
              <w:ind w:left="80"/>
              <w:spacing w:after="0"/>
              <w:rPr>
                <w:sz w:val="20"/>
                <w:szCs w:val="20"/>
                <w:color w:val="auto"/>
              </w:rPr>
            </w:pPr>
            <w:r>
              <w:rPr>
                <w:rFonts w:ascii="Arial" w:cs="Arial" w:eastAsia="Arial" w:hAnsi="Arial"/>
                <w:sz w:val="18"/>
                <w:szCs w:val="18"/>
                <w:color w:val="auto"/>
              </w:rPr>
              <w:t>Pension schemes</w:t>
            </w:r>
          </w:p>
        </w:tc>
        <w:tc>
          <w:tcPr>
            <w:tcW w:w="23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18.17</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ERISA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18.18</w:t>
            </w:r>
          </w:p>
        </w:tc>
        <w:tc>
          <w:tcPr>
            <w:tcW w:w="7880" w:type="dxa"/>
            <w:vAlign w:val="bottom"/>
          </w:tcPr>
          <w:p>
            <w:pPr>
              <w:ind w:left="80"/>
              <w:spacing w:after="0"/>
              <w:rPr>
                <w:sz w:val="20"/>
                <w:szCs w:val="20"/>
                <w:color w:val="auto"/>
              </w:rPr>
            </w:pPr>
            <w:r>
              <w:rPr>
                <w:rFonts w:ascii="Arial" w:cs="Arial" w:eastAsia="Arial" w:hAnsi="Arial"/>
                <w:sz w:val="18"/>
                <w:szCs w:val="18"/>
                <w:color w:val="auto"/>
              </w:rPr>
              <w:t>FCPA and sanctions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18.19</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Margin stock</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18.20</w:t>
            </w:r>
          </w:p>
        </w:tc>
        <w:tc>
          <w:tcPr>
            <w:tcW w:w="7880" w:type="dxa"/>
            <w:vAlign w:val="bottom"/>
          </w:tcPr>
          <w:p>
            <w:pPr>
              <w:ind w:left="80"/>
              <w:spacing w:after="0"/>
              <w:rPr>
                <w:sz w:val="20"/>
                <w:szCs w:val="20"/>
                <w:color w:val="auto"/>
              </w:rPr>
            </w:pPr>
            <w:r>
              <w:rPr>
                <w:rFonts w:ascii="Arial" w:cs="Arial" w:eastAsia="Arial" w:hAnsi="Arial"/>
                <w:sz w:val="18"/>
                <w:szCs w:val="18"/>
                <w:color w:val="auto"/>
              </w:rPr>
              <w:t>Intellectual Property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18.21</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Valid choice of law and jurisdiction</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18.22</w:t>
            </w:r>
          </w:p>
        </w:tc>
        <w:tc>
          <w:tcPr>
            <w:tcW w:w="7880" w:type="dxa"/>
            <w:vAlign w:val="bottom"/>
          </w:tcPr>
          <w:p>
            <w:pPr>
              <w:ind w:left="80"/>
              <w:spacing w:after="0"/>
              <w:rPr>
                <w:sz w:val="20"/>
                <w:szCs w:val="20"/>
                <w:color w:val="auto"/>
              </w:rPr>
            </w:pPr>
            <w:r>
              <w:rPr>
                <w:rFonts w:ascii="Arial" w:cs="Arial" w:eastAsia="Arial" w:hAnsi="Arial"/>
                <w:sz w:val="18"/>
                <w:szCs w:val="18"/>
                <w:color w:val="auto"/>
              </w:rPr>
              <w:t>No event of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18.23</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Repetition</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5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Information Undertakings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19.1</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19.2</w:t>
            </w:r>
          </w:p>
        </w:tc>
        <w:tc>
          <w:tcPr>
            <w:tcW w:w="788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19.3</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19.4</w:t>
            </w:r>
          </w:p>
        </w:tc>
        <w:tc>
          <w:tcPr>
            <w:tcW w:w="7880" w:type="dxa"/>
            <w:vAlign w:val="bottom"/>
          </w:tcPr>
          <w:p>
            <w:pPr>
              <w:ind w:left="80"/>
              <w:spacing w:after="0"/>
              <w:rPr>
                <w:sz w:val="20"/>
                <w:szCs w:val="20"/>
                <w:color w:val="auto"/>
              </w:rPr>
            </w:pPr>
            <w:r>
              <w:rPr>
                <w:rFonts w:ascii="Arial" w:cs="Arial" w:eastAsia="Arial" w:hAnsi="Arial"/>
                <w:sz w:val="18"/>
                <w:szCs w:val="18"/>
                <w:color w:val="auto"/>
              </w:rPr>
              <w:t>Notification of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19.5</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Use of websites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19.6</w:t>
            </w:r>
          </w:p>
        </w:tc>
        <w:tc>
          <w:tcPr>
            <w:tcW w:w="7880" w:type="dxa"/>
            <w:vAlign w:val="bottom"/>
          </w:tcPr>
          <w:p>
            <w:pPr>
              <w:ind w:left="80"/>
              <w:spacing w:after="0"/>
              <w:rPr>
                <w:sz w:val="20"/>
                <w:szCs w:val="20"/>
                <w:color w:val="auto"/>
              </w:rPr>
            </w:pPr>
            <w:r>
              <w:rPr>
                <w:rFonts w:ascii="Arial" w:cs="Arial" w:eastAsia="Arial" w:hAnsi="Arial"/>
                <w:sz w:val="18"/>
                <w:szCs w:val="18"/>
                <w:color w:val="auto"/>
              </w:rPr>
              <w:t>"Know your customer" checks</w:t>
            </w:r>
          </w:p>
        </w:tc>
        <w:tc>
          <w:tcPr>
            <w:tcW w:w="23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19.7</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Appointment of the new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of Technip Eurocash SNC</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5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Covenant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Capitalisation Ratio</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20.2</w:t>
            </w:r>
          </w:p>
        </w:tc>
        <w:tc>
          <w:tcPr>
            <w:tcW w:w="7880" w:type="dxa"/>
            <w:vAlign w:val="bottom"/>
          </w:tcPr>
          <w:p>
            <w:pPr>
              <w:ind w:left="80"/>
              <w:spacing w:after="0"/>
              <w:rPr>
                <w:sz w:val="20"/>
                <w:szCs w:val="20"/>
                <w:color w:val="auto"/>
              </w:rPr>
            </w:pPr>
            <w:r>
              <w:rPr>
                <w:rFonts w:ascii="Arial" w:cs="Arial" w:eastAsia="Arial" w:hAnsi="Arial"/>
                <w:sz w:val="18"/>
                <w:szCs w:val="18"/>
                <w:color w:val="auto"/>
              </w:rPr>
              <w:t>Financial testing</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General Undertakings</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w:t>
            </w:r>
          </w:p>
        </w:tc>
        <w:tc>
          <w:tcPr>
            <w:tcW w:w="7880" w:type="dxa"/>
            <w:vAlign w:val="bottom"/>
          </w:tcPr>
          <w:p>
            <w:pPr>
              <w:ind w:left="80"/>
              <w:spacing w:after="0"/>
              <w:rPr>
                <w:sz w:val="20"/>
                <w:szCs w:val="20"/>
                <w:color w:val="auto"/>
              </w:rPr>
            </w:pPr>
            <w:r>
              <w:rPr>
                <w:rFonts w:ascii="Arial" w:cs="Arial" w:eastAsia="Arial" w:hAnsi="Arial"/>
                <w:sz w:val="18"/>
                <w:szCs w:val="18"/>
                <w:color w:val="auto"/>
              </w:rPr>
              <w:t>Authorisations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21.2</w:t>
            </w:r>
          </w:p>
        </w:tc>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Pari passu ranking</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80" w:type="dxa"/>
            <w:vAlign w:val="bottom"/>
          </w:tcPr>
          <w:p>
            <w:pPr>
              <w:ind w:left="4440"/>
              <w:spacing w:after="0"/>
              <w:rPr>
                <w:sz w:val="20"/>
                <w:szCs w:val="20"/>
                <w:color w:val="auto"/>
              </w:rPr>
            </w:pPr>
            <w:r>
              <w:rPr>
                <w:rFonts w:ascii="Arial" w:cs="Arial" w:eastAsia="Arial" w:hAnsi="Arial"/>
                <w:sz w:val="14"/>
                <w:szCs w:val="14"/>
                <w:color w:val="auto"/>
              </w:rPr>
              <w:t>- 7 -</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Indebtedness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21.4</w:t>
            </w:r>
          </w:p>
        </w:tc>
        <w:tc>
          <w:tcPr>
            <w:tcW w:w="9040" w:type="dxa"/>
            <w:vAlign w:val="bottom"/>
          </w:tcPr>
          <w:p>
            <w:pPr>
              <w:ind w:left="80"/>
              <w:spacing w:after="0"/>
              <w:rPr>
                <w:sz w:val="20"/>
                <w:szCs w:val="20"/>
                <w:color w:val="auto"/>
              </w:rPr>
            </w:pPr>
            <w:r>
              <w:rPr>
                <w:rFonts w:ascii="Arial" w:cs="Arial" w:eastAsia="Arial" w:hAnsi="Arial"/>
                <w:sz w:val="18"/>
                <w:szCs w:val="18"/>
                <w:color w:val="auto"/>
              </w:rPr>
              <w:t>Negative pledge</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Disposals; Mergers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21.6</w:t>
            </w:r>
          </w:p>
        </w:tc>
        <w:tc>
          <w:tcPr>
            <w:tcW w:w="9040" w:type="dxa"/>
            <w:vAlign w:val="bottom"/>
          </w:tcPr>
          <w:p>
            <w:pPr>
              <w:ind w:left="80"/>
              <w:spacing w:after="0"/>
              <w:rPr>
                <w:sz w:val="20"/>
                <w:szCs w:val="20"/>
                <w:color w:val="auto"/>
              </w:rPr>
            </w:pPr>
            <w:r>
              <w:rPr>
                <w:rFonts w:ascii="Arial" w:cs="Arial" w:eastAsia="Arial" w:hAnsi="Arial"/>
                <w:sz w:val="18"/>
                <w:szCs w:val="18"/>
                <w:color w:val="auto"/>
              </w:rPr>
              <w:t>Restricted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 in Unrestricted Subsidiaries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21.8</w:t>
            </w:r>
          </w:p>
        </w:tc>
        <w:tc>
          <w:tcPr>
            <w:tcW w:w="9040" w:type="dxa"/>
            <w:vAlign w:val="bottom"/>
          </w:tcPr>
          <w:p>
            <w:pPr>
              <w:ind w:left="80"/>
              <w:spacing w:after="0"/>
              <w:rPr>
                <w:sz w:val="20"/>
                <w:szCs w:val="20"/>
                <w:color w:val="auto"/>
              </w:rPr>
            </w:pPr>
            <w:r>
              <w:rPr>
                <w:rFonts w:ascii="Arial" w:cs="Arial" w:eastAsia="Arial" w:hAnsi="Arial"/>
                <w:sz w:val="18"/>
                <w:szCs w:val="18"/>
                <w:color w:val="auto"/>
              </w:rPr>
              <w:t>Limitations on up streaming</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21.9</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Transactions with Affiliates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21.10</w:t>
            </w:r>
          </w:p>
        </w:tc>
        <w:tc>
          <w:tcPr>
            <w:tcW w:w="9040" w:type="dxa"/>
            <w:vAlign w:val="bottom"/>
          </w:tcPr>
          <w:p>
            <w:pPr>
              <w:ind w:left="80"/>
              <w:spacing w:after="0"/>
              <w:rPr>
                <w:sz w:val="20"/>
                <w:szCs w:val="20"/>
                <w:color w:val="auto"/>
              </w:rPr>
            </w:pPr>
            <w:r>
              <w:rPr>
                <w:rFonts w:ascii="Arial" w:cs="Arial" w:eastAsia="Arial" w:hAnsi="Arial"/>
                <w:sz w:val="18"/>
                <w:szCs w:val="18"/>
                <w:color w:val="auto"/>
              </w:rPr>
              <w:t>Control of Borrower</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21.11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and continuation of business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21.12</w:t>
            </w:r>
          </w:p>
        </w:tc>
        <w:tc>
          <w:tcPr>
            <w:tcW w:w="904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21.13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Compliance with laws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21.14</w:t>
            </w:r>
          </w:p>
        </w:tc>
        <w:tc>
          <w:tcPr>
            <w:tcW w:w="9040" w:type="dxa"/>
            <w:vAlign w:val="bottom"/>
          </w:tcPr>
          <w:p>
            <w:pPr>
              <w:ind w:left="8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21.15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Maintenance of property, books and records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21.16</w:t>
            </w:r>
          </w:p>
        </w:tc>
        <w:tc>
          <w:tcPr>
            <w:tcW w:w="904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21.17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Société en nom collectif</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21.18</w:t>
            </w:r>
          </w:p>
        </w:tc>
        <w:tc>
          <w:tcPr>
            <w:tcW w:w="9040" w:type="dxa"/>
            <w:vAlign w:val="bottom"/>
          </w:tcPr>
          <w:p>
            <w:pPr>
              <w:ind w:left="80"/>
              <w:spacing w:after="0"/>
              <w:rPr>
                <w:sz w:val="20"/>
                <w:szCs w:val="20"/>
                <w:color w:val="auto"/>
              </w:rPr>
            </w:pPr>
            <w:r>
              <w:rPr>
                <w:rFonts w:ascii="Arial" w:cs="Arial" w:eastAsia="Arial" w:hAnsi="Arial"/>
                <w:sz w:val="18"/>
                <w:szCs w:val="18"/>
                <w:color w:val="auto"/>
              </w:rPr>
              <w:t>Payment of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21.19</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Anti-corruption laws and Sanctions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21.20</w:t>
            </w:r>
          </w:p>
        </w:tc>
        <w:tc>
          <w:tcPr>
            <w:tcW w:w="9040" w:type="dxa"/>
            <w:vAlign w:val="bottom"/>
          </w:tcPr>
          <w:p>
            <w:pPr>
              <w:ind w:left="80"/>
              <w:spacing w:after="0"/>
              <w:rPr>
                <w:sz w:val="20"/>
                <w:szCs w:val="20"/>
                <w:color w:val="auto"/>
              </w:rPr>
            </w:pPr>
            <w:r>
              <w:rPr>
                <w:rFonts w:ascii="Arial" w:cs="Arial" w:eastAsia="Arial" w:hAnsi="Arial"/>
                <w:sz w:val="18"/>
                <w:szCs w:val="18"/>
                <w:color w:val="auto"/>
              </w:rPr>
              <w:t>Designation of Unrestricted Subsidiaries; Redesignation of Unrestricted Subsidiaries as Restricted 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21.21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of Unrestricted Subsidiaries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Events of Default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22.2</w:t>
            </w:r>
          </w:p>
        </w:tc>
        <w:tc>
          <w:tcPr>
            <w:tcW w:w="9040" w:type="dxa"/>
            <w:vAlign w:val="bottom"/>
          </w:tcPr>
          <w:p>
            <w:pPr>
              <w:ind w:left="80"/>
              <w:spacing w:after="0"/>
              <w:rPr>
                <w:sz w:val="20"/>
                <w:szCs w:val="20"/>
                <w:color w:val="auto"/>
              </w:rPr>
            </w:pPr>
            <w:r>
              <w:rPr>
                <w:rFonts w:ascii="Arial" w:cs="Arial" w:eastAsia="Arial" w:hAnsi="Arial"/>
                <w:sz w:val="18"/>
                <w:szCs w:val="18"/>
                <w:color w:val="auto"/>
              </w:rPr>
              <w:t>Financial Covenant</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22.4</w:t>
            </w:r>
          </w:p>
        </w:tc>
        <w:tc>
          <w:tcPr>
            <w:tcW w:w="9040" w:type="dxa"/>
            <w:vAlign w:val="bottom"/>
          </w:tcPr>
          <w:p>
            <w:pPr>
              <w:ind w:left="80"/>
              <w:spacing w:after="0"/>
              <w:rPr>
                <w:sz w:val="20"/>
                <w:szCs w:val="20"/>
                <w:color w:val="auto"/>
              </w:rPr>
            </w:pPr>
            <w:r>
              <w:rPr>
                <w:rFonts w:ascii="Arial" w:cs="Arial" w:eastAsia="Arial" w:hAnsi="Arial"/>
                <w:sz w:val="18"/>
                <w:szCs w:val="18"/>
                <w:color w:val="auto"/>
              </w:rPr>
              <w:t>Misrepresentation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Cross default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22.6</w:t>
            </w:r>
          </w:p>
        </w:tc>
        <w:tc>
          <w:tcPr>
            <w:tcW w:w="9040" w:type="dxa"/>
            <w:vAlign w:val="bottom"/>
          </w:tcPr>
          <w:p>
            <w:pPr>
              <w:ind w:left="80"/>
              <w:spacing w:after="0"/>
              <w:rPr>
                <w:sz w:val="20"/>
                <w:szCs w:val="20"/>
                <w:color w:val="auto"/>
              </w:rPr>
            </w:pPr>
            <w:r>
              <w:rPr>
                <w:rFonts w:ascii="Arial" w:cs="Arial" w:eastAsia="Arial" w:hAnsi="Arial"/>
                <w:sz w:val="18"/>
                <w:szCs w:val="18"/>
                <w:color w:val="auto"/>
              </w:rPr>
              <w:t>Insolvency, bankruptcy and insolvency proceedings</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Creditor's process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22.8</w:t>
            </w:r>
          </w:p>
        </w:tc>
        <w:tc>
          <w:tcPr>
            <w:tcW w:w="9040" w:type="dxa"/>
            <w:vAlign w:val="bottom"/>
          </w:tcPr>
          <w:p>
            <w:pPr>
              <w:ind w:left="80"/>
              <w:spacing w:after="0"/>
              <w:rPr>
                <w:sz w:val="20"/>
                <w:szCs w:val="20"/>
                <w:color w:val="auto"/>
              </w:rPr>
            </w:pPr>
            <w:r>
              <w:rPr>
                <w:rFonts w:ascii="Arial" w:cs="Arial" w:eastAsia="Arial" w:hAnsi="Arial"/>
                <w:sz w:val="18"/>
                <w:szCs w:val="18"/>
                <w:color w:val="auto"/>
              </w:rPr>
              <w:t>Material judgments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22.9</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ERISA events/pension plans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22.10</w:t>
            </w:r>
          </w:p>
        </w:tc>
        <w:tc>
          <w:tcPr>
            <w:tcW w:w="9040" w:type="dxa"/>
            <w:vAlign w:val="bottom"/>
          </w:tcPr>
          <w:p>
            <w:pPr>
              <w:ind w:left="80"/>
              <w:spacing w:after="0"/>
              <w:rPr>
                <w:sz w:val="20"/>
                <w:szCs w:val="20"/>
                <w:color w:val="auto"/>
              </w:rPr>
            </w:pPr>
            <w:r>
              <w:rPr>
                <w:rFonts w:ascii="Arial" w:cs="Arial" w:eastAsia="Arial" w:hAnsi="Arial"/>
                <w:sz w:val="18"/>
                <w:szCs w:val="18"/>
                <w:color w:val="auto"/>
              </w:rPr>
              <w:t>Cessation of business</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22.11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Unlawfulness and Repudiation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22.12</w:t>
            </w:r>
          </w:p>
        </w:tc>
        <w:tc>
          <w:tcPr>
            <w:tcW w:w="9040" w:type="dxa"/>
            <w:vAlign w:val="bottom"/>
          </w:tcPr>
          <w:p>
            <w:pPr>
              <w:ind w:left="80"/>
              <w:spacing w:after="0"/>
              <w:rPr>
                <w:sz w:val="20"/>
                <w:szCs w:val="20"/>
                <w:color w:val="auto"/>
              </w:rPr>
            </w:pPr>
            <w:r>
              <w:rPr>
                <w:rFonts w:ascii="Arial" w:cs="Arial" w:eastAsia="Arial" w:hAnsi="Arial"/>
                <w:sz w:val="18"/>
                <w:szCs w:val="18"/>
                <w:color w:val="auto"/>
              </w:rPr>
              <w:t>Consequences of an Event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3"/>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rPr>
              <w:t>SECTION 9 CHANGES TO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Changes to the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23.1</w:t>
            </w:r>
          </w:p>
        </w:tc>
        <w:tc>
          <w:tcPr>
            <w:tcW w:w="9040" w:type="dxa"/>
            <w:vAlign w:val="bottom"/>
          </w:tcPr>
          <w:p>
            <w:pPr>
              <w:ind w:left="80"/>
              <w:spacing w:after="0"/>
              <w:rPr>
                <w:sz w:val="20"/>
                <w:szCs w:val="20"/>
                <w:color w:val="auto"/>
              </w:rPr>
            </w:pPr>
            <w:r>
              <w:rPr>
                <w:rFonts w:ascii="Arial" w:cs="Arial" w:eastAsia="Arial" w:hAnsi="Arial"/>
                <w:sz w:val="18"/>
                <w:szCs w:val="18"/>
                <w:color w:val="auto"/>
              </w:rPr>
              <w:t>Transfers by the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23.2</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Conditions of transfer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23.3</w:t>
            </w:r>
          </w:p>
        </w:tc>
        <w:tc>
          <w:tcPr>
            <w:tcW w:w="9040" w:type="dxa"/>
            <w:vAlign w:val="bottom"/>
          </w:tcPr>
          <w:p>
            <w:pPr>
              <w:ind w:left="80"/>
              <w:spacing w:after="0"/>
              <w:rPr>
                <w:sz w:val="20"/>
                <w:szCs w:val="20"/>
                <w:color w:val="auto"/>
              </w:rPr>
            </w:pPr>
            <w:r>
              <w:rPr>
                <w:rFonts w:ascii="Arial" w:cs="Arial" w:eastAsia="Arial" w:hAnsi="Arial"/>
                <w:sz w:val="18"/>
                <w:szCs w:val="18"/>
                <w:color w:val="auto"/>
              </w:rPr>
              <w:t>Transfer fee</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23.4</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Limitation of responsibility of Existing Lenders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23.5</w:t>
            </w:r>
          </w:p>
        </w:tc>
        <w:tc>
          <w:tcPr>
            <w:tcW w:w="9040" w:type="dxa"/>
            <w:vAlign w:val="bottom"/>
          </w:tcPr>
          <w:p>
            <w:pPr>
              <w:ind w:left="80"/>
              <w:spacing w:after="0"/>
              <w:rPr>
                <w:sz w:val="20"/>
                <w:szCs w:val="20"/>
                <w:color w:val="auto"/>
              </w:rPr>
            </w:pPr>
            <w:r>
              <w:rPr>
                <w:rFonts w:ascii="Arial" w:cs="Arial" w:eastAsia="Arial" w:hAnsi="Arial"/>
                <w:sz w:val="18"/>
                <w:szCs w:val="18"/>
                <w:color w:val="auto"/>
              </w:rPr>
              <w:t>Procedure for transfer</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23.6</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Copy of Transfer Certificate to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23.7</w:t>
            </w:r>
          </w:p>
        </w:tc>
        <w:tc>
          <w:tcPr>
            <w:tcW w:w="9040" w:type="dxa"/>
            <w:vAlign w:val="bottom"/>
          </w:tcPr>
          <w:p>
            <w:pPr>
              <w:ind w:left="80"/>
              <w:spacing w:after="0"/>
              <w:rPr>
                <w:sz w:val="20"/>
                <w:szCs w:val="20"/>
                <w:color w:val="auto"/>
              </w:rPr>
            </w:pPr>
            <w:r>
              <w:rPr>
                <w:rFonts w:ascii="Arial" w:cs="Arial" w:eastAsia="Arial" w:hAnsi="Arial"/>
                <w:sz w:val="18"/>
                <w:szCs w:val="18"/>
                <w:color w:val="auto"/>
              </w:rPr>
              <w:t>Security over Lenders'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40" w:type="dxa"/>
            <w:vAlign w:val="bottom"/>
          </w:tcPr>
          <w:p>
            <w:pPr>
              <w:ind w:left="4440"/>
              <w:spacing w:after="0"/>
              <w:rPr>
                <w:sz w:val="20"/>
                <w:szCs w:val="20"/>
                <w:color w:val="auto"/>
              </w:rPr>
            </w:pPr>
            <w:r>
              <w:rPr>
                <w:rFonts w:ascii="Arial" w:cs="Arial" w:eastAsia="Arial" w:hAnsi="Arial"/>
                <w:sz w:val="14"/>
                <w:szCs w:val="14"/>
                <w:color w:val="auto"/>
              </w:rPr>
              <w:t>- 8 -</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23.8</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 rata interest settlement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to the Obligors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10 THE FINANCE PARTIES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Role of the Agent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25.1</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Appointment of the Agent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25.2</w:t>
            </w:r>
          </w:p>
        </w:tc>
        <w:tc>
          <w:tcPr>
            <w:tcW w:w="3960" w:type="dxa"/>
            <w:vAlign w:val="bottom"/>
          </w:tcPr>
          <w:p>
            <w:pPr>
              <w:ind w:left="80"/>
              <w:spacing w:after="0"/>
              <w:rPr>
                <w:sz w:val="20"/>
                <w:szCs w:val="20"/>
                <w:color w:val="auto"/>
              </w:rPr>
            </w:pPr>
            <w:r>
              <w:rPr>
                <w:rFonts w:ascii="Arial" w:cs="Arial" w:eastAsia="Arial" w:hAnsi="Arial"/>
                <w:sz w:val="18"/>
                <w:szCs w:val="18"/>
                <w:color w:val="auto"/>
              </w:rPr>
              <w:t>Instructions</w:t>
            </w:r>
          </w:p>
        </w:tc>
        <w:tc>
          <w:tcPr>
            <w:tcW w:w="62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25.3</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Duties of the Agent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25.4</w:t>
            </w:r>
          </w:p>
        </w:tc>
        <w:tc>
          <w:tcPr>
            <w:tcW w:w="3960" w:type="dxa"/>
            <w:vAlign w:val="bottom"/>
          </w:tcPr>
          <w:p>
            <w:pPr>
              <w:ind w:left="80"/>
              <w:spacing w:after="0"/>
              <w:rPr>
                <w:sz w:val="20"/>
                <w:szCs w:val="20"/>
                <w:color w:val="auto"/>
              </w:rPr>
            </w:pPr>
            <w:r>
              <w:rPr>
                <w:rFonts w:ascii="Arial" w:cs="Arial" w:eastAsia="Arial" w:hAnsi="Arial"/>
                <w:sz w:val="18"/>
                <w:szCs w:val="18"/>
                <w:color w:val="auto"/>
              </w:rPr>
              <w:t>No fiduciary duties</w:t>
            </w:r>
          </w:p>
        </w:tc>
        <w:tc>
          <w:tcPr>
            <w:tcW w:w="62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25.5</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 with the Group</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25.6</w:t>
            </w:r>
          </w:p>
        </w:tc>
        <w:tc>
          <w:tcPr>
            <w:tcW w:w="3960" w:type="dxa"/>
            <w:vAlign w:val="bottom"/>
          </w:tcPr>
          <w:p>
            <w:pPr>
              <w:ind w:left="80"/>
              <w:spacing w:after="0"/>
              <w:rPr>
                <w:sz w:val="20"/>
                <w:szCs w:val="20"/>
                <w:color w:val="auto"/>
              </w:rPr>
            </w:pPr>
            <w:r>
              <w:rPr>
                <w:rFonts w:ascii="Arial" w:cs="Arial" w:eastAsia="Arial" w:hAnsi="Arial"/>
                <w:sz w:val="18"/>
                <w:szCs w:val="18"/>
                <w:color w:val="auto"/>
              </w:rPr>
              <w:t>Rights and discretions</w:t>
            </w:r>
          </w:p>
        </w:tc>
        <w:tc>
          <w:tcPr>
            <w:tcW w:w="62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25.7</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Responsibility for documentation</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25.8</w:t>
            </w:r>
          </w:p>
        </w:tc>
        <w:tc>
          <w:tcPr>
            <w:tcW w:w="3960" w:type="dxa"/>
            <w:vAlign w:val="bottom"/>
          </w:tcPr>
          <w:p>
            <w:pPr>
              <w:ind w:left="80"/>
              <w:spacing w:after="0"/>
              <w:rPr>
                <w:sz w:val="20"/>
                <w:szCs w:val="20"/>
                <w:color w:val="auto"/>
              </w:rPr>
            </w:pPr>
            <w:r>
              <w:rPr>
                <w:rFonts w:ascii="Arial" w:cs="Arial" w:eastAsia="Arial" w:hAnsi="Arial"/>
                <w:sz w:val="18"/>
                <w:szCs w:val="18"/>
                <w:color w:val="auto"/>
              </w:rPr>
              <w:t>No duty to monitor</w:t>
            </w:r>
          </w:p>
        </w:tc>
        <w:tc>
          <w:tcPr>
            <w:tcW w:w="62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25.9</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Exclusion of liability</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25.10</w:t>
            </w:r>
          </w:p>
        </w:tc>
        <w:tc>
          <w:tcPr>
            <w:tcW w:w="3960" w:type="dxa"/>
            <w:vAlign w:val="bottom"/>
          </w:tcPr>
          <w:p>
            <w:pPr>
              <w:ind w:left="80"/>
              <w:spacing w:after="0"/>
              <w:rPr>
                <w:sz w:val="20"/>
                <w:szCs w:val="20"/>
                <w:color w:val="auto"/>
              </w:rPr>
            </w:pPr>
            <w:r>
              <w:rPr>
                <w:rFonts w:ascii="Arial" w:cs="Arial" w:eastAsia="Arial" w:hAnsi="Arial"/>
                <w:sz w:val="18"/>
                <w:szCs w:val="18"/>
                <w:color w:val="auto"/>
              </w:rPr>
              <w:t>Lenders' indemnity to the Agent</w:t>
            </w:r>
          </w:p>
        </w:tc>
        <w:tc>
          <w:tcPr>
            <w:tcW w:w="62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25.11</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Resignation of the Agent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25.12</w:t>
            </w:r>
          </w:p>
        </w:tc>
        <w:tc>
          <w:tcPr>
            <w:tcW w:w="3960" w:type="dxa"/>
            <w:vAlign w:val="bottom"/>
          </w:tcPr>
          <w:p>
            <w:pPr>
              <w:ind w:left="80"/>
              <w:spacing w:after="0"/>
              <w:rPr>
                <w:sz w:val="20"/>
                <w:szCs w:val="20"/>
                <w:color w:val="auto"/>
              </w:rPr>
            </w:pPr>
            <w:r>
              <w:rPr>
                <w:rFonts w:ascii="Arial" w:cs="Arial" w:eastAsia="Arial" w:hAnsi="Arial"/>
                <w:sz w:val="18"/>
                <w:szCs w:val="18"/>
                <w:color w:val="auto"/>
              </w:rPr>
              <w:t>Replacement of the Agent</w:t>
            </w:r>
          </w:p>
        </w:tc>
        <w:tc>
          <w:tcPr>
            <w:tcW w:w="62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25.13</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Confidentiality</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25.14</w:t>
            </w:r>
          </w:p>
        </w:tc>
        <w:tc>
          <w:tcPr>
            <w:tcW w:w="3960" w:type="dxa"/>
            <w:vAlign w:val="bottom"/>
          </w:tcPr>
          <w:p>
            <w:pPr>
              <w:ind w:left="80"/>
              <w:spacing w:after="0"/>
              <w:rPr>
                <w:sz w:val="20"/>
                <w:szCs w:val="20"/>
                <w:color w:val="auto"/>
              </w:rPr>
            </w:pPr>
            <w:r>
              <w:rPr>
                <w:rFonts w:ascii="Arial" w:cs="Arial" w:eastAsia="Arial" w:hAnsi="Arial"/>
                <w:sz w:val="18"/>
                <w:szCs w:val="18"/>
                <w:color w:val="auto"/>
              </w:rPr>
              <w:t>Relationship with the Lenders</w:t>
            </w:r>
          </w:p>
        </w:tc>
        <w:tc>
          <w:tcPr>
            <w:tcW w:w="62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25.15</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Credit appraisal by the Lenders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25.16</w:t>
            </w:r>
          </w:p>
        </w:tc>
        <w:tc>
          <w:tcPr>
            <w:tcW w:w="3960" w:type="dxa"/>
            <w:vAlign w:val="bottom"/>
          </w:tcPr>
          <w:p>
            <w:pPr>
              <w:ind w:left="80"/>
              <w:spacing w:after="0"/>
              <w:rPr>
                <w:sz w:val="20"/>
                <w:szCs w:val="20"/>
                <w:color w:val="auto"/>
              </w:rPr>
            </w:pPr>
            <w:r>
              <w:rPr>
                <w:rFonts w:ascii="Arial" w:cs="Arial" w:eastAsia="Arial" w:hAnsi="Arial"/>
                <w:sz w:val="18"/>
                <w:szCs w:val="18"/>
                <w:color w:val="auto"/>
              </w:rPr>
              <w:t>Deduction from amounts payable by the Agent</w:t>
            </w:r>
          </w:p>
        </w:tc>
        <w:tc>
          <w:tcPr>
            <w:tcW w:w="62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25.17</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Abatement of fees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25.18</w:t>
            </w:r>
          </w:p>
        </w:tc>
        <w:tc>
          <w:tcPr>
            <w:tcW w:w="3960" w:type="dxa"/>
            <w:vAlign w:val="bottom"/>
          </w:tcPr>
          <w:p>
            <w:pPr>
              <w:ind w:left="80"/>
              <w:spacing w:after="0"/>
              <w:rPr>
                <w:sz w:val="20"/>
                <w:szCs w:val="20"/>
                <w:color w:val="auto"/>
              </w:rPr>
            </w:pPr>
            <w:r>
              <w:rPr>
                <w:rFonts w:ascii="Arial" w:cs="Arial" w:eastAsia="Arial" w:hAnsi="Arial"/>
                <w:sz w:val="18"/>
                <w:szCs w:val="18"/>
                <w:color w:val="auto"/>
              </w:rPr>
              <w:t>Role of Reference Banks</w:t>
            </w:r>
          </w:p>
        </w:tc>
        <w:tc>
          <w:tcPr>
            <w:tcW w:w="62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Conduct of Business by the Finance Parties</w:t>
            </w:r>
          </w:p>
        </w:tc>
        <w:tc>
          <w:tcPr>
            <w:tcW w:w="62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Sharing among the Finance Parties</w:t>
            </w:r>
          </w:p>
        </w:tc>
        <w:tc>
          <w:tcPr>
            <w:tcW w:w="62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27.1</w:t>
            </w:r>
          </w:p>
        </w:tc>
        <w:tc>
          <w:tcPr>
            <w:tcW w:w="3960" w:type="dxa"/>
            <w:vAlign w:val="bottom"/>
          </w:tcPr>
          <w:p>
            <w:pPr>
              <w:ind w:left="80"/>
              <w:spacing w:after="0"/>
              <w:rPr>
                <w:sz w:val="20"/>
                <w:szCs w:val="20"/>
                <w:color w:val="auto"/>
              </w:rPr>
            </w:pPr>
            <w:r>
              <w:rPr>
                <w:rFonts w:ascii="Arial" w:cs="Arial" w:eastAsia="Arial" w:hAnsi="Arial"/>
                <w:sz w:val="18"/>
                <w:szCs w:val="18"/>
                <w:color w:val="auto"/>
              </w:rPr>
              <w:t>Payments to Finance Parties</w:t>
            </w:r>
          </w:p>
        </w:tc>
        <w:tc>
          <w:tcPr>
            <w:tcW w:w="62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27.2</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Redistribution of payments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27.3</w:t>
            </w:r>
          </w:p>
        </w:tc>
        <w:tc>
          <w:tcPr>
            <w:tcW w:w="3960" w:type="dxa"/>
            <w:vAlign w:val="bottom"/>
          </w:tcPr>
          <w:p>
            <w:pPr>
              <w:ind w:left="80"/>
              <w:spacing w:after="0"/>
              <w:rPr>
                <w:sz w:val="20"/>
                <w:szCs w:val="20"/>
                <w:color w:val="auto"/>
              </w:rPr>
            </w:pPr>
            <w:r>
              <w:rPr>
                <w:rFonts w:ascii="Arial" w:cs="Arial" w:eastAsia="Arial" w:hAnsi="Arial"/>
                <w:sz w:val="18"/>
                <w:szCs w:val="18"/>
                <w:color w:val="auto"/>
              </w:rPr>
              <w:t>Recovering Finance Party's rights</w:t>
            </w:r>
          </w:p>
        </w:tc>
        <w:tc>
          <w:tcPr>
            <w:tcW w:w="62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27.4</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Reversal of redistribution</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27.5</w:t>
            </w:r>
          </w:p>
        </w:tc>
        <w:tc>
          <w:tcPr>
            <w:tcW w:w="3960" w:type="dxa"/>
            <w:vAlign w:val="bottom"/>
          </w:tcPr>
          <w:p>
            <w:pPr>
              <w:ind w:left="80"/>
              <w:spacing w:after="0"/>
              <w:rPr>
                <w:sz w:val="20"/>
                <w:szCs w:val="20"/>
                <w:color w:val="auto"/>
              </w:rPr>
            </w:pPr>
            <w:r>
              <w:rPr>
                <w:rFonts w:ascii="Arial" w:cs="Arial" w:eastAsia="Arial" w:hAnsi="Arial"/>
                <w:sz w:val="18"/>
                <w:szCs w:val="18"/>
                <w:color w:val="auto"/>
              </w:rPr>
              <w:t>Exceptions</w:t>
            </w:r>
          </w:p>
        </w:tc>
        <w:tc>
          <w:tcPr>
            <w:tcW w:w="62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SECTION 11 ADMINISTRATION</w:t>
            </w:r>
          </w:p>
        </w:tc>
        <w:tc>
          <w:tcPr>
            <w:tcW w:w="62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Payment Mechanics</w:t>
            </w:r>
          </w:p>
        </w:tc>
        <w:tc>
          <w:tcPr>
            <w:tcW w:w="62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28.1</w:t>
            </w:r>
          </w:p>
        </w:tc>
        <w:tc>
          <w:tcPr>
            <w:tcW w:w="3960" w:type="dxa"/>
            <w:vAlign w:val="bottom"/>
          </w:tcPr>
          <w:p>
            <w:pPr>
              <w:ind w:left="80"/>
              <w:spacing w:after="0"/>
              <w:rPr>
                <w:sz w:val="20"/>
                <w:szCs w:val="20"/>
                <w:color w:val="auto"/>
              </w:rPr>
            </w:pPr>
            <w:r>
              <w:rPr>
                <w:rFonts w:ascii="Arial" w:cs="Arial" w:eastAsia="Arial" w:hAnsi="Arial"/>
                <w:sz w:val="18"/>
                <w:szCs w:val="18"/>
                <w:color w:val="auto"/>
              </w:rPr>
              <w:t>Payments to the Agent</w:t>
            </w:r>
          </w:p>
        </w:tc>
        <w:tc>
          <w:tcPr>
            <w:tcW w:w="62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28.2</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Distributions by the Agent</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28.3</w:t>
            </w:r>
          </w:p>
        </w:tc>
        <w:tc>
          <w:tcPr>
            <w:tcW w:w="3960" w:type="dxa"/>
            <w:vAlign w:val="bottom"/>
          </w:tcPr>
          <w:p>
            <w:pPr>
              <w:ind w:left="80"/>
              <w:spacing w:after="0"/>
              <w:rPr>
                <w:sz w:val="20"/>
                <w:szCs w:val="20"/>
                <w:color w:val="auto"/>
              </w:rPr>
            </w:pPr>
            <w:r>
              <w:rPr>
                <w:rFonts w:ascii="Arial" w:cs="Arial" w:eastAsia="Arial" w:hAnsi="Arial"/>
                <w:sz w:val="18"/>
                <w:szCs w:val="18"/>
                <w:color w:val="auto"/>
              </w:rPr>
              <w:t>Distributions to an Obligor</w:t>
            </w:r>
          </w:p>
        </w:tc>
        <w:tc>
          <w:tcPr>
            <w:tcW w:w="62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28.4</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Clawback and pre-funding</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28.5</w:t>
            </w:r>
          </w:p>
        </w:tc>
        <w:tc>
          <w:tcPr>
            <w:tcW w:w="3960" w:type="dxa"/>
            <w:vAlign w:val="bottom"/>
          </w:tcPr>
          <w:p>
            <w:pPr>
              <w:ind w:left="80"/>
              <w:spacing w:after="0"/>
              <w:rPr>
                <w:sz w:val="20"/>
                <w:szCs w:val="20"/>
                <w:color w:val="auto"/>
              </w:rPr>
            </w:pPr>
            <w:r>
              <w:rPr>
                <w:rFonts w:ascii="Arial" w:cs="Arial" w:eastAsia="Arial" w:hAnsi="Arial"/>
                <w:sz w:val="18"/>
                <w:szCs w:val="18"/>
                <w:color w:val="auto"/>
              </w:rPr>
              <w:t>Impaired Agent</w:t>
            </w:r>
          </w:p>
        </w:tc>
        <w:tc>
          <w:tcPr>
            <w:tcW w:w="62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28.6</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Partial payments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28.7</w:t>
            </w:r>
          </w:p>
        </w:tc>
        <w:tc>
          <w:tcPr>
            <w:tcW w:w="3960" w:type="dxa"/>
            <w:vAlign w:val="bottom"/>
          </w:tcPr>
          <w:p>
            <w:pPr>
              <w:ind w:left="80"/>
              <w:spacing w:after="0"/>
              <w:rPr>
                <w:sz w:val="20"/>
                <w:szCs w:val="20"/>
                <w:color w:val="auto"/>
              </w:rPr>
            </w:pPr>
            <w:r>
              <w:rPr>
                <w:rFonts w:ascii="Arial" w:cs="Arial" w:eastAsia="Arial" w:hAnsi="Arial"/>
                <w:sz w:val="18"/>
                <w:szCs w:val="18"/>
                <w:color w:val="auto"/>
              </w:rPr>
              <w:t>No set-off by Obligor</w:t>
            </w:r>
          </w:p>
        </w:tc>
        <w:tc>
          <w:tcPr>
            <w:tcW w:w="62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28.8</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 Days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28.9</w:t>
            </w:r>
          </w:p>
        </w:tc>
        <w:tc>
          <w:tcPr>
            <w:tcW w:w="3960" w:type="dxa"/>
            <w:vAlign w:val="bottom"/>
          </w:tcPr>
          <w:p>
            <w:pPr>
              <w:ind w:left="80"/>
              <w:spacing w:after="0"/>
              <w:rPr>
                <w:sz w:val="20"/>
                <w:szCs w:val="20"/>
                <w:color w:val="auto"/>
              </w:rPr>
            </w:pPr>
            <w:r>
              <w:rPr>
                <w:rFonts w:ascii="Arial" w:cs="Arial" w:eastAsia="Arial" w:hAnsi="Arial"/>
                <w:sz w:val="18"/>
                <w:szCs w:val="18"/>
                <w:color w:val="auto"/>
              </w:rPr>
              <w:t>Currency of account</w:t>
            </w:r>
          </w:p>
        </w:tc>
        <w:tc>
          <w:tcPr>
            <w:tcW w:w="62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28.10</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of currency</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28.11</w:t>
            </w:r>
          </w:p>
        </w:tc>
        <w:tc>
          <w:tcPr>
            <w:tcW w:w="3960" w:type="dxa"/>
            <w:vAlign w:val="bottom"/>
          </w:tcPr>
          <w:p>
            <w:pPr>
              <w:ind w:left="80"/>
              <w:spacing w:after="0"/>
              <w:rPr>
                <w:sz w:val="20"/>
                <w:szCs w:val="20"/>
                <w:color w:val="auto"/>
              </w:rPr>
            </w:pPr>
            <w:r>
              <w:rPr>
                <w:rFonts w:ascii="Arial" w:cs="Arial" w:eastAsia="Arial" w:hAnsi="Arial"/>
                <w:sz w:val="18"/>
                <w:szCs w:val="18"/>
                <w:color w:val="auto"/>
              </w:rPr>
              <w:t>Disruption to payment systems etc.</w:t>
            </w:r>
          </w:p>
        </w:tc>
        <w:tc>
          <w:tcPr>
            <w:tcW w:w="62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220" w:type="dxa"/>
            <w:vAlign w:val="bottom"/>
          </w:tcPr>
          <w:p>
            <w:pPr>
              <w:jc w:val="right"/>
              <w:ind w:right="5410"/>
              <w:spacing w:after="0"/>
              <w:rPr>
                <w:sz w:val="20"/>
                <w:szCs w:val="20"/>
                <w:color w:val="auto"/>
              </w:rPr>
            </w:pPr>
            <w:r>
              <w:rPr>
                <w:rFonts w:ascii="Arial" w:cs="Arial" w:eastAsia="Arial" w:hAnsi="Arial"/>
                <w:sz w:val="14"/>
                <w:szCs w:val="14"/>
                <w:color w:val="auto"/>
              </w:rPr>
              <w:t>- 9 -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29.</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Set-Off</w:t>
            </w:r>
          </w:p>
        </w:tc>
        <w:tc>
          <w:tcPr>
            <w:tcW w:w="4240" w:type="dxa"/>
            <w:vAlign w:val="bottom"/>
            <w:shd w:val="clear" w:color="auto" w:fill="CCEEFF"/>
          </w:tcPr>
          <w:p>
            <w:pPr>
              <w:spacing w:after="0"/>
              <w:rPr>
                <w:sz w:val="18"/>
                <w:szCs w:val="18"/>
                <w:color w:val="auto"/>
              </w:rPr>
            </w:pP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30.</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Notices</w:t>
            </w:r>
          </w:p>
        </w:tc>
        <w:tc>
          <w:tcPr>
            <w:tcW w:w="4240" w:type="dxa"/>
            <w:vAlign w:val="bottom"/>
            <w:shd w:val="clear" w:color="auto" w:fill="CCEEFF"/>
          </w:tcPr>
          <w:p>
            <w:pPr>
              <w:spacing w:after="0"/>
              <w:rPr>
                <w:sz w:val="18"/>
                <w:szCs w:val="18"/>
                <w:color w:val="auto"/>
              </w:rPr>
            </w:pP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30.1</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in writing</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30.2</w:t>
            </w:r>
          </w:p>
        </w:tc>
        <w:tc>
          <w:tcPr>
            <w:tcW w:w="4240" w:type="dxa"/>
            <w:vAlign w:val="bottom"/>
          </w:tcPr>
          <w:p>
            <w:pPr>
              <w:spacing w:after="0"/>
              <w:rPr>
                <w:sz w:val="20"/>
                <w:szCs w:val="20"/>
                <w:color w:val="auto"/>
              </w:rPr>
            </w:pPr>
            <w:r>
              <w:rPr>
                <w:rFonts w:ascii="Arial" w:cs="Arial" w:eastAsia="Arial" w:hAnsi="Arial"/>
                <w:sz w:val="18"/>
                <w:szCs w:val="18"/>
                <w:color w:val="auto"/>
              </w:rPr>
              <w:t>Addresses</w:t>
            </w:r>
          </w:p>
        </w:tc>
        <w:tc>
          <w:tcPr>
            <w:tcW w:w="58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30.3</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Delivery</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30.4</w:t>
            </w:r>
          </w:p>
        </w:tc>
        <w:tc>
          <w:tcPr>
            <w:tcW w:w="4240" w:type="dxa"/>
            <w:vAlign w:val="bottom"/>
          </w:tcPr>
          <w:p>
            <w:pPr>
              <w:spacing w:after="0"/>
              <w:rPr>
                <w:sz w:val="20"/>
                <w:szCs w:val="20"/>
                <w:color w:val="auto"/>
              </w:rPr>
            </w:pPr>
            <w:r>
              <w:rPr>
                <w:rFonts w:ascii="Arial" w:cs="Arial" w:eastAsia="Arial" w:hAnsi="Arial"/>
                <w:sz w:val="18"/>
                <w:szCs w:val="18"/>
                <w:color w:val="auto"/>
              </w:rPr>
              <w:t>Notification of address</w:t>
            </w:r>
          </w:p>
        </w:tc>
        <w:tc>
          <w:tcPr>
            <w:tcW w:w="586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30.5</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Communication when Agent is Impaired Agent</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30.6</w:t>
            </w:r>
          </w:p>
        </w:tc>
        <w:tc>
          <w:tcPr>
            <w:tcW w:w="4240" w:type="dxa"/>
            <w:vAlign w:val="bottom"/>
          </w:tcPr>
          <w:p>
            <w:pPr>
              <w:spacing w:after="0"/>
              <w:rPr>
                <w:sz w:val="20"/>
                <w:szCs w:val="20"/>
                <w:color w:val="auto"/>
              </w:rPr>
            </w:pPr>
            <w:r>
              <w:rPr>
                <w:rFonts w:ascii="Arial" w:cs="Arial" w:eastAsia="Arial" w:hAnsi="Arial"/>
                <w:sz w:val="18"/>
                <w:szCs w:val="18"/>
                <w:color w:val="auto"/>
              </w:rPr>
              <w:t>Electronic communication</w:t>
            </w:r>
          </w:p>
        </w:tc>
        <w:tc>
          <w:tcPr>
            <w:tcW w:w="586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30.7</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English language</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31.</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Calculations and Certificates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31.1</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31.2</w:t>
            </w:r>
          </w:p>
        </w:tc>
        <w:tc>
          <w:tcPr>
            <w:tcW w:w="4240" w:type="dxa"/>
            <w:vAlign w:val="bottom"/>
          </w:tcPr>
          <w:p>
            <w:pPr>
              <w:spacing w:after="0"/>
              <w:rPr>
                <w:sz w:val="20"/>
                <w:szCs w:val="20"/>
                <w:color w:val="auto"/>
              </w:rPr>
            </w:pPr>
            <w:r>
              <w:rPr>
                <w:rFonts w:ascii="Arial" w:cs="Arial" w:eastAsia="Arial" w:hAnsi="Arial"/>
                <w:sz w:val="18"/>
                <w:szCs w:val="18"/>
                <w:color w:val="auto"/>
              </w:rPr>
              <w:t>Certificates and Determinations</w:t>
            </w:r>
          </w:p>
        </w:tc>
        <w:tc>
          <w:tcPr>
            <w:tcW w:w="58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31.3</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Day count convention</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32.</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Partial Invalidity</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33.</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Remedies, Waivers and hardship</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33.1</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Remedies and waivers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33.2</w:t>
            </w:r>
          </w:p>
        </w:tc>
        <w:tc>
          <w:tcPr>
            <w:tcW w:w="4240" w:type="dxa"/>
            <w:vAlign w:val="bottom"/>
          </w:tcPr>
          <w:p>
            <w:pPr>
              <w:spacing w:after="0"/>
              <w:rPr>
                <w:sz w:val="20"/>
                <w:szCs w:val="20"/>
                <w:color w:val="auto"/>
              </w:rPr>
            </w:pPr>
            <w:r>
              <w:rPr>
                <w:rFonts w:ascii="Arial" w:cs="Arial" w:eastAsia="Arial" w:hAnsi="Arial"/>
                <w:sz w:val="18"/>
                <w:szCs w:val="18"/>
                <w:color w:val="auto"/>
              </w:rPr>
              <w:t>No hardship</w:t>
            </w:r>
          </w:p>
        </w:tc>
        <w:tc>
          <w:tcPr>
            <w:tcW w:w="58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34.</w:t>
            </w: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Amendments and Waivers</w:t>
            </w:r>
          </w:p>
        </w:tc>
        <w:tc>
          <w:tcPr>
            <w:tcW w:w="58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34.1</w:t>
            </w:r>
          </w:p>
        </w:tc>
        <w:tc>
          <w:tcPr>
            <w:tcW w:w="4240" w:type="dxa"/>
            <w:vAlign w:val="bottom"/>
          </w:tcPr>
          <w:p>
            <w:pPr>
              <w:spacing w:after="0"/>
              <w:rPr>
                <w:sz w:val="20"/>
                <w:szCs w:val="20"/>
                <w:color w:val="auto"/>
              </w:rPr>
            </w:pPr>
            <w:r>
              <w:rPr>
                <w:rFonts w:ascii="Arial" w:cs="Arial" w:eastAsia="Arial" w:hAnsi="Arial"/>
                <w:sz w:val="18"/>
                <w:szCs w:val="18"/>
                <w:color w:val="auto"/>
              </w:rPr>
              <w:t>Required consents</w:t>
            </w:r>
          </w:p>
        </w:tc>
        <w:tc>
          <w:tcPr>
            <w:tcW w:w="58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34.2</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 Lender matters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34.3</w:t>
            </w:r>
          </w:p>
        </w:tc>
        <w:tc>
          <w:tcPr>
            <w:tcW w:w="4240" w:type="dxa"/>
            <w:vAlign w:val="bottom"/>
          </w:tcPr>
          <w:p>
            <w:pPr>
              <w:spacing w:after="0"/>
              <w:rPr>
                <w:sz w:val="20"/>
                <w:szCs w:val="20"/>
                <w:color w:val="auto"/>
              </w:rPr>
            </w:pPr>
            <w:r>
              <w:rPr>
                <w:rFonts w:ascii="Arial" w:cs="Arial" w:eastAsia="Arial" w:hAnsi="Arial"/>
                <w:sz w:val="18"/>
                <w:szCs w:val="18"/>
                <w:color w:val="auto"/>
              </w:rPr>
              <w:t>Affected Lender Matters</w:t>
            </w:r>
          </w:p>
        </w:tc>
        <w:tc>
          <w:tcPr>
            <w:tcW w:w="586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34.4</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exceptions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34.5</w:t>
            </w:r>
          </w:p>
        </w:tc>
        <w:tc>
          <w:tcPr>
            <w:tcW w:w="4240" w:type="dxa"/>
            <w:vAlign w:val="bottom"/>
          </w:tcPr>
          <w:p>
            <w:pPr>
              <w:spacing w:after="0"/>
              <w:rPr>
                <w:sz w:val="20"/>
                <w:szCs w:val="20"/>
                <w:color w:val="auto"/>
              </w:rPr>
            </w:pPr>
            <w:r>
              <w:rPr>
                <w:rFonts w:ascii="Arial" w:cs="Arial" w:eastAsia="Arial" w:hAnsi="Arial"/>
                <w:sz w:val="18"/>
                <w:szCs w:val="18"/>
                <w:color w:val="auto"/>
              </w:rPr>
              <w:t>Replacement of Screen Rate</w:t>
            </w:r>
          </w:p>
        </w:tc>
        <w:tc>
          <w:tcPr>
            <w:tcW w:w="58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34.6</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Disenfranchisement of Defaulting Lenders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34.7</w:t>
            </w:r>
          </w:p>
        </w:tc>
        <w:tc>
          <w:tcPr>
            <w:tcW w:w="4240" w:type="dxa"/>
            <w:vAlign w:val="bottom"/>
          </w:tcPr>
          <w:p>
            <w:pPr>
              <w:spacing w:after="0"/>
              <w:rPr>
                <w:sz w:val="20"/>
                <w:szCs w:val="20"/>
                <w:color w:val="auto"/>
              </w:rPr>
            </w:pPr>
            <w:r>
              <w:rPr>
                <w:rFonts w:ascii="Arial" w:cs="Arial" w:eastAsia="Arial" w:hAnsi="Arial"/>
                <w:sz w:val="18"/>
                <w:szCs w:val="18"/>
                <w:color w:val="auto"/>
              </w:rPr>
              <w:t>Excluded Commitments</w:t>
            </w:r>
          </w:p>
        </w:tc>
        <w:tc>
          <w:tcPr>
            <w:tcW w:w="58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34.8</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Replacement of a Defaulting Lender</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34.9</w:t>
            </w:r>
          </w:p>
        </w:tc>
        <w:tc>
          <w:tcPr>
            <w:tcW w:w="4240" w:type="dxa"/>
            <w:vAlign w:val="bottom"/>
          </w:tcPr>
          <w:p>
            <w:pPr>
              <w:spacing w:after="0"/>
              <w:rPr>
                <w:sz w:val="20"/>
                <w:szCs w:val="20"/>
                <w:color w:val="auto"/>
              </w:rPr>
            </w:pPr>
            <w:r>
              <w:rPr>
                <w:rFonts w:ascii="Arial" w:cs="Arial" w:eastAsia="Arial" w:hAnsi="Arial"/>
                <w:sz w:val="18"/>
                <w:szCs w:val="18"/>
                <w:color w:val="auto"/>
              </w:rPr>
              <w:t>Extension Option</w:t>
            </w:r>
          </w:p>
        </w:tc>
        <w:tc>
          <w:tcPr>
            <w:tcW w:w="58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34.10</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Amendments and Waivers of Sanctions Provisions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35.</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Confidential Information</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35.1</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Confidentiality</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35.2</w:t>
            </w:r>
          </w:p>
        </w:tc>
        <w:tc>
          <w:tcPr>
            <w:tcW w:w="4240" w:type="dxa"/>
            <w:vAlign w:val="bottom"/>
          </w:tcPr>
          <w:p>
            <w:pPr>
              <w:spacing w:after="0"/>
              <w:rPr>
                <w:sz w:val="20"/>
                <w:szCs w:val="20"/>
                <w:color w:val="auto"/>
              </w:rPr>
            </w:pPr>
            <w:r>
              <w:rPr>
                <w:rFonts w:ascii="Arial" w:cs="Arial" w:eastAsia="Arial" w:hAnsi="Arial"/>
                <w:sz w:val="18"/>
                <w:szCs w:val="18"/>
                <w:color w:val="auto"/>
              </w:rPr>
              <w:t>Disclosure of Confidential Information</w:t>
            </w:r>
          </w:p>
        </w:tc>
        <w:tc>
          <w:tcPr>
            <w:tcW w:w="58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35.3</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Disclosure to numbering service providers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35.4</w:t>
            </w:r>
          </w:p>
        </w:tc>
        <w:tc>
          <w:tcPr>
            <w:tcW w:w="4240" w:type="dxa"/>
            <w:vAlign w:val="bottom"/>
          </w:tcPr>
          <w:p>
            <w:pPr>
              <w:spacing w:after="0"/>
              <w:rPr>
                <w:sz w:val="20"/>
                <w:szCs w:val="20"/>
                <w:color w:val="auto"/>
              </w:rPr>
            </w:pPr>
            <w:r>
              <w:rPr>
                <w:rFonts w:ascii="Arial" w:cs="Arial" w:eastAsia="Arial" w:hAnsi="Arial"/>
                <w:sz w:val="18"/>
                <w:szCs w:val="18"/>
                <w:color w:val="auto"/>
              </w:rPr>
              <w:t>Entire agreement</w:t>
            </w:r>
          </w:p>
        </w:tc>
        <w:tc>
          <w:tcPr>
            <w:tcW w:w="58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35.5</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Inside information</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35.6</w:t>
            </w:r>
          </w:p>
        </w:tc>
        <w:tc>
          <w:tcPr>
            <w:tcW w:w="4240" w:type="dxa"/>
            <w:vAlign w:val="bottom"/>
          </w:tcPr>
          <w:p>
            <w:pPr>
              <w:spacing w:after="0"/>
              <w:rPr>
                <w:sz w:val="20"/>
                <w:szCs w:val="20"/>
                <w:color w:val="auto"/>
              </w:rPr>
            </w:pPr>
            <w:r>
              <w:rPr>
                <w:rFonts w:ascii="Arial" w:cs="Arial" w:eastAsia="Arial" w:hAnsi="Arial"/>
                <w:sz w:val="18"/>
                <w:szCs w:val="18"/>
                <w:color w:val="auto"/>
              </w:rPr>
              <w:t>Notification of disclosure</w:t>
            </w:r>
          </w:p>
        </w:tc>
        <w:tc>
          <w:tcPr>
            <w:tcW w:w="58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35.7</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Continuing obligations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36.</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Confidentiality of Funding Rates and Reference Bank Quotations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36.1</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Confidentiality and disclosure</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36.2</w:t>
            </w:r>
          </w:p>
        </w:tc>
        <w:tc>
          <w:tcPr>
            <w:tcW w:w="4240" w:type="dxa"/>
            <w:vAlign w:val="bottom"/>
          </w:tcPr>
          <w:p>
            <w:pPr>
              <w:spacing w:after="0"/>
              <w:rPr>
                <w:sz w:val="20"/>
                <w:szCs w:val="20"/>
                <w:color w:val="auto"/>
              </w:rPr>
            </w:pPr>
            <w:r>
              <w:rPr>
                <w:rFonts w:ascii="Arial" w:cs="Arial" w:eastAsia="Arial" w:hAnsi="Arial"/>
                <w:sz w:val="18"/>
                <w:szCs w:val="18"/>
                <w:color w:val="auto"/>
              </w:rPr>
              <w:t>Related obligations</w:t>
            </w:r>
          </w:p>
        </w:tc>
        <w:tc>
          <w:tcPr>
            <w:tcW w:w="58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36.3</w:t>
            </w: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 Event of Default</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37.</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Anti-Boycott Regulations</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38.</w:t>
            </w: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Waiver of Subject Ordinance</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60" w:type="dxa"/>
            <w:vAlign w:val="bottom"/>
          </w:tcPr>
          <w:p>
            <w:pPr>
              <w:jc w:val="right"/>
              <w:ind w:right="537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12 GOVERNING LAW AND ENFORCEMENT</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60" w:type="dxa"/>
            <w:vAlign w:val="bottom"/>
            <w:gridSpan w:val="2"/>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Governing Law</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260" w:type="dxa"/>
            <w:vAlign w:val="bottom"/>
            <w:gridSpan w:val="2"/>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Enforcement</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Jurisdiction</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40.2</w:t>
            </w:r>
          </w:p>
        </w:tc>
        <w:tc>
          <w:tcPr>
            <w:tcW w:w="6640" w:type="dxa"/>
            <w:vAlign w:val="bottom"/>
          </w:tcPr>
          <w:p>
            <w:pPr>
              <w:ind w:left="120"/>
              <w:spacing w:after="0"/>
              <w:rPr>
                <w:sz w:val="20"/>
                <w:szCs w:val="20"/>
                <w:color w:val="auto"/>
              </w:rPr>
            </w:pPr>
            <w:r>
              <w:rPr>
                <w:rFonts w:ascii="Arial" w:cs="Arial" w:eastAsia="Arial" w:hAnsi="Arial"/>
                <w:sz w:val="18"/>
                <w:szCs w:val="18"/>
                <w:color w:val="auto"/>
              </w:rPr>
              <w:t>Evidence of Agreement</w:t>
            </w:r>
          </w:p>
        </w:tc>
        <w:tc>
          <w:tcPr>
            <w:tcW w:w="35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Personal Data Protection</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 PAGES</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459"/>
        </w:trPr>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tcPr>
          <w:p>
            <w:pPr>
              <w:jc w:val="right"/>
              <w:ind w:right="4612"/>
              <w:spacing w:after="0"/>
              <w:rPr>
                <w:sz w:val="20"/>
                <w:szCs w:val="20"/>
                <w:color w:val="auto"/>
              </w:rPr>
            </w:pPr>
            <w:r>
              <w:rPr>
                <w:rFonts w:ascii="Arial" w:cs="Arial" w:eastAsia="Arial" w:hAnsi="Arial"/>
                <w:sz w:val="18"/>
                <w:szCs w:val="18"/>
                <w:b w:val="1"/>
                <w:bCs w:val="1"/>
                <w:color w:val="auto"/>
              </w:rPr>
              <w:t>LIST OF SCHEDULES</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 The Original Lenders</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Schedule 2. Conditions Precedent</w:t>
            </w:r>
          </w:p>
        </w:tc>
        <w:tc>
          <w:tcPr>
            <w:tcW w:w="6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3. Utilisation Request</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Schedule 4. Form of Transfer Certificate</w:t>
            </w:r>
          </w:p>
        </w:tc>
        <w:tc>
          <w:tcPr>
            <w:tcW w:w="68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8"/>
              </w:rPr>
              <w:t>Schedule 5.</w:t>
            </w: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Form of Compliance Certificate</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w w:val="88"/>
              </w:rPr>
              <w:t>Schedule 6.</w:t>
            </w:r>
          </w:p>
        </w:tc>
        <w:tc>
          <w:tcPr>
            <w:tcW w:w="3500" w:type="dxa"/>
            <w:vAlign w:val="bottom"/>
          </w:tcPr>
          <w:p>
            <w:pPr>
              <w:ind w:left="40"/>
              <w:spacing w:after="0"/>
              <w:rPr>
                <w:sz w:val="20"/>
                <w:szCs w:val="20"/>
                <w:color w:val="auto"/>
              </w:rPr>
            </w:pPr>
            <w:r>
              <w:rPr>
                <w:rFonts w:ascii="Arial" w:cs="Arial" w:eastAsia="Arial" w:hAnsi="Arial"/>
                <w:sz w:val="18"/>
                <w:szCs w:val="18"/>
                <w:color w:val="auto"/>
              </w:rPr>
              <w:t>Existing Security</w:t>
            </w:r>
          </w:p>
        </w:tc>
        <w:tc>
          <w:tcPr>
            <w:tcW w:w="68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88"/>
              </w:rPr>
              <w:t>Schedule 7.</w:t>
            </w: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LMA Form of Confidentiality Undertaking</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88"/>
              </w:rPr>
              <w:t>Schedule 8.</w:t>
            </w:r>
          </w:p>
        </w:tc>
        <w:tc>
          <w:tcPr>
            <w:tcW w:w="3500" w:type="dxa"/>
            <w:vAlign w:val="bottom"/>
          </w:tcPr>
          <w:p>
            <w:pPr>
              <w:ind w:left="40"/>
              <w:spacing w:after="0"/>
              <w:rPr>
                <w:sz w:val="20"/>
                <w:szCs w:val="20"/>
                <w:color w:val="auto"/>
              </w:rPr>
            </w:pPr>
            <w:r>
              <w:rPr>
                <w:rFonts w:ascii="Arial" w:cs="Arial" w:eastAsia="Arial" w:hAnsi="Arial"/>
                <w:sz w:val="18"/>
                <w:szCs w:val="18"/>
                <w:color w:val="auto"/>
              </w:rPr>
              <w:t>Timetables</w:t>
            </w:r>
          </w:p>
        </w:tc>
        <w:tc>
          <w:tcPr>
            <w:tcW w:w="6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568"/>
        </w:trPr>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80" w:type="dxa"/>
            <w:vAlign w:val="bottom"/>
          </w:tcPr>
          <w:p>
            <w:pPr>
              <w:jc w:val="right"/>
              <w:ind w:right="5372"/>
              <w:spacing w:after="0"/>
              <w:rPr>
                <w:sz w:val="20"/>
                <w:szCs w:val="20"/>
                <w:color w:val="auto"/>
              </w:rPr>
            </w:pPr>
            <w:r>
              <w:rPr>
                <w:rFonts w:ascii="Arial" w:cs="Arial" w:eastAsia="Arial" w:hAnsi="Arial"/>
                <w:sz w:val="14"/>
                <w:szCs w:val="14"/>
                <w:color w:val="auto"/>
              </w:rPr>
              <w:t>-11-</w:t>
            </w:r>
          </w:p>
        </w:tc>
      </w:tr>
      <w:tr>
        <w:trPr>
          <w:trHeight w:val="46"/>
        </w:trPr>
        <w:tc>
          <w:tcPr>
            <w:tcW w:w="8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t xml:space="preserve">THIS FACILITY AGREEMENT </w:t>
      </w:r>
      <w:r>
        <w:rPr>
          <w:rFonts w:ascii="Arial" w:cs="Arial" w:eastAsia="Arial" w:hAnsi="Arial"/>
          <w:sz w:val="19"/>
          <w:szCs w:val="19"/>
          <w:color w:val="auto"/>
        </w:rPr>
        <w:t>is dated 19 May 2020 and as amended and restated on 12 June 2020 and made between:</w:t>
      </w:r>
    </w:p>
    <w:p>
      <w:pPr>
        <w:spacing w:after="0" w:line="277" w:lineRule="exact"/>
        <w:rPr>
          <w:sz w:val="20"/>
          <w:szCs w:val="20"/>
          <w:color w:val="auto"/>
        </w:rPr>
      </w:pPr>
    </w:p>
    <w:p>
      <w:pPr>
        <w:ind w:left="760" w:hanging="752"/>
        <w:spacing w:after="0" w:line="312"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TECHNIPFMC PLC</w:t>
      </w:r>
      <w:r>
        <w:rPr>
          <w:rFonts w:ascii="Arial" w:cs="Arial" w:eastAsia="Arial" w:hAnsi="Arial"/>
          <w:sz w:val="17"/>
          <w:szCs w:val="17"/>
          <w:color w:val="auto"/>
        </w:rPr>
        <w:t>, a public limited company incorporated in England and Wales with company number 09909709 and having its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 at One, St. Paul's Churchyard, London EC4M 8AP, United Kingdom, as borrower and guarantor ("</w:t>
      </w:r>
      <w:r>
        <w:rPr>
          <w:rFonts w:ascii="Arial" w:cs="Arial" w:eastAsia="Arial" w:hAnsi="Arial"/>
          <w:sz w:val="17"/>
          <w:szCs w:val="17"/>
          <w:b w:val="1"/>
          <w:bCs w:val="1"/>
          <w:color w:val="auto"/>
        </w:rPr>
        <w:t>TechnipFMC plc</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760" w:hanging="752"/>
        <w:spacing w:after="0" w:line="289"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TECHNIP EUROCASH SNC</w:t>
      </w:r>
      <w:r>
        <w:rPr>
          <w:rFonts w:ascii="Arial" w:cs="Arial" w:eastAsia="Arial" w:hAnsi="Arial"/>
          <w:sz w:val="17"/>
          <w:szCs w:val="17"/>
          <w:color w:val="auto"/>
        </w:rPr>
        <w:t>, a company incorporated under the laws of France as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société en nom collectif</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registered office at 6-8</w:t>
      </w:r>
      <w:r>
        <w:rPr>
          <w:rFonts w:ascii="Arial" w:cs="Arial" w:eastAsia="Arial" w:hAnsi="Arial"/>
          <w:sz w:val="17"/>
          <w:szCs w:val="17"/>
          <w:b w:val="1"/>
          <w:bCs w:val="1"/>
          <w:color w:val="auto"/>
        </w:rPr>
        <w:t xml:space="preserve"> </w:t>
      </w:r>
      <w:r>
        <w:rPr>
          <w:rFonts w:ascii="Arial" w:cs="Arial" w:eastAsia="Arial" w:hAnsi="Arial"/>
          <w:sz w:val="17"/>
          <w:szCs w:val="17"/>
          <w:color w:val="auto"/>
        </w:rPr>
        <w:t>allée de l'Arche Faubourg de l'Arche Zac Danton, 92400 Courbevoie, France, registered with the Trade and Companies Registry of Nanterre under number 428 574 248, as borrower ("</w:t>
      </w:r>
      <w:r>
        <w:rPr>
          <w:rFonts w:ascii="Arial" w:cs="Arial" w:eastAsia="Arial" w:hAnsi="Arial"/>
          <w:sz w:val="17"/>
          <w:szCs w:val="17"/>
          <w:b w:val="1"/>
          <w:bCs w:val="1"/>
          <w:color w:val="auto"/>
        </w:rPr>
        <w:t>Technip Eurocash SNC</w:t>
      </w:r>
      <w:r>
        <w:rPr>
          <w:rFonts w:ascii="Arial" w:cs="Arial" w:eastAsia="Arial" w:hAnsi="Arial"/>
          <w:sz w:val="17"/>
          <w:szCs w:val="17"/>
          <w:color w:val="auto"/>
        </w:rPr>
        <w:t>" and together with TechnipFMC plc, the "</w:t>
      </w:r>
      <w:r>
        <w:rPr>
          <w:rFonts w:ascii="Arial" w:cs="Arial" w:eastAsia="Arial" w:hAnsi="Arial"/>
          <w:sz w:val="17"/>
          <w:szCs w:val="17"/>
          <w:b w:val="1"/>
          <w:bCs w:val="1"/>
          <w:color w:val="auto"/>
        </w:rPr>
        <w:t>Borrowers</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760" w:hanging="752"/>
        <w:spacing w:after="0" w:line="282"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HSBC FRANCE</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France, having its registered office at 103, avenue des Champs-Elysées,</w:t>
      </w:r>
      <w:r>
        <w:rPr>
          <w:rFonts w:ascii="Arial" w:cs="Arial" w:eastAsia="Arial" w:hAnsi="Arial"/>
          <w:sz w:val="18"/>
          <w:szCs w:val="18"/>
          <w:b w:val="1"/>
          <w:bCs w:val="1"/>
          <w:color w:val="auto"/>
        </w:rPr>
        <w:t xml:space="preserve"> </w:t>
      </w:r>
      <w:r>
        <w:rPr>
          <w:rFonts w:ascii="Arial" w:cs="Arial" w:eastAsia="Arial" w:hAnsi="Arial"/>
          <w:sz w:val="18"/>
          <w:szCs w:val="18"/>
          <w:color w:val="auto"/>
        </w:rPr>
        <w:t>75008 Paris, registered under number 775 670 284 RCS Paris, as agent of the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222"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acting in concert</w:t>
      </w:r>
      <w:r>
        <w:rPr>
          <w:rFonts w:ascii="Arial" w:cs="Arial" w:eastAsia="Arial" w:hAnsi="Arial"/>
          <w:sz w:val="22"/>
          <w:szCs w:val="22"/>
          <w:color w:val="auto"/>
        </w:rPr>
        <w:t>" has the meaning given to that term in Clause 7.3 (</w:t>
      </w:r>
      <w:r>
        <w:rPr>
          <w:rFonts w:ascii="Arial" w:cs="Arial" w:eastAsia="Arial" w:hAnsi="Arial"/>
          <w:sz w:val="22"/>
          <w:szCs w:val="22"/>
          <w:i w:val="1"/>
          <w:iCs w:val="1"/>
          <w:color w:val="auto"/>
        </w:rPr>
        <w:t>Change of Control</w:t>
      </w:r>
      <w:r>
        <w:rPr>
          <w:rFonts w:ascii="Arial" w:cs="Arial" w:eastAsia="Arial" w:hAnsi="Arial"/>
          <w:sz w:val="22"/>
          <w:szCs w:val="22"/>
          <w:color w:val="auto"/>
        </w:rPr>
        <w:t>).</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in relation to any person, a Subsidiary of that person or a Holding Company of that person or any other Subsidiary of that Holding Company.</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Facility Agreement, as amended and restated by the Amendment and Restatement Agreement, and as the same may from time to time be further amended, modified, supplemented or restated.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and Restatement Agreement</w:t>
      </w:r>
      <w:r>
        <w:rPr>
          <w:rFonts w:ascii="Arial" w:cs="Arial" w:eastAsia="Arial" w:hAnsi="Arial"/>
          <w:sz w:val="22"/>
          <w:szCs w:val="22"/>
          <w:color w:val="auto"/>
        </w:rPr>
        <w:t>" means the amendment and restatement agreement entered into on 12 June 2020 between TechnipFMC plc, Technip Eurocash SNC and the Agent.</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Anti-Boycott Regulations</w:t>
      </w:r>
      <w:r>
        <w:rPr>
          <w:rFonts w:ascii="Arial" w:cs="Arial" w:eastAsia="Arial" w:hAnsi="Arial"/>
          <w:sz w:val="19"/>
          <w:szCs w:val="19"/>
          <w:color w:val="auto"/>
        </w:rPr>
        <w:t>" means the Council Regulation (EC) No 2271/96 of 22 November 1996 protecting against the effects of the extra-territorial application of legislation adopted by a third country, and actions based thereon or resulting therefrom, section 7 of the German Foreign Trade Regulation (</w:t>
      </w:r>
      <w:r>
        <w:rPr>
          <w:rFonts w:ascii="Arial" w:cs="Arial" w:eastAsia="Arial" w:hAnsi="Arial"/>
          <w:sz w:val="19"/>
          <w:szCs w:val="19"/>
          <w:i w:val="1"/>
          <w:iCs w:val="1"/>
          <w:color w:val="auto"/>
        </w:rPr>
        <w:t>Außenwirtschaftsverordnung - AWV</w:t>
      </w:r>
      <w:r>
        <w:rPr>
          <w:rFonts w:ascii="Arial" w:cs="Arial" w:eastAsia="Arial" w:hAnsi="Arial"/>
          <w:sz w:val="19"/>
          <w:szCs w:val="19"/>
          <w:color w:val="auto"/>
        </w:rPr>
        <w:t>) in connection with the German Foreign Trade Law (</w:t>
      </w:r>
      <w:r>
        <w:rPr>
          <w:rFonts w:ascii="Arial" w:cs="Arial" w:eastAsia="Arial" w:hAnsi="Arial"/>
          <w:sz w:val="19"/>
          <w:szCs w:val="19"/>
          <w:i w:val="1"/>
          <w:iCs w:val="1"/>
          <w:color w:val="auto"/>
        </w:rPr>
        <w:t>Außenwirtschaftsgesetz - AWG</w:t>
      </w:r>
      <w:r>
        <w:rPr>
          <w:rFonts w:ascii="Arial" w:cs="Arial" w:eastAsia="Arial" w:hAnsi="Arial"/>
          <w:sz w:val="19"/>
          <w:szCs w:val="19"/>
          <w:color w:val="auto"/>
        </w:rPr>
        <w:t>) and any other applicable anti-boycott or similar laws or regulations.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all laws, rules, and regulations of any jurisdiction applicable to the Obligors or any of their respective Subsidiaries at any time concerning or relating to bribery or corruption.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Availability Period</w:t>
      </w:r>
      <w:r>
        <w:rPr>
          <w:rFonts w:ascii="Arial" w:cs="Arial" w:eastAsia="Arial" w:hAnsi="Arial"/>
          <w:sz w:val="22"/>
          <w:szCs w:val="22"/>
          <w:color w:val="auto"/>
        </w:rPr>
        <w:t>" means the period from and including the Signing Date to and including the date falling one Month prior to the Maturity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w:t>
      </w:r>
      <w:r>
        <w:rPr>
          <w:rFonts w:ascii="Arial" w:cs="Arial" w:eastAsia="Arial" w:hAnsi="Arial"/>
          <w:sz w:val="22"/>
          <w:szCs w:val="22"/>
          <w:color w:val="auto"/>
        </w:rPr>
        <w:t>" means a Lender's Commitment minus:</w:t>
      </w:r>
    </w:p>
    <w:p>
      <w:pPr>
        <w:spacing w:after="0" w:line="246" w:lineRule="exact"/>
        <w:rPr>
          <w:sz w:val="20"/>
          <w:szCs w:val="20"/>
          <w:color w:val="auto"/>
        </w:rPr>
      </w:pPr>
    </w:p>
    <w:p>
      <w:pPr>
        <w:ind w:left="1260" w:hanging="496"/>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Utilisations; and</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Utilisations that are due to be made on or before the proposed Utilisation Date,</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other than that Lender's participation in any Utilisations that are due to be repaid or prepaid on or before the proposed Utilisation Date.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Facility</w:t>
      </w:r>
      <w:r>
        <w:rPr>
          <w:rFonts w:ascii="Arial" w:cs="Arial" w:eastAsia="Arial" w:hAnsi="Arial"/>
          <w:sz w:val="22"/>
          <w:szCs w:val="22"/>
          <w:color w:val="auto"/>
        </w:rPr>
        <w:t>" means, at any time, the aggregate of each Lender's Available Commitment at such time.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w:t>
      </w:r>
      <w:r>
        <w:rPr>
          <w:rFonts w:ascii="Arial" w:cs="Arial" w:eastAsia="Arial" w:hAnsi="Arial"/>
          <w:sz w:val="22"/>
          <w:szCs w:val="22"/>
          <w:color w:val="auto"/>
        </w:rPr>
        <w:t>" has the meaning given to that term in Clause 13.3 (</w:t>
      </w:r>
      <w:r>
        <w:rPr>
          <w:rFonts w:ascii="Arial" w:cs="Arial" w:eastAsia="Arial" w:hAnsi="Arial"/>
          <w:sz w:val="22"/>
          <w:szCs w:val="22"/>
          <w:i w:val="1"/>
          <w:iCs w:val="1"/>
          <w:color w:val="auto"/>
        </w:rPr>
        <w:t>Exceptions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III</w:t>
      </w:r>
      <w:r>
        <w:rPr>
          <w:rFonts w:ascii="Arial" w:cs="Arial" w:eastAsia="Arial" w:hAnsi="Arial"/>
          <w:sz w:val="22"/>
          <w:szCs w:val="22"/>
          <w:color w:val="auto"/>
        </w:rPr>
        <w:t>" means:</w:t>
      </w:r>
    </w:p>
    <w:p>
      <w:pPr>
        <w:spacing w:after="0" w:line="246" w:lineRule="exact"/>
        <w:rPr>
          <w:sz w:val="20"/>
          <w:szCs w:val="20"/>
          <w:color w:val="auto"/>
        </w:rPr>
      </w:pPr>
    </w:p>
    <w:p>
      <w:pPr>
        <w:jc w:val="both"/>
        <w:ind w:left="1260" w:hanging="496"/>
        <w:spacing w:after="0" w:line="263"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Basel Committee on Banking Supervision's proposals contained in "Basel III: A global regulatory framework for more resilient banks and banking systems" and "International framework for liquidity risk measurement, standards and monitoring" published by the Basel Committee on Banking Supervision on 16 December 2010;</w:t>
      </w:r>
    </w:p>
    <w:p>
      <w:pPr>
        <w:spacing w:after="0" w:line="210" w:lineRule="exact"/>
        <w:rPr>
          <w:rFonts w:ascii="Arial" w:cs="Arial" w:eastAsia="Arial" w:hAnsi="Arial"/>
          <w:sz w:val="18"/>
          <w:szCs w:val="18"/>
          <w:color w:val="auto"/>
        </w:rPr>
      </w:pPr>
    </w:p>
    <w:p>
      <w:pPr>
        <w:ind w:left="1260" w:hanging="496"/>
        <w:spacing w:after="0" w:line="342" w:lineRule="auto"/>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rules for global systemically important banks contained in "Global systemically important banks: assessment methodology and the additional loss absorbency requirement – Rules text" published by the Basel Committee on Banking Supervision in November 2011; and</w:t>
      </w:r>
    </w:p>
    <w:p>
      <w:pPr>
        <w:spacing w:after="0" w:line="150" w:lineRule="exact"/>
        <w:rPr>
          <w:rFonts w:ascii="Arial" w:cs="Arial" w:eastAsia="Arial" w:hAnsi="Arial"/>
          <w:sz w:val="16"/>
          <w:szCs w:val="16"/>
          <w:color w:val="auto"/>
        </w:rPr>
      </w:pPr>
    </w:p>
    <w:p>
      <w:pPr>
        <w:jc w:val="both"/>
        <w:ind w:left="1260" w:hanging="496"/>
        <w:spacing w:after="0" w:line="263"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related, as of the date of this Agreement, or finalised form of standards published by the Basel Committee on Banking Supervision which addresses such proposals (whether such implementation, application or compliance is by a government, regulator, Finance Party or any of their respective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Governors of the Federal Reserve System of the United States of America (or any successor).</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means any of Technip Eurocash SNC and TechnipFMC plc, as designated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Break Costs</w:t>
      </w:r>
      <w:r>
        <w:rPr>
          <w:rFonts w:ascii="Arial" w:cs="Arial" w:eastAsia="Arial" w:hAnsi="Arial"/>
          <w:sz w:val="22"/>
          <w:szCs w:val="22"/>
          <w:color w:val="auto"/>
        </w:rPr>
        <w:t>" means the amount (if any) by which:</w:t>
      </w:r>
    </w:p>
    <w:p>
      <w:pPr>
        <w:spacing w:after="0" w:line="246" w:lineRule="exact"/>
        <w:rPr>
          <w:sz w:val="20"/>
          <w:szCs w:val="20"/>
          <w:color w:val="auto"/>
        </w:rPr>
      </w:pPr>
    </w:p>
    <w:p>
      <w:pPr>
        <w:jc w:val="both"/>
        <w:ind w:left="1260" w:hanging="496"/>
        <w:spacing w:after="0" w:line="263"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 exceeds:</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right="20"/>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banks are open for general business in London and Paris and (in relation to any date for payment or purchase of euro) any TARGET Day.</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CFO</w:t>
      </w:r>
      <w:r>
        <w:rPr>
          <w:rFonts w:ascii="Arial" w:cs="Arial" w:eastAsia="Arial" w:hAnsi="Arial"/>
          <w:sz w:val="22"/>
          <w:szCs w:val="22"/>
          <w:color w:val="auto"/>
        </w:rPr>
        <w:t>" means the chief financial officer of the Company or, if no chief financial officer is appointed, such other person fulfilling the functions of chief financial officer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of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line="27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and the amount of any other Commitment transferred to it under this Agreement; and</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to the extent not cancelled, reduced or transferred by it under this Agreement.</w:t>
      </w:r>
    </w:p>
    <w:p>
      <w:pPr>
        <w:spacing w:after="0" w:line="227" w:lineRule="exact"/>
        <w:rPr>
          <w:sz w:val="20"/>
          <w:szCs w:val="20"/>
          <w:color w:val="auto"/>
        </w:rPr>
      </w:pPr>
    </w:p>
    <w:p>
      <w:pPr>
        <w:jc w:val="both"/>
        <w:ind w:right="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all capital stock of an issuer, except capital stock as to which both the entitlement to dividends and the participation in assets upon liquidation are by the terms of such capital stock limited to a fixed or determinable amount.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TechnipFMC plc, as designated above.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means a certificate substantially in the form set out in Schedule 5 (</w:t>
      </w:r>
      <w:r>
        <w:rPr>
          <w:rFonts w:ascii="Arial" w:cs="Arial" w:eastAsia="Arial" w:hAnsi="Arial"/>
          <w:sz w:val="19"/>
          <w:szCs w:val="19"/>
          <w:i w:val="1"/>
          <w:iCs w:val="1"/>
          <w:color w:val="auto"/>
        </w:rPr>
        <w:t>Form of Compliance Certificate</w:t>
      </w:r>
      <w:r>
        <w:rPr>
          <w:rFonts w:ascii="Arial" w:cs="Arial" w:eastAsia="Arial" w:hAnsi="Arial"/>
          <w:sz w:val="19"/>
          <w:szCs w:val="19"/>
          <w:color w:val="auto"/>
        </w:rPr>
        <w:t>).</w:t>
      </w:r>
    </w:p>
    <w:p>
      <w:pPr>
        <w:spacing w:after="0" w:line="26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all information relating to any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220" w:lineRule="exact"/>
        <w:rPr>
          <w:sz w:val="20"/>
          <w:szCs w:val="20"/>
          <w:color w:val="auto"/>
        </w:rPr>
      </w:pPr>
    </w:p>
    <w:p>
      <w:pPr>
        <w:ind w:left="1260" w:hanging="496"/>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52"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209" w:lineRule="exact"/>
        <w:rPr>
          <w:sz w:val="20"/>
          <w:szCs w:val="20"/>
          <w:color w:val="auto"/>
        </w:rPr>
      </w:pPr>
    </w:p>
    <w:p>
      <w:pPr>
        <w:ind w:left="1780" w:hanging="503"/>
        <w:spacing w:after="0"/>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35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280" w:hanging="490"/>
        <w:spacing w:after="0" w:line="196" w:lineRule="exact"/>
        <w:tabs>
          <w:tab w:leader="none" w:pos="22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is identified in writing at the time of delivery as non</w:t>
      </w:r>
      <w:r>
        <w:rPr>
          <w:rFonts w:ascii="MS PGothic" w:cs="MS PGothic" w:eastAsia="MS PGothic" w:hAnsi="MS PGothic"/>
          <w:sz w:val="17"/>
          <w:szCs w:val="17"/>
          <w:color w:val="auto"/>
        </w:rPr>
        <w:t>‑</w:t>
      </w:r>
      <w:r>
        <w:rPr>
          <w:rFonts w:ascii="Arial" w:cs="Arial" w:eastAsia="Arial" w:hAnsi="Arial"/>
          <w:sz w:val="17"/>
          <w:szCs w:val="17"/>
          <w:color w:val="auto"/>
        </w:rPr>
        <w:t>confidential by any member of the Group or any of its advisers;</w:t>
      </w:r>
    </w:p>
    <w:p>
      <w:pPr>
        <w:spacing w:after="0" w:line="263" w:lineRule="exact"/>
        <w:rPr>
          <w:rFonts w:ascii="Arial" w:cs="Arial" w:eastAsia="Arial" w:hAnsi="Arial"/>
          <w:sz w:val="17"/>
          <w:szCs w:val="17"/>
          <w:color w:val="auto"/>
        </w:rPr>
      </w:pPr>
    </w:p>
    <w:p>
      <w:pPr>
        <w:jc w:val="both"/>
        <w:ind w:left="2280" w:hanging="490"/>
        <w:spacing w:after="0" w:line="259" w:lineRule="auto"/>
        <w:tabs>
          <w:tab w:leader="none" w:pos="2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384" w:lineRule="exact"/>
        <w:rPr>
          <w:rFonts w:ascii="Arial" w:cs="Arial" w:eastAsia="Arial" w:hAnsi="Arial"/>
          <w:sz w:val="18"/>
          <w:szCs w:val="18"/>
          <w:color w:val="auto"/>
        </w:rPr>
      </w:pPr>
    </w:p>
    <w:p>
      <w:pPr>
        <w:ind w:left="5560" w:hanging="92"/>
        <w:spacing w:after="0"/>
        <w:tabs>
          <w:tab w:leader="none" w:pos="5560" w:val="left"/>
        </w:tabs>
        <w:numPr>
          <w:ilvl w:val="2"/>
          <w:numId w:val="41"/>
        </w:numPr>
        <w:rPr>
          <w:rFonts w:ascii="Arial" w:cs="Arial" w:eastAsia="Arial" w:hAnsi="Arial"/>
          <w:sz w:val="14"/>
          <w:szCs w:val="14"/>
          <w:color w:val="auto"/>
        </w:rPr>
      </w:pPr>
      <w:r>
        <w:rPr>
          <w:rFonts w:ascii="Arial" w:cs="Arial" w:eastAsia="Arial" w:hAnsi="Arial"/>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both"/>
        <w:ind w:left="2280" w:hanging="490"/>
        <w:spacing w:after="0" w:line="263" w:lineRule="auto"/>
        <w:tabs>
          <w:tab w:leader="none" w:pos="2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relates to the Signing Date, Margin, size, type and purpose of, the parties to and the initial interest rates in relation to this Agreement routinely provided by agents to data service providers, including league table providers, that serve the lending industry; and</w:t>
      </w:r>
    </w:p>
    <w:p>
      <w:pPr>
        <w:spacing w:after="0" w:line="210" w:lineRule="exact"/>
        <w:rPr>
          <w:rFonts w:ascii="Arial" w:cs="Arial" w:eastAsia="Arial" w:hAnsi="Arial"/>
          <w:sz w:val="18"/>
          <w:szCs w:val="18"/>
          <w:color w:val="auto"/>
        </w:rPr>
      </w:pPr>
    </w:p>
    <w:p>
      <w:pPr>
        <w:ind w:left="1780" w:hanging="503"/>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Funding Rate or Reference Bank Quotation.</w:t>
      </w:r>
    </w:p>
    <w:p>
      <w:pPr>
        <w:spacing w:after="0" w:line="239" w:lineRule="exact"/>
        <w:rPr>
          <w:sz w:val="20"/>
          <w:szCs w:val="20"/>
          <w:color w:val="auto"/>
        </w:rPr>
      </w:pPr>
    </w:p>
    <w:p>
      <w:pPr>
        <w:ind w:right="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Confidentiality Undertaking</w:t>
      </w:r>
      <w:r>
        <w:rPr>
          <w:rFonts w:ascii="Arial" w:cs="Arial" w:eastAsia="Arial" w:hAnsi="Arial"/>
          <w:sz w:val="19"/>
          <w:szCs w:val="19"/>
          <w:color w:val="auto"/>
        </w:rPr>
        <w:t>" means a confidentiality undertaking substantially in a recommended form of the LMA as set out in Schedule 7 (LMA Form of Confidentiality Undertaking) or in any other form agreed between the Borrower and the Agent.</w:t>
      </w:r>
    </w:p>
    <w:p>
      <w:pPr>
        <w:spacing w:after="0" w:line="121" w:lineRule="exact"/>
        <w:rPr>
          <w:sz w:val="20"/>
          <w:szCs w:val="20"/>
          <w:color w:val="auto"/>
        </w:rPr>
      </w:pPr>
    </w:p>
    <w:p>
      <w:pPr>
        <w:ind w:right="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Worth</w:t>
      </w:r>
      <w:r>
        <w:rPr>
          <w:rFonts w:ascii="Arial" w:cs="Arial" w:eastAsia="Arial" w:hAnsi="Arial"/>
          <w:sz w:val="19"/>
          <w:szCs w:val="19"/>
          <w:color w:val="auto"/>
        </w:rPr>
        <w:t>" means at any time the consolidated shareholders' equity of the Company and its Consolidated Restricted Subsidiaries calculated on a consolidated basis at such time and determined in accordance with GAAP.</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Restricted Subsidiary</w:t>
      </w:r>
      <w:r>
        <w:rPr>
          <w:rFonts w:ascii="Arial" w:cs="Arial" w:eastAsia="Arial" w:hAnsi="Arial"/>
          <w:sz w:val="22"/>
          <w:szCs w:val="22"/>
          <w:color w:val="auto"/>
        </w:rPr>
        <w:t>" means, at any date, any Restricted Subsidiary the accounts of which would be consolidated with those of the Company in its consolidated financial statements as of such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CRD IV</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purposes of this definition, the delegated act referenced under Article 460 of Regulation (EU) No 575/2013 shall be excluded.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CTA</w:t>
      </w:r>
      <w:r>
        <w:rPr>
          <w:rFonts w:ascii="Arial" w:cs="Arial" w:eastAsia="Arial" w:hAnsi="Arial"/>
          <w:sz w:val="22"/>
          <w:szCs w:val="22"/>
          <w:color w:val="auto"/>
        </w:rPr>
        <w:t>" means the Corporation Tax Act 2009.</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Dangerous Substance</w:t>
      </w:r>
      <w:r>
        <w:rPr>
          <w:rFonts w:ascii="Arial" w:cs="Arial" w:eastAsia="Arial" w:hAnsi="Arial"/>
          <w:sz w:val="19"/>
          <w:szCs w:val="19"/>
          <w:color w:val="auto"/>
        </w:rPr>
        <w:t>" means any radioactive emissions, noise and any natural or artificial substance (in whatever form) the generation, transportation, storage, treatment, use or disposal of which (whether alone or in combination with any other substance) gives rise to a risk of causing harm to man or any other living organism or damaging the environment or public health or welfare, including (without limitation) any controlled, special, hazardous, toxic, radioactive or dangerous waste.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reorganisation, fraudulent transfer or conveyance, or similar debtor relief laws of the United States of America, England and Wales, France or other applicable jurisdictions at any time in effect and affecting the rights of creditors generally.</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 Event of Default or any event or circumstance specified in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 which would (with the expiry of a grace period, the giving of notice, the making of any determination under the Finance Documents or any combination of any of the foregoing) be an Event of Default.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Lender</w:t>
      </w:r>
      <w:r>
        <w:rPr>
          <w:rFonts w:ascii="Arial" w:cs="Arial" w:eastAsia="Arial" w:hAnsi="Arial"/>
          <w:sz w:val="22"/>
          <w:szCs w:val="22"/>
          <w:color w:val="auto"/>
        </w:rPr>
        <w:t>" means any Lender: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both"/>
        <w:ind w:left="1260" w:hanging="496"/>
        <w:spacing w:after="0" w:line="26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4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unless, in the case of paragraph (a) above:</w:t>
      </w:r>
    </w:p>
    <w:p>
      <w:pPr>
        <w:spacing w:after="0" w:line="240" w:lineRule="exact"/>
        <w:rPr>
          <w:sz w:val="20"/>
          <w:szCs w:val="20"/>
          <w:color w:val="auto"/>
        </w:rPr>
      </w:pPr>
    </w:p>
    <w:p>
      <w:pPr>
        <w:ind w:left="1780" w:hanging="503"/>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45"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payment is made within three Business Day of its due date; or</w:t>
      </w:r>
    </w:p>
    <w:p>
      <w:pPr>
        <w:spacing w:after="0" w:line="240" w:lineRule="exact"/>
        <w:rPr>
          <w:sz w:val="20"/>
          <w:szCs w:val="20"/>
          <w:color w:val="auto"/>
        </w:rPr>
      </w:pPr>
    </w:p>
    <w:p>
      <w:pPr>
        <w:ind w:left="1780" w:hanging="503"/>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Website</w:t>
      </w:r>
      <w:r>
        <w:rPr>
          <w:rFonts w:ascii="Arial" w:cs="Arial" w:eastAsia="Arial" w:hAnsi="Arial"/>
          <w:sz w:val="22"/>
          <w:szCs w:val="22"/>
          <w:color w:val="auto"/>
        </w:rPr>
        <w:t>" has the meaning given to that term in Clause 19.5 (</w:t>
      </w:r>
      <w:r>
        <w:rPr>
          <w:rFonts w:ascii="Arial" w:cs="Arial" w:eastAsia="Arial" w:hAnsi="Arial"/>
          <w:sz w:val="22"/>
          <w:szCs w:val="22"/>
          <w:i w:val="1"/>
          <w:iCs w:val="1"/>
          <w:color w:val="auto"/>
        </w:rPr>
        <w:t>Use of websites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Direction</w:t>
      </w:r>
      <w:r>
        <w:rPr>
          <w:rFonts w:ascii="Arial" w:cs="Arial" w:eastAsia="Arial" w:hAnsi="Arial"/>
          <w:sz w:val="22"/>
          <w:szCs w:val="22"/>
          <w:color w:val="auto"/>
        </w:rPr>
        <w:t>" has the meaning given to that term in Clause 12.2 (</w:t>
      </w:r>
      <w:r>
        <w:rPr>
          <w:rFonts w:ascii="Arial" w:cs="Arial" w:eastAsia="Arial" w:hAnsi="Arial"/>
          <w:sz w:val="22"/>
          <w:szCs w:val="22"/>
          <w:i w:val="1"/>
          <w:iCs w:val="1"/>
          <w:color w:val="auto"/>
        </w:rPr>
        <w:t>Tax gross-up</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Discharged Rights and Obligations</w:t>
      </w:r>
      <w:r>
        <w:rPr>
          <w:rFonts w:ascii="Arial" w:cs="Arial" w:eastAsia="Arial" w:hAnsi="Arial"/>
          <w:sz w:val="22"/>
          <w:szCs w:val="22"/>
          <w:color w:val="auto"/>
        </w:rPr>
        <w:t>" has the meaning given to that term in Clause 23.5 (</w:t>
      </w:r>
      <w:r>
        <w:rPr>
          <w:rFonts w:ascii="Arial" w:cs="Arial" w:eastAsia="Arial" w:hAnsi="Arial"/>
          <w:sz w:val="22"/>
          <w:szCs w:val="22"/>
          <w:i w:val="1"/>
          <w:iCs w:val="1"/>
          <w:color w:val="auto"/>
        </w:rPr>
        <w:t>Procedure for transfer</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Disruption Event</w:t>
      </w:r>
      <w:r>
        <w:rPr>
          <w:rFonts w:ascii="Arial" w:cs="Arial" w:eastAsia="Arial" w:hAnsi="Arial"/>
          <w:sz w:val="22"/>
          <w:szCs w:val="22"/>
          <w:color w:val="auto"/>
        </w:rPr>
        <w:t>" means either or both of:</w:t>
      </w:r>
    </w:p>
    <w:p>
      <w:pPr>
        <w:spacing w:after="0" w:line="246" w:lineRule="exact"/>
        <w:rPr>
          <w:sz w:val="20"/>
          <w:szCs w:val="20"/>
          <w:color w:val="auto"/>
        </w:rPr>
      </w:pPr>
    </w:p>
    <w:p>
      <w:pPr>
        <w:jc w:val="both"/>
        <w:ind w:left="1260" w:hanging="496"/>
        <w:spacing w:after="0" w:line="286" w:lineRule="auto"/>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92"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 and which (in either such case) is not caused by, and is beyond the control of, the Party whose operations are disrupted.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EBITDA</w:t>
      </w:r>
      <w:r>
        <w:rPr>
          <w:rFonts w:ascii="Arial" w:cs="Arial" w:eastAsia="Arial" w:hAnsi="Arial"/>
          <w:sz w:val="22"/>
          <w:szCs w:val="22"/>
          <w:color w:val="auto"/>
        </w:rPr>
        <w:t>" means earnings before interest, income taxes, depreciation and amortization.</w:t>
      </w:r>
    </w:p>
    <w:p>
      <w:pPr>
        <w:spacing w:after="0" w:line="233"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means, in relation to any Obligor, any law or published regulation concerning or relating to (i) pollution or protection of the environment, (ii) the carriage or storage of Dangerous Substances or (iii) actual or threatened releases of Dangerous Substances.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Licence</w:t>
      </w:r>
      <w:r>
        <w:rPr>
          <w:rFonts w:ascii="Arial" w:cs="Arial" w:eastAsia="Arial" w:hAnsi="Arial"/>
          <w:sz w:val="22"/>
          <w:szCs w:val="22"/>
          <w:color w:val="auto"/>
        </w:rPr>
        <w:t>" means any permit, licence, authorisation, consent or other approval required by any Environmental Law.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of the United States of America.</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Group</w:t>
      </w:r>
      <w:r>
        <w:rPr>
          <w:rFonts w:ascii="Arial" w:cs="Arial" w:eastAsia="Arial" w:hAnsi="Arial"/>
          <w:sz w:val="22"/>
          <w:szCs w:val="22"/>
          <w:color w:val="auto"/>
        </w:rPr>
        <w:t>" means any Restricted Subsidiary and all members of a controlled group of corporations and all trades or businesses (whether or not incorporated) under common control which, together with any Restricted Subsidiary, are treated as a single employer under Section 414 of the Code.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EURIBOR</w:t>
      </w:r>
      <w:r>
        <w:rPr>
          <w:rFonts w:ascii="Arial" w:cs="Arial" w:eastAsia="Arial" w:hAnsi="Arial"/>
          <w:sz w:val="22"/>
          <w:szCs w:val="22"/>
          <w:color w:val="auto"/>
        </w:rPr>
        <w:t>" means, in relation to any Loan in euro:</w:t>
      </w:r>
    </w:p>
    <w:p>
      <w:pPr>
        <w:spacing w:after="0" w:line="246" w:lineRule="exact"/>
        <w:rPr>
          <w:sz w:val="20"/>
          <w:szCs w:val="20"/>
          <w:color w:val="auto"/>
        </w:rPr>
      </w:pPr>
    </w:p>
    <w:p>
      <w:pPr>
        <w:ind w:left="1260" w:hanging="496"/>
        <w:spacing w:after="0"/>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applicable Screen Rate as of the Specified Time for euro and for a period equal in length to the Interest Period of that Loan; or</w:t>
      </w:r>
    </w:p>
    <w:p>
      <w:pPr>
        <w:spacing w:after="0" w:line="263"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 and if, in either case, that rate is less than zero, EURIBOR shall be deemed to be zero.</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means any event or circumstance specified as such in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of the United States of America, as amended.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Lender</w:t>
      </w:r>
      <w:r>
        <w:rPr>
          <w:rFonts w:ascii="Arial" w:cs="Arial" w:eastAsia="Arial" w:hAnsi="Arial"/>
          <w:sz w:val="22"/>
          <w:szCs w:val="22"/>
          <w:color w:val="auto"/>
        </w:rPr>
        <w:t>" has the meaning given to that term in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w:t>
      </w:r>
      <w:r>
        <w:rPr>
          <w:rFonts w:ascii="Arial" w:cs="Arial" w:eastAsia="Arial" w:hAnsi="Arial"/>
          <w:sz w:val="19"/>
          <w:szCs w:val="19"/>
          <w:color w:val="auto"/>
        </w:rPr>
        <w:t>" means the revolving credit facility made available under this Agreement as described in Clause 2 (</w:t>
      </w:r>
      <w:r>
        <w:rPr>
          <w:rFonts w:ascii="Arial" w:cs="Arial" w:eastAsia="Arial" w:hAnsi="Arial"/>
          <w:sz w:val="19"/>
          <w:szCs w:val="19"/>
          <w:i w:val="1"/>
          <w:iCs w:val="1"/>
          <w:color w:val="auto"/>
        </w:rPr>
        <w:t>The Facility</w:t>
      </w:r>
      <w:r>
        <w:rPr>
          <w:rFonts w:ascii="Arial" w:cs="Arial" w:eastAsia="Arial" w:hAnsi="Arial"/>
          <w:sz w:val="19"/>
          <w:szCs w:val="19"/>
          <w:color w:val="auto"/>
        </w:rPr>
        <w:t>).</w:t>
      </w:r>
    </w:p>
    <w:p>
      <w:pPr>
        <w:spacing w:after="0" w:line="26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Office</w:t>
      </w:r>
      <w:r>
        <w:rPr>
          <w:rFonts w:ascii="Arial" w:cs="Arial" w:eastAsia="Arial" w:hAnsi="Arial"/>
          <w:sz w:val="22"/>
          <w:szCs w:val="22"/>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Fallback Interest Period</w:t>
      </w:r>
      <w:r>
        <w:rPr>
          <w:rFonts w:ascii="Arial" w:cs="Arial" w:eastAsia="Arial" w:hAnsi="Arial"/>
          <w:sz w:val="22"/>
          <w:szCs w:val="22"/>
          <w:color w:val="auto"/>
        </w:rPr>
        <w:t>" means one month.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52" w:lineRule="exact"/>
        <w:rPr>
          <w:rFonts w:ascii="Arial" w:cs="Arial" w:eastAsia="Arial" w:hAnsi="Arial"/>
          <w:sz w:val="18"/>
          <w:szCs w:val="18"/>
          <w:color w:val="auto"/>
        </w:rPr>
      </w:pPr>
    </w:p>
    <w:p>
      <w:pPr>
        <w:ind w:left="1260" w:right="20" w:hanging="496"/>
        <w:spacing w:after="0" w:line="308" w:lineRule="auto"/>
        <w:tabs>
          <w:tab w:leader="none" w:pos="1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73"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IRS, the US government or any governmental or taxation authority in any other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Application Date</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51"/>
        </w:numPr>
        <w:rPr>
          <w:rFonts w:ascii="Arial" w:cs="Arial" w:eastAsia="Arial" w:hAnsi="Arial"/>
          <w:sz w:val="14"/>
          <w:szCs w:val="14"/>
          <w:color w:val="auto"/>
        </w:rPr>
      </w:pPr>
      <w:r>
        <w:rPr>
          <w:rFonts w:ascii="Arial" w:cs="Arial" w:eastAsia="Arial" w:hAnsi="Arial"/>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 Deduction</w:t>
      </w:r>
      <w:r>
        <w:rPr>
          <w:rFonts w:ascii="Arial" w:cs="Arial" w:eastAsia="Arial" w:hAnsi="Arial"/>
          <w:sz w:val="21"/>
          <w:szCs w:val="21"/>
          <w:color w:val="auto"/>
        </w:rPr>
        <w:t>" means a deduction or withholding from a payment under a Finance Document required by FATCA.</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Exempt Party</w:t>
      </w:r>
      <w:r>
        <w:rPr>
          <w:rFonts w:ascii="Arial" w:cs="Arial" w:eastAsia="Arial" w:hAnsi="Arial"/>
          <w:sz w:val="22"/>
          <w:szCs w:val="22"/>
          <w:color w:val="auto"/>
        </w:rPr>
        <w:t>" means a Party that is entitled to receive payments free from any FATCA Deduction.</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FCPA</w:t>
      </w:r>
      <w:r>
        <w:rPr>
          <w:rFonts w:ascii="Arial" w:cs="Arial" w:eastAsia="Arial" w:hAnsi="Arial"/>
          <w:sz w:val="22"/>
          <w:szCs w:val="22"/>
          <w:color w:val="auto"/>
        </w:rPr>
        <w:t>" means the Foreign Corrupt Practices Act of 1977 of the United States of America, as amended, and the rules and regulations thereunder.</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w:t>
      </w:r>
      <w:r>
        <w:rPr>
          <w:rFonts w:ascii="Arial" w:cs="Arial" w:eastAsia="Arial" w:hAnsi="Arial"/>
          <w:sz w:val="22"/>
          <w:szCs w:val="22"/>
          <w:color w:val="auto"/>
        </w:rPr>
        <w:t>" means any letter or letters dated on or about the Signing Date between the Borrowers and each Lender (or the Company and the Agent) setting out any of the fees referred to in Clause 11 (Fees).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Document</w:t>
      </w:r>
      <w:r>
        <w:rPr>
          <w:rFonts w:ascii="Arial" w:cs="Arial" w:eastAsia="Arial" w:hAnsi="Arial"/>
          <w:sz w:val="22"/>
          <w:szCs w:val="22"/>
          <w:color w:val="auto"/>
        </w:rPr>
        <w:t>" means this Agreement, any Fee Letter, the TEG Letter and any other document designated as such by the Agent and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Party</w:t>
      </w:r>
      <w:r>
        <w:rPr>
          <w:rFonts w:ascii="Arial" w:cs="Arial" w:eastAsia="Arial" w:hAnsi="Arial"/>
          <w:sz w:val="22"/>
          <w:szCs w:val="22"/>
          <w:color w:val="auto"/>
        </w:rPr>
        <w:t>" means the Agent or a Lender.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Currency</w:t>
      </w:r>
      <w:r>
        <w:rPr>
          <w:rFonts w:ascii="Arial" w:cs="Arial" w:eastAsia="Arial" w:hAnsi="Arial"/>
          <w:sz w:val="22"/>
          <w:szCs w:val="22"/>
          <w:color w:val="auto"/>
        </w:rPr>
        <w:t>" has the meaning given to that term in Clause 14.1 (</w:t>
      </w:r>
      <w:r>
        <w:rPr>
          <w:rFonts w:ascii="Arial" w:cs="Arial" w:eastAsia="Arial" w:hAnsi="Arial"/>
          <w:sz w:val="22"/>
          <w:szCs w:val="22"/>
          <w:i w:val="1"/>
          <w:iCs w:val="1"/>
          <w:color w:val="auto"/>
        </w:rPr>
        <w:t>Currency indemnity</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Extended Maturity Date</w:t>
      </w:r>
      <w:r>
        <w:rPr>
          <w:rFonts w:ascii="Arial" w:cs="Arial" w:eastAsia="Arial" w:hAnsi="Arial"/>
          <w:sz w:val="22"/>
          <w:szCs w:val="22"/>
          <w:color w:val="auto"/>
        </w:rPr>
        <w:t>" means the date falling 3 Months after the Initial Maturity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Borrower</w:t>
      </w:r>
      <w:r>
        <w:rPr>
          <w:rFonts w:ascii="Arial" w:cs="Arial" w:eastAsia="Arial" w:hAnsi="Arial"/>
          <w:sz w:val="22"/>
          <w:szCs w:val="22"/>
          <w:color w:val="auto"/>
        </w:rPr>
        <w:t>" means Technip Eurocash SNC.</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Funding Rate</w:t>
      </w:r>
      <w:r>
        <w:rPr>
          <w:rFonts w:ascii="Arial" w:cs="Arial" w:eastAsia="Arial" w:hAnsi="Arial"/>
          <w:sz w:val="22"/>
          <w:szCs w:val="22"/>
          <w:color w:val="auto"/>
        </w:rPr>
        <w:t>" means any individual rate notified by a Lender to the Agent pursuant to paragraph (a)(ii) of Clause 10.3 (</w:t>
      </w:r>
      <w:r>
        <w:rPr>
          <w:rFonts w:ascii="Arial" w:cs="Arial" w:eastAsia="Arial" w:hAnsi="Arial"/>
          <w:sz w:val="22"/>
          <w:szCs w:val="22"/>
          <w:i w:val="1"/>
          <w:iCs w:val="1"/>
          <w:color w:val="auto"/>
        </w:rPr>
        <w:t>Cost of</w:t>
      </w:r>
      <w:r>
        <w:rPr>
          <w:rFonts w:ascii="Arial" w:cs="Arial" w:eastAsia="Arial" w:hAnsi="Arial"/>
          <w:sz w:val="22"/>
          <w:szCs w:val="22"/>
          <w:color w:val="auto"/>
        </w:rPr>
        <w:t xml:space="preserve"> </w:t>
      </w:r>
      <w:r>
        <w:rPr>
          <w:rFonts w:ascii="Arial" w:cs="Arial" w:eastAsia="Arial" w:hAnsi="Arial"/>
          <w:sz w:val="22"/>
          <w:szCs w:val="22"/>
          <w:i w:val="1"/>
          <w:iCs w:val="1"/>
          <w:color w:val="auto"/>
        </w:rPr>
        <w:t>funds</w:t>
      </w:r>
      <w:r>
        <w:rPr>
          <w:rFonts w:ascii="Arial" w:cs="Arial" w:eastAsia="Arial" w:hAnsi="Arial"/>
          <w:sz w:val="22"/>
          <w:szCs w:val="2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means TechnipFMC plc, as designated above.</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the Company and its Restricted Subsidiaries.</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Historic Screen Rate</w:t>
      </w:r>
      <w:r>
        <w:rPr>
          <w:rFonts w:ascii="Arial" w:cs="Arial" w:eastAsia="Arial" w:hAnsi="Arial"/>
          <w:sz w:val="22"/>
          <w:szCs w:val="22"/>
          <w:color w:val="auto"/>
        </w:rPr>
        <w:t>" means, in relation to any Loan, the most recent applicable Screen Rate for the currency of that Loan and for a period equal in length to the Interest Period of that Loan and which is as of a day which is no more than 10 Business Days before the Quotation Day.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 means, in relation to a person, any other person in respect of which it is a Subsidiary.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Impaired Agent</w:t>
      </w:r>
      <w:r>
        <w:rPr>
          <w:rFonts w:ascii="Arial" w:cs="Arial" w:eastAsia="Arial" w:hAnsi="Arial"/>
          <w:sz w:val="22"/>
          <w:szCs w:val="22"/>
          <w:color w:val="auto"/>
        </w:rPr>
        <w:t>" means the Agent at any time when:</w:t>
      </w:r>
    </w:p>
    <w:p>
      <w:pPr>
        <w:spacing w:after="0" w:line="246" w:lineRule="exact"/>
        <w:rPr>
          <w:sz w:val="20"/>
          <w:szCs w:val="20"/>
          <w:color w:val="auto"/>
        </w:rPr>
      </w:pPr>
    </w:p>
    <w:p>
      <w:pPr>
        <w:ind w:left="1260" w:hanging="496"/>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1780" w:hanging="503"/>
        <w:spacing w:after="0" w:line="277" w:lineRule="auto"/>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 payment is made within three Business Days of its due date; 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has the meaning given to that term in Clause 13.1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of any person means, at any date, without duplication:</w:t>
      </w:r>
    </w:p>
    <w:p>
      <w:pPr>
        <w:spacing w:after="0" w:line="246" w:lineRule="exact"/>
        <w:rPr>
          <w:sz w:val="20"/>
          <w:szCs w:val="20"/>
          <w:color w:val="auto"/>
        </w:rPr>
      </w:pPr>
    </w:p>
    <w:p>
      <w:pPr>
        <w:ind w:left="1260" w:hanging="496"/>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(other than the non-negotiable notes of such person issued to its insurance carriers in lieu of maintenance of policy reserves in connection with its workers' compensation and auto liability insurance programme);</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except trade accounts payable, expense accruals and deferred employee compensation items arising in the ordinary course of business;</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non-contingent obligations of such person to reimburse any issuing bank or any other person in respect of amounts payable or paid under letters of credit or similar instruments that have been drawn or called upon;</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 leases;</w:t>
      </w:r>
    </w:p>
    <w:p>
      <w:pPr>
        <w:spacing w:after="0" w:line="252"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Indebtedness of others secured by any Security on any asset of such person, whether or not such Indebtedness is assumed by such person;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guarantees, indemnities or similar assurance against financial loss provided by such person in respect of the Indebtedness of any 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has the meaning given to that term in Clause 14.2 (</w:t>
      </w:r>
      <w:r>
        <w:rPr>
          <w:rFonts w:ascii="Arial" w:cs="Arial" w:eastAsia="Arial" w:hAnsi="Arial"/>
          <w:sz w:val="22"/>
          <w:szCs w:val="22"/>
          <w:i w:val="1"/>
          <w:iCs w:val="1"/>
          <w:color w:val="auto"/>
        </w:rPr>
        <w:t>Other indemnities</w:t>
      </w:r>
      <w:r>
        <w:rPr>
          <w:rFonts w:ascii="Arial" w:cs="Arial" w:eastAsia="Arial" w:hAnsi="Arial"/>
          <w:sz w:val="22"/>
          <w:szCs w:val="22"/>
          <w:color w:val="auto"/>
        </w:rPr>
        <w:t>).</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Index Debt</w:t>
      </w:r>
      <w:r>
        <w:rPr>
          <w:rFonts w:ascii="Arial" w:cs="Arial" w:eastAsia="Arial" w:hAnsi="Arial"/>
          <w:sz w:val="22"/>
          <w:szCs w:val="22"/>
          <w:color w:val="auto"/>
        </w:rPr>
        <w:t>" means the senior, unsecured, long-term indebtedness of the Company that is not guaranteed by any other person or subject to any other credit enhancement.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Maturity Date</w:t>
      </w:r>
      <w:r>
        <w:rPr>
          <w:rFonts w:ascii="Arial" w:cs="Arial" w:eastAsia="Arial" w:hAnsi="Arial"/>
          <w:sz w:val="22"/>
          <w:szCs w:val="22"/>
          <w:color w:val="auto"/>
        </w:rPr>
        <w:t>" means the date falling 6 Months after the Signing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Event</w:t>
      </w:r>
      <w:r>
        <w:rPr>
          <w:rFonts w:ascii="Arial" w:cs="Arial" w:eastAsia="Arial" w:hAnsi="Arial"/>
          <w:sz w:val="22"/>
          <w:szCs w:val="22"/>
          <w:color w:val="auto"/>
        </w:rPr>
        <w:t>" in relation to a Finance Party means that the Finance Party:</w:t>
      </w:r>
    </w:p>
    <w:p>
      <w:pPr>
        <w:spacing w:after="0" w:line="246" w:lineRule="exact"/>
        <w:rPr>
          <w:sz w:val="20"/>
          <w:szCs w:val="20"/>
          <w:color w:val="auto"/>
        </w:rPr>
      </w:pPr>
    </w:p>
    <w:p>
      <w:pPr>
        <w:ind w:left="1260" w:hanging="496"/>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becomes insolvent or is unable to pay its debts or fails or admits in writing its inability generally to pay its debts as they become due;</w:t>
      </w:r>
    </w:p>
    <w:p>
      <w:pPr>
        <w:spacing w:after="0" w:line="263" w:lineRule="exact"/>
        <w:rPr>
          <w:rFonts w:ascii="Arial" w:cs="Arial" w:eastAsia="Arial" w:hAnsi="Arial"/>
          <w:sz w:val="17"/>
          <w:szCs w:val="17"/>
          <w:color w:val="auto"/>
        </w:rPr>
      </w:pPr>
    </w:p>
    <w:p>
      <w:pPr>
        <w:ind w:left="1260" w:hanging="496"/>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52" w:lineRule="exact"/>
        <w:rPr>
          <w:rFonts w:ascii="Arial" w:cs="Arial" w:eastAsia="Arial" w:hAnsi="Arial"/>
          <w:sz w:val="18"/>
          <w:szCs w:val="18"/>
          <w:color w:val="auto"/>
        </w:rPr>
      </w:pPr>
    </w:p>
    <w:p>
      <w:pPr>
        <w:jc w:val="both"/>
        <w:ind w:left="1260" w:hanging="496"/>
        <w:spacing w:after="0" w:line="301" w:lineRule="auto"/>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355" w:lineRule="exact"/>
        <w:rPr>
          <w:rFonts w:ascii="Arial" w:cs="Arial" w:eastAsia="Arial" w:hAnsi="Arial"/>
          <w:sz w:val="16"/>
          <w:szCs w:val="16"/>
          <w:color w:val="auto"/>
        </w:rPr>
      </w:pPr>
    </w:p>
    <w:p>
      <w:pPr>
        <w:ind w:left="5560" w:hanging="92"/>
        <w:spacing w:after="0"/>
        <w:tabs>
          <w:tab w:leader="none" w:pos="5560" w:val="left"/>
        </w:tabs>
        <w:numPr>
          <w:ilvl w:val="1"/>
          <w:numId w:val="55"/>
        </w:numPr>
        <w:rPr>
          <w:rFonts w:ascii="Arial" w:cs="Arial" w:eastAsia="Arial" w:hAnsi="Arial"/>
          <w:sz w:val="14"/>
          <w:szCs w:val="14"/>
          <w:color w:val="auto"/>
        </w:rPr>
      </w:pPr>
      <w:r>
        <w:rPr>
          <w:rFonts w:ascii="Arial" w:cs="Arial" w:eastAsia="Arial" w:hAnsi="Arial"/>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both"/>
        <w:ind w:left="1260" w:hanging="496"/>
        <w:spacing w:after="0" w:line="259"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213"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97"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92" w:lineRule="exact"/>
        <w:rPr>
          <w:rFonts w:ascii="Arial" w:cs="Arial" w:eastAsia="Arial" w:hAnsi="Arial"/>
          <w:sz w:val="17"/>
          <w:szCs w:val="17"/>
          <w:color w:val="auto"/>
        </w:rPr>
      </w:pPr>
    </w:p>
    <w:p>
      <w:pPr>
        <w:jc w:val="both"/>
        <w:ind w:left="1260" w:hanging="496"/>
        <w:spacing w:after="0" w:line="286" w:lineRule="auto"/>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92"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Period</w:t>
      </w:r>
      <w:r>
        <w:rPr>
          <w:rFonts w:ascii="Arial" w:cs="Arial" w:eastAsia="Arial" w:hAnsi="Arial"/>
          <w:sz w:val="22"/>
          <w:szCs w:val="22"/>
          <w:color w:val="auto"/>
        </w:rPr>
        <w:t>" means (a) each period determined in accordance with Clause 9 (</w:t>
      </w:r>
      <w:r>
        <w:rPr>
          <w:rFonts w:ascii="Arial" w:cs="Arial" w:eastAsia="Arial" w:hAnsi="Arial"/>
          <w:sz w:val="22"/>
          <w:szCs w:val="22"/>
          <w:i w:val="1"/>
          <w:iCs w:val="1"/>
          <w:color w:val="auto"/>
        </w:rPr>
        <w:t>Interest Periods</w:t>
      </w:r>
      <w:r>
        <w:rPr>
          <w:rFonts w:ascii="Arial" w:cs="Arial" w:eastAsia="Arial" w:hAnsi="Arial"/>
          <w:sz w:val="22"/>
          <w:szCs w:val="22"/>
          <w:color w:val="auto"/>
        </w:rPr>
        <w:t>) and (b) in relation to an Unpaid Sum, each period determined in accordance with Clause 8.3 (</w:t>
      </w:r>
      <w:r>
        <w:rPr>
          <w:rFonts w:ascii="Arial" w:cs="Arial" w:eastAsia="Arial" w:hAnsi="Arial"/>
          <w:sz w:val="22"/>
          <w:szCs w:val="22"/>
          <w:i w:val="1"/>
          <w:iCs w:val="1"/>
          <w:color w:val="auto"/>
        </w:rPr>
        <w:t>Default interest</w:t>
      </w:r>
      <w:r>
        <w:rPr>
          <w:rFonts w:ascii="Arial" w:cs="Arial" w:eastAsia="Arial" w:hAnsi="Arial"/>
          <w:sz w:val="22"/>
          <w:szCs w:val="22"/>
          <w:color w:val="auto"/>
        </w:rPr>
        <w:t>).</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Interpolated Historic Screen Rate</w:t>
      </w:r>
      <w:r>
        <w:rPr>
          <w:rFonts w:ascii="Arial" w:cs="Arial" w:eastAsia="Arial" w:hAnsi="Arial"/>
          <w:sz w:val="22"/>
          <w:szCs w:val="22"/>
          <w:color w:val="auto"/>
        </w:rPr>
        <w:t>" means, in relation to any Loan, the rate (rounded to the same number of decimal places as the two relevant Screen Rates) which results from interpolating on a linear basis between:</w:t>
      </w:r>
    </w:p>
    <w:p>
      <w:pPr>
        <w:spacing w:after="0" w:line="202" w:lineRule="exact"/>
        <w:rPr>
          <w:sz w:val="20"/>
          <w:szCs w:val="20"/>
          <w:color w:val="auto"/>
        </w:rPr>
      </w:pPr>
    </w:p>
    <w:p>
      <w:pPr>
        <w:ind w:left="1260" w:right="20" w:hanging="496"/>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most recent applicable Screen Rate for the longest period (for which that Screen Rate is available) which is less than the Interest Period of that Loan;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most recent applicable Screen Rate for the shortest period (for which that Screen Rate is available) which exceeds the Interest Period of that Loan,</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line="251" w:lineRule="auto"/>
        <w:rPr>
          <w:sz w:val="20"/>
          <w:szCs w:val="20"/>
          <w:color w:val="auto"/>
        </w:rPr>
      </w:pPr>
      <w:r>
        <w:rPr>
          <w:rFonts w:ascii="Arial" w:cs="Arial" w:eastAsia="Arial" w:hAnsi="Arial"/>
          <w:sz w:val="22"/>
          <w:szCs w:val="22"/>
          <w:color w:val="auto"/>
        </w:rPr>
        <w:t>each for the currency of that Loan and each of which is as of a day which is no more than 10 Business Days before the Quotation Day.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Interpolated Screen Rate</w:t>
      </w:r>
      <w:r>
        <w:rPr>
          <w:rFonts w:ascii="Arial" w:cs="Arial" w:eastAsia="Arial" w:hAnsi="Arial"/>
          <w:sz w:val="22"/>
          <w:szCs w:val="22"/>
          <w:color w:val="auto"/>
        </w:rPr>
        <w:t>" means, in relation to any Loan, the rate (rounded to the same number of decimal places as the two</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Screen Rates) which results from interpolating on a linear basis between:</w:t>
      </w:r>
    </w:p>
    <w:p>
      <w:pPr>
        <w:spacing w:after="0" w:line="202" w:lineRule="exact"/>
        <w:rPr>
          <w:sz w:val="20"/>
          <w:szCs w:val="20"/>
          <w:color w:val="auto"/>
        </w:rPr>
      </w:pPr>
    </w:p>
    <w:p>
      <w:pPr>
        <w:ind w:left="1260" w:hanging="496"/>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applicable Screen Rate for the shortest period (for which that Screen Rate is available) which exceeds the Interest Period of that Loan,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each as of the Specified Time for the currency of that Loan.</w:t>
      </w:r>
    </w:p>
    <w:p>
      <w:pPr>
        <w:spacing w:after="0" w:line="227"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w:t>
      </w:r>
      <w:r>
        <w:rPr>
          <w:rFonts w:ascii="Arial" w:cs="Arial" w:eastAsia="Arial" w:hAnsi="Arial"/>
          <w:sz w:val="19"/>
          <w:szCs w:val="19"/>
          <w:color w:val="auto"/>
        </w:rPr>
        <w:t>" means any investment by any person (the "</w:t>
      </w:r>
      <w:r>
        <w:rPr>
          <w:rFonts w:ascii="Arial" w:cs="Arial" w:eastAsia="Arial" w:hAnsi="Arial"/>
          <w:sz w:val="19"/>
          <w:szCs w:val="19"/>
          <w:b w:val="1"/>
          <w:bCs w:val="1"/>
          <w:color w:val="auto"/>
        </w:rPr>
        <w:t>Investor</w:t>
      </w:r>
      <w:r>
        <w:rPr>
          <w:rFonts w:ascii="Arial" w:cs="Arial" w:eastAsia="Arial" w:hAnsi="Arial"/>
          <w:sz w:val="19"/>
          <w:szCs w:val="19"/>
          <w:color w:val="auto"/>
        </w:rPr>
        <w:t>") in any other person (the "</w:t>
      </w:r>
      <w:r>
        <w:rPr>
          <w:rFonts w:ascii="Arial" w:cs="Arial" w:eastAsia="Arial" w:hAnsi="Arial"/>
          <w:sz w:val="19"/>
          <w:szCs w:val="19"/>
          <w:b w:val="1"/>
          <w:bCs w:val="1"/>
          <w:color w:val="auto"/>
        </w:rPr>
        <w:t>Investee</w:t>
      </w:r>
      <w:r>
        <w:rPr>
          <w:rFonts w:ascii="Arial" w:cs="Arial" w:eastAsia="Arial" w:hAnsi="Arial"/>
          <w:sz w:val="19"/>
          <w:szCs w:val="19"/>
          <w:color w:val="auto"/>
        </w:rPr>
        <w:t xml:space="preserve">"), whether by means of share purchase, capital contribution, loan, time deposit, incurrence of guarantee obligation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w:t>
      </w:r>
    </w:p>
    <w:p>
      <w:pPr>
        <w:jc w:val="both"/>
        <w:ind w:firstLine="8"/>
        <w:spacing w:after="0" w:line="248" w:lineRule="auto"/>
        <w:tabs>
          <w:tab w:leader="none" w:pos="305"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 item reflected in the financial statements of the Investor as an expense; nor (b) an adjustment to the carrying value of the Investee in the financial statements of the Investor (by reason of increased retained earnings of the Investee or otherwise) shall constitute the making or acquisition of an Investment for the purposes of this Agreement.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Internal Revenue Service of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ITA</w:t>
      </w:r>
      <w:r>
        <w:rPr>
          <w:rFonts w:ascii="Arial" w:cs="Arial" w:eastAsia="Arial" w:hAnsi="Arial"/>
          <w:sz w:val="22"/>
          <w:szCs w:val="22"/>
          <w:color w:val="auto"/>
        </w:rPr>
        <w:t>" means the Income Tax Act 2007.</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but if not having the force of law, with which participants in the relevant market are accustomed to comply.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23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which in each case has not ceased to be a Party in accordance with the terms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LMA</w:t>
      </w:r>
      <w:r>
        <w:rPr>
          <w:rFonts w:ascii="Arial" w:cs="Arial" w:eastAsia="Arial" w:hAnsi="Arial"/>
          <w:sz w:val="22"/>
          <w:szCs w:val="22"/>
          <w:color w:val="auto"/>
        </w:rPr>
        <w:t>" means the Loan Market Association.</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means a loan made or to be made under the Facility or the principal amount outstanding for the time being under that loan.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Lenders</w:t>
      </w:r>
      <w:r>
        <w:rPr>
          <w:rFonts w:ascii="Arial" w:cs="Arial" w:eastAsia="Arial" w:hAnsi="Arial"/>
          <w:sz w:val="19"/>
          <w:szCs w:val="19"/>
          <w:color w:val="auto"/>
        </w:rPr>
        <w:t>" means Lenders holding more than 50% of the aggregate amount of the Loans and Available Commitments.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w:t>
      </w:r>
      <w:r>
        <w:rPr>
          <w:rFonts w:ascii="Arial" w:cs="Arial" w:eastAsia="Arial" w:hAnsi="Arial"/>
          <w:sz w:val="22"/>
          <w:szCs w:val="22"/>
          <w:color w:val="auto"/>
        </w:rPr>
        <w:t>" means in relation to the Facility:</w:t>
      </w:r>
    </w:p>
    <w:p>
      <w:pPr>
        <w:spacing w:after="0" w:line="246" w:lineRule="exact"/>
        <w:rPr>
          <w:sz w:val="20"/>
          <w:szCs w:val="20"/>
          <w:color w:val="auto"/>
        </w:rPr>
      </w:pPr>
    </w:p>
    <w:p>
      <w:pPr>
        <w:ind w:left="1260" w:hanging="496"/>
        <w:spacing w:after="0"/>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from the Signing Date until the date falling three (3) Months (included) after the Signing Date: one point fifteen per cent (1.15%) p.a.;</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560" w:hanging="92"/>
        <w:spacing w:after="0"/>
        <w:tabs>
          <w:tab w:leader="none" w:pos="55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1260" w:hanging="496"/>
        <w:spacing w:after="0" w:line="277"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three (3) Months after the Signing Date until the date falling six (6) Months (included) after the Signing Date: one point forty per cent (1.40%) p.a.;</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six (6) Months after the Signing Date until the date falling nine (9) Months (included) after the Signing Date: one point sixty five per cent (1.65%) p.a.;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the day (included) falling after the date falling nine (9) Months after the Signing Date until the date falling twelve (12) Months (included) after the Signing Date: one point ninety per cent (1.90%) p.a,</w:t>
      </w:r>
    </w:p>
    <w:p>
      <w:pPr>
        <w:spacing w:after="0" w:line="190" w:lineRule="exact"/>
        <w:rPr>
          <w:sz w:val="20"/>
          <w:szCs w:val="20"/>
          <w:color w:val="auto"/>
        </w:rPr>
      </w:pPr>
    </w:p>
    <w:p>
      <w:pPr>
        <w:ind w:left="1280" w:right="20"/>
        <w:spacing w:after="0" w:line="250" w:lineRule="auto"/>
        <w:rPr>
          <w:sz w:val="20"/>
          <w:szCs w:val="20"/>
          <w:color w:val="auto"/>
        </w:rPr>
      </w:pPr>
      <w:r>
        <w:rPr>
          <w:rFonts w:ascii="Arial" w:cs="Arial" w:eastAsia="Arial" w:hAnsi="Arial"/>
          <w:sz w:val="22"/>
          <w:szCs w:val="22"/>
          <w:color w:val="auto"/>
        </w:rPr>
        <w:t>provided that in the event where the Company's Rating falls below BBB (from S&amp;P) or Baa3 (from Moody's), the Margin will be increased by 0.25% p.a..</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avoidance of doubt the Parties acknowledge that, the Margin for a given Loan may fluctuate to the extent that the duration thereof straddles two or more three months periods.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any material adverse effect on:</w:t>
      </w:r>
    </w:p>
    <w:p>
      <w:pPr>
        <w:spacing w:after="0" w:line="246" w:lineRule="exact"/>
        <w:rPr>
          <w:sz w:val="20"/>
          <w:szCs w:val="20"/>
          <w:color w:val="auto"/>
        </w:rPr>
      </w:pPr>
    </w:p>
    <w:p>
      <w:pPr>
        <w:ind w:left="1260" w:hanging="496"/>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consolidated financial condition of the Group (taken as a whole); or</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of the Borrowers (taken as whole) to perform their payment obligations under the Finance Documents.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Indebtedness</w:t>
      </w:r>
      <w:r>
        <w:rPr>
          <w:rFonts w:ascii="Arial" w:cs="Arial" w:eastAsia="Arial" w:hAnsi="Arial"/>
          <w:sz w:val="22"/>
          <w:szCs w:val="22"/>
          <w:color w:val="auto"/>
        </w:rPr>
        <w:t>" means Indebtedness (other than the Loans) or obligations in respect of one or more Swap Agreements, of any one or more of the Company and its Restricted Subsidiaries in an aggregate principal amount exceeding $250,000,000. For purposes of determining Material Indebtedness, the "principal amount" of the obligations of the Company or any Restricted Subsidiary in respect of any Swap Agreement at any time shall be the maximum aggregate amount (giving effect to any netting agreements) that the Company or such Restricted Subsidiary would be required to pay if such Swap Agreement were terminated at such time.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Subsidiary</w:t>
      </w:r>
      <w:r>
        <w:rPr>
          <w:rFonts w:ascii="Arial" w:cs="Arial" w:eastAsia="Arial" w:hAnsi="Arial"/>
          <w:sz w:val="22"/>
          <w:szCs w:val="22"/>
          <w:color w:val="auto"/>
        </w:rPr>
        <w:t>" means:</w:t>
      </w:r>
    </w:p>
    <w:p>
      <w:pPr>
        <w:spacing w:after="0" w:line="246" w:lineRule="exact"/>
        <w:rPr>
          <w:sz w:val="20"/>
          <w:szCs w:val="20"/>
          <w:color w:val="auto"/>
        </w:rPr>
      </w:pPr>
    </w:p>
    <w:p>
      <w:pPr>
        <w:jc w:val="both"/>
        <w:ind w:left="1260" w:right="20" w:hanging="496"/>
        <w:spacing w:after="0" w:line="263"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period from the Signing Date until 31 December 2020: TechnipFMC Holdings Limited (UK), Technip France SAS, Yamgaz, Technip UK Ltd, South Tambey LNG, Technip Eurocash SNC, Technip Benelux BV, Technip Chartering Norge AS, Technip Oceania Pty, Flexibras Tubos Flexxveis ltda, FMC Technologies, Inc.; and</w:t>
      </w:r>
    </w:p>
    <w:p>
      <w:pPr>
        <w:spacing w:after="0" w:line="200" w:lineRule="exact"/>
        <w:rPr>
          <w:rFonts w:ascii="Arial" w:cs="Arial" w:eastAsia="Arial" w:hAnsi="Arial"/>
          <w:sz w:val="18"/>
          <w:szCs w:val="18"/>
          <w:color w:val="auto"/>
        </w:rPr>
      </w:pPr>
    </w:p>
    <w:p>
      <w:pPr>
        <w:jc w:val="both"/>
        <w:ind w:left="1260" w:hanging="496"/>
        <w:spacing w:after="0" w:line="215"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period from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January 2021 and until the Maturity Date, each Restricted Subsidiary of the Company either (i) whose total assets exceed five per cent of the consolidated total assets of the Group or (ii) whose EBITDA (on a consolidated basis if the Restricted Subsidiary itself has Subsidiaries) exceeds five per cent of the consolidated EBITDA of the Group.</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For this purpose:</w:t>
      </w:r>
    </w:p>
    <w:p>
      <w:pPr>
        <w:spacing w:after="0" w:line="240" w:lineRule="exact"/>
        <w:rPr>
          <w:sz w:val="20"/>
          <w:szCs w:val="20"/>
          <w:color w:val="auto"/>
        </w:rPr>
      </w:pPr>
    </w:p>
    <w:p>
      <w:pPr>
        <w:jc w:val="both"/>
        <w:ind w:left="1780" w:hanging="503"/>
        <w:spacing w:after="0" w:line="311" w:lineRule="auto"/>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total assets, EBITDA, and consolidated EBITDA of any Restricted Subsidiary or the Group will be determined from the latest financial statements of the relevant entity for the twelve month period ending on 31 December, adjusted (where appropriate) to reflect the total assets, EBITDA or consolidated EBITDA of any company or business subsequently acquired or disposed of;</w:t>
      </w:r>
    </w:p>
    <w:p>
      <w:pPr>
        <w:spacing w:after="0" w:line="346" w:lineRule="exact"/>
        <w:rPr>
          <w:rFonts w:ascii="Arial" w:cs="Arial" w:eastAsia="Arial" w:hAnsi="Arial"/>
          <w:sz w:val="16"/>
          <w:szCs w:val="16"/>
          <w:color w:val="auto"/>
        </w:rPr>
      </w:pPr>
    </w:p>
    <w:p>
      <w:pPr>
        <w:ind w:left="5560" w:hanging="92"/>
        <w:spacing w:after="0"/>
        <w:tabs>
          <w:tab w:leader="none" w:pos="5560" w:val="left"/>
        </w:tabs>
        <w:numPr>
          <w:ilvl w:val="1"/>
          <w:numId w:val="65"/>
        </w:numPr>
        <w:rPr>
          <w:rFonts w:ascii="Arial" w:cs="Arial" w:eastAsia="Arial" w:hAnsi="Arial"/>
          <w:sz w:val="14"/>
          <w:szCs w:val="14"/>
          <w:color w:val="auto"/>
        </w:rPr>
      </w:pPr>
      <w:r>
        <w:rPr>
          <w:rFonts w:ascii="Arial" w:cs="Arial" w:eastAsia="Arial" w:hAnsi="Arial"/>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1780" w:hanging="503"/>
        <w:spacing w:after="0" w:line="277" w:lineRule="auto"/>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person becomes a member of the Group after the Signing Date, the total assets, EBITDA and consolidated EBITDA of that person will be determined from its latest financial statements as of 31 December 2020;</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Material Subsidiary disposes of all or substantially all of its assets to another Subsidiary of the Company, the subsequent financial statements of the Group as of 31 December 2020 will be used to determine whether or not it remains a Material Subsidiary;</w:t>
      </w:r>
    </w:p>
    <w:p>
      <w:pPr>
        <w:spacing w:after="0" w:line="210" w:lineRule="exact"/>
        <w:rPr>
          <w:rFonts w:ascii="Arial" w:cs="Arial" w:eastAsia="Arial" w:hAnsi="Arial"/>
          <w:sz w:val="18"/>
          <w:szCs w:val="18"/>
          <w:color w:val="auto"/>
        </w:rPr>
      </w:pPr>
    </w:p>
    <w:p>
      <w:pPr>
        <w:jc w:val="both"/>
        <w:ind w:left="1780" w:hanging="503"/>
        <w:spacing w:after="0" w:line="279" w:lineRule="auto"/>
        <w:tabs>
          <w:tab w:leader="none" w:pos="1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Subsidiary which the Company has demonstrated to the Agent is a special purpose vehicle which is incorporated solely for the purpose of entering into a single contract or series of contracts (a "</w:t>
      </w:r>
      <w:r>
        <w:rPr>
          <w:rFonts w:ascii="Arial" w:cs="Arial" w:eastAsia="Arial" w:hAnsi="Arial"/>
          <w:sz w:val="17"/>
          <w:szCs w:val="17"/>
          <w:b w:val="1"/>
          <w:bCs w:val="1"/>
          <w:color w:val="auto"/>
        </w:rPr>
        <w:t>Special Purpose Vehicle</w:t>
      </w:r>
      <w:r>
        <w:rPr>
          <w:rFonts w:ascii="Arial" w:cs="Arial" w:eastAsia="Arial" w:hAnsi="Arial"/>
          <w:sz w:val="17"/>
          <w:szCs w:val="17"/>
          <w:color w:val="auto"/>
        </w:rPr>
        <w:t>") and which would, without the provisions of this sub-paragraph (iv), be a Material Subsidiary only as a result of that contract or series of contracts being entered into by it, shall not constitute a Material Subsidiary for the purposes of the Finance Documents; and</w:t>
      </w:r>
    </w:p>
    <w:p>
      <w:pPr>
        <w:spacing w:after="0" w:line="198" w:lineRule="exact"/>
        <w:rPr>
          <w:rFonts w:ascii="Arial" w:cs="Arial" w:eastAsia="Arial" w:hAnsi="Arial"/>
          <w:sz w:val="17"/>
          <w:szCs w:val="17"/>
          <w:color w:val="auto"/>
        </w:rPr>
      </w:pPr>
    </w:p>
    <w:p>
      <w:pPr>
        <w:ind w:left="1780" w:hanging="503"/>
        <w:spacing w:after="0" w:line="277" w:lineRule="auto"/>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purpose of sub-paragraphs (i) to (iv) above, "financial statements" means, in respect of each twelve month period ending on 31 December, the financial statements for the preceding annual period;</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in the aggregate, the total assets of all Restricted Subsidiaries that would not constitute Material Subsidiaries exceeds 20% of the consolidated total assets of the Group or (ii) if the consolidated EBITDA of all Restricted Subsidiaries that would not constitute Material Subsidiaries exceeds 20% of the consolidated EBITDA of the Group, then the Company shall designate sufficient Restricted Subsidiaries as "Material Subsidiaries" to eliminate such condition, such designation to occur not later than 30 days after the delivery pursuant to Clause 19.1 (</w:t>
      </w:r>
      <w:r>
        <w:rPr>
          <w:rFonts w:ascii="Arial" w:cs="Arial" w:eastAsia="Arial" w:hAnsi="Arial"/>
          <w:sz w:val="19"/>
          <w:szCs w:val="19"/>
          <w:i w:val="1"/>
          <w:iCs w:val="1"/>
          <w:color w:val="auto"/>
        </w:rPr>
        <w:t>Financial statements</w:t>
      </w:r>
      <w:r>
        <w:rPr>
          <w:rFonts w:ascii="Arial" w:cs="Arial" w:eastAsia="Arial" w:hAnsi="Arial"/>
          <w:sz w:val="19"/>
          <w:szCs w:val="19"/>
          <w:color w:val="auto"/>
        </w:rPr>
        <w:t>) of financial statements of the Company for the period during which the condition requiring such designation first existed (and if the Company shall fail to designate such Restricted Subsidiaries by such time, one or more Restricted Subsidiaries shall for all purposes of this Agreement automatically be deemed to be Material Subsidiaries in descending order based on the value of their total assets or EBITDA (on a consolidated basis if the Restricted Subsidiary itself has subsidiaries) until such excess has been eliminated).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there is a dispute as to whether or not a company is a Material Subsidiary, a certificate of the auditors of the Company will, in the absence of manifest error, be conclusive.</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the Initial Maturity Date or if the Company has requested an extension of the Initial Maturity Date in accordance with Clause 34.9 (</w:t>
      </w:r>
      <w:r>
        <w:rPr>
          <w:rFonts w:ascii="Arial" w:cs="Arial" w:eastAsia="Arial" w:hAnsi="Arial"/>
          <w:sz w:val="22"/>
          <w:szCs w:val="22"/>
          <w:i w:val="1"/>
          <w:iCs w:val="1"/>
          <w:color w:val="auto"/>
        </w:rPr>
        <w:t>Extension Option</w:t>
      </w:r>
      <w:r>
        <w:rPr>
          <w:rFonts w:ascii="Arial" w:cs="Arial" w:eastAsia="Arial" w:hAnsi="Arial"/>
          <w:sz w:val="22"/>
          <w:szCs w:val="22"/>
          <w:color w:val="auto"/>
        </w:rPr>
        <w:t>), the First Extended Maturity Date or, as the case may be, the Second Extended Maturity Date.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w:t>
      </w:r>
      <w:r>
        <w:rPr>
          <w:rFonts w:ascii="Arial" w:cs="Arial" w:eastAsia="Arial" w:hAnsi="Arial"/>
          <w:sz w:val="22"/>
          <w:szCs w:val="22"/>
          <w:color w:val="auto"/>
        </w:rPr>
        <w:t>" means a period starting on one day in a calendar month and ending on the numerically corresponding day in the next calendar month, except that:</w:t>
      </w:r>
    </w:p>
    <w:p>
      <w:pPr>
        <w:spacing w:after="0" w:line="202" w:lineRule="exact"/>
        <w:rPr>
          <w:sz w:val="20"/>
          <w:szCs w:val="20"/>
          <w:color w:val="auto"/>
        </w:rPr>
      </w:pPr>
    </w:p>
    <w:p>
      <w:pPr>
        <w:ind w:left="1260" w:hanging="496"/>
        <w:spacing w:after="0" w:line="342" w:lineRule="auto"/>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50" w:lineRule="exact"/>
        <w:rPr>
          <w:rFonts w:ascii="Arial" w:cs="Arial" w:eastAsia="Arial" w:hAnsi="Arial"/>
          <w:sz w:val="16"/>
          <w:szCs w:val="16"/>
          <w:color w:val="auto"/>
        </w:rPr>
      </w:pPr>
    </w:p>
    <w:p>
      <w:pPr>
        <w:ind w:left="1260" w:right="20" w:hanging="496"/>
        <w:spacing w:after="0" w:line="277" w:lineRule="auto"/>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The above rules will only apply to the last month of any period.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or any successor to the ratings agency business thereof.</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 multiemployer plan as defined in Section 4001(a)(3) of ERISA to which any member of the ERISA Group is then making or accruing an obligation to make contributions or has within the preceding five years made contributions, including for these purposes any person which ceased to be a member of the ERISA Group during such five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Lender</w:t>
      </w:r>
      <w:r>
        <w:rPr>
          <w:rFonts w:ascii="Arial" w:cs="Arial" w:eastAsia="Arial" w:hAnsi="Arial"/>
          <w:sz w:val="22"/>
          <w:szCs w:val="22"/>
          <w:color w:val="auto"/>
        </w:rPr>
        <w:t>" has the meaning given to that term in Clause 23.1 (</w:t>
      </w:r>
      <w:r>
        <w:rPr>
          <w:rFonts w:ascii="Arial" w:cs="Arial" w:eastAsia="Arial" w:hAnsi="Arial"/>
          <w:sz w:val="22"/>
          <w:szCs w:val="22"/>
          <w:i w:val="1"/>
          <w:iCs w:val="1"/>
          <w:color w:val="auto"/>
        </w:rPr>
        <w:t>Transfers by the Lenders</w:t>
      </w:r>
      <w:r>
        <w:rPr>
          <w:rFonts w:ascii="Arial" w:cs="Arial" w:eastAsia="Arial" w:hAnsi="Arial"/>
          <w:sz w:val="22"/>
          <w:szCs w:val="22"/>
          <w:color w:val="auto"/>
        </w:rPr>
        <w:t>).</w:t>
      </w:r>
    </w:p>
    <w:p>
      <w:pPr>
        <w:spacing w:after="0" w:line="233"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Non-Cooperative Jurisdiction</w:t>
      </w:r>
      <w:r>
        <w:rPr>
          <w:rFonts w:ascii="Arial" w:cs="Arial" w:eastAsia="Arial" w:hAnsi="Arial"/>
          <w:sz w:val="19"/>
          <w:szCs w:val="19"/>
          <w:color w:val="auto"/>
        </w:rPr>
        <w:t>" means a "non-cooperative state or territory" (</w:t>
      </w:r>
      <w:r>
        <w:rPr>
          <w:rFonts w:ascii="Arial" w:cs="Arial" w:eastAsia="Arial" w:hAnsi="Arial"/>
          <w:sz w:val="19"/>
          <w:szCs w:val="19"/>
          <w:i w:val="1"/>
          <w:iCs w:val="1"/>
          <w:color w:val="auto"/>
        </w:rPr>
        <w:t>Etat ou territoire non coopératif</w:t>
      </w:r>
      <w:r>
        <w:rPr>
          <w:rFonts w:ascii="Arial" w:cs="Arial" w:eastAsia="Arial" w:hAnsi="Arial"/>
          <w:sz w:val="19"/>
          <w:szCs w:val="19"/>
          <w:color w:val="auto"/>
        </w:rPr>
        <w:t xml:space="preserve">) as set out in the list referred to in article 238-0 A of the French </w:t>
      </w:r>
      <w:r>
        <w:rPr>
          <w:rFonts w:ascii="Arial" w:cs="Arial" w:eastAsia="Arial" w:hAnsi="Arial"/>
          <w:sz w:val="19"/>
          <w:szCs w:val="19"/>
          <w:i w:val="1"/>
          <w:iCs w:val="1"/>
          <w:color w:val="auto"/>
        </w:rPr>
        <w:t>Code général des impôts</w:t>
      </w:r>
      <w:r>
        <w:rPr>
          <w:rFonts w:ascii="Arial" w:cs="Arial" w:eastAsia="Arial" w:hAnsi="Arial"/>
          <w:sz w:val="19"/>
          <w:szCs w:val="19"/>
          <w:color w:val="auto"/>
        </w:rPr>
        <w:t>, as such list may be amended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Lender</w:t>
      </w:r>
      <w:r>
        <w:rPr>
          <w:rFonts w:ascii="Arial" w:cs="Arial" w:eastAsia="Arial" w:hAnsi="Arial"/>
          <w:sz w:val="22"/>
          <w:szCs w:val="22"/>
          <w:color w:val="auto"/>
        </w:rPr>
        <w:t>" has the meaning given to that term in Clause 12.8 (</w:t>
      </w:r>
      <w:r>
        <w:rPr>
          <w:rFonts w:ascii="Arial" w:cs="Arial" w:eastAsia="Arial" w:hAnsi="Arial"/>
          <w:sz w:val="22"/>
          <w:szCs w:val="22"/>
          <w:i w:val="1"/>
          <w:iCs w:val="1"/>
          <w:color w:val="auto"/>
        </w:rPr>
        <w:t>FATCA Information</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w:t>
      </w:r>
      <w:r>
        <w:rPr>
          <w:rFonts w:ascii="Arial" w:cs="Arial" w:eastAsia="Arial" w:hAnsi="Arial"/>
          <w:sz w:val="22"/>
          <w:szCs w:val="22"/>
          <w:color w:val="auto"/>
        </w:rPr>
        <w:t>" means any of the Guarantor and the Borrowers.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Lenders</w:t>
      </w:r>
      <w:r>
        <w:rPr>
          <w:rFonts w:ascii="Arial" w:cs="Arial" w:eastAsia="Arial" w:hAnsi="Arial"/>
          <w:sz w:val="22"/>
          <w:szCs w:val="22"/>
          <w:color w:val="auto"/>
        </w:rPr>
        <w:t>" has the meaning given to that term in the Recitals.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Paper Form Lender</w:t>
      </w:r>
      <w:r>
        <w:rPr>
          <w:rFonts w:ascii="Arial" w:cs="Arial" w:eastAsia="Arial" w:hAnsi="Arial"/>
          <w:sz w:val="22"/>
          <w:szCs w:val="22"/>
          <w:color w:val="auto"/>
        </w:rPr>
        <w:t>" has the meaning given to that term in Clause 19.5 (</w:t>
      </w:r>
      <w:r>
        <w:rPr>
          <w:rFonts w:ascii="Arial" w:cs="Arial" w:eastAsia="Arial" w:hAnsi="Arial"/>
          <w:sz w:val="22"/>
          <w:szCs w:val="22"/>
          <w:i w:val="1"/>
          <w:iCs w:val="1"/>
          <w:color w:val="auto"/>
        </w:rPr>
        <w:t>Use of websites</w:t>
      </w:r>
      <w:r>
        <w:rPr>
          <w:rFonts w:ascii="Arial" w:cs="Arial" w:eastAsia="Arial" w:hAnsi="Arial"/>
          <w:sz w:val="22"/>
          <w:szCs w:val="22"/>
          <w:color w:val="auto"/>
        </w:rPr>
        <w:t>).</w:t>
      </w:r>
    </w:p>
    <w:p>
      <w:pPr>
        <w:spacing w:after="0" w:line="23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Member State</w:t>
      </w:r>
      <w:r>
        <w:rPr>
          <w:rFonts w:ascii="Arial" w:cs="Arial" w:eastAsia="Arial" w:hAnsi="Arial"/>
          <w:sz w:val="22"/>
          <w:szCs w:val="22"/>
          <w:color w:val="auto"/>
        </w:rPr>
        <w:t>" means any member state of the European Union that has the euro as its lawful currency in accordance with legislation of the European Union relating to Economic and Monetary Union.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means a party to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Party</w:t>
      </w:r>
      <w:r>
        <w:rPr>
          <w:rFonts w:ascii="Arial" w:cs="Arial" w:eastAsia="Arial" w:hAnsi="Arial"/>
          <w:sz w:val="22"/>
          <w:szCs w:val="22"/>
          <w:color w:val="auto"/>
        </w:rPr>
        <w:t>" has the meaning given to that term in Clause 28.5 (</w:t>
      </w:r>
      <w:r>
        <w:rPr>
          <w:rFonts w:ascii="Arial" w:cs="Arial" w:eastAsia="Arial" w:hAnsi="Arial"/>
          <w:sz w:val="22"/>
          <w:szCs w:val="22"/>
          <w:i w:val="1"/>
          <w:iCs w:val="1"/>
          <w:color w:val="auto"/>
        </w:rPr>
        <w:t>Impaired Agent</w:t>
      </w:r>
      <w:r>
        <w:rPr>
          <w:rFonts w:ascii="Arial" w:cs="Arial" w:eastAsia="Arial" w:hAnsi="Arial"/>
          <w:sz w:val="22"/>
          <w:szCs w:val="22"/>
          <w:color w:val="auto"/>
        </w:rPr>
        <w:t>).</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89"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JV</w:t>
      </w:r>
      <w:r>
        <w:rPr>
          <w:rFonts w:ascii="Arial" w:cs="Arial" w:eastAsia="Arial" w:hAnsi="Arial"/>
          <w:sz w:val="22"/>
          <w:szCs w:val="22"/>
          <w:color w:val="auto"/>
        </w:rPr>
        <w:t>" shall mean any Subsidiary which is a joint venture company (a) in which members of the Group own 50% or less of the issued share capital of that joint venture company or (b) that has been established for the purpose of acquiring a single asset or class of assets.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JV Indebtedness</w:t>
      </w:r>
      <w:r>
        <w:rPr>
          <w:rFonts w:ascii="Arial" w:cs="Arial" w:eastAsia="Arial" w:hAnsi="Arial"/>
          <w:sz w:val="22"/>
          <w:szCs w:val="22"/>
          <w:color w:val="auto"/>
        </w:rPr>
        <w:t>" shall mean any Indebtedness owed by a Permitted JV and in respect of which no other member of the Group (other than another Permitted JV) has granted any guarantee or other financial assurance of any kind or is otherwise liable in any respect.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Securitisation</w:t>
      </w:r>
      <w:r>
        <w:rPr>
          <w:rFonts w:ascii="Arial" w:cs="Arial" w:eastAsia="Arial" w:hAnsi="Arial"/>
          <w:sz w:val="21"/>
          <w:szCs w:val="21"/>
          <w:color w:val="auto"/>
        </w:rPr>
        <w:t xml:space="preserve">" means any transaction or series of transactions entered into by a member of the Group for the securitisation of receivables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provider(s) of any Indebtedness which is incurred in relation thereto shall have no recourse against any member of the Group or its assets (other than a special purpose Subsidiary with no assets other than the receivables and related security which are the basis for such Indebtedness), other than limited recourse customary for receivables securitisation transactions of the same kind.</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member of the ERISA Group is (or, if such plan were terminated, would under Section 4069 of ERISA be deemed to be) an "employer" as defined in Section 3(5) of ERISA.</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Qualification</w:t>
      </w:r>
      <w:r>
        <w:rPr>
          <w:rFonts w:ascii="Arial" w:cs="Arial" w:eastAsia="Arial" w:hAnsi="Arial"/>
          <w:sz w:val="22"/>
          <w:szCs w:val="22"/>
          <w:color w:val="auto"/>
        </w:rPr>
        <w:t>" means, with respect to any certificate covering financial statements, a qualification to such certificate (such as a "</w:t>
      </w:r>
      <w:r>
        <w:rPr>
          <w:rFonts w:ascii="Arial" w:cs="Arial" w:eastAsia="Arial" w:hAnsi="Arial"/>
          <w:sz w:val="22"/>
          <w:szCs w:val="22"/>
          <w:b w:val="1"/>
          <w:bCs w:val="1"/>
          <w:color w:val="auto"/>
        </w:rPr>
        <w:t>subject to</w:t>
      </w:r>
      <w:r>
        <w:rPr>
          <w:rFonts w:ascii="Arial" w:cs="Arial" w:eastAsia="Arial" w:hAnsi="Arial"/>
          <w:sz w:val="22"/>
          <w:szCs w:val="22"/>
          <w:color w:val="auto"/>
        </w:rPr>
        <w:t>" or "</w:t>
      </w:r>
      <w:r>
        <w:rPr>
          <w:rFonts w:ascii="Arial" w:cs="Arial" w:eastAsia="Arial" w:hAnsi="Arial"/>
          <w:sz w:val="22"/>
          <w:szCs w:val="22"/>
          <w:b w:val="1"/>
          <w:bCs w:val="1"/>
          <w:color w:val="auto"/>
        </w:rPr>
        <w:t>except for</w:t>
      </w:r>
      <w:r>
        <w:rPr>
          <w:rFonts w:ascii="Arial" w:cs="Arial" w:eastAsia="Arial" w:hAnsi="Arial"/>
          <w:sz w:val="22"/>
          <w:szCs w:val="22"/>
          <w:color w:val="auto"/>
        </w:rPr>
        <w:t>" statement therein):</w:t>
      </w:r>
    </w:p>
    <w:p>
      <w:pPr>
        <w:sectPr>
          <w:pgSz w:w="11900" w:h="16838" w:orient="portrait"/>
          <w:cols w:equalWidth="0" w:num="1">
            <w:col w:w="11240"/>
          </w:cols>
          <w:pgMar w:left="320" w:top="118"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ind w:left="1260" w:hanging="496"/>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resulting from a limitation on the scope of examination of such financial statements or the underlying data;</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to the capability of the person whose financial statements are certified to continue operations as a going concern; or</w:t>
      </w:r>
    </w:p>
    <w:p>
      <w:pPr>
        <w:spacing w:after="0" w:line="252"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which could be eliminated by changes in financial statements or notes thereto covered by such certificate (such as by the creation of or increase in a reserve or a decrease in the carrying value of assets) and which if so eliminated by the making of any such change and after giving effect thereto would occasion a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of the following shall constitute a Qualification:</w:t>
      </w:r>
    </w:p>
    <w:p>
      <w:pPr>
        <w:spacing w:after="0" w:line="192"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consistency exception relating to a change in accounting principles with which the independent public accountants for the person whose financial statements are being certified have concurred; or</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qualification relating to the outcome or disposition of threatened litigation, pending litigation being contested in good faith, pending or threatened claims or other contingencies, the impact of which litigation, claims or contingencies cannot be determined with sufficient certainty to permit quantification in such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Lender</w:t>
      </w:r>
      <w:r>
        <w:rPr>
          <w:rFonts w:ascii="Arial" w:cs="Arial" w:eastAsia="Arial" w:hAnsi="Arial"/>
          <w:sz w:val="22"/>
          <w:szCs w:val="22"/>
          <w:color w:val="auto"/>
        </w:rPr>
        <w:t>" has the meaning given to it in Clause 12.1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Quotation Day</w:t>
      </w:r>
      <w:r>
        <w:rPr>
          <w:rFonts w:ascii="Arial" w:cs="Arial" w:eastAsia="Arial" w:hAnsi="Arial"/>
          <w:sz w:val="22"/>
          <w:szCs w:val="22"/>
          <w:color w:val="auto"/>
        </w:rPr>
        <w:t>" means, in relation to any period for which an interest rate is to be determined two TARGET Days before the first day of that period.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Rating</w:t>
      </w:r>
      <w:r>
        <w:rPr>
          <w:rFonts w:ascii="Arial" w:cs="Arial" w:eastAsia="Arial" w:hAnsi="Arial"/>
          <w:sz w:val="22"/>
          <w:szCs w:val="22"/>
          <w:color w:val="auto"/>
        </w:rPr>
        <w:t>" means the rating of the Index Debt by S&amp;P and Moody's.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w:t>
      </w:r>
      <w:r>
        <w:rPr>
          <w:rFonts w:ascii="Arial" w:cs="Arial" w:eastAsia="Arial" w:hAnsi="Arial"/>
          <w:sz w:val="22"/>
          <w:szCs w:val="22"/>
          <w:color w:val="auto"/>
        </w:rPr>
        <w:t>" has the meaning given to that term in Clause 12.7 (</w:t>
      </w:r>
      <w:r>
        <w:rPr>
          <w:rFonts w:ascii="Arial" w:cs="Arial" w:eastAsia="Arial" w:hAnsi="Arial"/>
          <w:sz w:val="22"/>
          <w:szCs w:val="22"/>
          <w:i w:val="1"/>
          <w:iCs w:val="1"/>
          <w:color w:val="auto"/>
        </w:rPr>
        <w:t>VAT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 Party</w:t>
      </w:r>
      <w:r>
        <w:rPr>
          <w:rFonts w:ascii="Arial" w:cs="Arial" w:eastAsia="Arial" w:hAnsi="Arial"/>
          <w:sz w:val="22"/>
          <w:szCs w:val="22"/>
          <w:color w:val="auto"/>
        </w:rPr>
        <w:t>" has the meaning given to that term in Clause 28.5 (</w:t>
      </w:r>
      <w:r>
        <w:rPr>
          <w:rFonts w:ascii="Arial" w:cs="Arial" w:eastAsia="Arial" w:hAnsi="Arial"/>
          <w:sz w:val="22"/>
          <w:szCs w:val="22"/>
          <w:i w:val="1"/>
          <w:iCs w:val="1"/>
          <w:color w:val="auto"/>
        </w:rPr>
        <w:t>Impaired Agent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Recovered Amount</w:t>
      </w:r>
      <w:r>
        <w:rPr>
          <w:rFonts w:ascii="Arial" w:cs="Arial" w:eastAsia="Arial" w:hAnsi="Arial"/>
          <w:sz w:val="22"/>
          <w:szCs w:val="22"/>
          <w:color w:val="auto"/>
        </w:rPr>
        <w:t>" has the meaning given to that term in Clause 27.1 (Payments to Finance Parties).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Recovering Finance Party</w:t>
      </w:r>
      <w:r>
        <w:rPr>
          <w:rFonts w:ascii="Arial" w:cs="Arial" w:eastAsia="Arial" w:hAnsi="Arial"/>
          <w:sz w:val="22"/>
          <w:szCs w:val="22"/>
          <w:color w:val="auto"/>
        </w:rPr>
        <w:t>" has the meaning given to that term in Clause 27.1 (Payments to Finance Parties).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Redistributed Amount</w:t>
      </w:r>
      <w:r>
        <w:rPr>
          <w:rFonts w:ascii="Arial" w:cs="Arial" w:eastAsia="Arial" w:hAnsi="Arial"/>
          <w:sz w:val="22"/>
          <w:szCs w:val="22"/>
          <w:color w:val="auto"/>
        </w:rPr>
        <w:t>" has the meaning given to that term in Clause 27.4 (Reversal of redistribution).</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Banks</w:t>
      </w:r>
      <w:r>
        <w:rPr>
          <w:rFonts w:ascii="Arial" w:cs="Arial" w:eastAsia="Arial" w:hAnsi="Arial"/>
          <w:sz w:val="22"/>
          <w:szCs w:val="22"/>
          <w:color w:val="auto"/>
        </w:rPr>
        <w:t>" means the banks appointed from time to time by the Agent in consultation with the Borrower. For the avoidance of doubt, no bank may be appointed as a Reference Bank without its consent.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 Quotation</w:t>
      </w:r>
      <w:r>
        <w:rPr>
          <w:rFonts w:ascii="Arial" w:cs="Arial" w:eastAsia="Arial" w:hAnsi="Arial"/>
          <w:sz w:val="22"/>
          <w:szCs w:val="22"/>
          <w:color w:val="auto"/>
        </w:rPr>
        <w:t>" means any quotation supplied to the Agent by a Reference Bank.</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Bank Rate</w:t>
      </w:r>
      <w:r>
        <w:rPr>
          <w:rFonts w:ascii="Arial" w:cs="Arial" w:eastAsia="Arial" w:hAnsi="Arial"/>
          <w:sz w:val="19"/>
          <w:szCs w:val="19"/>
          <w:color w:val="auto"/>
        </w:rPr>
        <w:t>" means the arithmetic mean of the rates (rounded upwards to four decimal places) as supplied to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Agent at its request by the Reference Banks:</w:t>
      </w:r>
    </w:p>
    <w:p>
      <w:pPr>
        <w:spacing w:after="0" w:line="222" w:lineRule="exact"/>
        <w:rPr>
          <w:sz w:val="20"/>
          <w:szCs w:val="20"/>
          <w:color w:val="auto"/>
        </w:rPr>
      </w:pPr>
    </w:p>
    <w:p>
      <w:pPr>
        <w:ind w:left="1260" w:hanging="496"/>
        <w:spacing w:after="0" w:line="308" w:lineRule="auto"/>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(other than where paragraph (b) below applies) as the rate at which the relevant Reference Bank believes one prime bank is quoting to another prime bank for interbank term deposits in euro within the Participating Member States for the relevant period; or</w:t>
      </w:r>
    </w:p>
    <w:p>
      <w:pPr>
        <w:spacing w:after="0" w:line="344" w:lineRule="exact"/>
        <w:rPr>
          <w:rFonts w:ascii="Arial" w:cs="Arial" w:eastAsia="Arial" w:hAnsi="Arial"/>
          <w:sz w:val="17"/>
          <w:szCs w:val="17"/>
          <w:color w:val="auto"/>
        </w:rPr>
      </w:pPr>
    </w:p>
    <w:p>
      <w:pPr>
        <w:ind w:left="5560" w:hanging="92"/>
        <w:spacing w:after="0"/>
        <w:tabs>
          <w:tab w:leader="none" w:pos="5560" w:val="left"/>
        </w:tabs>
        <w:numPr>
          <w:ilvl w:val="1"/>
          <w:numId w:val="69"/>
        </w:numPr>
        <w:rPr>
          <w:rFonts w:ascii="Arial" w:cs="Arial" w:eastAsia="Arial" w:hAnsi="Arial"/>
          <w:sz w:val="14"/>
          <w:szCs w:val="14"/>
          <w:color w:val="auto"/>
        </w:rPr>
      </w:pPr>
      <w:r>
        <w:rPr>
          <w:rFonts w:ascii="Arial" w:cs="Arial" w:eastAsia="Arial" w:hAnsi="Arial"/>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left="1260" w:right="20" w:hanging="496"/>
        <w:spacing w:after="0" w:line="277" w:lineRule="auto"/>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different, as the rate (if any and applied to the relevant Reference Bank and the relevant period) which contributors to the applicable Screen Rate are asked to submit to the relevant administrator.</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Fund</w:t>
      </w:r>
      <w:r>
        <w:rPr>
          <w:rFonts w:ascii="Arial" w:cs="Arial" w:eastAsia="Arial" w:hAnsi="Arial"/>
          <w:sz w:val="22"/>
          <w:szCs w:val="22"/>
          <w:color w:val="auto"/>
        </w:rPr>
        <w:t>" in relation to a fund (the "</w:t>
      </w:r>
      <w:r>
        <w:rPr>
          <w:rFonts w:ascii="Arial" w:cs="Arial" w:eastAsia="Arial" w:hAnsi="Arial"/>
          <w:sz w:val="22"/>
          <w:szCs w:val="22"/>
          <w:b w:val="1"/>
          <w:bCs w:val="1"/>
          <w:color w:val="auto"/>
        </w:rPr>
        <w:t>first fund</w:t>
      </w:r>
      <w:r>
        <w:rPr>
          <w:rFonts w:ascii="Arial" w:cs="Arial" w:eastAsia="Arial" w:hAnsi="Arial"/>
          <w:sz w:val="22"/>
          <w:szCs w:val="22"/>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Market</w:t>
      </w:r>
      <w:r>
        <w:rPr>
          <w:rFonts w:ascii="Arial" w:cs="Arial" w:eastAsia="Arial" w:hAnsi="Arial"/>
          <w:sz w:val="22"/>
          <w:szCs w:val="22"/>
          <w:color w:val="auto"/>
        </w:rPr>
        <w:t>" means the European interbank market.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Party</w:t>
      </w:r>
      <w:r>
        <w:rPr>
          <w:rFonts w:ascii="Arial" w:cs="Arial" w:eastAsia="Arial" w:hAnsi="Arial"/>
          <w:sz w:val="22"/>
          <w:szCs w:val="22"/>
          <w:color w:val="auto"/>
        </w:rPr>
        <w:t>" has the meaning given to that term in Clause 12.7 (</w:t>
      </w:r>
      <w:r>
        <w:rPr>
          <w:rFonts w:ascii="Arial" w:cs="Arial" w:eastAsia="Arial" w:hAnsi="Arial"/>
          <w:sz w:val="22"/>
          <w:szCs w:val="22"/>
          <w:i w:val="1"/>
          <w:iCs w:val="1"/>
          <w:color w:val="auto"/>
        </w:rPr>
        <w:t>VAT</w:t>
      </w:r>
      <w:r>
        <w:rPr>
          <w:rFonts w:ascii="Arial" w:cs="Arial" w:eastAsia="Arial" w:hAnsi="Arial"/>
          <w:sz w:val="22"/>
          <w:szCs w:val="22"/>
          <w:color w:val="auto"/>
        </w:rPr>
        <w:t>).</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Repeating Representations</w:t>
      </w:r>
      <w:r>
        <w:rPr>
          <w:rFonts w:ascii="Arial" w:cs="Arial" w:eastAsia="Arial" w:hAnsi="Arial"/>
          <w:sz w:val="22"/>
          <w:szCs w:val="22"/>
          <w:color w:val="auto"/>
        </w:rPr>
        <w:t>" means the representations and warranties set out in Clauses 18.1 (Status), 18.2 (Powers and authority), 18.3 (Legal validity), 18.4 (No conflict), 18.5 (Governmental Consents), 18.11 (Environmental matters), 18.12 (Accuracy of disclosure), 18.13 (Compliance with laws), 18.16 (Pension schemes), 18.17 (ERISA), 18.18 (FCPA and sanctions), and 18.21 (Valid choice of law and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any delegate, agent, manager, administrator, nominee, attorney, trustee or custodian.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Residual Specified Impairment Charges</w:t>
      </w:r>
      <w:r>
        <w:rPr>
          <w:rFonts w:ascii="Arial" w:cs="Arial" w:eastAsia="Arial" w:hAnsi="Arial"/>
          <w:sz w:val="22"/>
          <w:szCs w:val="22"/>
          <w:color w:val="auto"/>
        </w:rPr>
        <w:t>" means, for any financial quarter:</w:t>
      </w:r>
    </w:p>
    <w:p>
      <w:pPr>
        <w:spacing w:after="0" w:line="246" w:lineRule="exact"/>
        <w:rPr>
          <w:sz w:val="20"/>
          <w:szCs w:val="20"/>
          <w:color w:val="auto"/>
        </w:rPr>
      </w:pPr>
    </w:p>
    <w:p>
      <w:pPr>
        <w:ind w:left="1260" w:hanging="496"/>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$3,188,000,000, </w:t>
      </w:r>
      <w:r>
        <w:rPr>
          <w:rFonts w:ascii="Arial" w:cs="Arial" w:eastAsia="Arial" w:hAnsi="Arial"/>
          <w:sz w:val="18"/>
          <w:szCs w:val="18"/>
          <w:i w:val="1"/>
          <w:iCs w:val="1"/>
          <w:color w:val="auto"/>
        </w:rPr>
        <w:t>minus</w:t>
      </w:r>
    </w:p>
    <w:p>
      <w:pPr>
        <w:spacing w:after="0" w:line="252" w:lineRule="exact"/>
        <w:rPr>
          <w:rFonts w:ascii="Arial" w:cs="Arial" w:eastAsia="Arial" w:hAnsi="Arial"/>
          <w:sz w:val="18"/>
          <w:szCs w:val="18"/>
          <w:color w:val="auto"/>
        </w:rPr>
      </w:pPr>
    </w:p>
    <w:p>
      <w:pPr>
        <w:jc w:val="both"/>
        <w:ind w:left="1260" w:hanging="496"/>
        <w:spacing w:after="0" w:line="342" w:lineRule="auto"/>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increase in the goodwill of TechnipFMC plc (as compared to the goodwill of TechnipFMC plc at 31 March 2020 as reflected in the financial statements of TechnipFMC plc for such financial quarter delivered to the Agent pursuant to Clause 19.1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44" w:lineRule="exact"/>
        <w:rPr>
          <w:sz w:val="20"/>
          <w:szCs w:val="20"/>
          <w:color w:val="auto"/>
        </w:rPr>
      </w:pPr>
    </w:p>
    <w:p>
      <w:pPr>
        <w:jc w:val="both"/>
        <w:ind w:left="78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calculation of Residual Specified Impairment Charges for any financial quarter is negative, the amount of Residual Specified Impairment Charges for such financial quarter shall be deemed to be zero and (y) if, for any financial quarter, Residual Specified Impairment Charges are equal to (or deemed to be) zero, Residual Specified Impairment Charges shall be deemed to be zero for each financial quarter ending after such financial quarter.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Lender</w:t>
      </w:r>
      <w:r>
        <w:rPr>
          <w:rFonts w:ascii="Arial" w:cs="Arial" w:eastAsia="Arial" w:hAnsi="Arial"/>
          <w:sz w:val="22"/>
          <w:szCs w:val="22"/>
          <w:color w:val="auto"/>
        </w:rPr>
        <w:t>" means each Lender that has delivered a Restricted Lender Notice to the Agent.</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Lender Notice</w:t>
      </w:r>
      <w:r>
        <w:rPr>
          <w:rFonts w:ascii="Arial" w:cs="Arial" w:eastAsia="Arial" w:hAnsi="Arial"/>
          <w:sz w:val="21"/>
          <w:szCs w:val="21"/>
          <w:color w:val="auto"/>
        </w:rPr>
        <w:t>" means a written notice from any Lender to the Agent notifying the Agent that the application of any Sanctions Provisions for the benefit of such Lender would have the effect of violating any Anti-Boycott Regulations by such Lender. Any such notice must specifically identify the Anti-Boycott Regulations to which the notice relates.</w:t>
      </w:r>
    </w:p>
    <w:p>
      <w:pPr>
        <w:spacing w:after="0" w:line="18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Payment</w:t>
      </w:r>
      <w:r>
        <w:rPr>
          <w:rFonts w:ascii="Arial" w:cs="Arial" w:eastAsia="Arial" w:hAnsi="Arial"/>
          <w:sz w:val="22"/>
          <w:szCs w:val="22"/>
          <w:color w:val="auto"/>
        </w:rPr>
        <w:t>" means any dividend or other distribution (whether in cash, securities or other property) with respect to any equity interest or other security of the Borrower or any Subsidiary, or any payment (whether in cash, securities or other property), including any sinking fund or similar deposit, on account of the purchase, redemption, retirement, acquisition, cancellation or termination of any such equity interest or other security or of any option, warrant or other right to acquire any such equity interest or other security.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Subsidiary</w:t>
      </w:r>
      <w:r>
        <w:rPr>
          <w:rFonts w:ascii="Arial" w:cs="Arial" w:eastAsia="Arial" w:hAnsi="Arial"/>
          <w:sz w:val="22"/>
          <w:szCs w:val="22"/>
          <w:color w:val="auto"/>
        </w:rPr>
        <w:t>" means any Subsidiary other than an Unrestricted Subsidiary.</w:t>
      </w:r>
    </w:p>
    <w:p>
      <w:pPr>
        <w:spacing w:after="0" w:line="233"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of any Obligor means any of the following officers of such Obligor: the chief executive officer, the president, the chief financial officer, the treasurer, or any executive vice president, senior vice president or general manager.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Rollover Loan</w:t>
      </w:r>
      <w:r>
        <w:rPr>
          <w:rFonts w:ascii="Arial" w:cs="Arial" w:eastAsia="Arial" w:hAnsi="Arial"/>
          <w:sz w:val="22"/>
          <w:szCs w:val="22"/>
          <w:color w:val="auto"/>
        </w:rPr>
        <w:t>" means one or more Loans:</w:t>
      </w:r>
    </w:p>
    <w:p>
      <w:pPr>
        <w:spacing w:after="0" w:line="247" w:lineRule="exact"/>
        <w:rPr>
          <w:sz w:val="20"/>
          <w:szCs w:val="20"/>
          <w:color w:val="auto"/>
        </w:rPr>
      </w:pPr>
    </w:p>
    <w:p>
      <w:pPr>
        <w:ind w:left="1260" w:hanging="496"/>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made or to be made to the Borrower for the purpose of refinancing that maturing Loan.</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Ratings services, a division of McGraw-Hill Financial, Inc, or any successor to the ratings agency business thereof.</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Countries</w:t>
      </w:r>
      <w:r>
        <w:rPr>
          <w:rFonts w:ascii="Arial" w:cs="Arial" w:eastAsia="Arial" w:hAnsi="Arial"/>
          <w:sz w:val="22"/>
          <w:szCs w:val="22"/>
          <w:color w:val="auto"/>
        </w:rPr>
        <w:t>" has the meaning given to that term in Clause 18.18 (</w:t>
      </w:r>
      <w:r>
        <w:rPr>
          <w:rFonts w:ascii="Arial" w:cs="Arial" w:eastAsia="Arial" w:hAnsi="Arial"/>
          <w:sz w:val="22"/>
          <w:szCs w:val="22"/>
          <w:i w:val="1"/>
          <w:iCs w:val="1"/>
          <w:color w:val="auto"/>
        </w:rPr>
        <w:t>FCPA and sanctions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Persons</w:t>
      </w:r>
      <w:r>
        <w:rPr>
          <w:rFonts w:ascii="Arial" w:cs="Arial" w:eastAsia="Arial" w:hAnsi="Arial"/>
          <w:sz w:val="22"/>
          <w:szCs w:val="22"/>
          <w:color w:val="auto"/>
        </w:rPr>
        <w:t>" has the meaning given to that term in Clause 18.18 (</w:t>
      </w:r>
      <w:r>
        <w:rPr>
          <w:rFonts w:ascii="Arial" w:cs="Arial" w:eastAsia="Arial" w:hAnsi="Arial"/>
          <w:sz w:val="22"/>
          <w:szCs w:val="22"/>
          <w:i w:val="1"/>
          <w:iCs w:val="1"/>
          <w:color w:val="auto"/>
        </w:rPr>
        <w:t>FCPA and sanctions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economic or financial sanctions or trade embargoes imposed, administered or enforced from time to time by</w:t>
      </w:r>
    </w:p>
    <w:p>
      <w:pPr>
        <w:spacing w:after="0" w:line="49" w:lineRule="exact"/>
        <w:rPr>
          <w:sz w:val="20"/>
          <w:szCs w:val="20"/>
          <w:color w:val="auto"/>
        </w:rPr>
      </w:pPr>
    </w:p>
    <w:p>
      <w:pPr>
        <w:jc w:val="both"/>
        <w:ind w:firstLine="8"/>
        <w:spacing w:after="0" w:line="234" w:lineRule="auto"/>
        <w:tabs>
          <w:tab w:leader="none" w:pos="32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US government, including those administered by the Office of Foreign Assets Control of the US Department of the Treasury or the US Department of State or (b) the United Nations Security Council, the European Union, the United Kingdom, the Republic of France, or any other relevant sanctions authority.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 Provisions</w:t>
      </w:r>
      <w:r>
        <w:rPr>
          <w:rFonts w:ascii="Arial" w:cs="Arial" w:eastAsia="Arial" w:hAnsi="Arial"/>
          <w:sz w:val="22"/>
          <w:szCs w:val="22"/>
          <w:color w:val="auto"/>
        </w:rPr>
        <w:t>" means the Sanctions Representations and the Sanctions Undertakings.</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 Representations</w:t>
      </w:r>
      <w:r>
        <w:rPr>
          <w:rFonts w:ascii="Arial" w:cs="Arial" w:eastAsia="Arial" w:hAnsi="Arial"/>
          <w:sz w:val="22"/>
          <w:szCs w:val="22"/>
          <w:color w:val="auto"/>
        </w:rPr>
        <w:t>" means the representations and warranties relating to Sanctions contained in paragraphs (a), (b) (c), (d) and (e) of Clause 18.18 (FCPA and sanctions).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 Undertakings</w:t>
      </w:r>
      <w:r>
        <w:rPr>
          <w:rFonts w:ascii="Arial" w:cs="Arial" w:eastAsia="Arial" w:hAnsi="Arial"/>
          <w:sz w:val="22"/>
          <w:szCs w:val="22"/>
          <w:color w:val="auto"/>
        </w:rPr>
        <w:t>" means the undertakings relating to Sanctions contained in paragraph (a) of Clause 21.16 (Use of proceeds) and in Clause 21.19 (Anti-corruption laws and Sanctions).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Screen Rate</w:t>
      </w:r>
      <w:r>
        <w:rPr>
          <w:rFonts w:ascii="Arial" w:cs="Arial" w:eastAsia="Arial" w:hAnsi="Arial"/>
          <w:sz w:val="21"/>
          <w:szCs w:val="21"/>
          <w:color w:val="auto"/>
        </w:rPr>
        <w:t>" means the rate for EURIBOR as published on the relevant Thomson Reuters screen or on the appropriate page of such other information service which publishes that rate at any time in place of Thomson Reuters. If such page or service or calculation methodology ceases to be available, the Agent may specify another page or service or methodology displaying the relevant rate or facilitating the relevant calculation after consultation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Currency</w:t>
      </w:r>
      <w:r>
        <w:rPr>
          <w:rFonts w:ascii="Arial" w:cs="Arial" w:eastAsia="Arial" w:hAnsi="Arial"/>
          <w:sz w:val="22"/>
          <w:szCs w:val="22"/>
          <w:color w:val="auto"/>
        </w:rPr>
        <w:t>" has the meaning given to that term in Clause 14.1 (</w:t>
      </w:r>
      <w:r>
        <w:rPr>
          <w:rFonts w:ascii="Arial" w:cs="Arial" w:eastAsia="Arial" w:hAnsi="Arial"/>
          <w:sz w:val="22"/>
          <w:szCs w:val="22"/>
          <w:i w:val="1"/>
          <w:iCs w:val="1"/>
          <w:color w:val="auto"/>
        </w:rPr>
        <w:t>Currency indemnity</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Extended Maturity Date</w:t>
      </w:r>
      <w:r>
        <w:rPr>
          <w:rFonts w:ascii="Arial" w:cs="Arial" w:eastAsia="Arial" w:hAnsi="Arial"/>
          <w:sz w:val="22"/>
          <w:szCs w:val="22"/>
          <w:color w:val="auto"/>
        </w:rPr>
        <w:t>" means the date falling 3 Months after the First Extended Maturity Date.</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w:t>
      </w:r>
      <w:r>
        <w:rPr>
          <w:rFonts w:ascii="Arial" w:cs="Arial" w:eastAsia="Arial" w:hAnsi="Arial"/>
          <w:sz w:val="21"/>
          <w:szCs w:val="21"/>
          <w:color w:val="auto"/>
        </w:rPr>
        <w:t>" means a mortgage, charge, pledge, lien or other security interest securing any obligation of any person or any other agreement or arrangement having a similar effect. For the purpose of this Agreement, an Obligor or any Subsidiary shall be deemed to own subject to a Security any asset that it has acquired or holds subject to the interest of a vendor or lessor under any conditional sale agreement, capital lease or other title retention agreement relating to such asset.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Finance Parties</w:t>
      </w:r>
      <w:r>
        <w:rPr>
          <w:rFonts w:ascii="Arial" w:cs="Arial" w:eastAsia="Arial" w:hAnsi="Arial"/>
          <w:sz w:val="22"/>
          <w:szCs w:val="22"/>
          <w:color w:val="auto"/>
        </w:rPr>
        <w:t>" has the meaning given to that term in Clause 27.2 (</w:t>
      </w:r>
      <w:r>
        <w:rPr>
          <w:rFonts w:ascii="Arial" w:cs="Arial" w:eastAsia="Arial" w:hAnsi="Arial"/>
          <w:sz w:val="22"/>
          <w:szCs w:val="22"/>
          <w:i w:val="1"/>
          <w:iCs w:val="1"/>
          <w:color w:val="auto"/>
        </w:rPr>
        <w:t>Redistribution of payments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Payment</w:t>
      </w:r>
      <w:r>
        <w:rPr>
          <w:rFonts w:ascii="Arial" w:cs="Arial" w:eastAsia="Arial" w:hAnsi="Arial"/>
          <w:sz w:val="22"/>
          <w:szCs w:val="22"/>
          <w:color w:val="auto"/>
        </w:rPr>
        <w:t>" has the meaning given to that term in Clause 27.1 (</w:t>
      </w:r>
      <w:r>
        <w:rPr>
          <w:rFonts w:ascii="Arial" w:cs="Arial" w:eastAsia="Arial" w:hAnsi="Arial"/>
          <w:sz w:val="22"/>
          <w:szCs w:val="22"/>
          <w:i w:val="1"/>
          <w:iCs w:val="1"/>
          <w:color w:val="auto"/>
        </w:rPr>
        <w:t>Payments to Finance Parties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Signing Date</w:t>
      </w:r>
      <w:r>
        <w:rPr>
          <w:rFonts w:ascii="Arial" w:cs="Arial" w:eastAsia="Arial" w:hAnsi="Arial"/>
          <w:sz w:val="22"/>
          <w:szCs w:val="22"/>
          <w:color w:val="auto"/>
        </w:rPr>
        <w:t>" means the signing date of this Agreement.</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Impairment Charges</w:t>
      </w:r>
      <w:r>
        <w:rPr>
          <w:rFonts w:ascii="Arial" w:cs="Arial" w:eastAsia="Arial" w:hAnsi="Arial"/>
          <w:sz w:val="22"/>
          <w:szCs w:val="22"/>
          <w:color w:val="auto"/>
        </w:rPr>
        <w:t>" means the goodwill impairment charges recorded by TechnipFMC plc during the financial quarter ended 31 March 2020 in an amount equal to $3,188,000,000, as reflected on the unaudited consolidated interim financial statements of the TechnipFMC plc delivered to the Agent pursuant to Clause 19.1(c) (</w:t>
      </w:r>
      <w:r>
        <w:rPr>
          <w:rFonts w:ascii="Arial" w:cs="Arial" w:eastAsia="Arial" w:hAnsi="Arial"/>
          <w:sz w:val="22"/>
          <w:szCs w:val="22"/>
          <w:i w:val="1"/>
          <w:iCs w:val="1"/>
          <w:color w:val="auto"/>
        </w:rPr>
        <w:t>Financial statements</w:t>
      </w:r>
      <w:r>
        <w:rPr>
          <w:rFonts w:ascii="Arial" w:cs="Arial" w:eastAsia="Arial" w:hAnsi="Arial"/>
          <w:sz w:val="22"/>
          <w:szCs w:val="22"/>
          <w:color w:val="auto"/>
        </w:rPr>
        <w:t>) and described in Note 17 to such financial statements.</w:t>
      </w:r>
    </w:p>
    <w:p>
      <w:pPr>
        <w:sectPr>
          <w:pgSz w:w="11900" w:h="16838" w:orient="portrait"/>
          <w:cols w:equalWidth="0" w:num="1">
            <w:col w:w="11240"/>
          </w:cols>
          <w:pgMar w:left="320" w:top="112"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Time</w:t>
      </w:r>
      <w:r>
        <w:rPr>
          <w:rFonts w:ascii="Arial" w:cs="Arial" w:eastAsia="Arial" w:hAnsi="Arial"/>
          <w:sz w:val="22"/>
          <w:szCs w:val="22"/>
          <w:color w:val="auto"/>
        </w:rPr>
        <w:t>" means a day or time determined in accordance with Schedule 8 (</w:t>
      </w:r>
      <w:r>
        <w:rPr>
          <w:rFonts w:ascii="Arial" w:cs="Arial" w:eastAsia="Arial" w:hAnsi="Arial"/>
          <w:sz w:val="22"/>
          <w:szCs w:val="22"/>
          <w:i w:val="1"/>
          <w:iCs w:val="1"/>
          <w:color w:val="auto"/>
        </w:rPr>
        <w:t>Timetables</w:t>
      </w:r>
      <w:r>
        <w:rPr>
          <w:rFonts w:ascii="Arial" w:cs="Arial" w:eastAsia="Arial" w:hAnsi="Arial"/>
          <w:sz w:val="22"/>
          <w:szCs w:val="22"/>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Subject Ordinance</w:t>
      </w:r>
      <w:r>
        <w:rPr>
          <w:rFonts w:ascii="Arial" w:cs="Arial" w:eastAsia="Arial" w:hAnsi="Arial"/>
          <w:sz w:val="22"/>
          <w:szCs w:val="22"/>
          <w:color w:val="auto"/>
        </w:rPr>
        <w:t>" has the meaning given to that term in Clause 38 (</w:t>
      </w:r>
      <w:r>
        <w:rPr>
          <w:rFonts w:ascii="Arial" w:cs="Arial" w:eastAsia="Arial" w:hAnsi="Arial"/>
          <w:sz w:val="22"/>
          <w:szCs w:val="22"/>
          <w:i w:val="1"/>
          <w:iCs w:val="1"/>
          <w:color w:val="auto"/>
        </w:rPr>
        <w:t>Waiver of</w:t>
      </w:r>
      <w:r>
        <w:rPr>
          <w:rFonts w:ascii="Arial" w:cs="Arial" w:eastAsia="Arial" w:hAnsi="Arial"/>
          <w:sz w:val="22"/>
          <w:szCs w:val="22"/>
          <w:color w:val="auto"/>
        </w:rPr>
        <w:t xml:space="preserve"> Subject Ordinance).</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 subsidiary undertaking within the meaning of section 1162 of the Companies Act 2006 or an entity or person of which another person has direct or indirect control or owns directly or indirectly owns or controls more than fifty per cent of the voting capital or rights or similar right of ownership.</w:t>
      </w: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Unless the context otherwise clearly requires, references in this Agreement to a "Subsidiary" or "Subsidiaries" refer to a Subsidiary or the Subsidiaries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Borrower</w:t>
      </w:r>
      <w:r>
        <w:rPr>
          <w:rFonts w:ascii="Arial" w:cs="Arial" w:eastAsia="Arial" w:hAnsi="Arial"/>
          <w:sz w:val="22"/>
          <w:szCs w:val="22"/>
          <w:color w:val="auto"/>
        </w:rPr>
        <w:t>" means Technip Eurocash SNC.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Sum</w:t>
      </w:r>
      <w:r>
        <w:rPr>
          <w:rFonts w:ascii="Arial" w:cs="Arial" w:eastAsia="Arial" w:hAnsi="Arial"/>
          <w:sz w:val="22"/>
          <w:szCs w:val="22"/>
          <w:color w:val="auto"/>
        </w:rPr>
        <w:t>" has the meaning given to that term in Clause 14.1 (</w:t>
      </w:r>
      <w:r>
        <w:rPr>
          <w:rFonts w:ascii="Arial" w:cs="Arial" w:eastAsia="Arial" w:hAnsi="Arial"/>
          <w:sz w:val="22"/>
          <w:szCs w:val="22"/>
          <w:i w:val="1"/>
          <w:iCs w:val="1"/>
          <w:color w:val="auto"/>
        </w:rPr>
        <w:t>Currency indemnity</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Supplier</w:t>
      </w:r>
      <w:r>
        <w:rPr>
          <w:rFonts w:ascii="Arial" w:cs="Arial" w:eastAsia="Arial" w:hAnsi="Arial"/>
          <w:sz w:val="22"/>
          <w:szCs w:val="22"/>
          <w:color w:val="auto"/>
        </w:rPr>
        <w:t>" has the meaning given to that term in Clause 12.7 (</w:t>
      </w:r>
      <w:r>
        <w:rPr>
          <w:rFonts w:ascii="Arial" w:cs="Arial" w:eastAsia="Arial" w:hAnsi="Arial"/>
          <w:sz w:val="22"/>
          <w:szCs w:val="22"/>
          <w:i w:val="1"/>
          <w:iCs w:val="1"/>
          <w:color w:val="auto"/>
        </w:rPr>
        <w:t>VAT</w:t>
      </w:r>
      <w:r>
        <w:rPr>
          <w:rFonts w:ascii="Arial" w:cs="Arial" w:eastAsia="Arial" w:hAnsi="Arial"/>
          <w:sz w:val="22"/>
          <w:szCs w:val="22"/>
          <w:color w:val="auto"/>
        </w:rPr>
        <w: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Agreement</w:t>
      </w:r>
      <w:r>
        <w:rPr>
          <w:rFonts w:ascii="Arial" w:cs="Arial" w:eastAsia="Arial" w:hAnsi="Arial"/>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the Company or the Restricted Subsidiaries shall be a Swap Agreement.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TARGET2</w:t>
      </w:r>
      <w:r>
        <w:rPr>
          <w:rFonts w:ascii="Arial" w:cs="Arial" w:eastAsia="Arial" w:hAnsi="Arial"/>
          <w:sz w:val="22"/>
          <w:szCs w:val="22"/>
          <w:color w:val="auto"/>
        </w:rPr>
        <w:t>" means the Trans-European Automated Real-time Gross Settlement Express Transfer payment system which utilises a single shared platform and which was launched on 19 November 2007.</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Day</w:t>
      </w:r>
      <w:r>
        <w:rPr>
          <w:rFonts w:ascii="Arial" w:cs="Arial" w:eastAsia="Arial" w:hAnsi="Arial"/>
          <w:sz w:val="22"/>
          <w:szCs w:val="22"/>
          <w:color w:val="auto"/>
        </w:rPr>
        <w:t>" means any day on which TARGET2 is open for the settlement of payments in euro.</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tax, levy, impost, deduction, assessment, fee, duty or other charge or withholding (including backup withholding) of a similar nature (including any penalty, additions to tax or interest payable in connection with any failure to pay or any delay in paying any of the same).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has the meaning given to that term in Clause 12.1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Technip Eurocash Short Term Indebtedness</w:t>
      </w:r>
      <w:r>
        <w:rPr>
          <w:rFonts w:ascii="Arial" w:cs="Arial" w:eastAsia="Arial" w:hAnsi="Arial"/>
          <w:sz w:val="22"/>
          <w:szCs w:val="22"/>
          <w:color w:val="auto"/>
        </w:rPr>
        <w:t>" means unsecured Indebtedness of Technip Eurocash SNC consisting of (i) commercial paper or (ii) Indebtedness under any liquidity backstop facility incurred to refinance maturing commercial paper issued by Technip Eurocash SNC, in each case to the extent due and payable by its terms within one (1) calendar year of the incurrence thereof.</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TEG Letter</w:t>
      </w:r>
      <w:r>
        <w:rPr>
          <w:rFonts w:ascii="Arial" w:cs="Arial" w:eastAsia="Arial" w:hAnsi="Arial"/>
          <w:sz w:val="22"/>
          <w:szCs w:val="22"/>
          <w:color w:val="auto"/>
        </w:rPr>
        <w:t>" means the letter referred to in Clause 8.5 (</w:t>
      </w:r>
      <w:r>
        <w:rPr>
          <w:rFonts w:ascii="Arial" w:cs="Arial" w:eastAsia="Arial" w:hAnsi="Arial"/>
          <w:sz w:val="22"/>
          <w:szCs w:val="22"/>
          <w:i w:val="1"/>
          <w:iCs w:val="1"/>
          <w:color w:val="auto"/>
        </w:rPr>
        <w:t>Effective Global Rate (Taux Effectif Global)</w:t>
      </w:r>
      <w:r>
        <w:rPr>
          <w:rFonts w:ascii="Arial" w:cs="Arial" w:eastAsia="Arial" w:hAnsi="Arial"/>
          <w:sz w:val="22"/>
          <w:szCs w:val="22"/>
          <w:color w:val="auto"/>
        </w:rPr>
        <w:t>).</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Capitalisation</w:t>
      </w:r>
      <w:r>
        <w:rPr>
          <w:rFonts w:ascii="Arial" w:cs="Arial" w:eastAsia="Arial" w:hAnsi="Arial"/>
          <w:sz w:val="22"/>
          <w:szCs w:val="22"/>
          <w:color w:val="auto"/>
        </w:rPr>
        <w:t xml:space="preserve">" means, at any date, the sum of Total Indebtedness (determined at such date)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Consolidated Net Worth (determined as at the end of the most recent fiscal quarter of the Company for which financial statements pursuant to Clause 19.1 (</w:t>
      </w:r>
      <w:r>
        <w:rPr>
          <w:rFonts w:ascii="Arial" w:cs="Arial" w:eastAsia="Arial" w:hAnsi="Arial"/>
          <w:sz w:val="22"/>
          <w:szCs w:val="22"/>
          <w:i w:val="1"/>
          <w:iCs w:val="1"/>
          <w:color w:val="auto"/>
        </w:rPr>
        <w:t>Financial statements</w:t>
      </w:r>
      <w:r>
        <w:rPr>
          <w:rFonts w:ascii="Arial" w:cs="Arial" w:eastAsia="Arial" w:hAnsi="Arial"/>
          <w:sz w:val="22"/>
          <w:szCs w:val="22"/>
          <w:color w:val="auto"/>
        </w:rPr>
        <w:t>) have been delivered).</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Capitalisation Ratio</w:t>
      </w:r>
      <w:r>
        <w:rPr>
          <w:rFonts w:ascii="Arial" w:cs="Arial" w:eastAsia="Arial" w:hAnsi="Arial"/>
          <w:sz w:val="22"/>
          <w:szCs w:val="22"/>
          <w:color w:val="auto"/>
        </w:rPr>
        <w:t>" means, as of any date of calculation, the ratio (expressed as a percentage) of Total Indebtedness outstanding on such date to Total Capitalisation as of such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Commitments</w:t>
      </w:r>
      <w:r>
        <w:rPr>
          <w:rFonts w:ascii="Arial" w:cs="Arial" w:eastAsia="Arial" w:hAnsi="Arial"/>
          <w:sz w:val="22"/>
          <w:szCs w:val="22"/>
          <w:color w:val="auto"/>
        </w:rPr>
        <w:t>" means the aggregate Commitments, being €500,000,000 at the date of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Indebtedness</w:t>
      </w:r>
      <w:r>
        <w:rPr>
          <w:rFonts w:ascii="Arial" w:cs="Arial" w:eastAsia="Arial" w:hAnsi="Arial"/>
          <w:sz w:val="21"/>
          <w:szCs w:val="21"/>
          <w:color w:val="auto"/>
        </w:rPr>
        <w:t>" means, as of any date of calculation, the aggregate amount of Indebtedness of the Company and its Consolidated Restricted Subsidiaries as of such date, determined on a consolidated basis in accordance with GAAP.</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Certificate</w:t>
      </w:r>
      <w:r>
        <w:rPr>
          <w:rFonts w:ascii="Arial" w:cs="Arial" w:eastAsia="Arial" w:hAnsi="Arial"/>
          <w:sz w:val="22"/>
          <w:szCs w:val="22"/>
          <w:color w:val="auto"/>
        </w:rPr>
        <w:t>" means a certificate substantially in the form set out in Schedule 4 (</w:t>
      </w:r>
      <w:r>
        <w:rPr>
          <w:rFonts w:ascii="Arial" w:cs="Arial" w:eastAsia="Arial" w:hAnsi="Arial"/>
          <w:sz w:val="22"/>
          <w:szCs w:val="22"/>
          <w:i w:val="1"/>
          <w:iCs w:val="1"/>
          <w:color w:val="auto"/>
        </w:rPr>
        <w:t>Form of Transfer Certificate</w:t>
      </w:r>
      <w:r>
        <w:rPr>
          <w:rFonts w:ascii="Arial" w:cs="Arial" w:eastAsia="Arial" w:hAnsi="Arial"/>
          <w:sz w:val="22"/>
          <w:szCs w:val="22"/>
          <w:color w:val="auto"/>
        </w:rPr>
        <w:t>) or any other form agreed between the Agent and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Date</w:t>
      </w:r>
      <w:r>
        <w:rPr>
          <w:rFonts w:ascii="Arial" w:cs="Arial" w:eastAsia="Arial" w:hAnsi="Arial"/>
          <w:sz w:val="22"/>
          <w:szCs w:val="22"/>
          <w:color w:val="auto"/>
        </w:rPr>
        <w:t>" means, in relation to an assignment or a transfer, the later of:</w:t>
      </w:r>
    </w:p>
    <w:p>
      <w:pPr>
        <w:spacing w:after="0" w:line="246" w:lineRule="exact"/>
        <w:rPr>
          <w:sz w:val="20"/>
          <w:szCs w:val="20"/>
          <w:color w:val="auto"/>
        </w:rPr>
      </w:pPr>
    </w:p>
    <w:p>
      <w:pPr>
        <w:ind w:left="1260" w:hanging="496"/>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Transfer Certificate;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Transfer Certificate.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w:t>
      </w:r>
      <w:r>
        <w:rPr>
          <w:rFonts w:ascii="Arial" w:cs="Arial" w:eastAsia="Arial" w:hAnsi="Arial"/>
          <w:sz w:val="22"/>
          <w:szCs w:val="22"/>
          <w:color w:val="auto"/>
        </w:rPr>
        <w:t>" means the United Kingdom of Great Britain and Northern Ireland.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Borrower</w:t>
      </w:r>
      <w:r>
        <w:rPr>
          <w:rFonts w:ascii="Arial" w:cs="Arial" w:eastAsia="Arial" w:hAnsi="Arial"/>
          <w:sz w:val="22"/>
          <w:szCs w:val="22"/>
          <w:color w:val="auto"/>
        </w:rPr>
        <w:t>" means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Unpaid Sum</w:t>
      </w:r>
      <w:r>
        <w:rPr>
          <w:rFonts w:ascii="Arial" w:cs="Arial" w:eastAsia="Arial" w:hAnsi="Arial"/>
          <w:sz w:val="22"/>
          <w:szCs w:val="22"/>
          <w:color w:val="auto"/>
        </w:rPr>
        <w:t>" means any sum due and payable but unpaid by an Obligor under the Finance Documents.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Unrestricted Subsidiary</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line="308"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Subsidiary which the Company has designated in writing to the Agent to be an Unrestricted Subsidiary pursuant to Clause 21.20 (Designation of Unrestricted Subsidiaries; Redesignation of Unrestricted Subsidiaries as Restricted Subsidiaries); and</w:t>
      </w:r>
    </w:p>
    <w:p>
      <w:pPr>
        <w:spacing w:after="0" w:line="173" w:lineRule="exact"/>
        <w:rPr>
          <w:rFonts w:ascii="Arial" w:cs="Arial" w:eastAsia="Arial" w:hAnsi="Arial"/>
          <w:sz w:val="17"/>
          <w:szCs w:val="17"/>
          <w:color w:val="auto"/>
        </w:rPr>
      </w:pPr>
    </w:p>
    <w:p>
      <w:pPr>
        <w:ind w:left="1260" w:hanging="496"/>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direct or indirect Subsidiary of any Subsidiary described in clause (a),</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so long as, in the case of any such Subsidiary described in clause (a) or clause (b) above, such Subsidiary does not hold any capital stock in, or any Indebtedness of, the Company or any Restricted Subsidiary.</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at any time any Unrestricted Subsidiary fails to meet the preceding requirements to be an Unrestricted Subsidiary, it shall thereafter be a Restricted Subsidiary for purposes of this Agreement and any Indebtedness, Security and Investments of such Subsidiary shall be deemed to be incurred by a Restricted Subsidiary as of such date and, if such Indebtedness, Security or Investment are not permitted to be incurred as of such date hereunder (including under Clause 21.7 (Investments in Unrestricted Subsidiaries)), the Company shall be in default of the applicable covenant.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Tax Compliance Certificate</w:t>
      </w:r>
      <w:r>
        <w:rPr>
          <w:rFonts w:ascii="Arial" w:cs="Arial" w:eastAsia="Arial" w:hAnsi="Arial"/>
          <w:sz w:val="22"/>
          <w:szCs w:val="22"/>
          <w:color w:val="auto"/>
        </w:rPr>
        <w:t>" has the meaning given to that term in Clause 12.8 (</w:t>
      </w:r>
      <w:r>
        <w:rPr>
          <w:rFonts w:ascii="Arial" w:cs="Arial" w:eastAsia="Arial" w:hAnsi="Arial"/>
          <w:sz w:val="22"/>
          <w:szCs w:val="22"/>
          <w:i w:val="1"/>
          <w:iCs w:val="1"/>
          <w:color w:val="auto"/>
        </w:rPr>
        <w:t>FATCA Information</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Entity</w:t>
      </w:r>
      <w:r>
        <w:rPr>
          <w:rFonts w:ascii="Arial" w:cs="Arial" w:eastAsia="Arial" w:hAnsi="Arial"/>
          <w:sz w:val="22"/>
          <w:szCs w:val="22"/>
          <w:color w:val="auto"/>
        </w:rPr>
        <w:t>" means any entity organized under the laws of any jurisdiction within the United States.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w:t>
      </w:r>
      <w:r>
        <w:rPr>
          <w:rFonts w:ascii="Arial" w:cs="Arial" w:eastAsia="Arial" w:hAnsi="Arial"/>
          <w:sz w:val="22"/>
          <w:szCs w:val="22"/>
          <w:color w:val="auto"/>
        </w:rPr>
        <w:t>" means a utilisation of the Facility.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 Date</w:t>
      </w:r>
      <w:r>
        <w:rPr>
          <w:rFonts w:ascii="Arial" w:cs="Arial" w:eastAsia="Arial" w:hAnsi="Arial"/>
          <w:sz w:val="22"/>
          <w:szCs w:val="22"/>
          <w:color w:val="auto"/>
        </w:rPr>
        <w:t>" means the date of a Utilisation, being the date on which a Loan is to be made.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 Request</w:t>
      </w:r>
      <w:r>
        <w:rPr>
          <w:rFonts w:ascii="Arial" w:cs="Arial" w:eastAsia="Arial" w:hAnsi="Arial"/>
          <w:sz w:val="22"/>
          <w:szCs w:val="22"/>
          <w:color w:val="auto"/>
        </w:rPr>
        <w:t>" means a notice substantially in the relevant form set out in Schedule 3 (</w:t>
      </w:r>
      <w:r>
        <w:rPr>
          <w:rFonts w:ascii="Arial" w:cs="Arial" w:eastAsia="Arial" w:hAnsi="Arial"/>
          <w:sz w:val="22"/>
          <w:szCs w:val="22"/>
          <w:i w:val="1"/>
          <w:iCs w:val="1"/>
          <w:color w:val="auto"/>
        </w:rPr>
        <w:t>Utilisation Request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w:t>
      </w:r>
    </w:p>
    <w:p>
      <w:pPr>
        <w:spacing w:after="0" w:line="246" w:lineRule="exact"/>
        <w:rPr>
          <w:sz w:val="20"/>
          <w:szCs w:val="20"/>
          <w:color w:val="auto"/>
        </w:rPr>
      </w:pPr>
    </w:p>
    <w:p>
      <w:pPr>
        <w:ind w:left="1260" w:hanging="496"/>
        <w:spacing w:after="0" w:line="277" w:lineRule="auto"/>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ind w:left="1260" w:right="20" w:hanging="496"/>
        <w:spacing w:after="0" w:line="277" w:lineRule="auto"/>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 Group</w:t>
      </w:r>
      <w:r>
        <w:rPr>
          <w:rFonts w:ascii="Arial" w:cs="Arial" w:eastAsia="Arial" w:hAnsi="Arial"/>
          <w:sz w:val="22"/>
          <w:szCs w:val="22"/>
          <w:color w:val="auto"/>
        </w:rPr>
        <w:t>" means a group for VAT purposes under any applicable law implementing Article 11 of Directive 2006/112/EC, or other similar group in another jurisdiction.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Website Lenders</w:t>
      </w:r>
      <w:r>
        <w:rPr>
          <w:rFonts w:ascii="Arial" w:cs="Arial" w:eastAsia="Arial" w:hAnsi="Arial"/>
          <w:sz w:val="22"/>
          <w:szCs w:val="22"/>
          <w:color w:val="auto"/>
        </w:rPr>
        <w:t>" has the meaning given to that term in Clause 19.5 (</w:t>
      </w:r>
      <w:r>
        <w:rPr>
          <w:rFonts w:ascii="Arial" w:cs="Arial" w:eastAsia="Arial" w:hAnsi="Arial"/>
          <w:sz w:val="22"/>
          <w:szCs w:val="22"/>
          <w:i w:val="1"/>
          <w:iCs w:val="1"/>
          <w:color w:val="auto"/>
        </w:rPr>
        <w:t>Use of websites</w:t>
      </w:r>
      <w:r>
        <w:rPr>
          <w:rFonts w:ascii="Arial" w:cs="Arial" w:eastAsia="Arial" w:hAnsi="Arial"/>
          <w:sz w:val="22"/>
          <w:szCs w:val="22"/>
          <w:color w:val="auto"/>
        </w:rPr>
        <w:t>).</w:t>
      </w:r>
    </w:p>
    <w:p>
      <w:pPr>
        <w:spacing w:after="0" w:line="233" w:lineRule="exact"/>
        <w:rPr>
          <w:sz w:val="20"/>
          <w:szCs w:val="20"/>
          <w:color w:val="auto"/>
        </w:rPr>
      </w:pPr>
    </w:p>
    <w:p>
      <w:pPr>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Wholly-Owned Subsidiary</w:t>
      </w:r>
      <w:r>
        <w:rPr>
          <w:rFonts w:ascii="Arial" w:cs="Arial" w:eastAsia="Arial" w:hAnsi="Arial"/>
          <w:sz w:val="19"/>
          <w:szCs w:val="19"/>
          <w:color w:val="auto"/>
        </w:rPr>
        <w:t>" of a Person means any Subsidiary of which all issued and outstanding capital stock (excluding directors' qualifying shares or similar jurisdictional requirements) is directly or indirectly owned by such Person.</w:t>
      </w:r>
    </w:p>
    <w:p>
      <w:pPr>
        <w:spacing w:after="0" w:line="3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Construction</w:t>
      </w:r>
    </w:p>
    <w:p>
      <w:pPr>
        <w:spacing w:after="0" w:line="252" w:lineRule="exact"/>
        <w:rPr>
          <w:sz w:val="20"/>
          <w:szCs w:val="20"/>
          <w:color w:val="auto"/>
        </w:rPr>
      </w:pPr>
    </w:p>
    <w:p>
      <w:pPr>
        <w:ind w:left="1260" w:hanging="496"/>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48" w:lineRule="exact"/>
        <w:rPr>
          <w:rFonts w:ascii="Arial" w:cs="Arial" w:eastAsia="Arial" w:hAnsi="Arial"/>
          <w:sz w:val="18"/>
          <w:szCs w:val="18"/>
          <w:color w:val="auto"/>
        </w:rPr>
      </w:pPr>
    </w:p>
    <w:p>
      <w:pPr>
        <w:ind w:left="1780" w:right="20" w:hanging="503"/>
        <w:spacing w:after="0" w:line="347" w:lineRule="auto"/>
        <w:tabs>
          <w:tab w:leader="none" w:pos="17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Agent</w:t>
      </w:r>
      <w:r>
        <w:rPr>
          <w:rFonts w:ascii="Arial" w:cs="Arial" w:eastAsia="Arial" w:hAnsi="Arial"/>
          <w:sz w:val="16"/>
          <w:szCs w:val="16"/>
          <w:color w:val="auto"/>
        </w:rPr>
        <w:t>", any "</w:t>
      </w:r>
      <w:r>
        <w:rPr>
          <w:rFonts w:ascii="Arial" w:cs="Arial" w:eastAsia="Arial" w:hAnsi="Arial"/>
          <w:sz w:val="16"/>
          <w:szCs w:val="16"/>
          <w:b w:val="1"/>
          <w:bCs w:val="1"/>
          <w:color w:val="auto"/>
        </w:rPr>
        <w:t>Finance Party</w:t>
      </w:r>
      <w:r>
        <w:rPr>
          <w:rFonts w:ascii="Arial" w:cs="Arial" w:eastAsia="Arial" w:hAnsi="Arial"/>
          <w:sz w:val="16"/>
          <w:szCs w:val="16"/>
          <w:color w:val="auto"/>
        </w:rPr>
        <w:t>", any "</w:t>
      </w:r>
      <w:r>
        <w:rPr>
          <w:rFonts w:ascii="Arial" w:cs="Arial" w:eastAsia="Arial" w:hAnsi="Arial"/>
          <w:sz w:val="16"/>
          <w:szCs w:val="16"/>
          <w:b w:val="1"/>
          <w:bCs w:val="1"/>
          <w:color w:val="auto"/>
        </w:rPr>
        <w:t>Lender</w:t>
      </w:r>
      <w:r>
        <w:rPr>
          <w:rFonts w:ascii="Arial" w:cs="Arial" w:eastAsia="Arial" w:hAnsi="Arial"/>
          <w:sz w:val="16"/>
          <w:szCs w:val="16"/>
          <w:color w:val="auto"/>
        </w:rPr>
        <w:t>", any "</w:t>
      </w:r>
      <w:r>
        <w:rPr>
          <w:rFonts w:ascii="Arial" w:cs="Arial" w:eastAsia="Arial" w:hAnsi="Arial"/>
          <w:sz w:val="16"/>
          <w:szCs w:val="16"/>
          <w:b w:val="1"/>
          <w:bCs w:val="1"/>
          <w:color w:val="auto"/>
        </w:rPr>
        <w:t>Obligor</w:t>
      </w:r>
      <w:r>
        <w:rPr>
          <w:rFonts w:ascii="Arial" w:cs="Arial" w:eastAsia="Arial" w:hAnsi="Arial"/>
          <w:sz w:val="16"/>
          <w:szCs w:val="16"/>
          <w:color w:val="auto"/>
        </w:rPr>
        <w:t>" or any "</w:t>
      </w:r>
      <w:r>
        <w:rPr>
          <w:rFonts w:ascii="Arial" w:cs="Arial" w:eastAsia="Arial" w:hAnsi="Arial"/>
          <w:sz w:val="16"/>
          <w:szCs w:val="16"/>
          <w:b w:val="1"/>
          <w:bCs w:val="1"/>
          <w:color w:val="auto"/>
        </w:rPr>
        <w:t>Party</w:t>
      </w:r>
      <w:r>
        <w:rPr>
          <w:rFonts w:ascii="Arial" w:cs="Arial" w:eastAsia="Arial" w:hAnsi="Arial"/>
          <w:sz w:val="16"/>
          <w:szCs w:val="16"/>
          <w:color w:val="auto"/>
        </w:rPr>
        <w:t>" shall be construed so as to include its successors in title, permitted assigns and permitted transferees to, or of, its rights and/or obligations under the Finance Documents;</w:t>
      </w:r>
    </w:p>
    <w:p>
      <w:pPr>
        <w:spacing w:after="0" w:line="142" w:lineRule="exact"/>
        <w:rPr>
          <w:rFonts w:ascii="Arial" w:cs="Arial" w:eastAsia="Arial" w:hAnsi="Arial"/>
          <w:sz w:val="16"/>
          <w:szCs w:val="16"/>
          <w:color w:val="auto"/>
        </w:rPr>
      </w:pPr>
    </w:p>
    <w:p>
      <w:pPr>
        <w:ind w:left="1780" w:hanging="503"/>
        <w:spacing w:after="0"/>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252" w:lineRule="exact"/>
        <w:rPr>
          <w:rFonts w:ascii="Arial" w:cs="Arial" w:eastAsia="Arial" w:hAnsi="Arial"/>
          <w:sz w:val="18"/>
          <w:szCs w:val="18"/>
          <w:color w:val="auto"/>
        </w:rPr>
      </w:pPr>
    </w:p>
    <w:p>
      <w:pPr>
        <w:ind w:left="1780" w:hanging="503"/>
        <w:spacing w:after="0" w:line="282" w:lineRule="auto"/>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188" w:lineRule="exact"/>
        <w:rPr>
          <w:rFonts w:ascii="Arial" w:cs="Arial" w:eastAsia="Arial" w:hAnsi="Arial"/>
          <w:sz w:val="18"/>
          <w:szCs w:val="18"/>
          <w:color w:val="auto"/>
        </w:rPr>
      </w:pPr>
    </w:p>
    <w:p>
      <w:pPr>
        <w:ind w:left="1780" w:hanging="503"/>
        <w:spacing w:after="0" w:line="282" w:lineRule="auto"/>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188" w:lineRule="exact"/>
        <w:rPr>
          <w:rFonts w:ascii="Arial" w:cs="Arial" w:eastAsia="Arial" w:hAnsi="Arial"/>
          <w:sz w:val="18"/>
          <w:szCs w:val="18"/>
          <w:color w:val="auto"/>
        </w:rPr>
      </w:pPr>
    </w:p>
    <w:p>
      <w:pPr>
        <w:ind w:left="1780" w:hanging="503"/>
        <w:spacing w:after="0" w:line="312" w:lineRule="auto"/>
        <w:tabs>
          <w:tab w:leader="none" w:pos="17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166" w:lineRule="exact"/>
        <w:rPr>
          <w:rFonts w:ascii="Arial" w:cs="Arial" w:eastAsia="Arial" w:hAnsi="Arial"/>
          <w:sz w:val="17"/>
          <w:szCs w:val="17"/>
          <w:color w:val="auto"/>
        </w:rPr>
      </w:pPr>
    </w:p>
    <w:p>
      <w:pPr>
        <w:jc w:val="both"/>
        <w:ind w:left="1780" w:hanging="503"/>
        <w:spacing w:after="0" w:line="266" w:lineRule="auto"/>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as to any person, any regulation, rule, official directive, request or guideline of any Governmental Authority, in each case applicable to or binding upon such person or any of its property or to which such person or any of its property is subject;</w:t>
      </w:r>
    </w:p>
    <w:p>
      <w:pPr>
        <w:spacing w:after="0" w:line="206" w:lineRule="exact"/>
        <w:rPr>
          <w:rFonts w:ascii="Arial" w:cs="Arial" w:eastAsia="Arial" w:hAnsi="Arial"/>
          <w:sz w:val="18"/>
          <w:szCs w:val="18"/>
          <w:color w:val="auto"/>
        </w:rPr>
      </w:pPr>
    </w:p>
    <w:p>
      <w:pPr>
        <w:ind w:left="1780" w:hanging="503"/>
        <w:spacing w:after="0"/>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time of day is a reference to Paris time.</w:t>
      </w:r>
    </w:p>
    <w:p>
      <w:pPr>
        <w:spacing w:after="0" w:line="248" w:lineRule="exact"/>
        <w:rPr>
          <w:rFonts w:ascii="Arial" w:cs="Arial" w:eastAsia="Arial" w:hAnsi="Arial"/>
          <w:sz w:val="18"/>
          <w:szCs w:val="18"/>
          <w:color w:val="auto"/>
        </w:rPr>
      </w:pPr>
    </w:p>
    <w:p>
      <w:pPr>
        <w:ind w:left="1260" w:hanging="496"/>
        <w:spacing w:after="0" w:line="282" w:lineRule="auto"/>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192" w:lineRule="exact"/>
        <w:rPr>
          <w:rFonts w:ascii="Arial" w:cs="Arial" w:eastAsia="Arial" w:hAnsi="Arial"/>
          <w:sz w:val="18"/>
          <w:szCs w:val="18"/>
          <w:color w:val="auto"/>
        </w:rPr>
      </w:pPr>
    </w:p>
    <w:p>
      <w:pPr>
        <w:ind w:left="1260" w:hanging="496"/>
        <w:spacing w:after="0"/>
        <w:tabs>
          <w:tab w:leader="none" w:pos="1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2"/>
          <w:numId w:val="78"/>
        </w:numPr>
        <w:rPr>
          <w:rFonts w:ascii="Arial" w:cs="Arial" w:eastAsia="Arial" w:hAnsi="Arial"/>
          <w:sz w:val="14"/>
          <w:szCs w:val="14"/>
          <w:color w:val="auto"/>
        </w:rPr>
      </w:pPr>
      <w:r>
        <w:rPr>
          <w:rFonts w:ascii="Arial" w:cs="Arial" w:eastAsia="Arial" w:hAnsi="Arial"/>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1260" w:right="20" w:hanging="496"/>
        <w:spacing w:after="0" w:line="277" w:lineRule="auto"/>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93" w:lineRule="exact"/>
        <w:rPr>
          <w:rFonts w:ascii="Arial" w:cs="Arial" w:eastAsia="Arial" w:hAnsi="Arial"/>
          <w:sz w:val="18"/>
          <w:szCs w:val="18"/>
          <w:color w:val="auto"/>
        </w:rPr>
      </w:pPr>
    </w:p>
    <w:p>
      <w:pPr>
        <w:ind w:left="1260" w:hanging="496"/>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256"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duties, obligations or liabilities of the Agent under this Agreement may be performed or otherwise discharged by the Agent or one of its Affiliates as the Agent in its sole discretion may determine and notify to the other Parties from time to time.</w:t>
      </w:r>
    </w:p>
    <w:p>
      <w:pPr>
        <w:spacing w:after="0" w:line="200" w:lineRule="exact"/>
        <w:rPr>
          <w:sz w:val="20"/>
          <w:szCs w:val="20"/>
          <w:color w:val="auto"/>
        </w:rPr>
      </w:pP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Currency symbols and definitions</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color w:val="auto"/>
        </w:rPr>
        <w:t>EUR</w:t>
      </w:r>
      <w:r>
        <w:rPr>
          <w:rFonts w:ascii="Arial" w:cs="Arial" w:eastAsia="Arial" w:hAnsi="Arial"/>
          <w:sz w:val="22"/>
          <w:szCs w:val="22"/>
          <w:color w:val="auto"/>
        </w:rPr>
        <w:t>" and "</w:t>
      </w:r>
      <w:r>
        <w:rPr>
          <w:rFonts w:ascii="Arial" w:cs="Arial" w:eastAsia="Arial" w:hAnsi="Arial"/>
          <w:sz w:val="22"/>
          <w:szCs w:val="22"/>
          <w:b w:val="1"/>
          <w:bCs w:val="1"/>
          <w:color w:val="auto"/>
        </w:rPr>
        <w:t>euro</w:t>
      </w:r>
      <w:r>
        <w:rPr>
          <w:rFonts w:ascii="Arial" w:cs="Arial" w:eastAsia="Arial" w:hAnsi="Arial"/>
          <w:sz w:val="22"/>
          <w:szCs w:val="22"/>
          <w:color w:val="auto"/>
        </w:rPr>
        <w:t>" denote the single currency of the Participating Member States and "</w:t>
      </w:r>
      <w:r>
        <w:rPr>
          <w:rFonts w:ascii="Arial" w:cs="Arial" w:eastAsia="Arial" w:hAnsi="Arial"/>
          <w:sz w:val="22"/>
          <w:szCs w:val="22"/>
          <w:b w:val="1"/>
          <w:bCs w:val="1"/>
          <w:color w:val="auto"/>
        </w:rPr>
        <w:t>$</w:t>
      </w:r>
      <w:r>
        <w:rPr>
          <w:rFonts w:ascii="Arial" w:cs="Arial" w:eastAsia="Arial" w:hAnsi="Arial"/>
          <w:sz w:val="22"/>
          <w:szCs w:val="22"/>
          <w:color w:val="auto"/>
        </w:rPr>
        <w:t>", "</w:t>
      </w:r>
      <w:r>
        <w:rPr>
          <w:rFonts w:ascii="Arial" w:cs="Arial" w:eastAsia="Arial" w:hAnsi="Arial"/>
          <w:sz w:val="22"/>
          <w:szCs w:val="22"/>
          <w:b w:val="1"/>
          <w:bCs w:val="1"/>
          <w:color w:val="auto"/>
        </w:rPr>
        <w:t>USD</w:t>
      </w:r>
      <w:r>
        <w:rPr>
          <w:rFonts w:ascii="Arial" w:cs="Arial" w:eastAsia="Arial" w:hAnsi="Arial"/>
          <w:sz w:val="22"/>
          <w:szCs w:val="22"/>
          <w:color w:val="auto"/>
        </w:rPr>
        <w:t>" and "</w:t>
      </w:r>
      <w:r>
        <w:rPr>
          <w:rFonts w:ascii="Arial" w:cs="Arial" w:eastAsia="Arial" w:hAnsi="Arial"/>
          <w:sz w:val="22"/>
          <w:szCs w:val="22"/>
          <w:b w:val="1"/>
          <w:bCs w:val="1"/>
          <w:color w:val="auto"/>
        </w:rPr>
        <w:t>dollars</w:t>
      </w:r>
      <w:r>
        <w:rPr>
          <w:rFonts w:ascii="Arial" w:cs="Arial" w:eastAsia="Arial" w:hAnsi="Arial"/>
          <w:sz w:val="22"/>
          <w:szCs w:val="22"/>
          <w:color w:val="auto"/>
        </w:rPr>
        <w:t>" denote the lawful currency of the United States of America.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SECTION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FACILITY</w:t>
      </w:r>
    </w:p>
    <w:p>
      <w:pPr>
        <w:spacing w:after="0" w:line="222" w:lineRule="exact"/>
        <w:rPr>
          <w:sz w:val="20"/>
          <w:szCs w:val="20"/>
          <w:color w:val="auto"/>
        </w:rPr>
      </w:pPr>
    </w:p>
    <w:p>
      <w:pPr>
        <w:ind w:left="760" w:hanging="75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Facility</w:t>
      </w:r>
    </w:p>
    <w:p>
      <w:pPr>
        <w:spacing w:after="0" w:line="200" w:lineRule="exact"/>
        <w:rPr>
          <w:sz w:val="20"/>
          <w:szCs w:val="20"/>
          <w:color w:val="auto"/>
        </w:rPr>
      </w:pPr>
    </w:p>
    <w:p>
      <w:pPr>
        <w:spacing w:after="0" w:line="2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Facility</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Subject to the terms of this Agreement, the Lenders make available to the Borrowers a revolving credit facility in euro in an aggregate amount equal to the Total Commitments.</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Finance Parties' rights and obligations</w:t>
      </w:r>
    </w:p>
    <w:p>
      <w:pPr>
        <w:spacing w:after="0" w:line="252" w:lineRule="exact"/>
        <w:rPr>
          <w:sz w:val="20"/>
          <w:szCs w:val="20"/>
          <w:color w:val="auto"/>
        </w:rPr>
      </w:pPr>
    </w:p>
    <w:p>
      <w:pPr>
        <w:jc w:val="both"/>
        <w:ind w:left="1260" w:hanging="496"/>
        <w:spacing w:after="0" w:line="286" w:lineRule="auto"/>
        <w:tabs>
          <w:tab w:leader="none" w:pos="12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w:t>
      </w:r>
      <w:r>
        <w:rPr>
          <w:rFonts w:ascii="Arial" w:cs="Arial" w:eastAsia="Arial" w:hAnsi="Arial"/>
          <w:sz w:val="17"/>
          <w:szCs w:val="17"/>
          <w:i w:val="1"/>
          <w:iCs w:val="1"/>
          <w:color w:val="auto"/>
        </w:rPr>
        <w:t>conjointes et non solidaires</w:t>
      </w:r>
      <w:r>
        <w:rPr>
          <w:rFonts w:ascii="Arial" w:cs="Arial" w:eastAsia="Arial" w:hAnsi="Arial"/>
          <w:sz w:val="17"/>
          <w:szCs w:val="17"/>
          <w:color w:val="auto"/>
        </w:rPr>
        <w:t>").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92" w:lineRule="exact"/>
        <w:rPr>
          <w:rFonts w:ascii="Arial" w:cs="Arial" w:eastAsia="Arial" w:hAnsi="Arial"/>
          <w:sz w:val="17"/>
          <w:szCs w:val="17"/>
          <w:color w:val="auto"/>
        </w:rPr>
      </w:pPr>
    </w:p>
    <w:p>
      <w:pPr>
        <w:jc w:val="both"/>
        <w:ind w:left="1260" w:hanging="496"/>
        <w:spacing w:after="0" w:line="273" w:lineRule="auto"/>
        <w:tabs>
          <w:tab w:leader="none" w:pos="12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204" w:lineRule="exact"/>
        <w:rPr>
          <w:rFonts w:ascii="Arial" w:cs="Arial" w:eastAsia="Arial" w:hAnsi="Arial"/>
          <w:sz w:val="17"/>
          <w:szCs w:val="17"/>
          <w:color w:val="auto"/>
        </w:rPr>
      </w:pPr>
    </w:p>
    <w:p>
      <w:pPr>
        <w:ind w:left="1260" w:hanging="496"/>
        <w:spacing w:after="0" w:line="277" w:lineRule="auto"/>
        <w:tabs>
          <w:tab w:leader="none" w:pos="12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w:t>
      </w:r>
    </w:p>
    <w:p>
      <w:pPr>
        <w:spacing w:after="0" w:line="197" w:lineRule="exact"/>
        <w:rPr>
          <w:rFonts w:ascii="Arial" w:cs="Arial" w:eastAsia="Arial" w:hAnsi="Arial"/>
          <w:sz w:val="18"/>
          <w:szCs w:val="18"/>
          <w:color w:val="auto"/>
        </w:rPr>
      </w:pPr>
    </w:p>
    <w:p>
      <w:pPr>
        <w:jc w:val="both"/>
        <w:ind w:left="1260" w:hanging="496"/>
        <w:spacing w:after="0" w:line="254" w:lineRule="auto"/>
        <w:tabs>
          <w:tab w:leader="none" w:pos="12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Subsidiary Borrower hereby irrevocably appoints and authorizes, from and after the Signing Date, the Company to act on its behalf as its agent for all purposes of this Agreement and the other Finance Documents, including (i) the giving and receipt of notices (including any Utilisation Request) and (ii) the execution and delivery of all documents, instruments and certificates contemplated herein. The Subsidiary Borrower hereby acknowledges and confirms that any amendment or other modification to this Agreement or any other Finance Document may be effected as set forth in Clause 33 (</w:t>
      </w:r>
      <w:r>
        <w:rPr>
          <w:rFonts w:ascii="Arial" w:cs="Arial" w:eastAsia="Arial" w:hAnsi="Arial"/>
          <w:sz w:val="18"/>
          <w:szCs w:val="18"/>
          <w:i w:val="1"/>
          <w:iCs w:val="1"/>
          <w:color w:val="auto"/>
        </w:rPr>
        <w:t>Amendments and Waivers</w:t>
      </w:r>
      <w:r>
        <w:rPr>
          <w:rFonts w:ascii="Arial" w:cs="Arial" w:eastAsia="Arial" w:hAnsi="Arial"/>
          <w:sz w:val="18"/>
          <w:szCs w:val="18"/>
          <w:color w:val="auto"/>
        </w:rPr>
        <w:t>), that no consent of the Subsidiary Borrower shall be required to effect any such amendment or other modification and that the Subsidiary Borrower shall be bound by this Agreement or any other Finance Document (if it is theretofore a party thereto) as so amended or modified as if the Subsidiary Borrower had expressly made, given or concurred with it.</w:t>
      </w:r>
    </w:p>
    <w:p>
      <w:pPr>
        <w:spacing w:after="0" w:line="218" w:lineRule="exact"/>
        <w:rPr>
          <w:rFonts w:ascii="Arial" w:cs="Arial" w:eastAsia="Arial" w:hAnsi="Arial"/>
          <w:sz w:val="18"/>
          <w:szCs w:val="18"/>
          <w:color w:val="auto"/>
        </w:rPr>
      </w:pPr>
    </w:p>
    <w:p>
      <w:pPr>
        <w:ind w:left="760" w:hanging="75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Purpose</w:t>
      </w:r>
    </w:p>
    <w:p>
      <w:pPr>
        <w:spacing w:after="0" w:line="200" w:lineRule="exact"/>
        <w:rPr>
          <w:sz w:val="20"/>
          <w:szCs w:val="20"/>
          <w:color w:val="auto"/>
        </w:rPr>
      </w:pPr>
    </w:p>
    <w:p>
      <w:pPr>
        <w:spacing w:after="0" w:line="2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Purpose</w:t>
      </w:r>
    </w:p>
    <w:p>
      <w:pPr>
        <w:spacing w:after="0" w:line="252" w:lineRule="exact"/>
        <w:rPr>
          <w:sz w:val="20"/>
          <w:szCs w:val="20"/>
          <w:color w:val="auto"/>
        </w:rPr>
      </w:pPr>
    </w:p>
    <w:p>
      <w:pPr>
        <w:jc w:val="both"/>
        <w:ind w:left="1260" w:hanging="496"/>
        <w:spacing w:after="0" w:line="259" w:lineRule="auto"/>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paragraph (b) below, each Borrower shall only be entitled to apply amounts borrowed by it under the Facility to: (i) pay fees, commissions and expenses incurred in connection with the Facility and (ii) finance ongoing working capital requirements and other general corporate purposes (including for the avoidance of doubt the refinancing of any indebtedness) of the Borrowers and the Restricted Subsidiaries.</w:t>
      </w:r>
    </w:p>
    <w:p>
      <w:pPr>
        <w:spacing w:after="0" w:line="384" w:lineRule="exact"/>
        <w:rPr>
          <w:rFonts w:ascii="Arial" w:cs="Arial" w:eastAsia="Arial" w:hAnsi="Arial"/>
          <w:sz w:val="18"/>
          <w:szCs w:val="18"/>
          <w:color w:val="auto"/>
        </w:rPr>
      </w:pPr>
    </w:p>
    <w:p>
      <w:pPr>
        <w:ind w:left="5560" w:hanging="92"/>
        <w:spacing w:after="0"/>
        <w:tabs>
          <w:tab w:leader="none" w:pos="55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ind w:left="1260" w:hanging="496"/>
        <w:spacing w:after="0" w:line="277"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proceeds of any Loan made under this Agreement may be used for any purpose which would constitute unlawful financial assistance in the jurisdiction in which any Borrower is incorporated or organised or has its principal place of business.</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Monitoring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 Finance Party is bound to monitor or verify the application of any amount borrowed pursuant to this Agreement.</w:t>
      </w:r>
    </w:p>
    <w:p>
      <w:pPr>
        <w:spacing w:after="0" w:line="240" w:lineRule="exact"/>
        <w:rPr>
          <w:sz w:val="20"/>
          <w:szCs w:val="20"/>
          <w:color w:val="auto"/>
        </w:rPr>
      </w:pPr>
    </w:p>
    <w:p>
      <w:pPr>
        <w:ind w:left="760" w:hanging="752"/>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Conditions of Utilisation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color w:val="auto"/>
        </w:rPr>
        <w:t>Initial conditions precedent</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Utilisation may be made, unless the Agent has received all of the documents and other evidence listed in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form and substance satisfactory to the Agent, unless waived by the Agent with the consent of each of the Lenders.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shall notify the Company and the Lenders promptly upon being so satisfied.</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200" w:lineRule="exact"/>
        <w:rPr>
          <w:sz w:val="20"/>
          <w:szCs w:val="20"/>
          <w:color w:val="auto"/>
        </w:rPr>
      </w:pPr>
    </w:p>
    <w:p>
      <w:pPr>
        <w:spacing w:after="0" w:line="2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Further conditions precedent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Lenders will only be obliged to comply with Clause 5.4 (</w:t>
      </w:r>
      <w:r>
        <w:rPr>
          <w:rFonts w:ascii="Arial" w:cs="Arial" w:eastAsia="Arial" w:hAnsi="Arial"/>
          <w:sz w:val="22"/>
          <w:szCs w:val="22"/>
          <w:i w:val="1"/>
          <w:iCs w:val="1"/>
          <w:color w:val="auto"/>
        </w:rPr>
        <w:t>Lenders' participation</w:t>
      </w:r>
      <w:r>
        <w:rPr>
          <w:rFonts w:ascii="Arial" w:cs="Arial" w:eastAsia="Arial" w:hAnsi="Arial"/>
          <w:sz w:val="22"/>
          <w:szCs w:val="22"/>
          <w:color w:val="auto"/>
        </w:rPr>
        <w:t>) if on the date of the Utilisation Request and on the proposed Utilisation Date:</w:t>
      </w:r>
    </w:p>
    <w:p>
      <w:pPr>
        <w:spacing w:after="0" w:line="209" w:lineRule="exact"/>
        <w:rPr>
          <w:sz w:val="20"/>
          <w:szCs w:val="20"/>
          <w:color w:val="auto"/>
        </w:rPr>
      </w:pPr>
    </w:p>
    <w:p>
      <w:pPr>
        <w:ind w:left="1260" w:hanging="496"/>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any Loan (other than a Rollover Loan):</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Loan; and</w:t>
      </w:r>
    </w:p>
    <w:p>
      <w:pPr>
        <w:spacing w:after="0" w:line="252"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(or, if any Repeating Representation is qualified by materiality or Material Adverse Effect, in all respects) or, if any of the Repeating Representations specifically refers to an earlier date, such Repeating Representations are true in all material respects (or, if any Repeating Representation is qualified by materiality or Material Adverse Effect, in all respects) as of such earlier date.</w:t>
      </w:r>
    </w:p>
    <w:p>
      <w:pPr>
        <w:spacing w:after="0" w:line="213" w:lineRule="exact"/>
        <w:rPr>
          <w:rFonts w:ascii="Arial" w:cs="Arial" w:eastAsia="Arial" w:hAnsi="Arial"/>
          <w:sz w:val="18"/>
          <w:szCs w:val="18"/>
          <w:color w:val="auto"/>
        </w:rPr>
      </w:pPr>
    </w:p>
    <w:p>
      <w:pPr>
        <w:ind w:left="1260" w:hanging="496"/>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has occurred and is continuing.</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Conditions precedent for the sole benefit of the Lenders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conditions precedent provided for in Clause 4.1 (</w:t>
      </w:r>
      <w:r>
        <w:rPr>
          <w:rFonts w:ascii="Arial" w:cs="Arial" w:eastAsia="Arial" w:hAnsi="Arial"/>
          <w:sz w:val="22"/>
          <w:szCs w:val="22"/>
          <w:i w:val="1"/>
          <w:iCs w:val="1"/>
          <w:color w:val="auto"/>
        </w:rPr>
        <w:t>Initial conditions precedent</w:t>
      </w:r>
      <w:r>
        <w:rPr>
          <w:rFonts w:ascii="Arial" w:cs="Arial" w:eastAsia="Arial" w:hAnsi="Arial"/>
          <w:sz w:val="22"/>
          <w:szCs w:val="22"/>
          <w:color w:val="auto"/>
        </w:rPr>
        <w:t>) and Clause 4.2 (</w:t>
      </w:r>
      <w:r>
        <w:rPr>
          <w:rFonts w:ascii="Arial" w:cs="Arial" w:eastAsia="Arial" w:hAnsi="Arial"/>
          <w:sz w:val="22"/>
          <w:szCs w:val="22"/>
          <w:i w:val="1"/>
          <w:iCs w:val="1"/>
          <w:color w:val="auto"/>
        </w:rPr>
        <w:t>Further conditions precedent</w:t>
      </w:r>
      <w:r>
        <w:rPr>
          <w:rFonts w:ascii="Arial" w:cs="Arial" w:eastAsia="Arial" w:hAnsi="Arial"/>
          <w:sz w:val="22"/>
          <w:szCs w:val="22"/>
          <w:color w:val="auto"/>
        </w:rPr>
        <w:t>) are stipulated for the sole benefit of the Lenders.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Maximum number of Utilisations</w:t>
      </w:r>
    </w:p>
    <w:p>
      <w:pPr>
        <w:spacing w:after="0" w:line="245" w:lineRule="exact"/>
        <w:rPr>
          <w:sz w:val="20"/>
          <w:szCs w:val="20"/>
          <w:color w:val="auto"/>
        </w:rPr>
      </w:pPr>
    </w:p>
    <w:p>
      <w:pPr>
        <w:ind w:left="780"/>
        <w:spacing w:after="0" w:line="250" w:lineRule="auto"/>
        <w:rPr>
          <w:sz w:val="20"/>
          <w:szCs w:val="20"/>
          <w:color w:val="auto"/>
        </w:rPr>
      </w:pPr>
      <w:r>
        <w:rPr>
          <w:rFonts w:ascii="Arial" w:cs="Arial" w:eastAsia="Arial" w:hAnsi="Arial"/>
          <w:sz w:val="22"/>
          <w:szCs w:val="22"/>
          <w:color w:val="auto"/>
        </w:rPr>
        <w:t>A Borrower may not deliver a Utilisation Request if as a result of the proposed Utilisation ten (10) or more Loans would be outstanding.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SECTION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UTILISATION</w:t>
      </w:r>
    </w:p>
    <w:p>
      <w:pPr>
        <w:spacing w:after="0" w:line="222" w:lineRule="exact"/>
        <w:rPr>
          <w:sz w:val="20"/>
          <w:szCs w:val="20"/>
          <w:color w:val="auto"/>
        </w:rPr>
      </w:pPr>
    </w:p>
    <w:p>
      <w:pPr>
        <w:ind w:left="760" w:hanging="752"/>
        <w:spacing w:after="0"/>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Utilisation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Delivery of a Utilisation Request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Borrower may utilise the Facility by delivery to the Agent of a duly completed Utilisation Request not later than the Specified Time.</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Completion of a Utilisation Request</w:t>
      </w:r>
    </w:p>
    <w:p>
      <w:pPr>
        <w:spacing w:after="0" w:line="252" w:lineRule="exact"/>
        <w:rPr>
          <w:sz w:val="20"/>
          <w:szCs w:val="20"/>
          <w:color w:val="auto"/>
        </w:rPr>
      </w:pPr>
    </w:p>
    <w:p>
      <w:pPr>
        <w:ind w:left="1260" w:hanging="496"/>
        <w:spacing w:after="0"/>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it identifies the Borrower to which the Loan is to be made;</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Currency and amount</w:t>
      </w:r>
    </w:p>
    <w:p>
      <w:pPr>
        <w:spacing w:after="0" w:line="252" w:lineRule="exact"/>
        <w:rPr>
          <w:sz w:val="20"/>
          <w:szCs w:val="20"/>
          <w:color w:val="auto"/>
        </w:rPr>
      </w:pPr>
    </w:p>
    <w:p>
      <w:pPr>
        <w:ind w:left="1260" w:hanging="496"/>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currency specified in a Utilisation Request for a Loan must be euro.</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the proposed Loan must be a minimum of €1,000,000 or, if less, the Available Facility and, in any event the amount of any proposed Loan shall be less than or equal to the Available Facility.</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Lenders' participation</w:t>
      </w:r>
    </w:p>
    <w:p>
      <w:pPr>
        <w:spacing w:after="0" w:line="252" w:lineRule="exact"/>
        <w:rPr>
          <w:sz w:val="20"/>
          <w:szCs w:val="20"/>
          <w:color w:val="auto"/>
        </w:rPr>
      </w:pPr>
    </w:p>
    <w:p>
      <w:pPr>
        <w:ind w:left="1260" w:right="20" w:hanging="496"/>
        <w:spacing w:after="0" w:line="277" w:lineRule="auto"/>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and subject to Clause 6 (</w:t>
      </w:r>
      <w:r>
        <w:rPr>
          <w:rFonts w:ascii="Arial" w:cs="Arial" w:eastAsia="Arial" w:hAnsi="Arial"/>
          <w:sz w:val="18"/>
          <w:szCs w:val="18"/>
          <w:i w:val="1"/>
          <w:iCs w:val="1"/>
          <w:color w:val="auto"/>
        </w:rPr>
        <w:t>Repayment</w:t>
      </w:r>
      <w:r>
        <w:rPr>
          <w:rFonts w:ascii="Arial" w:cs="Arial" w:eastAsia="Arial" w:hAnsi="Arial"/>
          <w:sz w:val="18"/>
          <w:szCs w:val="18"/>
          <w:color w:val="auto"/>
        </w:rPr>
        <w:t>), each Lender shall make its participation in each Loan available by the Utilisation Date through its Facility Office.</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197" w:lineRule="exact"/>
        <w:rPr>
          <w:rFonts w:ascii="Arial" w:cs="Arial" w:eastAsia="Arial" w:hAnsi="Arial"/>
          <w:sz w:val="18"/>
          <w:szCs w:val="18"/>
          <w:color w:val="auto"/>
        </w:rPr>
      </w:pPr>
    </w:p>
    <w:p>
      <w:pPr>
        <w:ind w:left="1260" w:hanging="496"/>
        <w:spacing w:after="0" w:line="342" w:lineRule="auto"/>
        <w:tabs>
          <w:tab w:leader="none" w:pos="12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Agent shall notify each Lender of the amount of each Loan, the amount of its participation in that Loan and, if different, the amount of that participation to be made available in accordance with Clause 28.1 (</w:t>
      </w:r>
      <w:r>
        <w:rPr>
          <w:rFonts w:ascii="Arial" w:cs="Arial" w:eastAsia="Arial" w:hAnsi="Arial"/>
          <w:sz w:val="16"/>
          <w:szCs w:val="16"/>
          <w:i w:val="1"/>
          <w:iCs w:val="1"/>
          <w:color w:val="auto"/>
        </w:rPr>
        <w:t>Payments to the Agent</w:t>
      </w:r>
      <w:r>
        <w:rPr>
          <w:rFonts w:ascii="Arial" w:cs="Arial" w:eastAsia="Arial" w:hAnsi="Arial"/>
          <w:sz w:val="16"/>
          <w:szCs w:val="16"/>
          <w:color w:val="auto"/>
        </w:rPr>
        <w:t>), in each case by the Specified Time.</w:t>
      </w:r>
    </w:p>
    <w:p>
      <w:pPr>
        <w:spacing w:after="0" w:line="321" w:lineRule="exact"/>
        <w:rPr>
          <w:rFonts w:ascii="Arial" w:cs="Arial" w:eastAsia="Arial" w:hAnsi="Arial"/>
          <w:sz w:val="16"/>
          <w:szCs w:val="16"/>
          <w:color w:val="auto"/>
        </w:rPr>
      </w:pPr>
    </w:p>
    <w:p>
      <w:pPr>
        <w:ind w:left="5560" w:hanging="92"/>
        <w:spacing w:after="0"/>
        <w:tabs>
          <w:tab w:leader="none" w:pos="5560" w:val="left"/>
        </w:tabs>
        <w:numPr>
          <w:ilvl w:val="1"/>
          <w:numId w:val="90"/>
        </w:numPr>
        <w:rPr>
          <w:rFonts w:ascii="Arial" w:cs="Arial" w:eastAsia="Arial" w:hAnsi="Arial"/>
          <w:sz w:val="14"/>
          <w:szCs w:val="14"/>
          <w:color w:val="auto"/>
        </w:rPr>
      </w:pPr>
      <w:r>
        <w:rPr>
          <w:rFonts w:ascii="Arial" w:cs="Arial" w:eastAsia="Arial" w:hAnsi="Arial"/>
          <w:sz w:val="14"/>
          <w:szCs w:val="14"/>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ind w:left="1260" w:hanging="496"/>
        <w:spacing w:after="0" w:line="269" w:lineRule="auto"/>
        <w:tabs>
          <w:tab w:leader="none" w:pos="1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Each Lender may, at its option, make any Loan available to any Borrower by causing any foreign or domestic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such Borrower to repay such Loan in accordance with the terms of this Agreement. As a condition to any Lender being permitted to fulfil its Commitment by causing a branch or an Affiliate of such Lender to act as the Lender in respect of any Loan under this Clause 5.4 (</w:t>
      </w:r>
      <w:r>
        <w:rPr>
          <w:rFonts w:ascii="Arial" w:cs="Arial" w:eastAsia="Arial" w:hAnsi="Arial"/>
          <w:sz w:val="17"/>
          <w:szCs w:val="17"/>
          <w:i w:val="1"/>
          <w:iCs w:val="1"/>
          <w:color w:val="auto"/>
        </w:rPr>
        <w:t>Lenders' participation</w:t>
      </w:r>
      <w:r>
        <w:rPr>
          <w:rFonts w:ascii="Arial" w:cs="Arial" w:eastAsia="Arial" w:hAnsi="Arial"/>
          <w:sz w:val="17"/>
          <w:szCs w:val="17"/>
          <w:color w:val="auto"/>
        </w:rPr>
        <w:t>, such branch or Affiliate must comply, to the extent applicable, with Clause 12.5 (</w:t>
      </w:r>
      <w:r>
        <w:rPr>
          <w:rFonts w:ascii="Arial" w:cs="Arial" w:eastAsia="Arial" w:hAnsi="Arial"/>
          <w:sz w:val="17"/>
          <w:szCs w:val="17"/>
          <w:i w:val="1"/>
          <w:iCs w:val="1"/>
          <w:color w:val="auto"/>
        </w:rPr>
        <w:t>Lender status confirmation</w:t>
      </w:r>
      <w:r>
        <w:rPr>
          <w:rFonts w:ascii="Arial" w:cs="Arial" w:eastAsia="Arial" w:hAnsi="Arial"/>
          <w:sz w:val="17"/>
          <w:szCs w:val="17"/>
          <w:color w:val="auto"/>
        </w:rPr>
        <w:t>) and Clause 12.8 (</w:t>
      </w:r>
      <w:r>
        <w:rPr>
          <w:rFonts w:ascii="Arial" w:cs="Arial" w:eastAsia="Arial" w:hAnsi="Arial"/>
          <w:sz w:val="17"/>
          <w:szCs w:val="17"/>
          <w:i w:val="1"/>
          <w:iCs w:val="1"/>
          <w:color w:val="auto"/>
        </w:rPr>
        <w:t>FATCA</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as if it were a Lender that became a party to this Agreement pursuant to a Transfer Certificate executed on the first date 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Commitment is being fulfilled by such branch or Affiliate. Additionally, in applying the provisions of Clause 12 (</w:t>
      </w:r>
      <w:r>
        <w:rPr>
          <w:rFonts w:ascii="Arial" w:cs="Arial" w:eastAsia="Arial" w:hAnsi="Arial"/>
          <w:sz w:val="17"/>
          <w:szCs w:val="17"/>
          <w:i w:val="1"/>
          <w:iCs w:val="1"/>
          <w:color w:val="auto"/>
        </w:rPr>
        <w:t>Tax Gross</w:t>
      </w:r>
      <w:r>
        <w:rPr>
          <w:rFonts w:ascii="Arial" w:cs="Arial" w:eastAsia="Arial" w:hAnsi="Arial"/>
          <w:sz w:val="17"/>
          <w:szCs w:val="17"/>
          <w:color w:val="auto"/>
        </w:rPr>
        <w:t xml:space="preserve"> </w:t>
      </w:r>
      <w:r>
        <w:rPr>
          <w:rFonts w:ascii="Arial" w:cs="Arial" w:eastAsia="Arial" w:hAnsi="Arial"/>
          <w:sz w:val="17"/>
          <w:szCs w:val="17"/>
          <w:i w:val="1"/>
          <w:iCs w:val="1"/>
          <w:color w:val="auto"/>
        </w:rPr>
        <w:t>up and Indemnities</w:t>
      </w:r>
      <w:r>
        <w:rPr>
          <w:rFonts w:ascii="Arial" w:cs="Arial" w:eastAsia="Arial" w:hAnsi="Arial"/>
          <w:sz w:val="17"/>
          <w:szCs w:val="17"/>
          <w:color w:val="auto"/>
        </w:rPr>
        <w:t>) and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 such branch or Affiliate shall be treated as a Lender that executed a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on the first date on which such Commitment is fulfilled by such branch or Affiliate (and the provisions of Clause 23.2 (</w:t>
      </w:r>
      <w:r>
        <w:rPr>
          <w:rFonts w:ascii="Arial" w:cs="Arial" w:eastAsia="Arial" w:hAnsi="Arial"/>
          <w:sz w:val="17"/>
          <w:szCs w:val="17"/>
          <w:i w:val="1"/>
          <w:iCs w:val="1"/>
          <w:color w:val="auto"/>
        </w:rPr>
        <w:t>Conditions of transfer</w:t>
      </w:r>
      <w:r>
        <w:rPr>
          <w:rFonts w:ascii="Arial" w:cs="Arial" w:eastAsia="Arial" w:hAnsi="Arial"/>
          <w:sz w:val="17"/>
          <w:szCs w:val="17"/>
          <w:color w:val="auto"/>
        </w:rPr>
        <w:t>) shall apply accordingly).</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Cancellation of Commitments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 Commitments which, at that time, are unutilised shall be immediately cancelled at the end of the Availability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color w:val="auto"/>
        </w:rPr>
        <w:t>SECTION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REPAYMENT, PREPAYMENT AND CANCELLATION</w:t>
      </w:r>
    </w:p>
    <w:p>
      <w:pPr>
        <w:spacing w:after="0" w:line="222"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Repayment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Borrower which has drawn a Loan shall repay in euro that Loan on the last day of its Interest Period (and, for the avoidance of doubt, on the Maturity Date).</w:t>
      </w:r>
    </w:p>
    <w:p>
      <w:pPr>
        <w:spacing w:after="0" w:line="209" w:lineRule="exact"/>
        <w:rPr>
          <w:sz w:val="20"/>
          <w:szCs w:val="20"/>
          <w:color w:val="auto"/>
        </w:rPr>
      </w:pPr>
    </w:p>
    <w:p>
      <w:pPr>
        <w:ind w:left="760" w:hanging="752"/>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Prepayment, Cancellation and Replacement of Lenders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Illegality</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If, in any applicable jurisdiction, it becomes unlawful for any Lender to perform any of its obligations as contemplated by this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Agreement or to fund or maintain its participation in any Loan, or it becomes unlawful for any Affiliate of a Lender for that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Lender to do so:</w:t>
      </w:r>
    </w:p>
    <w:p>
      <w:pPr>
        <w:spacing w:after="0" w:line="222" w:lineRule="exact"/>
        <w:rPr>
          <w:sz w:val="20"/>
          <w:szCs w:val="20"/>
          <w:color w:val="auto"/>
        </w:rPr>
      </w:pPr>
    </w:p>
    <w:p>
      <w:pPr>
        <w:ind w:left="1260" w:hanging="496"/>
        <w:spacing w:after="0" w:line="277" w:lineRule="auto"/>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 and the Agent shall promptly notify the Company of such event;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the Agent notifying the Company, the Available Commitment of that Lender will be immediately cancelled; and</w:t>
      </w:r>
    </w:p>
    <w:p>
      <w:pPr>
        <w:spacing w:after="0" w:line="252" w:lineRule="exact"/>
        <w:rPr>
          <w:rFonts w:ascii="Arial" w:cs="Arial" w:eastAsia="Arial" w:hAnsi="Arial"/>
          <w:sz w:val="18"/>
          <w:szCs w:val="18"/>
          <w:color w:val="auto"/>
        </w:rPr>
      </w:pPr>
    </w:p>
    <w:p>
      <w:pPr>
        <w:jc w:val="both"/>
        <w:ind w:left="1260" w:hanging="496"/>
        <w:spacing w:after="0" w:line="255" w:lineRule="auto"/>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that the Lender's (and any such Affiliate's) participation has not been transferred pursuant to paragraph (a) of Clause 7.6 (</w:t>
      </w:r>
      <w:r>
        <w:rPr>
          <w:rFonts w:ascii="Arial" w:cs="Arial" w:eastAsia="Arial" w:hAnsi="Arial"/>
          <w:sz w:val="18"/>
          <w:szCs w:val="18"/>
          <w:i w:val="1"/>
          <w:iCs w:val="1"/>
          <w:color w:val="auto"/>
        </w:rPr>
        <w:t>Right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prepayment and cancellation or replacement in relation to a single Lender</w:t>
      </w:r>
      <w:r>
        <w:rPr>
          <w:rFonts w:ascii="Arial" w:cs="Arial" w:eastAsia="Arial" w:hAnsi="Arial"/>
          <w:sz w:val="18"/>
          <w:szCs w:val="18"/>
          <w:color w:val="auto"/>
        </w:rPr>
        <w:t>), the Borrower shall repay that Lender's (and any such Affiliate's) participation in the Loans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(and any such Affiliate's) corresponding Commitment shall be cancelled in the amount of the participations repaid.</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Mandatory Prepayment of Technip Eurocash</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Subject to the provisions of Clause 21.17 (</w:t>
      </w:r>
      <w:r>
        <w:rPr>
          <w:rFonts w:ascii="Arial" w:cs="Arial" w:eastAsia="Arial" w:hAnsi="Arial"/>
          <w:sz w:val="19"/>
          <w:szCs w:val="19"/>
          <w:i w:val="1"/>
          <w:iCs w:val="1"/>
          <w:color w:val="auto"/>
        </w:rPr>
        <w:t>Société en nom collectif</w:t>
      </w:r>
      <w:r>
        <w:rPr>
          <w:rFonts w:ascii="Arial" w:cs="Arial" w:eastAsia="Arial" w:hAnsi="Arial"/>
          <w:sz w:val="19"/>
          <w:szCs w:val="19"/>
          <w:color w:val="auto"/>
        </w:rPr>
        <w:t>), if at any time during the term of this Agreement (i) either the Company or Technip Offshore International ceases to be a partner (</w:t>
      </w:r>
      <w:r>
        <w:rPr>
          <w:rFonts w:ascii="Arial" w:cs="Arial" w:eastAsia="Arial" w:hAnsi="Arial"/>
          <w:sz w:val="19"/>
          <w:szCs w:val="19"/>
          <w:i w:val="1"/>
          <w:iCs w:val="1"/>
          <w:color w:val="auto"/>
        </w:rPr>
        <w:t>associé</w:t>
      </w:r>
      <w:r>
        <w:rPr>
          <w:rFonts w:ascii="Arial" w:cs="Arial" w:eastAsia="Arial" w:hAnsi="Arial"/>
          <w:sz w:val="19"/>
          <w:szCs w:val="19"/>
          <w:color w:val="auto"/>
        </w:rPr>
        <w:t>) of Technip Eurocash SNC, or (ii) Technip Eurocash SNC ceases to be a société en nom collectif governed by French law, otherwise than as a result of change of law:</w:t>
      </w:r>
    </w:p>
    <w:p>
      <w:pPr>
        <w:spacing w:after="0" w:line="168" w:lineRule="exact"/>
        <w:rPr>
          <w:sz w:val="20"/>
          <w:szCs w:val="20"/>
          <w:color w:val="auto"/>
        </w:rPr>
      </w:pPr>
    </w:p>
    <w:p>
      <w:pPr>
        <w:ind w:left="1260" w:hanging="496"/>
        <w:spacing w:after="0"/>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notify the Agent promptly upon becoming aware of that event;</w:t>
      </w:r>
    </w:p>
    <w:p>
      <w:pPr>
        <w:spacing w:after="0" w:line="252"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Technip Eurocash SNC shall, within three Business Days of the Company notifying the Agent pursuant to paragraph (a), repay all outstanding Utilisations made to it (including accrued interest and Break Costs, if any) and all other amounts owed to the Lenders by it under the Finance Documents shall become due and payable within three Business Days of the Company notifying the Agent pursuant to paragraph (a); and</w:t>
      </w:r>
    </w:p>
    <w:p>
      <w:pPr>
        <w:spacing w:after="0" w:line="213" w:lineRule="exact"/>
        <w:rPr>
          <w:rFonts w:ascii="Arial" w:cs="Arial" w:eastAsia="Arial" w:hAnsi="Arial"/>
          <w:sz w:val="18"/>
          <w:szCs w:val="18"/>
          <w:color w:val="auto"/>
        </w:rPr>
      </w:pPr>
    </w:p>
    <w:p>
      <w:pPr>
        <w:ind w:left="1260" w:hanging="496"/>
        <w:spacing w:after="0"/>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Technip Eurocash SNC shall cease to be able to make any further Utilisations.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Change of Control</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If any person or group of persons acting in concert gains more than 50% of the voting rights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left="1260" w:hanging="496"/>
        <w:spacing w:after="0" w:line="277" w:lineRule="auto"/>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within three Business Days of becoming aware thereof, notify the Agent and the Agent shall within three Business Days of receipt of such notice from the Company, notify the Lenders accordingly;</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Lender shall be entitled to cancel its Commitments and require repayment of all of its share of the Loans and payment of all amounts owing to it under the Finance Documents by notification to the Agent within 30 days of the Company notifying the Agent pursuant to Clause (a) above, whereupon:</w:t>
      </w:r>
    </w:p>
    <w:p>
      <w:pPr>
        <w:spacing w:after="0" w:line="210"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the date such Lender provides notification to the Agent, the undrawn Commitments of such Lender shall be cancelled and such Lender shall have no obligation to fund or participate in any new Utilisation; and</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the date falling 10 Business Days after such Lender provides notification to the Agent:</w:t>
      </w:r>
    </w:p>
    <w:p>
      <w:pPr>
        <w:spacing w:after="0" w:line="252" w:lineRule="exact"/>
        <w:rPr>
          <w:rFonts w:ascii="Arial" w:cs="Arial" w:eastAsia="Arial" w:hAnsi="Arial"/>
          <w:sz w:val="18"/>
          <w:szCs w:val="18"/>
          <w:color w:val="auto"/>
        </w:rPr>
      </w:pPr>
    </w:p>
    <w:p>
      <w:pPr>
        <w:jc w:val="both"/>
        <w:ind w:left="2280" w:hanging="490"/>
        <w:spacing w:after="0" w:line="286" w:lineRule="auto"/>
        <w:tabs>
          <w:tab w:leader="none" w:pos="2280" w:val="left"/>
        </w:tabs>
        <w:numPr>
          <w:ilvl w:val="2"/>
          <w:numId w:val="96"/>
        </w:numPr>
        <w:rPr>
          <w:rFonts w:ascii="Arial" w:cs="Arial" w:eastAsia="Arial" w:hAnsi="Arial"/>
          <w:sz w:val="17"/>
          <w:szCs w:val="17"/>
          <w:color w:val="auto"/>
        </w:rPr>
      </w:pPr>
      <w:r>
        <w:rPr>
          <w:rFonts w:ascii="Arial" w:cs="Arial" w:eastAsia="Arial" w:hAnsi="Arial"/>
          <w:sz w:val="17"/>
          <w:szCs w:val="17"/>
          <w:color w:val="auto"/>
        </w:rPr>
        <w:t>all outstanding Loans provided by such Lender, together with accrued interest, and all other amounts accrued or owing to such Lender under the Finance Documents shall become immediately due and payable, and the relevant Borrowers will immediately repay or prepay all Loans and amounts provided by or owing to that Lender; or</w:t>
      </w:r>
    </w:p>
    <w:p>
      <w:pPr>
        <w:spacing w:after="0" w:line="192" w:lineRule="exact"/>
        <w:rPr>
          <w:rFonts w:ascii="Arial" w:cs="Arial" w:eastAsia="Arial" w:hAnsi="Arial"/>
          <w:sz w:val="17"/>
          <w:szCs w:val="17"/>
          <w:color w:val="auto"/>
        </w:rPr>
      </w:pPr>
    </w:p>
    <w:p>
      <w:pPr>
        <w:jc w:val="both"/>
        <w:ind w:left="2280" w:hanging="490"/>
        <w:spacing w:after="0" w:line="296" w:lineRule="auto"/>
        <w:tabs>
          <w:tab w:leader="none" w:pos="2280" w:val="left"/>
        </w:tabs>
        <w:numPr>
          <w:ilvl w:val="2"/>
          <w:numId w:val="96"/>
        </w:numPr>
        <w:rPr>
          <w:rFonts w:ascii="Arial" w:cs="Arial" w:eastAsia="Arial" w:hAnsi="Arial"/>
          <w:sz w:val="16"/>
          <w:szCs w:val="16"/>
          <w:color w:val="auto"/>
        </w:rPr>
      </w:pPr>
      <w:r>
        <w:rPr>
          <w:rFonts w:ascii="Arial" w:cs="Arial" w:eastAsia="Arial" w:hAnsi="Arial"/>
          <w:sz w:val="16"/>
          <w:szCs w:val="16"/>
          <w:color w:val="auto"/>
        </w:rPr>
        <w:t xml:space="preserve">if the Company shall have arranged for another Lender or a New Lender to acquire that Lender's participation in the Facility and any outstanding Loans, such other Lender or New Lender shall acquire that Lender's participation in the Facility and any outstanding Loans at par;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Lender shall have any obligation to make such acquisition and any decision to make such acquisition shall be in each Lender's sole discretion and (ii) in the case of a transfer to a New Lender, such transfer shall be effected in accordance with the provisions of Clause 23 (</w:t>
      </w:r>
      <w:r>
        <w:rPr>
          <w:rFonts w:ascii="Arial" w:cs="Arial" w:eastAsia="Arial" w:hAnsi="Arial"/>
          <w:sz w:val="16"/>
          <w:szCs w:val="16"/>
          <w:i w:val="1"/>
          <w:iCs w:val="1"/>
          <w:color w:val="auto"/>
        </w:rPr>
        <w:t>Changes to the Lenders</w:t>
      </w:r>
      <w:r>
        <w:rPr>
          <w:rFonts w:ascii="Arial" w:cs="Arial" w:eastAsia="Arial" w:hAnsi="Arial"/>
          <w:sz w:val="16"/>
          <w:szCs w:val="16"/>
          <w:color w:val="auto"/>
        </w:rPr>
        <w:t>).</w:t>
      </w:r>
    </w:p>
    <w:p>
      <w:pPr>
        <w:spacing w:after="0" w:line="175" w:lineRule="exact"/>
        <w:rPr>
          <w:sz w:val="20"/>
          <w:szCs w:val="20"/>
          <w:color w:val="auto"/>
        </w:rPr>
      </w:pPr>
    </w:p>
    <w:p>
      <w:pPr>
        <w:jc w:val="both"/>
        <w:ind w:left="1800"/>
        <w:spacing w:after="0" w:line="236" w:lineRule="auto"/>
        <w:rPr>
          <w:sz w:val="20"/>
          <w:szCs w:val="20"/>
          <w:color w:val="auto"/>
        </w:rPr>
      </w:pPr>
      <w:r>
        <w:rPr>
          <w:rFonts w:ascii="Arial" w:cs="Arial" w:eastAsia="Arial" w:hAnsi="Arial"/>
          <w:sz w:val="22"/>
          <w:szCs w:val="22"/>
          <w:color w:val="auto"/>
        </w:rPr>
        <w:t>For the purposes of this Clause 7.3, "</w:t>
      </w:r>
      <w:r>
        <w:rPr>
          <w:rFonts w:ascii="Arial" w:cs="Arial" w:eastAsia="Arial" w:hAnsi="Arial"/>
          <w:sz w:val="22"/>
          <w:szCs w:val="22"/>
          <w:b w:val="1"/>
          <w:bCs w:val="1"/>
          <w:color w:val="auto"/>
        </w:rPr>
        <w:t>acting in concert</w:t>
      </w:r>
      <w:r>
        <w:rPr>
          <w:rFonts w:ascii="Arial" w:cs="Arial" w:eastAsia="Arial" w:hAnsi="Arial"/>
          <w:sz w:val="22"/>
          <w:szCs w:val="22"/>
          <w:color w:val="auto"/>
        </w:rPr>
        <w:t xml:space="preserve">" means a group of persons who, pursuant to an agreement or understanding (whether formal or informal), actively co-operate, through the acquisition and/or ownership of voting shares in the Company, to obtain or consolidate control (directly or indirectly)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persons voting in the same or consistent manner at any general meeting of the Company will not be considered to be acting in concert by virtue only of exercising their votes in such manner.</w:t>
      </w: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Voluntary cancellation</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may, if it gives the Agent not less than three (3) Business Days' (or such shorter period as the Majority Lenders may agree) prior notice, cancel the whole or any part (being a minimum amount of €10,000,000 and integral multiples of €10,000,000 in excess thereof) of the Available Facility. Any cancellation under this Clause 7.4 shall reduce the Commitments of the Lenders rateably under the Facility.</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Voluntary prepayment of Loans</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Borrower to which a Loan has been made may, if it gives the Agent not less than three Business Days' (or such shorter period as the Majority Lenders may agree) prior notice, prepay the whole or any part of a Loan (but if in part, being an amount that reduces the amount of the Loan by a minimum amount of €10,000,000 and integral multiples of €10,000,000 in excess thereof).</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Right of prepayment and cancellation or replacement in relation to a single Lender</w:t>
      </w:r>
    </w:p>
    <w:p>
      <w:pPr>
        <w:spacing w:after="0" w:line="252" w:lineRule="exact"/>
        <w:rPr>
          <w:sz w:val="20"/>
          <w:szCs w:val="20"/>
          <w:color w:val="auto"/>
        </w:rPr>
      </w:pPr>
    </w:p>
    <w:p>
      <w:pPr>
        <w:ind w:left="1260" w:hanging="496"/>
        <w:spacing w:after="0"/>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sum payable to any Lender by an Obligor is required to be increased under paragraph (c) of Clause 12.2 (</w:t>
      </w:r>
      <w:r>
        <w:rPr>
          <w:rFonts w:ascii="Arial" w:cs="Arial" w:eastAsia="Arial" w:hAnsi="Arial"/>
          <w:sz w:val="17"/>
          <w:szCs w:val="17"/>
          <w:i w:val="1"/>
          <w:iCs w:val="1"/>
          <w:color w:val="auto"/>
        </w:rPr>
        <w:t>Tax gross-up</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1780" w:hanging="503"/>
        <w:spacing w:after="0"/>
        <w:tabs>
          <w:tab w:leader="none" w:pos="17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Lender claims indemnification from the Company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1780" w:hanging="503"/>
        <w:spacing w:after="0"/>
        <w:tabs>
          <w:tab w:leader="none" w:pos="17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Lender becomes a Defaulting Lender,</w:t>
      </w:r>
    </w:p>
    <w:p>
      <w:pPr>
        <w:spacing w:after="0" w:line="252"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amount payable to any Lender by a Borrower under a Finance Document is not, or will not be (when the relevant corporate income tax is calculated) treated as a deductible charge or expense for tax purposes for the Borrower by reason of that amount being (i) paid or accrued to a Lender incorporated, domiciled, established or acting through a Facility Office situated in a Non-Cooperative Jurisdiction, or (ii) paid to an account opened in the name of or for the benefit of that Lender in a financial institution situated in a Non-Cooperative Jurisdiction, or</w:t>
      </w:r>
    </w:p>
    <w:p>
      <w:pPr>
        <w:spacing w:after="0" w:line="214"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Obligor becomes obliged to pay any amount in accordance with Clause 7.1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 the Company may, on five (5)Business Days' prior notice to the Agent and that Lender:</w:t>
      </w:r>
    </w:p>
    <w:p>
      <w:pPr>
        <w:spacing w:after="0" w:line="197" w:lineRule="exact"/>
        <w:rPr>
          <w:rFonts w:ascii="Arial" w:cs="Arial" w:eastAsia="Arial" w:hAnsi="Arial"/>
          <w:sz w:val="18"/>
          <w:szCs w:val="18"/>
          <w:color w:val="auto"/>
        </w:rPr>
      </w:pPr>
    </w:p>
    <w:p>
      <w:pPr>
        <w:ind w:left="2280" w:right="20" w:hanging="490"/>
        <w:spacing w:after="0" w:line="277" w:lineRule="auto"/>
        <w:tabs>
          <w:tab w:leader="none" w:pos="22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give the Agent notice of cancellation of the Commitment(s) of that Lender and its intention to procure the repayment of that Lender's participation in the Loans; or</w:t>
      </w:r>
    </w:p>
    <w:p>
      <w:pPr>
        <w:spacing w:after="0" w:line="197" w:lineRule="exact"/>
        <w:rPr>
          <w:rFonts w:ascii="Arial" w:cs="Arial" w:eastAsia="Arial" w:hAnsi="Arial"/>
          <w:sz w:val="18"/>
          <w:szCs w:val="18"/>
          <w:color w:val="auto"/>
        </w:rPr>
      </w:pPr>
    </w:p>
    <w:p>
      <w:pPr>
        <w:jc w:val="both"/>
        <w:ind w:left="2280" w:hanging="490"/>
        <w:spacing w:after="0" w:line="253" w:lineRule="auto"/>
        <w:tabs>
          <w:tab w:leader="none" w:pos="22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replace that Lender (together with any Affiliate of that Lender) by requiring that Lender and that Affiliate to (and, to the extent permitted by law, that Lender and that Affiliate shall) transfer pursuant to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 to a Lender or other bank or financial institution, selected by the Company and which confirms its willingness to assume and does assume all the obligations of the transferring Lender and transferring Affiliate in accordance with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transfer in an amount equal to the outstanding principal amount of such Lender's and such Affiliate's participation in the outstanding Loans and all accrued interest (to the extent that the Agent has not given a notification under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Break Costs and other amounts payable in relation thereto under the Finance Documents.</w:t>
      </w:r>
    </w:p>
    <w:p>
      <w:pPr>
        <w:spacing w:after="0" w:line="223"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clause (A) of paragraph (a) above, the Commitment(s) of that Lender and any such Affiliate shall immediately be reduced to zero.</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3"/>
          <w:numId w:val="97"/>
        </w:numPr>
        <w:rPr>
          <w:rFonts w:ascii="Arial" w:cs="Arial" w:eastAsia="Arial" w:hAnsi="Arial"/>
          <w:sz w:val="14"/>
          <w:szCs w:val="14"/>
          <w:color w:val="auto"/>
        </w:rPr>
      </w:pPr>
      <w:r>
        <w:rPr>
          <w:rFonts w:ascii="Arial" w:cs="Arial" w:eastAsia="Arial" w:hAnsi="Arial"/>
          <w:sz w:val="14"/>
          <w:szCs w:val="14"/>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both"/>
        <w:ind w:left="1260" w:hanging="496"/>
        <w:spacing w:after="0" w:line="263" w:lineRule="auto"/>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Company has given notice of cancellation under clause (A) of paragraph (a) above (or, if earlier, the date specified by the Company in that notice), each Borrower to which a Loan is outstanding shall repay that Lender's participation in that Loan.</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replacement of a Lender pursuant to clause (B) of paragraph (a) above shall be subject to the following conditions: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shall have no right to replace the Agent;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(a) above be required to pay or surrender any of the fees received by such Lender pursuant to the Finance Documents; and</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Lender shall perform the checks described in paragraph (d)(iv) above as soon as reasonably practicable following delivery of a notice of replacement referred to in clause (B) of paragraph (a) above and shall notify the Agent and the Company when it is satisfied that it has complied with those checks.</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Restrictions</w:t>
      </w:r>
    </w:p>
    <w:p>
      <w:pPr>
        <w:spacing w:after="0" w:line="252" w:lineRule="exact"/>
        <w:rPr>
          <w:sz w:val="20"/>
          <w:szCs w:val="20"/>
          <w:color w:val="auto"/>
        </w:rPr>
      </w:pPr>
    </w:p>
    <w:p>
      <w:pPr>
        <w:jc w:val="both"/>
        <w:ind w:left="1260" w:hanging="496"/>
        <w:spacing w:after="0" w:line="263"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prepaid or repaid (but not cancelled) may be reborrowed in accordance with the terms of this Agreement.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Agent receives a notice under this Clause 7 it shall promptly forward a copy of that notice to the Company or the affected Lender.</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560" w:hanging="92"/>
        <w:spacing w:after="0"/>
        <w:tabs>
          <w:tab w:leader="none" w:pos="55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both"/>
        <w:ind w:left="1260" w:hanging="496"/>
        <w:spacing w:after="0" w:line="311" w:lineRule="auto"/>
        <w:tabs>
          <w:tab w:leader="none" w:pos="1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all or part of any Lender's participation in a Loan under the Facility is repaid or prepaid and is not available for redrawing (other than by operation of Clause 4.2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an amount of that Lender's Commitments (equal to the amount of the participation which is repaid or prepaid) in respect of the Facility will be deemed to be cancelled on the date of repayment or prepayment.</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Application of prepayments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Any prepayment of a Loan pursuant to Clause 7.5 (</w:t>
      </w:r>
      <w:r>
        <w:rPr>
          <w:rFonts w:ascii="Arial" w:cs="Arial" w:eastAsia="Arial" w:hAnsi="Arial"/>
          <w:sz w:val="22"/>
          <w:szCs w:val="22"/>
          <w:i w:val="1"/>
          <w:iCs w:val="1"/>
          <w:color w:val="auto"/>
        </w:rPr>
        <w:t>Voluntary prepayment of Loans</w:t>
      </w:r>
      <w:r>
        <w:rPr>
          <w:rFonts w:ascii="Arial" w:cs="Arial" w:eastAsia="Arial" w:hAnsi="Arial"/>
          <w:sz w:val="22"/>
          <w:szCs w:val="22"/>
          <w:color w:val="auto"/>
        </w:rPr>
        <w:t>) shall be applied pro rata to each Lender's participation in that Loan.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SECTION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COSTS OF UTILISATION</w:t>
      </w:r>
    </w:p>
    <w:p>
      <w:pPr>
        <w:spacing w:after="0" w:line="222" w:lineRule="exact"/>
        <w:rPr>
          <w:sz w:val="20"/>
          <w:szCs w:val="20"/>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Calculation of interest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rate of interest on each Loan for each Interest Period is the percentage rate per annum which is the aggregate of the applicable:</w:t>
      </w:r>
    </w:p>
    <w:p>
      <w:pPr>
        <w:spacing w:after="0" w:line="209" w:lineRule="exact"/>
        <w:rPr>
          <w:sz w:val="20"/>
          <w:szCs w:val="20"/>
          <w:color w:val="auto"/>
        </w:rPr>
      </w:pPr>
    </w:p>
    <w:p>
      <w:pPr>
        <w:ind w:left="1260" w:hanging="496"/>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EURIBOR.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Payment of interest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Borrower to which a Loan has been made shall pay accrued interest on that Loan on the last day of each Interest Period.</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Default interest</w:t>
      </w:r>
    </w:p>
    <w:p>
      <w:pPr>
        <w:spacing w:after="0" w:line="252" w:lineRule="exact"/>
        <w:rPr>
          <w:sz w:val="20"/>
          <w:szCs w:val="20"/>
          <w:color w:val="auto"/>
        </w:rPr>
      </w:pPr>
    </w:p>
    <w:p>
      <w:pPr>
        <w:jc w:val="both"/>
        <w:ind w:left="1260" w:hanging="496"/>
        <w:spacing w:after="0" w:line="257" w:lineRule="auto"/>
        <w:tabs>
          <w:tab w:leader="none" w:pos="1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to the fullest extent permitted by law and without notice (</w:t>
      </w:r>
      <w:r>
        <w:rPr>
          <w:rFonts w:ascii="Arial" w:cs="Arial" w:eastAsia="Arial" w:hAnsi="Arial"/>
          <w:sz w:val="18"/>
          <w:szCs w:val="18"/>
          <w:i w:val="1"/>
          <w:iCs w:val="1"/>
          <w:color w:val="auto"/>
        </w:rPr>
        <w:t>mise en demeure</w:t>
      </w:r>
      <w:r>
        <w:rPr>
          <w:rFonts w:ascii="Arial" w:cs="Arial" w:eastAsia="Arial" w:hAnsi="Arial"/>
          <w:sz w:val="18"/>
          <w:szCs w:val="18"/>
          <w:color w:val="auto"/>
        </w:rPr>
        <w:t>)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for successive Interest Periods, each of a duration selected by the Agent (acting reasonably).</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Any interest accruing under this Clause 8.3 shall be immediately payable by the Obligor on demand by the Agent.</w:t>
      </w:r>
    </w:p>
    <w:p>
      <w:pPr>
        <w:spacing w:after="0" w:line="275" w:lineRule="exact"/>
        <w:rPr>
          <w:sz w:val="20"/>
          <w:szCs w:val="20"/>
          <w:color w:val="auto"/>
        </w:rPr>
      </w:pPr>
    </w:p>
    <w:p>
      <w:pPr>
        <w:ind w:left="1260" w:hanging="496"/>
        <w:spacing w:after="0" w:line="277" w:lineRule="auto"/>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97"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Default interest (if unpaid) arising on an overdue amount will be compounded with the overdue amount only if, in accordance with article 1343-2 of the French </w:t>
      </w:r>
      <w:r>
        <w:rPr>
          <w:rFonts w:ascii="Arial" w:cs="Arial" w:eastAsia="Arial" w:hAnsi="Arial"/>
          <w:sz w:val="18"/>
          <w:szCs w:val="18"/>
          <w:i w:val="1"/>
          <w:iCs w:val="1"/>
          <w:color w:val="auto"/>
        </w:rPr>
        <w:t>Code Civil</w:t>
      </w:r>
      <w:r>
        <w:rPr>
          <w:rFonts w:ascii="Arial" w:cs="Arial" w:eastAsia="Arial" w:hAnsi="Arial"/>
          <w:sz w:val="18"/>
          <w:szCs w:val="18"/>
          <w:color w:val="auto"/>
        </w:rPr>
        <w:t>, such interest is due for a period of at least one calendar year, but will remain immediately due and payable.</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Notification of rates of interest</w:t>
      </w:r>
    </w:p>
    <w:p>
      <w:pPr>
        <w:spacing w:after="0" w:line="252" w:lineRule="exact"/>
        <w:rPr>
          <w:sz w:val="20"/>
          <w:szCs w:val="20"/>
          <w:color w:val="auto"/>
        </w:rPr>
      </w:pPr>
    </w:p>
    <w:p>
      <w:pPr>
        <w:ind w:left="1260" w:hanging="496"/>
        <w:spacing w:after="0"/>
        <w:tabs>
          <w:tab w:leader="none" w:pos="12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Agent shall promptly notify the Lenders and the relevant Borrower of the determination of a rate of interest under this Agreement.</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560" w:hanging="92"/>
        <w:spacing w:after="0"/>
        <w:tabs>
          <w:tab w:leader="none" w:pos="55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left="1260" w:hanging="496"/>
        <w:spacing w:after="0"/>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Agent shall promptly notify the relevant Borrower of each Funding Rate relating to a Loan, as applicable.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8.5</w:t>
      </w:r>
      <w:r>
        <w:rPr>
          <w:rFonts w:ascii="Arial" w:cs="Arial" w:eastAsia="Arial" w:hAnsi="Arial"/>
          <w:sz w:val="16"/>
          <w:szCs w:val="16"/>
          <w:color w:val="auto"/>
        </w:rPr>
        <w:t>Effective Global Rate (</w:t>
      </w:r>
      <w:r>
        <w:rPr>
          <w:rFonts w:ascii="Arial" w:cs="Arial" w:eastAsia="Arial" w:hAnsi="Arial"/>
          <w:sz w:val="16"/>
          <w:szCs w:val="16"/>
          <w:i w:val="1"/>
          <w:iCs w:val="1"/>
          <w:color w:val="auto"/>
        </w:rPr>
        <w:t>Taux Effectif Global</w:t>
      </w:r>
      <w:r>
        <w:rPr>
          <w:rFonts w:ascii="Arial" w:cs="Arial" w:eastAsia="Arial" w:hAnsi="Arial"/>
          <w:sz w:val="16"/>
          <w:szCs w:val="16"/>
          <w:color w:val="auto"/>
        </w:rPr>
        <w:t>)</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For the purposes of articles L.314-1 to L.314-5 and R.314-1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of the French </w:t>
      </w:r>
      <w:r>
        <w:rPr>
          <w:rFonts w:ascii="Arial" w:cs="Arial" w:eastAsia="Arial" w:hAnsi="Arial"/>
          <w:sz w:val="19"/>
          <w:szCs w:val="19"/>
          <w:i w:val="1"/>
          <w:iCs w:val="1"/>
          <w:color w:val="auto"/>
        </w:rPr>
        <w:t>Code de la consommation</w:t>
      </w:r>
      <w:r>
        <w:rPr>
          <w:rFonts w:ascii="Arial" w:cs="Arial" w:eastAsia="Arial" w:hAnsi="Arial"/>
          <w:sz w:val="19"/>
          <w:szCs w:val="19"/>
          <w:color w:val="auto"/>
        </w:rPr>
        <w:t xml:space="preserve"> and article L.313-4 of the French </w:t>
      </w:r>
      <w:r>
        <w:rPr>
          <w:rFonts w:ascii="Arial" w:cs="Arial" w:eastAsia="Arial" w:hAnsi="Arial"/>
          <w:sz w:val="19"/>
          <w:szCs w:val="19"/>
          <w:i w:val="1"/>
          <w:iCs w:val="1"/>
          <w:color w:val="auto"/>
        </w:rPr>
        <w:t>Code monétaire et financier</w:t>
      </w:r>
      <w:r>
        <w:rPr>
          <w:rFonts w:ascii="Arial" w:cs="Arial" w:eastAsia="Arial" w:hAnsi="Arial"/>
          <w:sz w:val="19"/>
          <w:szCs w:val="19"/>
          <w:color w:val="auto"/>
        </w:rPr>
        <w:t>, the Parties acknowledge that (i) the effective global rate (</w:t>
      </w:r>
      <w:r>
        <w:rPr>
          <w:rFonts w:ascii="Arial" w:cs="Arial" w:eastAsia="Arial" w:hAnsi="Arial"/>
          <w:sz w:val="19"/>
          <w:szCs w:val="19"/>
          <w:i w:val="1"/>
          <w:iCs w:val="1"/>
          <w:color w:val="auto"/>
        </w:rPr>
        <w:t>taux effectif global</w:t>
      </w:r>
      <w:r>
        <w:rPr>
          <w:rFonts w:ascii="Arial" w:cs="Arial" w:eastAsia="Arial" w:hAnsi="Arial"/>
          <w:sz w:val="19"/>
          <w:szCs w:val="19"/>
          <w:color w:val="auto"/>
        </w:rPr>
        <w:t>) calculated on the date of this Agreement, based on assumptions as to the period rate (</w:t>
      </w:r>
      <w:r>
        <w:rPr>
          <w:rFonts w:ascii="Arial" w:cs="Arial" w:eastAsia="Arial" w:hAnsi="Arial"/>
          <w:sz w:val="19"/>
          <w:szCs w:val="19"/>
          <w:i w:val="1"/>
          <w:iCs w:val="1"/>
          <w:color w:val="auto"/>
        </w:rPr>
        <w:t>taux de période</w:t>
      </w:r>
      <w:r>
        <w:rPr>
          <w:rFonts w:ascii="Arial" w:cs="Arial" w:eastAsia="Arial" w:hAnsi="Arial"/>
          <w:sz w:val="19"/>
          <w:szCs w:val="19"/>
          <w:color w:val="auto"/>
        </w:rPr>
        <w:t>) and the period term (</w:t>
      </w:r>
      <w:r>
        <w:rPr>
          <w:rFonts w:ascii="Arial" w:cs="Arial" w:eastAsia="Arial" w:hAnsi="Arial"/>
          <w:sz w:val="19"/>
          <w:szCs w:val="19"/>
          <w:i w:val="1"/>
          <w:iCs w:val="1"/>
          <w:color w:val="auto"/>
        </w:rPr>
        <w:t>durée</w:t>
      </w:r>
      <w:r>
        <w:rPr>
          <w:rFonts w:ascii="Arial" w:cs="Arial" w:eastAsia="Arial" w:hAnsi="Arial"/>
          <w:sz w:val="19"/>
          <w:szCs w:val="19"/>
          <w:color w:val="auto"/>
        </w:rPr>
        <w:t xml:space="preserve"> </w:t>
      </w:r>
      <w:r>
        <w:rPr>
          <w:rFonts w:ascii="Arial" w:cs="Arial" w:eastAsia="Arial" w:hAnsi="Arial"/>
          <w:sz w:val="19"/>
          <w:szCs w:val="19"/>
          <w:i w:val="1"/>
          <w:iCs w:val="1"/>
          <w:color w:val="auto"/>
        </w:rPr>
        <w:t>de période</w:t>
      </w:r>
      <w:r>
        <w:rPr>
          <w:rFonts w:ascii="Arial" w:cs="Arial" w:eastAsia="Arial" w:hAnsi="Arial"/>
          <w:sz w:val="19"/>
          <w:szCs w:val="19"/>
          <w:color w:val="auto"/>
        </w:rPr>
        <w:t>) and on the assumption that the interest rate and all other fees, costs or expenses payable under this Agreement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maintained at their original level throughout the term of this Agreement, is set out in a letter from the Agent to each Borrower and (ii) that letter forms part of this Agreement. Each Borrower acknowledges receipt of that letter.</w:t>
      </w:r>
    </w:p>
    <w:p>
      <w:pPr>
        <w:spacing w:after="0" w:line="184" w:lineRule="exact"/>
        <w:rPr>
          <w:sz w:val="20"/>
          <w:szCs w:val="20"/>
          <w:color w:val="auto"/>
        </w:rPr>
      </w:pPr>
    </w:p>
    <w:p>
      <w:pPr>
        <w:ind w:left="760" w:hanging="75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Interest Periods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hanging="496"/>
        <w:spacing w:after="0" w:line="277" w:lineRule="auto"/>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Borrower (including the Company on behalf of the Subsidiary Borrower) may select an Interest Period for a Loan in the Utilisation Request for that Loan.</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this Clause 9, a Borrower (including the Company on behalf of the Subsidiary Borrower) may select an Interest Period of three or six Months.</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Maturity Date.</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 of that Loan.</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Loan has one Interest Period only.</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Non-Business Days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209"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Changes to the Calculation of Interest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Unavailability of Screen Rate</w:t>
      </w:r>
    </w:p>
    <w:p>
      <w:pPr>
        <w:spacing w:after="0" w:line="252" w:lineRule="exact"/>
        <w:rPr>
          <w:rFonts w:ascii="Arial" w:cs="Arial" w:eastAsia="Arial" w:hAnsi="Arial"/>
          <w:sz w:val="18"/>
          <w:szCs w:val="18"/>
          <w:color w:val="auto"/>
        </w:rPr>
      </w:pPr>
    </w:p>
    <w:p>
      <w:pPr>
        <w:ind w:left="1260" w:right="20" w:hanging="496"/>
        <w:spacing w:after="0" w:line="277" w:lineRule="auto"/>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EURIBOR for the Interest Period of a Loan, the applicable EURIBOR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the Interpolated Screen Rate for a period equal in length to the Interest Period of that Loan.</w:t>
      </w:r>
    </w:p>
    <w:p>
      <w:pPr>
        <w:spacing w:after="0" w:line="197"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Shortened Interest Period</w:t>
      </w:r>
      <w:r>
        <w:rPr>
          <w:rFonts w:ascii="Arial" w:cs="Arial" w:eastAsia="Arial" w:hAnsi="Arial"/>
          <w:sz w:val="18"/>
          <w:szCs w:val="18"/>
          <w:color w:val="auto"/>
        </w:rPr>
        <w:t>: If no Screen Rate is available for EURIBOR, as applicable for the Interest Period of a Loan and it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to calculate the Interpolated Screen Rate, the Interest Period of that Loan shall (if it is longer than the applicable Fallback Interest Period) be shortened to the applicable Fallback Interest Period and the applicable EURIBOR for that shortened Interest Period shall be determined pursuant to the relevant definition.</w:t>
      </w:r>
    </w:p>
    <w:p>
      <w:pPr>
        <w:spacing w:after="0" w:line="213"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Historic Screen Rate</w:t>
      </w:r>
      <w:r>
        <w:rPr>
          <w:rFonts w:ascii="Arial" w:cs="Arial" w:eastAsia="Arial" w:hAnsi="Arial"/>
          <w:sz w:val="18"/>
          <w:szCs w:val="18"/>
          <w:color w:val="auto"/>
        </w:rPr>
        <w:t>: If the Interest Period of a Loan is, after giving effect to paragraph (b) above,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Fallback Interest Period or shorter than the applicable Fallback Interest Period and the relevant Screen Rate is not available for EURIBOR for the Interest Period of that Loan and it is not possible to calculate the Interpolated Screen Rate, the applicable EURIBOR shall be the Historic Screen Rate for that Loan.</w:t>
      </w:r>
    </w:p>
    <w:p>
      <w:pPr>
        <w:spacing w:after="0" w:line="384" w:lineRule="exact"/>
        <w:rPr>
          <w:rFonts w:ascii="Arial" w:cs="Arial" w:eastAsia="Arial" w:hAnsi="Arial"/>
          <w:sz w:val="18"/>
          <w:szCs w:val="18"/>
          <w:color w:val="auto"/>
        </w:rPr>
      </w:pPr>
    </w:p>
    <w:p>
      <w:pPr>
        <w:ind w:left="5560" w:hanging="92"/>
        <w:spacing w:after="0"/>
        <w:tabs>
          <w:tab w:leader="none" w:pos="5560" w:val="left"/>
        </w:tabs>
        <w:numPr>
          <w:ilvl w:val="2"/>
          <w:numId w:val="109"/>
        </w:numPr>
        <w:rPr>
          <w:rFonts w:ascii="Arial" w:cs="Arial" w:eastAsia="Arial" w:hAnsi="Arial"/>
          <w:sz w:val="14"/>
          <w:szCs w:val="14"/>
          <w:color w:val="auto"/>
        </w:rPr>
      </w:pPr>
      <w:r>
        <w:rPr>
          <w:rFonts w:ascii="Arial" w:cs="Arial" w:eastAsia="Arial" w:hAnsi="Arial"/>
          <w:sz w:val="14"/>
          <w:szCs w:val="14"/>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both"/>
        <w:ind w:left="1260" w:hanging="496"/>
        <w:spacing w:after="0" w:line="263"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Shortened Interest Period and Interpolated Historic Screen Rate</w:t>
      </w:r>
      <w:r>
        <w:rPr>
          <w:rFonts w:ascii="Arial" w:cs="Arial" w:eastAsia="Arial" w:hAnsi="Arial"/>
          <w:sz w:val="18"/>
          <w:szCs w:val="18"/>
          <w:color w:val="auto"/>
        </w:rPr>
        <w:t>: If paragraph (c) above applies but no Historic Screen Rate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Interest Period of the Loan, the applicable EURIBOR shall be the Interpolated Historic Screen Rate for a period equal in length to the Interest Period of that Loan.</w:t>
      </w:r>
    </w:p>
    <w:p>
      <w:pPr>
        <w:spacing w:after="0" w:line="210"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paragraph (d) above applies but it is not possible to calculate the Interpolated Historic Screen Rate,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that Loan shall, if it has been shortened pursuant to paragraph (b) above, revert to its previous length and the applicable EURIBOR shall be the Reference Bank Rate as of the Specified Time for the currency of that Loan and for a period equal in length to the Interest Period of that Loan.</w:t>
      </w:r>
    </w:p>
    <w:p>
      <w:pPr>
        <w:spacing w:after="0" w:line="213"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paragraph (e) above applies but no Reference Bank Rate is available for the relevant currency or Interest Period, the Interest Period of that Loan shall, if it has been shortened pursuant to paragraph (b) above, revert to its previous length and there shall be no EURIBOR for that Loan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 Period.</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Market disruption</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before the close of business in Paris on the Quotation Day for the relevant Interest Period the Agent receives notifications from a Lender or Lenders (whose participations in a Loan exceed fifty per cent of that Loan) that the cost to it of funding its participation in that Loan from whatever source it may reasonably select would be in excess of EURIBOR then Clause 10.3 (</w:t>
      </w:r>
      <w:r>
        <w:rPr>
          <w:rFonts w:ascii="Arial" w:cs="Arial" w:eastAsia="Arial" w:hAnsi="Arial"/>
          <w:sz w:val="22"/>
          <w:szCs w:val="22"/>
          <w:i w:val="1"/>
          <w:iCs w:val="1"/>
          <w:color w:val="auto"/>
        </w:rPr>
        <w:t>Cost</w:t>
      </w:r>
      <w:r>
        <w:rPr>
          <w:rFonts w:ascii="Arial" w:cs="Arial" w:eastAsia="Arial" w:hAnsi="Arial"/>
          <w:sz w:val="22"/>
          <w:szCs w:val="22"/>
          <w:color w:val="auto"/>
        </w:rPr>
        <w:t xml:space="preserve"> </w:t>
      </w:r>
      <w:r>
        <w:rPr>
          <w:rFonts w:ascii="Arial" w:cs="Arial" w:eastAsia="Arial" w:hAnsi="Arial"/>
          <w:sz w:val="22"/>
          <w:szCs w:val="22"/>
          <w:i w:val="1"/>
          <w:iCs w:val="1"/>
          <w:color w:val="auto"/>
        </w:rPr>
        <w:t>of funds</w:t>
      </w:r>
      <w:r>
        <w:rPr>
          <w:rFonts w:ascii="Arial" w:cs="Arial" w:eastAsia="Arial" w:hAnsi="Arial"/>
          <w:sz w:val="22"/>
          <w:szCs w:val="22"/>
          <w:color w:val="auto"/>
        </w:rPr>
        <w:t>) shall apply to that Loan for the relevant Interest Period.</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Cost of funds</w:t>
      </w:r>
    </w:p>
    <w:p>
      <w:pPr>
        <w:spacing w:after="0" w:line="252" w:lineRule="exact"/>
        <w:rPr>
          <w:sz w:val="20"/>
          <w:szCs w:val="20"/>
          <w:color w:val="auto"/>
        </w:rPr>
      </w:pPr>
    </w:p>
    <w:p>
      <w:pPr>
        <w:ind w:left="1260" w:hanging="496"/>
        <w:spacing w:after="0" w:line="277" w:lineRule="auto"/>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relevant Loan for the relevant Interest Period shall be the percentage rate per annum which is the sum of:</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52" w:lineRule="exact"/>
        <w:rPr>
          <w:rFonts w:ascii="Arial" w:cs="Arial" w:eastAsia="Arial" w:hAnsi="Arial"/>
          <w:sz w:val="18"/>
          <w:szCs w:val="18"/>
          <w:color w:val="auto"/>
        </w:rPr>
      </w:pPr>
    </w:p>
    <w:p>
      <w:pPr>
        <w:jc w:val="both"/>
        <w:ind w:left="1780" w:hanging="503"/>
        <w:spacing w:after="0" w:line="279" w:lineRule="auto"/>
        <w:tabs>
          <w:tab w:leader="none" w:pos="17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weighted average of the rates notified to the Agent by each Lender as soon as practicable and in any event within five Business Days of the first day of that Interest Period (or, if earlier, on the date falling three Business Days before the 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198" w:lineRule="exact"/>
        <w:rPr>
          <w:rFonts w:ascii="Arial" w:cs="Arial" w:eastAsia="Arial" w:hAnsi="Arial"/>
          <w:sz w:val="17"/>
          <w:szCs w:val="17"/>
          <w:color w:val="auto"/>
        </w:rPr>
      </w:pPr>
    </w:p>
    <w:p>
      <w:pPr>
        <w:ind w:left="1260" w:hanging="496"/>
        <w:spacing w:after="0" w:line="308" w:lineRule="auto"/>
        <w:tabs>
          <w:tab w:leader="none" w:pos="1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this Clause 10.3 applies and the Agent or the Company so requires, the Agent and the Company shall enter into negotiations (for a period of not more than thirty (30) days) with a view to agreeing a substitute basis for determining the rate of interest.</w:t>
      </w:r>
    </w:p>
    <w:p>
      <w:pPr>
        <w:spacing w:after="0" w:line="173"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Company, be binding on all Parties.</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2"/>
          <w:numId w:val="111"/>
        </w:numPr>
        <w:rPr>
          <w:rFonts w:ascii="Arial" w:cs="Arial" w:eastAsia="Arial" w:hAnsi="Arial"/>
          <w:sz w:val="14"/>
          <w:szCs w:val="14"/>
          <w:color w:val="auto"/>
        </w:rPr>
      </w:pPr>
      <w:r>
        <w:rPr>
          <w:rFonts w:ascii="Arial" w:cs="Arial" w:eastAsia="Arial" w:hAnsi="Arial"/>
          <w:sz w:val="14"/>
          <w:szCs w:val="14"/>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ind w:left="1260" w:hanging="496"/>
        <w:spacing w:after="0" w:line="277" w:lineRule="auto"/>
        <w:tabs>
          <w:tab w:leader="none" w:pos="1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this Clause 10.3 applies but any Lender does not supply a quotation by the time specified in paragraph (a)(ii) above, the rate of interest shall be calculated on the basis of the quotations of the remaining Lenders.</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Break Costs</w:t>
      </w:r>
    </w:p>
    <w:p>
      <w:pPr>
        <w:spacing w:after="0" w:line="252" w:lineRule="exact"/>
        <w:rPr>
          <w:sz w:val="20"/>
          <w:szCs w:val="20"/>
          <w:color w:val="auto"/>
        </w:rPr>
      </w:pPr>
    </w:p>
    <w:p>
      <w:pPr>
        <w:jc w:val="both"/>
        <w:ind w:left="1260" w:hanging="496"/>
        <w:spacing w:after="0" w:line="263" w:lineRule="auto"/>
        <w:tabs>
          <w:tab w:leader="none" w:pos="12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Borrower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 together with reasonable details of how such Break Costs are calculated to the extent it does not require disclosing any confidential or price-sensitive information.</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Fees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Commitment fee</w:t>
      </w:r>
    </w:p>
    <w:p>
      <w:pPr>
        <w:spacing w:after="0" w:line="252" w:lineRule="exact"/>
        <w:rPr>
          <w:sz w:val="20"/>
          <w:szCs w:val="20"/>
          <w:color w:val="auto"/>
        </w:rPr>
      </w:pPr>
    </w:p>
    <w:p>
      <w:pPr>
        <w:ind w:left="1260" w:hanging="496"/>
        <w:spacing w:after="0" w:line="308" w:lineRule="auto"/>
        <w:tabs>
          <w:tab w:leader="none" w:pos="12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Borrowers undertake, on a joint and several basis, to pay to the Agent for the account of each Lender a fee in euros computed at the rate of thirty five per cent of the applicable Margin on that Lender's Available Commitment for the Availability Period.</w:t>
      </w:r>
    </w:p>
    <w:p>
      <w:pPr>
        <w:spacing w:after="0" w:line="173" w:lineRule="exact"/>
        <w:rPr>
          <w:rFonts w:ascii="Arial" w:cs="Arial" w:eastAsia="Arial" w:hAnsi="Arial"/>
          <w:sz w:val="17"/>
          <w:szCs w:val="17"/>
          <w:color w:val="auto"/>
        </w:rPr>
      </w:pPr>
    </w:p>
    <w:p>
      <w:pPr>
        <w:jc w:val="both"/>
        <w:ind w:left="1260" w:hanging="496"/>
        <w:spacing w:after="0" w:line="263" w:lineRule="auto"/>
        <w:tabs>
          <w:tab w:leader="none" w:pos="1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accrued commitment fee is payable on the last day of each successive period of three Months which ends during the relevant Availability Period, on the last day of the Availability Period and, if cancelled in full, on the cancelled amount of the relevant Lender's Commitment at the time the cancellation is effective.</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Utilisation fee</w:t>
      </w:r>
    </w:p>
    <w:p>
      <w:pPr>
        <w:spacing w:after="0" w:line="252" w:lineRule="exact"/>
        <w:rPr>
          <w:sz w:val="20"/>
          <w:szCs w:val="20"/>
          <w:color w:val="auto"/>
        </w:rPr>
      </w:pPr>
    </w:p>
    <w:p>
      <w:pPr>
        <w:ind w:left="1260" w:hanging="496"/>
        <w:spacing w:after="0" w:line="277" w:lineRule="auto"/>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Borrowers undertake, on a joint and several basis, to pay to the Agent for the account of each Lender a utilisation fee in euro computed on a day to day basis at the rate of:</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less than or equal to 33% of the Total Commitments, 0.05% on that Lender's participations in the outstanding Loans;</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higher than 33% but less than or equal to 66% of the Total Commitments, 0.10% on that Lender's participations in the outstanding Loans; and</w:t>
      </w:r>
    </w:p>
    <w:p>
      <w:pPr>
        <w:spacing w:after="0" w:line="197"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each day on which the aggregate amount of the Loans is higher than 66% of the Total Commitments, 0.25% on that Lender's participations in the outstanding Loans.</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accrued Utilisation Fee shall be payable in arrears on the last day of each successive period of three Months until the Maturity Date, and for the last time on the Maturity Date and, if the Commitment of a Lender is cancelled in full, on the cancelled amount of the relevant Lender's Commitment at the time the cancellation is effective.</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2"/>
          <w:numId w:val="116"/>
        </w:numPr>
        <w:rPr>
          <w:rFonts w:ascii="Arial" w:cs="Arial" w:eastAsia="Arial" w:hAnsi="Arial"/>
          <w:sz w:val="14"/>
          <w:szCs w:val="14"/>
          <w:color w:val="auto"/>
        </w:rPr>
      </w:pPr>
      <w:r>
        <w:rPr>
          <w:rFonts w:ascii="Arial" w:cs="Arial" w:eastAsia="Arial" w:hAnsi="Arial"/>
          <w:sz w:val="14"/>
          <w:szCs w:val="14"/>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Upfront Fee</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Borrowers undertake, on a joint and several basis, to pay to the Agent for the account of each Lender, an upfront fee in the amount and at the times agreed in a Fee Letter.</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Agency fee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Company shall pay to the Agent (for its own account) an agency fee in the amount and at the times agreed in a Fee Letter.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SECTION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PAYMENT OBLIGATIONS</w:t>
      </w:r>
    </w:p>
    <w:p>
      <w:pPr>
        <w:spacing w:after="0" w:line="222" w:lineRule="exact"/>
        <w:rPr>
          <w:sz w:val="20"/>
          <w:szCs w:val="20"/>
          <w:color w:val="auto"/>
        </w:rPr>
      </w:pPr>
    </w:p>
    <w:p>
      <w:pPr>
        <w:ind w:left="760" w:hanging="752"/>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 Gross up and Indemnities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7"/>
          <w:szCs w:val="17"/>
          <w:color w:val="auto"/>
        </w:rPr>
        <w:t>Definitions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39" w:lineRule="exact"/>
        <w:rPr>
          <w:sz w:val="20"/>
          <w:szCs w:val="20"/>
          <w:color w:val="auto"/>
        </w:rPr>
      </w:pPr>
    </w:p>
    <w:p>
      <w:pPr>
        <w:ind w:left="12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DTTP Filing</w:t>
      </w:r>
      <w:r>
        <w:rPr>
          <w:rFonts w:ascii="Arial" w:cs="Arial" w:eastAsia="Arial" w:hAnsi="Arial"/>
          <w:sz w:val="22"/>
          <w:szCs w:val="22"/>
          <w:color w:val="auto"/>
        </w:rPr>
        <w:t>" means an HM Revenue &amp; Customs' Form DTTP2 duly completed and filed by the UK Obligor, which:</w:t>
      </w:r>
    </w:p>
    <w:p>
      <w:pPr>
        <w:spacing w:after="0" w:line="202" w:lineRule="exact"/>
        <w:rPr>
          <w:sz w:val="20"/>
          <w:szCs w:val="20"/>
          <w:color w:val="auto"/>
        </w:rPr>
      </w:pPr>
    </w:p>
    <w:p>
      <w:pPr>
        <w:jc w:val="both"/>
        <w:ind w:left="1780" w:hanging="503"/>
        <w:spacing w:after="0" w:line="259" w:lineRule="auto"/>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it relates to a Treaty Lender that is an Original Lender, contains the scheme reference number and jurisdiction of tax residence stated opposite that Lender's name under the heading "Treaty Passport scheme reference number and jurisdiction of tax residence (if applicable)" in Schedule 1 (</w:t>
      </w:r>
      <w:r>
        <w:rPr>
          <w:rFonts w:ascii="Arial" w:cs="Arial" w:eastAsia="Arial" w:hAnsi="Arial"/>
          <w:sz w:val="18"/>
          <w:szCs w:val="18"/>
          <w:i w:val="1"/>
          <w:iCs w:val="1"/>
          <w:color w:val="auto"/>
        </w:rPr>
        <w:t>The Original Lenders</w:t>
      </w:r>
      <w:r>
        <w:rPr>
          <w:rFonts w:ascii="Arial" w:cs="Arial" w:eastAsia="Arial" w:hAnsi="Arial"/>
          <w:sz w:val="18"/>
          <w:szCs w:val="18"/>
          <w:color w:val="auto"/>
        </w:rPr>
        <w:t>), and is filed with HM Revenue &amp; Customs within 30 days of the date of this Agreement; or</w:t>
      </w:r>
    </w:p>
    <w:p>
      <w:pPr>
        <w:spacing w:after="0" w:line="213"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it relates to a Treaty Lender that is a New Lender, contains the scheme reference number and jurisdiction of tax residence stated in respect of that Lender in the relevant Transfer Certificate, and is filed with HM Revenue &amp; Customs within 30 days of that Transfer Date.</w:t>
      </w:r>
    </w:p>
    <w:p>
      <w:pPr>
        <w:spacing w:after="0" w:line="197" w:lineRule="exact"/>
        <w:rPr>
          <w:sz w:val="20"/>
          <w:szCs w:val="20"/>
          <w:color w:val="auto"/>
        </w:rPr>
      </w:pPr>
    </w:p>
    <w:p>
      <w:pPr>
        <w:jc w:val="both"/>
        <w:ind w:left="128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Non-Cooperative Jurisdiction</w:t>
      </w:r>
      <w:r>
        <w:rPr>
          <w:rFonts w:ascii="Arial" w:cs="Arial" w:eastAsia="Arial" w:hAnsi="Arial"/>
          <w:sz w:val="22"/>
          <w:szCs w:val="22"/>
          <w:color w:val="auto"/>
        </w:rPr>
        <w:t>" means a non-cooperative state or territory (</w:t>
      </w:r>
      <w:r>
        <w:rPr>
          <w:rFonts w:ascii="Arial" w:cs="Arial" w:eastAsia="Arial" w:hAnsi="Arial"/>
          <w:sz w:val="22"/>
          <w:szCs w:val="22"/>
          <w:i w:val="1"/>
          <w:iCs w:val="1"/>
          <w:color w:val="auto"/>
        </w:rPr>
        <w:t>Etat ou territoire non-coopératif</w:t>
      </w:r>
      <w:r>
        <w:rPr>
          <w:rFonts w:ascii="Arial" w:cs="Arial" w:eastAsia="Arial" w:hAnsi="Arial"/>
          <w:sz w:val="22"/>
          <w:szCs w:val="22"/>
          <w:color w:val="auto"/>
        </w:rPr>
        <w:t xml:space="preserve">) as set out in the list referred to in Article 238-0 A of the French </w:t>
      </w:r>
      <w:r>
        <w:rPr>
          <w:rFonts w:ascii="Arial" w:cs="Arial" w:eastAsia="Arial" w:hAnsi="Arial"/>
          <w:sz w:val="22"/>
          <w:szCs w:val="22"/>
          <w:i w:val="1"/>
          <w:iCs w:val="1"/>
          <w:color w:val="auto"/>
        </w:rPr>
        <w:t>Code général des impôts</w:t>
      </w:r>
      <w:r>
        <w:rPr>
          <w:rFonts w:ascii="Arial" w:cs="Arial" w:eastAsia="Arial" w:hAnsi="Arial"/>
          <w:sz w:val="22"/>
          <w:szCs w:val="22"/>
          <w:color w:val="auto"/>
        </w:rPr>
        <w:t xml:space="preserve"> as such list may be amended from time to time.</w:t>
      </w:r>
    </w:p>
    <w:p>
      <w:pPr>
        <w:spacing w:after="0" w:line="204" w:lineRule="exact"/>
        <w:rPr>
          <w:sz w:val="20"/>
          <w:szCs w:val="20"/>
          <w:color w:val="auto"/>
        </w:rPr>
      </w:pPr>
    </w:p>
    <w:p>
      <w:pPr>
        <w:jc w:val="both"/>
        <w:ind w:left="128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Protected Party</w:t>
      </w:r>
      <w:r>
        <w:rPr>
          <w:rFonts w:ascii="Arial" w:cs="Arial" w:eastAsia="Arial" w:hAnsi="Arial"/>
          <w:sz w:val="22"/>
          <w:szCs w:val="22"/>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20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Lender</w:t>
      </w:r>
      <w:r>
        <w:rPr>
          <w:rFonts w:ascii="Arial" w:cs="Arial" w:eastAsia="Arial" w:hAnsi="Arial"/>
          <w:sz w:val="22"/>
          <w:szCs w:val="22"/>
          <w:color w:val="auto"/>
        </w:rPr>
        <w:t>" means</w:t>
      </w:r>
    </w:p>
    <w:p>
      <w:pPr>
        <w:spacing w:after="0" w:line="246" w:lineRule="exact"/>
        <w:rPr>
          <w:sz w:val="20"/>
          <w:szCs w:val="20"/>
          <w:color w:val="auto"/>
        </w:rPr>
      </w:pPr>
    </w:p>
    <w:p>
      <w:pPr>
        <w:ind w:left="1780" w:hanging="503"/>
        <w:spacing w:after="0"/>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the UK:</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Finance Document and is:</w:t>
      </w:r>
    </w:p>
    <w:p>
      <w:pPr>
        <w:spacing w:after="0" w:line="197" w:lineRule="exact"/>
        <w:rPr>
          <w:rFonts w:ascii="Arial" w:cs="Arial" w:eastAsia="Arial" w:hAnsi="Arial"/>
          <w:sz w:val="18"/>
          <w:szCs w:val="18"/>
          <w:color w:val="auto"/>
        </w:rPr>
      </w:pPr>
    </w:p>
    <w:p>
      <w:pPr>
        <w:ind w:left="2800" w:hanging="497"/>
        <w:spacing w:after="0"/>
        <w:tabs>
          <w:tab w:leader="none" w:pos="28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Lender:</w:t>
      </w:r>
    </w:p>
    <w:p>
      <w:pPr>
        <w:spacing w:after="0" w:line="252" w:lineRule="exact"/>
        <w:rPr>
          <w:rFonts w:ascii="Arial" w:cs="Arial" w:eastAsia="Arial" w:hAnsi="Arial"/>
          <w:sz w:val="18"/>
          <w:szCs w:val="18"/>
          <w:color w:val="auto"/>
        </w:rPr>
      </w:pPr>
    </w:p>
    <w:p>
      <w:pPr>
        <w:jc w:val="both"/>
        <w:ind w:left="3300" w:hanging="498"/>
        <w:spacing w:after="0" w:line="259" w:lineRule="auto"/>
        <w:tabs>
          <w:tab w:leader="none" w:pos="3300" w:val="left"/>
        </w:tabs>
        <w:numPr>
          <w:ilvl w:val="3"/>
          <w:numId w:val="119"/>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UK corporation tax as respects any payments of interest made in respect of that advance or would be within such charge as respects such payments apart from section 18A of the CTA; or</w:t>
      </w:r>
    </w:p>
    <w:p>
      <w:pPr>
        <w:spacing w:after="0" w:line="213" w:lineRule="exact"/>
        <w:rPr>
          <w:rFonts w:ascii="Arial" w:cs="Arial" w:eastAsia="Arial" w:hAnsi="Arial"/>
          <w:sz w:val="18"/>
          <w:szCs w:val="18"/>
          <w:color w:val="auto"/>
        </w:rPr>
      </w:pPr>
    </w:p>
    <w:p>
      <w:pPr>
        <w:jc w:val="both"/>
        <w:ind w:left="3300" w:hanging="498"/>
        <w:spacing w:after="0" w:line="286" w:lineRule="auto"/>
        <w:tabs>
          <w:tab w:leader="none" w:pos="3300" w:val="left"/>
        </w:tabs>
        <w:numPr>
          <w:ilvl w:val="3"/>
          <w:numId w:val="119"/>
        </w:numPr>
        <w:rPr>
          <w:rFonts w:ascii="Arial" w:cs="Arial" w:eastAsia="Arial" w:hAnsi="Arial"/>
          <w:sz w:val="17"/>
          <w:szCs w:val="17"/>
          <w:color w:val="auto"/>
        </w:rPr>
      </w:pPr>
      <w:r>
        <w:rPr>
          <w:rFonts w:ascii="Arial" w:cs="Arial" w:eastAsia="Arial" w:hAnsi="Arial"/>
          <w:sz w:val="17"/>
          <w:szCs w:val="17"/>
          <w:color w:val="auto"/>
        </w:rPr>
        <w:t>in respect of an advance made under a Finance Document by a person that was a bank (as defined for the purpose of section 879 of the ITA) at the time that that advance was made and within the charge to UK corporation tax as respects any payments of interest made in respect of that advance; or</w:t>
      </w:r>
    </w:p>
    <w:p>
      <w:pPr>
        <w:spacing w:after="0" w:line="363" w:lineRule="exact"/>
        <w:rPr>
          <w:rFonts w:ascii="Arial" w:cs="Arial" w:eastAsia="Arial" w:hAnsi="Arial"/>
          <w:sz w:val="17"/>
          <w:szCs w:val="17"/>
          <w:color w:val="auto"/>
        </w:rPr>
      </w:pPr>
    </w:p>
    <w:p>
      <w:pPr>
        <w:ind w:left="5560" w:hanging="92"/>
        <w:spacing w:after="0"/>
        <w:tabs>
          <w:tab w:leader="none" w:pos="5560" w:val="left"/>
        </w:tabs>
        <w:numPr>
          <w:ilvl w:val="4"/>
          <w:numId w:val="119"/>
        </w:numPr>
        <w:rPr>
          <w:rFonts w:ascii="Arial" w:cs="Arial" w:eastAsia="Arial" w:hAnsi="Arial"/>
          <w:sz w:val="14"/>
          <w:szCs w:val="14"/>
          <w:color w:val="auto"/>
        </w:rPr>
      </w:pPr>
      <w:r>
        <w:rPr>
          <w:rFonts w:ascii="Arial" w:cs="Arial" w:eastAsia="Arial" w:hAnsi="Arial"/>
          <w:sz w:val="14"/>
          <w:szCs w:val="14"/>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ind w:left="1680" w:hanging="497"/>
        <w:spacing w:after="0"/>
        <w:tabs>
          <w:tab w:leader="none" w:pos="16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252" w:lineRule="exact"/>
        <w:rPr>
          <w:rFonts w:ascii="Arial" w:cs="Arial" w:eastAsia="Arial" w:hAnsi="Arial"/>
          <w:sz w:val="18"/>
          <w:szCs w:val="18"/>
          <w:color w:val="auto"/>
        </w:rPr>
      </w:pPr>
    </w:p>
    <w:p>
      <w:pPr>
        <w:ind w:left="2180" w:hanging="498"/>
        <w:spacing w:after="0"/>
        <w:tabs>
          <w:tab w:leader="none" w:pos="2180" w:val="left"/>
        </w:tabs>
        <w:numPr>
          <w:ilvl w:val="3"/>
          <w:numId w:val="120"/>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252" w:lineRule="exact"/>
        <w:rPr>
          <w:rFonts w:ascii="Arial" w:cs="Arial" w:eastAsia="Arial" w:hAnsi="Arial"/>
          <w:sz w:val="18"/>
          <w:szCs w:val="18"/>
          <w:color w:val="auto"/>
        </w:rPr>
      </w:pPr>
    </w:p>
    <w:p>
      <w:pPr>
        <w:ind w:left="2180" w:hanging="498"/>
        <w:spacing w:after="0"/>
        <w:tabs>
          <w:tab w:leader="none" w:pos="2180" w:val="left"/>
        </w:tabs>
        <w:numPr>
          <w:ilvl w:val="3"/>
          <w:numId w:val="120"/>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2700" w:hanging="505"/>
        <w:spacing w:after="0"/>
        <w:tabs>
          <w:tab w:leader="none" w:pos="2700" w:val="left"/>
        </w:tabs>
        <w:numPr>
          <w:ilvl w:val="4"/>
          <w:numId w:val="120"/>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252" w:lineRule="exact"/>
        <w:rPr>
          <w:rFonts w:ascii="Arial" w:cs="Arial" w:eastAsia="Arial" w:hAnsi="Arial"/>
          <w:sz w:val="18"/>
          <w:szCs w:val="18"/>
          <w:color w:val="auto"/>
        </w:rPr>
      </w:pPr>
    </w:p>
    <w:p>
      <w:pPr>
        <w:jc w:val="both"/>
        <w:ind w:left="2700" w:hanging="505"/>
        <w:spacing w:after="0" w:line="259" w:lineRule="auto"/>
        <w:tabs>
          <w:tab w:leader="none" w:pos="2700" w:val="left"/>
        </w:tabs>
        <w:numPr>
          <w:ilvl w:val="4"/>
          <w:numId w:val="120"/>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213" w:lineRule="exact"/>
        <w:rPr>
          <w:rFonts w:ascii="Arial" w:cs="Arial" w:eastAsia="Arial" w:hAnsi="Arial"/>
          <w:sz w:val="18"/>
          <w:szCs w:val="18"/>
          <w:color w:val="auto"/>
        </w:rPr>
      </w:pPr>
    </w:p>
    <w:p>
      <w:pPr>
        <w:jc w:val="both"/>
        <w:ind w:left="2180" w:hanging="498"/>
        <w:spacing w:after="0" w:line="263" w:lineRule="auto"/>
        <w:tabs>
          <w:tab w:leader="none" w:pos="2180" w:val="left"/>
        </w:tabs>
        <w:numPr>
          <w:ilvl w:val="3"/>
          <w:numId w:val="120"/>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 or</w:t>
      </w:r>
    </w:p>
    <w:p>
      <w:pPr>
        <w:spacing w:after="0" w:line="210" w:lineRule="exact"/>
        <w:rPr>
          <w:rFonts w:ascii="Arial" w:cs="Arial" w:eastAsia="Arial" w:hAnsi="Arial"/>
          <w:sz w:val="18"/>
          <w:szCs w:val="18"/>
          <w:color w:val="auto"/>
        </w:rPr>
      </w:pPr>
    </w:p>
    <w:p>
      <w:pPr>
        <w:ind w:left="1680" w:hanging="497"/>
        <w:spacing w:after="0"/>
        <w:tabs>
          <w:tab w:leader="none" w:pos="16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 Treaty Lender in respect of the UK; or</w:t>
      </w:r>
    </w:p>
    <w:p>
      <w:pPr>
        <w:spacing w:after="0" w:line="252" w:lineRule="exact"/>
        <w:rPr>
          <w:rFonts w:ascii="Arial" w:cs="Arial" w:eastAsia="Arial" w:hAnsi="Arial"/>
          <w:sz w:val="18"/>
          <w:szCs w:val="18"/>
          <w:color w:val="auto"/>
        </w:rPr>
      </w:pPr>
    </w:p>
    <w:p>
      <w:pPr>
        <w:ind w:left="1160" w:hanging="490"/>
        <w:spacing w:after="0" w:line="277" w:lineRule="auto"/>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 making an advance under a Finance Document; and</w:t>
      </w:r>
    </w:p>
    <w:p>
      <w:pPr>
        <w:spacing w:after="0" w:line="197" w:lineRule="exact"/>
        <w:rPr>
          <w:rFonts w:ascii="Arial" w:cs="Arial" w:eastAsia="Arial" w:hAnsi="Arial"/>
          <w:sz w:val="18"/>
          <w:szCs w:val="18"/>
          <w:color w:val="auto"/>
        </w:rPr>
      </w:pPr>
    </w:p>
    <w:p>
      <w:pPr>
        <w:ind w:left="660" w:hanging="503"/>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relation to a Tax Deduction in respect of Tax imposed by France, a Lender which is beneficially entitled to payments payable to that Lender under a Finance Document and which:</w:t>
      </w:r>
    </w:p>
    <w:p>
      <w:pPr>
        <w:spacing w:after="0" w:line="197" w:lineRule="exact"/>
        <w:rPr>
          <w:rFonts w:ascii="Arial" w:cs="Arial" w:eastAsia="Arial" w:hAnsi="Arial"/>
          <w:sz w:val="18"/>
          <w:szCs w:val="18"/>
          <w:color w:val="auto"/>
        </w:rPr>
      </w:pPr>
    </w:p>
    <w:p>
      <w:pPr>
        <w:ind w:left="1160" w:hanging="490"/>
        <w:spacing w:after="0" w:line="277" w:lineRule="auto"/>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fulfils the conditions imposed by French Law in order for any payment under the Finance Documents not to be subject to (or as the case may be, to be exempt from) any Tax Deduction; or</w:t>
      </w:r>
    </w:p>
    <w:p>
      <w:pPr>
        <w:spacing w:after="0" w:line="197" w:lineRule="exact"/>
        <w:rPr>
          <w:sz w:val="20"/>
          <w:szCs w:val="20"/>
          <w:color w:val="auto"/>
        </w:rPr>
      </w:pPr>
    </w:p>
    <w:p>
      <w:pPr>
        <w:ind w:left="1160" w:hanging="490"/>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 a Treaty Lender, in respect of France.</w:t>
      </w:r>
    </w:p>
    <w:p>
      <w:pPr>
        <w:spacing w:after="0" w:line="239" w:lineRule="exact"/>
        <w:rPr>
          <w:sz w:val="20"/>
          <w:szCs w:val="20"/>
          <w:color w:val="auto"/>
        </w:rPr>
      </w:pPr>
    </w:p>
    <w:p>
      <w:pPr>
        <w:ind w:left="1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Confirmation</w:t>
      </w:r>
      <w:r>
        <w:rPr>
          <w:rFonts w:ascii="Arial" w:cs="Arial" w:eastAsia="Arial" w:hAnsi="Arial"/>
          <w:sz w:val="22"/>
          <w:szCs w:val="22"/>
          <w:color w:val="auto"/>
        </w:rPr>
        <w:t>" means a confirmation by a Lender that the person beneficially entitled to interest payable to that Lender in respect of an advance under a Finance Document is either:</w:t>
      </w:r>
    </w:p>
    <w:p>
      <w:pPr>
        <w:spacing w:after="0" w:line="202" w:lineRule="exact"/>
        <w:rPr>
          <w:sz w:val="20"/>
          <w:szCs w:val="20"/>
          <w:color w:val="auto"/>
        </w:rPr>
      </w:pPr>
    </w:p>
    <w:p>
      <w:pPr>
        <w:ind w:left="660" w:hanging="503"/>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252" w:lineRule="exact"/>
        <w:rPr>
          <w:rFonts w:ascii="Arial" w:cs="Arial" w:eastAsia="Arial" w:hAnsi="Arial"/>
          <w:sz w:val="18"/>
          <w:szCs w:val="18"/>
          <w:color w:val="auto"/>
        </w:rPr>
      </w:pPr>
    </w:p>
    <w:p>
      <w:pPr>
        <w:ind w:left="660" w:hanging="503"/>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1160" w:hanging="490"/>
        <w:spacing w:after="0"/>
        <w:tabs>
          <w:tab w:leader="none" w:pos="11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company so resident in the UK; or</w:t>
      </w:r>
    </w:p>
    <w:p>
      <w:pPr>
        <w:spacing w:after="0" w:line="252" w:lineRule="exact"/>
        <w:rPr>
          <w:rFonts w:ascii="Arial" w:cs="Arial" w:eastAsia="Arial" w:hAnsi="Arial"/>
          <w:sz w:val="18"/>
          <w:szCs w:val="18"/>
          <w:color w:val="auto"/>
        </w:rPr>
      </w:pPr>
    </w:p>
    <w:p>
      <w:pPr>
        <w:jc w:val="both"/>
        <w:ind w:left="1160" w:hanging="490"/>
        <w:spacing w:after="0" w:line="286" w:lineRule="auto"/>
        <w:tabs>
          <w:tab w:leader="none" w:pos="11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363" w:lineRule="exact"/>
        <w:rPr>
          <w:rFonts w:ascii="Arial" w:cs="Arial" w:eastAsia="Arial" w:hAnsi="Arial"/>
          <w:sz w:val="17"/>
          <w:szCs w:val="17"/>
          <w:color w:val="auto"/>
        </w:rPr>
      </w:pPr>
    </w:p>
    <w:p>
      <w:pPr>
        <w:ind w:left="4440" w:hanging="92"/>
        <w:spacing w:after="0"/>
        <w:tabs>
          <w:tab w:leader="none" w:pos="4440" w:val="left"/>
        </w:tabs>
        <w:numPr>
          <w:ilvl w:val="2"/>
          <w:numId w:val="124"/>
        </w:numPr>
        <w:rPr>
          <w:rFonts w:ascii="Arial" w:cs="Arial" w:eastAsia="Arial" w:hAnsi="Arial"/>
          <w:sz w:val="14"/>
          <w:szCs w:val="14"/>
          <w:color w:val="auto"/>
        </w:rPr>
      </w:pPr>
      <w:r>
        <w:rPr>
          <w:rFonts w:ascii="Arial" w:cs="Arial" w:eastAsia="Arial" w:hAnsi="Arial"/>
          <w:sz w:val="14"/>
          <w:szCs w:val="14"/>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81" w:name="page82"/>
    <w:bookmarkEnd w:id="81"/>
    <w:p>
      <w:pPr>
        <w:jc w:val="both"/>
        <w:ind w:left="660" w:hanging="503"/>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Credit</w:t>
      </w:r>
      <w:r>
        <w:rPr>
          <w:rFonts w:ascii="Arial" w:cs="Arial" w:eastAsia="Arial" w:hAnsi="Arial"/>
          <w:sz w:val="22"/>
          <w:szCs w:val="22"/>
          <w:color w:val="auto"/>
        </w:rPr>
        <w:t>" means a credit against, relief or remission for, or repayment of any Tax.</w:t>
      </w:r>
    </w:p>
    <w:p>
      <w:pPr>
        <w:spacing w:after="0" w:line="233" w:lineRule="exact"/>
        <w:rPr>
          <w:sz w:val="20"/>
          <w:szCs w:val="20"/>
          <w:color w:val="auto"/>
        </w:rPr>
      </w:pPr>
    </w:p>
    <w:p>
      <w:pPr>
        <w:ind w:left="16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means a deduction or withholding for or on account of Tax from a payment under a Finance Document, other than a FATCA Deduction.</w:t>
      </w:r>
    </w:p>
    <w:p>
      <w:pPr>
        <w:spacing w:after="0" w:line="189" w:lineRule="exact"/>
        <w:rPr>
          <w:sz w:val="20"/>
          <w:szCs w:val="20"/>
          <w:color w:val="auto"/>
        </w:rPr>
      </w:pPr>
    </w:p>
    <w:p>
      <w:pPr>
        <w:ind w:left="1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Payment</w:t>
      </w:r>
      <w:r>
        <w:rPr>
          <w:rFonts w:ascii="Arial" w:cs="Arial" w:eastAsia="Arial" w:hAnsi="Arial"/>
          <w:sz w:val="22"/>
          <w:szCs w:val="22"/>
          <w:color w:val="auto"/>
        </w:rPr>
        <w:t>" means either the increase in a payment made by an Obligor to a Finance Party under Clause 12.2 (</w:t>
      </w:r>
      <w:r>
        <w:rPr>
          <w:rFonts w:ascii="Arial" w:cs="Arial" w:eastAsia="Arial" w:hAnsi="Arial"/>
          <w:sz w:val="22"/>
          <w:szCs w:val="22"/>
          <w:i w:val="1"/>
          <w:iCs w:val="1"/>
          <w:color w:val="auto"/>
        </w:rPr>
        <w:t>Tax gross-up</w:t>
      </w:r>
      <w:r>
        <w:rPr>
          <w:rFonts w:ascii="Arial" w:cs="Arial" w:eastAsia="Arial" w:hAnsi="Arial"/>
          <w:sz w:val="22"/>
          <w:szCs w:val="22"/>
          <w:color w:val="auto"/>
        </w:rPr>
        <w:t>) or a payment under Clause 12.3 (</w:t>
      </w:r>
      <w:r>
        <w:rPr>
          <w:rFonts w:ascii="Arial" w:cs="Arial" w:eastAsia="Arial" w:hAnsi="Arial"/>
          <w:sz w:val="22"/>
          <w:szCs w:val="22"/>
          <w:i w:val="1"/>
          <w:iCs w:val="1"/>
          <w:color w:val="auto"/>
        </w:rPr>
        <w:t>Tax indemnity</w:t>
      </w:r>
      <w:r>
        <w:rPr>
          <w:rFonts w:ascii="Arial" w:cs="Arial" w:eastAsia="Arial" w:hAnsi="Arial"/>
          <w:sz w:val="22"/>
          <w:szCs w:val="22"/>
          <w:color w:val="auto"/>
        </w:rPr>
        <w: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Treaty Lender</w:t>
      </w:r>
      <w:r>
        <w:rPr>
          <w:rFonts w:ascii="Arial" w:cs="Arial" w:eastAsia="Arial" w:hAnsi="Arial"/>
          <w:sz w:val="22"/>
          <w:szCs w:val="22"/>
          <w:color w:val="auto"/>
        </w:rPr>
        <w:t>" means a Lender which:</w:t>
      </w:r>
    </w:p>
    <w:p>
      <w:pPr>
        <w:spacing w:after="0" w:line="246" w:lineRule="exact"/>
        <w:rPr>
          <w:sz w:val="20"/>
          <w:szCs w:val="20"/>
          <w:color w:val="auto"/>
        </w:rPr>
      </w:pPr>
    </w:p>
    <w:p>
      <w:pPr>
        <w:ind w:left="660" w:hanging="503"/>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 and</w:t>
      </w:r>
    </w:p>
    <w:p>
      <w:pPr>
        <w:spacing w:after="0" w:line="252" w:lineRule="exact"/>
        <w:rPr>
          <w:rFonts w:ascii="Arial" w:cs="Arial" w:eastAsia="Arial" w:hAnsi="Arial"/>
          <w:sz w:val="18"/>
          <w:szCs w:val="18"/>
          <w:color w:val="auto"/>
        </w:rPr>
      </w:pPr>
    </w:p>
    <w:p>
      <w:pPr>
        <w:ind w:left="660" w:hanging="503"/>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does not carry on a business in the relevant Obligor's jurisdiction of tax residence through a permanent establishment with which that Lender's participation in the Loan is effectively connected;</w:t>
      </w:r>
    </w:p>
    <w:p>
      <w:pPr>
        <w:spacing w:after="0" w:line="197" w:lineRule="exact"/>
        <w:rPr>
          <w:rFonts w:ascii="Arial" w:cs="Arial" w:eastAsia="Arial" w:hAnsi="Arial"/>
          <w:sz w:val="18"/>
          <w:szCs w:val="18"/>
          <w:color w:val="auto"/>
        </w:rPr>
      </w:pPr>
    </w:p>
    <w:p>
      <w:pPr>
        <w:ind w:left="660" w:hanging="503"/>
        <w:spacing w:after="0" w:line="342"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at the time interest falls due, meets all other conditions in the relevant Treaty for full exemption from Tax imposed by the relevant Borrower's jurisdiction of tax residence on interest, subject to the completion of any necessary procedural formalities; and</w:t>
      </w:r>
    </w:p>
    <w:p>
      <w:pPr>
        <w:spacing w:after="0" w:line="150" w:lineRule="exact"/>
        <w:rPr>
          <w:rFonts w:ascii="Arial" w:cs="Arial" w:eastAsia="Arial" w:hAnsi="Arial"/>
          <w:sz w:val="16"/>
          <w:szCs w:val="16"/>
          <w:color w:val="auto"/>
        </w:rPr>
      </w:pPr>
    </w:p>
    <w:p>
      <w:pPr>
        <w:jc w:val="both"/>
        <w:ind w:left="660" w:hanging="503"/>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payments by the French Borrower only, is acting from a Facility Office situated in its jurisdiction of incorporation and fulfils any other conditions which must be fulfilled under the Treaty by residents of the Treaty State for such residents to obtain exemption from Tax imposed on any payment under the Finance Documents by France.</w:t>
      </w:r>
    </w:p>
    <w:p>
      <w:pPr>
        <w:spacing w:after="0" w:line="197" w:lineRule="exact"/>
        <w:rPr>
          <w:sz w:val="20"/>
          <w:szCs w:val="20"/>
          <w:color w:val="auto"/>
        </w:rPr>
      </w:pPr>
    </w:p>
    <w:p>
      <w:pPr>
        <w:jc w:val="both"/>
        <w:ind w:left="16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Treaty State</w:t>
      </w:r>
      <w:r>
        <w:rPr>
          <w:rFonts w:ascii="Arial" w:cs="Arial" w:eastAsia="Arial" w:hAnsi="Arial"/>
          <w:sz w:val="19"/>
          <w:szCs w:val="19"/>
          <w:color w:val="auto"/>
        </w:rPr>
        <w:t>" means a jurisdiction having a double taxation agreement (a "</w:t>
      </w:r>
      <w:r>
        <w:rPr>
          <w:rFonts w:ascii="Arial" w:cs="Arial" w:eastAsia="Arial" w:hAnsi="Arial"/>
          <w:sz w:val="19"/>
          <w:szCs w:val="19"/>
          <w:b w:val="1"/>
          <w:bCs w:val="1"/>
          <w:color w:val="auto"/>
        </w:rPr>
        <w:t>Treaty</w:t>
      </w:r>
      <w:r>
        <w:rPr>
          <w:rFonts w:ascii="Arial" w:cs="Arial" w:eastAsia="Arial" w:hAnsi="Arial"/>
          <w:sz w:val="19"/>
          <w:szCs w:val="19"/>
          <w:color w:val="auto"/>
        </w:rPr>
        <w:t>") with the relevant Obligor's jurisdiction of tax residence which makes provision for full exemption from tax imposed by that jurisdiction on payments made under the Finance Documents, subject to the completion of any necessary procedural formalities.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Borrower</w:t>
      </w:r>
      <w:r>
        <w:rPr>
          <w:rFonts w:ascii="Arial" w:cs="Arial" w:eastAsia="Arial" w:hAnsi="Arial"/>
          <w:sz w:val="22"/>
          <w:szCs w:val="22"/>
          <w:color w:val="auto"/>
        </w:rPr>
        <w:t>" means TechnipFMC plc (in its capacity as Borrower).</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Guarantor</w:t>
      </w:r>
      <w:r>
        <w:rPr>
          <w:rFonts w:ascii="Arial" w:cs="Arial" w:eastAsia="Arial" w:hAnsi="Arial"/>
          <w:sz w:val="22"/>
          <w:szCs w:val="22"/>
          <w:color w:val="auto"/>
        </w:rPr>
        <w:t>" means TechnipFMC plc (in its capacity as Guarantor).</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Obligor</w:t>
      </w:r>
      <w:r>
        <w:rPr>
          <w:rFonts w:ascii="Arial" w:cs="Arial" w:eastAsia="Arial" w:hAnsi="Arial"/>
          <w:sz w:val="22"/>
          <w:szCs w:val="22"/>
          <w:color w:val="auto"/>
        </w:rPr>
        <w:t>" means TechnipFMC plc (in its capacity as Borrower or Guarantor).</w:t>
      </w:r>
    </w:p>
    <w:p>
      <w:pPr>
        <w:spacing w:after="0" w:line="233" w:lineRule="exact"/>
        <w:rPr>
          <w:sz w:val="20"/>
          <w:szCs w:val="20"/>
          <w:color w:val="auto"/>
        </w:rPr>
      </w:pPr>
    </w:p>
    <w:p>
      <w:pPr>
        <w:jc w:val="both"/>
        <w:ind w:left="16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Non-Bank Lender</w:t>
      </w:r>
      <w:r>
        <w:rPr>
          <w:rFonts w:ascii="Arial" w:cs="Arial" w:eastAsia="Arial" w:hAnsi="Arial"/>
          <w:sz w:val="22"/>
          <w:szCs w:val="22"/>
          <w:color w:val="auto"/>
        </w:rPr>
        <w:t>" means, where a Lender becomes a Party after the day on which this Agreement is entered into, a Lender which gives a Tax Confirmation in the Transfer Certificate which it executes on becoming a Party.</w:t>
      </w:r>
    </w:p>
    <w:p>
      <w:pPr>
        <w:spacing w:after="0" w:line="388"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82" w:name="page83"/>
    <w:bookmarkEnd w:id="82"/>
    <w:p>
      <w:pPr>
        <w:ind w:left="1260" w:right="20" w:hanging="496"/>
        <w:spacing w:after="0" w:line="282" w:lineRule="auto"/>
        <w:tabs>
          <w:tab w:leader="none" w:pos="1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Tax gross-up</w:t>
      </w:r>
    </w:p>
    <w:p>
      <w:pPr>
        <w:spacing w:after="0" w:line="252" w:lineRule="exact"/>
        <w:rPr>
          <w:sz w:val="20"/>
          <w:szCs w:val="20"/>
          <w:color w:val="auto"/>
        </w:rPr>
      </w:pPr>
    </w:p>
    <w:p>
      <w:pPr>
        <w:ind w:left="1260" w:hanging="496"/>
        <w:spacing w:after="0"/>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Obligor shall make all payments to be made by it without any Tax Deduction, unless a Tax Deduction is required by law.</w:t>
      </w:r>
    </w:p>
    <w:p>
      <w:pPr>
        <w:spacing w:after="0" w:line="263" w:lineRule="exact"/>
        <w:rPr>
          <w:rFonts w:ascii="Arial" w:cs="Arial" w:eastAsia="Arial" w:hAnsi="Arial"/>
          <w:sz w:val="17"/>
          <w:szCs w:val="17"/>
          <w:color w:val="auto"/>
        </w:rPr>
      </w:pPr>
    </w:p>
    <w:p>
      <w:pPr>
        <w:jc w:val="both"/>
        <w:ind w:left="1260" w:hanging="496"/>
        <w:spacing w:after="0" w:line="286" w:lineRule="auto"/>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shall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w:t>
      </w:r>
    </w:p>
    <w:p>
      <w:pPr>
        <w:spacing w:after="0" w:line="192" w:lineRule="exact"/>
        <w:rPr>
          <w:rFonts w:ascii="Arial" w:cs="Arial" w:eastAsia="Arial" w:hAnsi="Arial"/>
          <w:sz w:val="17"/>
          <w:szCs w:val="17"/>
          <w:color w:val="auto"/>
        </w:rPr>
      </w:pPr>
    </w:p>
    <w:p>
      <w:pPr>
        <w:jc w:val="both"/>
        <w:ind w:left="1260" w:right="20" w:hanging="496"/>
        <w:spacing w:after="0" w:line="263"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payment shall not be increased under paragraph (c) above by reason of a Tax Deduction on account of Tax, if on the date on which the payment falls due:</w:t>
      </w:r>
    </w:p>
    <w:p>
      <w:pPr>
        <w:spacing w:after="0" w:line="197"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213"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197" w:lineRule="exact"/>
        <w:rPr>
          <w:rFonts w:ascii="Arial" w:cs="Arial" w:eastAsia="Arial" w:hAnsi="Arial"/>
          <w:sz w:val="18"/>
          <w:szCs w:val="18"/>
          <w:color w:val="auto"/>
        </w:rPr>
      </w:pPr>
    </w:p>
    <w:p>
      <w:pPr>
        <w:jc w:val="both"/>
        <w:ind w:left="2280" w:right="20" w:hanging="490"/>
        <w:spacing w:after="0" w:line="263" w:lineRule="auto"/>
        <w:tabs>
          <w:tab w:leader="none" w:pos="22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"Direction") under section 931 of the ITA which relates to the payment and that Lender has received from the Obligor making the payment or from the Company a certified copy of that Direction; and</w:t>
      </w:r>
    </w:p>
    <w:p>
      <w:pPr>
        <w:spacing w:after="0" w:line="210" w:lineRule="exact"/>
        <w:rPr>
          <w:rFonts w:ascii="Arial" w:cs="Arial" w:eastAsia="Arial" w:hAnsi="Arial"/>
          <w:sz w:val="18"/>
          <w:szCs w:val="18"/>
          <w:color w:val="auto"/>
        </w:rPr>
      </w:pPr>
    </w:p>
    <w:p>
      <w:pPr>
        <w:ind w:left="2280" w:hanging="490"/>
        <w:spacing w:after="0"/>
        <w:tabs>
          <w:tab w:leader="none" w:pos="228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the payment could have been made to the Lender without any Tax Deduction if that Direction had not been made;</w:t>
      </w:r>
    </w:p>
    <w:p>
      <w:pPr>
        <w:spacing w:after="0" w:line="263"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 respect to payments of interest by a UK Obligor only, the relevant Lender is a Qualifying Lender solely by virtue of paragraph (a)(i)(B) of the definition of Qualifying Lender and:</w:t>
      </w:r>
    </w:p>
    <w:p>
      <w:pPr>
        <w:spacing w:after="0" w:line="197" w:lineRule="exact"/>
        <w:rPr>
          <w:rFonts w:ascii="Arial" w:cs="Arial" w:eastAsia="Arial" w:hAnsi="Arial"/>
          <w:sz w:val="18"/>
          <w:szCs w:val="18"/>
          <w:color w:val="auto"/>
        </w:rPr>
      </w:pPr>
    </w:p>
    <w:p>
      <w:pPr>
        <w:ind w:left="2280" w:hanging="490"/>
        <w:spacing w:after="0"/>
        <w:tabs>
          <w:tab w:leader="none" w:pos="22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Company; and</w:t>
      </w:r>
    </w:p>
    <w:p>
      <w:pPr>
        <w:spacing w:after="0" w:line="252" w:lineRule="exact"/>
        <w:rPr>
          <w:rFonts w:ascii="Arial" w:cs="Arial" w:eastAsia="Arial" w:hAnsi="Arial"/>
          <w:sz w:val="18"/>
          <w:szCs w:val="18"/>
          <w:color w:val="auto"/>
        </w:rPr>
      </w:pPr>
    </w:p>
    <w:p>
      <w:pPr>
        <w:jc w:val="both"/>
        <w:ind w:left="2280" w:hanging="490"/>
        <w:spacing w:after="0" w:line="286" w:lineRule="auto"/>
        <w:tabs>
          <w:tab w:leader="none" w:pos="228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363" w:lineRule="exact"/>
        <w:rPr>
          <w:rFonts w:ascii="Arial" w:cs="Arial" w:eastAsia="Arial" w:hAnsi="Arial"/>
          <w:sz w:val="17"/>
          <w:szCs w:val="17"/>
          <w:color w:val="auto"/>
        </w:rPr>
      </w:pPr>
    </w:p>
    <w:p>
      <w:pPr>
        <w:ind w:left="5560" w:hanging="92"/>
        <w:spacing w:after="0"/>
        <w:tabs>
          <w:tab w:leader="none" w:pos="5560" w:val="left"/>
        </w:tabs>
        <w:numPr>
          <w:ilvl w:val="3"/>
          <w:numId w:val="128"/>
        </w:numPr>
        <w:rPr>
          <w:rFonts w:ascii="Arial" w:cs="Arial" w:eastAsia="Arial" w:hAnsi="Arial"/>
          <w:sz w:val="14"/>
          <w:szCs w:val="14"/>
          <w:color w:val="auto"/>
        </w:rPr>
      </w:pPr>
      <w:r>
        <w:rPr>
          <w:rFonts w:ascii="Arial" w:cs="Arial" w:eastAsia="Arial" w:hAnsi="Arial"/>
          <w:sz w:val="14"/>
          <w:szCs w:val="14"/>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left="1016" w:hanging="503"/>
        <w:spacing w:after="0" w:line="263" w:lineRule="auto"/>
        <w:tabs>
          <w:tab w:leader="none" w:pos="101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(h) or (i) (as applicable) below.</w:t>
      </w:r>
    </w:p>
    <w:p>
      <w:pPr>
        <w:spacing w:after="0" w:line="203" w:lineRule="exact"/>
        <w:rPr>
          <w:sz w:val="20"/>
          <w:szCs w:val="20"/>
          <w:color w:val="auto"/>
        </w:rPr>
      </w:pPr>
    </w:p>
    <w:p>
      <w:pPr>
        <w:ind w:left="516"/>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exclusion for changes after the date a Lender became a Lender under this Agreement in Clause</w:t>
      </w:r>
    </w:p>
    <w:p>
      <w:pPr>
        <w:spacing w:after="0" w:line="43" w:lineRule="exact"/>
        <w:rPr>
          <w:sz w:val="20"/>
          <w:szCs w:val="20"/>
          <w:color w:val="auto"/>
        </w:rPr>
      </w:pPr>
    </w:p>
    <w:p>
      <w:pPr>
        <w:jc w:val="both"/>
        <w:ind w:left="516" w:firstLine="4"/>
        <w:spacing w:after="0" w:line="233" w:lineRule="auto"/>
        <w:tabs>
          <w:tab w:leader="none" w:pos="79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above shall not apply in respect of any Tax Deduction on account of Tax imposed by France on a payment made to a Lender if such Tax Deduction is imposed solely because this payment is made to an account opened in the name of or for the benefit of that Lender in a financial institution situated in a jurisdiction being a Non-Cooperative Jurisdiction.</w:t>
      </w:r>
    </w:p>
    <w:p>
      <w:pPr>
        <w:spacing w:after="0" w:line="221" w:lineRule="exact"/>
        <w:rPr>
          <w:rFonts w:ascii="Arial" w:cs="Arial" w:eastAsia="Arial" w:hAnsi="Arial"/>
          <w:sz w:val="22"/>
          <w:szCs w:val="22"/>
          <w:color w:val="auto"/>
        </w:rPr>
      </w:pPr>
    </w:p>
    <w:p>
      <w:pPr>
        <w:ind w:left="496" w:hanging="496"/>
        <w:spacing w:after="0" w:line="277" w:lineRule="auto"/>
        <w:tabs>
          <w:tab w:leader="none" w:pos="4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97" w:lineRule="exact"/>
        <w:rPr>
          <w:rFonts w:ascii="Arial" w:cs="Arial" w:eastAsia="Arial" w:hAnsi="Arial"/>
          <w:sz w:val="18"/>
          <w:szCs w:val="18"/>
          <w:color w:val="auto"/>
        </w:rPr>
      </w:pPr>
    </w:p>
    <w:p>
      <w:pPr>
        <w:jc w:val="both"/>
        <w:ind w:left="496" w:hanging="496"/>
        <w:spacing w:after="0" w:line="259" w:lineRule="auto"/>
        <w:tabs>
          <w:tab w:leader="none" w:pos="4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206" w:lineRule="exact"/>
        <w:rPr>
          <w:sz w:val="20"/>
          <w:szCs w:val="20"/>
          <w:color w:val="auto"/>
        </w:rPr>
      </w:pPr>
    </w:p>
    <w:p>
      <w:pPr>
        <w:ind w:left="16"/>
        <w:spacing w:after="0"/>
        <w:rPr>
          <w:sz w:val="20"/>
          <w:szCs w:val="20"/>
          <w:color w:val="auto"/>
        </w:rPr>
      </w:pPr>
      <w:r>
        <w:rPr>
          <w:rFonts w:ascii="Arial" w:cs="Arial" w:eastAsia="Arial" w:hAnsi="Arial"/>
          <w:sz w:val="22"/>
          <w:szCs w:val="22"/>
          <w:color w:val="auto"/>
        </w:rPr>
        <w:t>(g)</w:t>
      </w:r>
    </w:p>
    <w:p>
      <w:pPr>
        <w:spacing w:after="0" w:line="240" w:lineRule="exact"/>
        <w:rPr>
          <w:sz w:val="20"/>
          <w:szCs w:val="20"/>
          <w:color w:val="auto"/>
        </w:rPr>
      </w:pPr>
    </w:p>
    <w:p>
      <w:pPr>
        <w:jc w:val="both"/>
        <w:ind w:left="1016" w:hanging="503"/>
        <w:spacing w:after="0" w:line="263" w:lineRule="auto"/>
        <w:tabs>
          <w:tab w:leader="none" w:pos="101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203" w:lineRule="exact"/>
        <w:rPr>
          <w:sz w:val="20"/>
          <w:szCs w:val="20"/>
          <w:color w:val="auto"/>
        </w:rPr>
      </w:pPr>
    </w:p>
    <w:p>
      <w:pPr>
        <w:ind w:left="516"/>
        <w:spacing w:after="0"/>
        <w:rPr>
          <w:sz w:val="20"/>
          <w:szCs w:val="20"/>
          <w:color w:val="auto"/>
        </w:rPr>
      </w:pPr>
      <w:r>
        <w:rPr>
          <w:rFonts w:ascii="Arial" w:cs="Arial" w:eastAsia="Arial" w:hAnsi="Arial"/>
          <w:sz w:val="22"/>
          <w:szCs w:val="22"/>
          <w:color w:val="auto"/>
        </w:rPr>
        <w:t>(ii)</w:t>
      </w:r>
    </w:p>
    <w:p>
      <w:pPr>
        <w:spacing w:after="0" w:line="240" w:lineRule="exact"/>
        <w:rPr>
          <w:sz w:val="20"/>
          <w:szCs w:val="20"/>
          <w:color w:val="auto"/>
        </w:rPr>
      </w:pPr>
    </w:p>
    <w:p>
      <w:pPr>
        <w:jc w:val="both"/>
        <w:ind w:left="1516" w:hanging="490"/>
        <w:spacing w:after="0" w:line="311" w:lineRule="auto"/>
        <w:tabs>
          <w:tab w:leader="none" w:pos="151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Treaty Lender which becomes a Party on the day on which this Agreement is entered into that holds a passport under the HMRC DT Treaty Passport scheme, and which wishes that scheme to apply to this Agreement, shall confirm its scheme reference number and its jurisdiction of tax residence opposite its name in Schedule 1 (</w:t>
      </w:r>
      <w:r>
        <w:rPr>
          <w:rFonts w:ascii="Arial" w:cs="Arial" w:eastAsia="Arial" w:hAnsi="Arial"/>
          <w:sz w:val="16"/>
          <w:szCs w:val="16"/>
          <w:i w:val="1"/>
          <w:iCs w:val="1"/>
          <w:color w:val="auto"/>
        </w:rPr>
        <w:t>The Original Lenders</w:t>
      </w:r>
      <w:r>
        <w:rPr>
          <w:rFonts w:ascii="Arial" w:cs="Arial" w:eastAsia="Arial" w:hAnsi="Arial"/>
          <w:sz w:val="16"/>
          <w:szCs w:val="16"/>
          <w:color w:val="auto"/>
        </w:rPr>
        <w:t>); and</w:t>
      </w:r>
    </w:p>
    <w:p>
      <w:pPr>
        <w:spacing w:after="0" w:line="175" w:lineRule="exact"/>
        <w:rPr>
          <w:rFonts w:ascii="Arial" w:cs="Arial" w:eastAsia="Arial" w:hAnsi="Arial"/>
          <w:sz w:val="16"/>
          <w:szCs w:val="16"/>
          <w:color w:val="auto"/>
        </w:rPr>
      </w:pPr>
    </w:p>
    <w:p>
      <w:pPr>
        <w:jc w:val="both"/>
        <w:ind w:left="1516" w:hanging="490"/>
        <w:spacing w:after="0" w:line="263" w:lineRule="auto"/>
        <w:tabs>
          <w:tab w:leader="none" w:pos="151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New Lender that is a Treaty Lender that holds a passport under the HMRC DT Treaty Passport scheme, and which wishes that scheme to apply to this Agreement, shall confirm its scheme reference number and its jurisdiction of tax residence in the Transfer Certificate which it executes,</w:t>
      </w:r>
    </w:p>
    <w:p>
      <w:pPr>
        <w:spacing w:after="0" w:line="203" w:lineRule="exact"/>
        <w:rPr>
          <w:sz w:val="20"/>
          <w:szCs w:val="20"/>
          <w:color w:val="auto"/>
        </w:rPr>
      </w:pPr>
    </w:p>
    <w:p>
      <w:pPr>
        <w:ind w:left="1036"/>
        <w:spacing w:after="0" w:line="250" w:lineRule="auto"/>
        <w:rPr>
          <w:sz w:val="20"/>
          <w:szCs w:val="20"/>
          <w:color w:val="auto"/>
        </w:rPr>
      </w:pPr>
      <w:r>
        <w:rPr>
          <w:rFonts w:ascii="Arial" w:cs="Arial" w:eastAsia="Arial" w:hAnsi="Arial"/>
          <w:sz w:val="22"/>
          <w:szCs w:val="22"/>
          <w:color w:val="auto"/>
        </w:rPr>
        <w:t>and, having done so, that Lender shall be under no further obligation pursuant to paragraph (g)(i) above in relation to payments from the UK Obligor.</w:t>
      </w:r>
    </w:p>
    <w:p>
      <w:pPr>
        <w:spacing w:after="0" w:line="209" w:lineRule="exact"/>
        <w:rPr>
          <w:sz w:val="20"/>
          <w:szCs w:val="20"/>
          <w:color w:val="auto"/>
        </w:rPr>
      </w:pPr>
    </w:p>
    <w:p>
      <w:pPr>
        <w:ind w:left="496" w:hanging="496"/>
        <w:spacing w:after="0" w:line="277" w:lineRule="auto"/>
        <w:tabs>
          <w:tab w:leader="none" w:pos="49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(g)(ii) above and:</w:t>
      </w:r>
    </w:p>
    <w:p>
      <w:pPr>
        <w:spacing w:after="0" w:line="368" w:lineRule="exact"/>
        <w:rPr>
          <w:rFonts w:ascii="Arial" w:cs="Arial" w:eastAsia="Arial" w:hAnsi="Arial"/>
          <w:sz w:val="18"/>
          <w:szCs w:val="18"/>
          <w:color w:val="auto"/>
        </w:rPr>
      </w:pPr>
    </w:p>
    <w:p>
      <w:pPr>
        <w:ind w:left="4796" w:hanging="92"/>
        <w:spacing w:after="0"/>
        <w:tabs>
          <w:tab w:leader="none" w:pos="4796" w:val="left"/>
        </w:tabs>
        <w:numPr>
          <w:ilvl w:val="1"/>
          <w:numId w:val="134"/>
        </w:numPr>
        <w:rPr>
          <w:rFonts w:ascii="Arial" w:cs="Arial" w:eastAsia="Arial" w:hAnsi="Arial"/>
          <w:sz w:val="14"/>
          <w:szCs w:val="14"/>
          <w:color w:val="auto"/>
        </w:rPr>
      </w:pPr>
      <w:r>
        <w:rPr>
          <w:rFonts w:ascii="Arial" w:cs="Arial" w:eastAsia="Arial" w:hAnsi="Arial"/>
          <w:sz w:val="14"/>
          <w:szCs w:val="14"/>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125" w:right="339" w:bottom="1440" w:gutter="0" w:footer="0" w:header="0"/>
        </w:sectPr>
      </w:pPr>
    </w:p>
    <w:bookmarkStart w:id="84" w:name="page85"/>
    <w:bookmarkEnd w:id="84"/>
    <w:p>
      <w:pPr>
        <w:ind w:left="1780" w:hanging="503"/>
        <w:spacing w:after="0"/>
        <w:tabs>
          <w:tab w:leader="none" w:pos="1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UK Obligor has not made a Borrower DTTP Filing in respect of that Lender;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UK Obligor has made a Borrower DTTP Filing in respect of that Lender but:</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HM Revenue &amp; Customs has not given the UK Obligor authority to make payments to that Lender without a Tax Deduction within 60 days of the date of the Borrower DTTP Filing; or</w:t>
      </w:r>
    </w:p>
    <w:p>
      <w:pPr>
        <w:spacing w:after="0" w:line="197" w:lineRule="exact"/>
        <w:rPr>
          <w:rFonts w:ascii="Arial" w:cs="Arial" w:eastAsia="Arial" w:hAnsi="Arial"/>
          <w:sz w:val="18"/>
          <w:szCs w:val="18"/>
          <w:color w:val="auto"/>
        </w:rPr>
      </w:pPr>
    </w:p>
    <w:p>
      <w:pPr>
        <w:ind w:left="2280" w:hanging="490"/>
        <w:spacing w:after="0" w:line="277" w:lineRule="auto"/>
        <w:tabs>
          <w:tab w:leader="none" w:pos="22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HM Revenue &amp; Customs has given the UK Obligor authority to make payments to that Lender without a Tax Deduction but such authority has subsequently been revoked or expired,</w:t>
      </w:r>
    </w:p>
    <w:p>
      <w:pPr>
        <w:spacing w:after="0" w:line="190" w:lineRule="exact"/>
        <w:rPr>
          <w:sz w:val="20"/>
          <w:szCs w:val="20"/>
          <w:color w:val="auto"/>
        </w:rPr>
      </w:pPr>
    </w:p>
    <w:p>
      <w:pPr>
        <w:jc w:val="both"/>
        <w:ind w:left="1800"/>
        <w:spacing w:after="0"/>
        <w:rPr>
          <w:sz w:val="20"/>
          <w:szCs w:val="20"/>
          <w:color w:val="auto"/>
        </w:rPr>
      </w:pPr>
      <w:r>
        <w:rPr>
          <w:rFonts w:ascii="Arial" w:cs="Arial" w:eastAsia="Arial" w:hAnsi="Arial"/>
          <w:sz w:val="22"/>
          <w:szCs w:val="22"/>
          <w:color w:val="auto"/>
        </w:rPr>
        <w:t>and in each case, the UK Obligor has notified that Lender in writing, that Lender and the UK Obligor shall co-operate in completing any additional procedural formalities necessary for the UK Obligor to obtain authorisation to make that payment without a Tax Deduction.</w:t>
      </w:r>
    </w:p>
    <w:p>
      <w:pPr>
        <w:spacing w:after="0" w:line="220" w:lineRule="exact"/>
        <w:rPr>
          <w:sz w:val="20"/>
          <w:szCs w:val="20"/>
          <w:color w:val="auto"/>
        </w:rPr>
      </w:pPr>
    </w:p>
    <w:p>
      <w:pPr>
        <w:jc w:val="both"/>
        <w:ind w:left="1260" w:hanging="496"/>
        <w:spacing w:after="0" w:line="263" w:lineRule="auto"/>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paragraph (g)(ii) above, no Obligor shall make a Borrower DTTP Filing or file any other form relating to the HMRC DT Treaty Passport scheme in respect of that Lender's Commitment(s) or its participation in any Loan unless the Lender otherwise agrees.</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UK Obligor shall, promptly on making a Borrower DTTP Filing, deliver a copy of that Borrower DTTP Filing to the Agent for delivery to the relevant Lender.</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UK Non-Bank Lender which becomes a Party on the day on which this Agreement is entered into (if any) gives a Tax Confirmation to the Borrower by entering into this Agreement.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UK Non-Bank Lender shall promptly notify the Borrower and the Agent if there is any change in the position from that set out in the Tax Confirmation.</w:t>
      </w:r>
    </w:p>
    <w:p>
      <w:pPr>
        <w:spacing w:after="0" w:line="197" w:lineRule="exact"/>
        <w:rPr>
          <w:rFonts w:ascii="Arial" w:cs="Arial" w:eastAsia="Arial" w:hAnsi="Arial"/>
          <w:sz w:val="18"/>
          <w:szCs w:val="18"/>
          <w:color w:val="auto"/>
        </w:rPr>
      </w:pPr>
    </w:p>
    <w:p>
      <w:pPr>
        <w:ind w:left="1260" w:hanging="496"/>
        <w:spacing w:after="0" w:line="308" w:lineRule="auto"/>
        <w:tabs>
          <w:tab w:leader="none" w:pos="1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Tax indemnity</w:t>
      </w:r>
    </w:p>
    <w:p>
      <w:pPr>
        <w:spacing w:after="0" w:line="252" w:lineRule="exact"/>
        <w:rPr>
          <w:sz w:val="20"/>
          <w:szCs w:val="20"/>
          <w:color w:val="auto"/>
        </w:rPr>
      </w:pPr>
    </w:p>
    <w:p>
      <w:pPr>
        <w:jc w:val="both"/>
        <w:ind w:left="1260" w:right="20" w:hanging="496"/>
        <w:spacing w:after="0" w:line="263" w:lineRule="auto"/>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2"/>
          <w:numId w:val="137"/>
        </w:numPr>
        <w:rPr>
          <w:rFonts w:ascii="Arial" w:cs="Arial" w:eastAsia="Arial" w:hAnsi="Arial"/>
          <w:sz w:val="14"/>
          <w:szCs w:val="14"/>
          <w:color w:val="auto"/>
        </w:rPr>
      </w:pPr>
      <w:r>
        <w:rPr>
          <w:rFonts w:ascii="Arial" w:cs="Arial" w:eastAsia="Arial" w:hAnsi="Arial"/>
          <w:sz w:val="14"/>
          <w:szCs w:val="14"/>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ind w:left="2280" w:hanging="490"/>
        <w:spacing w:after="0" w:line="277" w:lineRule="auto"/>
        <w:tabs>
          <w:tab w:leader="none" w:pos="2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w:t>
      </w:r>
    </w:p>
    <w:p>
      <w:pPr>
        <w:spacing w:after="0" w:line="197" w:lineRule="exact"/>
        <w:rPr>
          <w:rFonts w:ascii="Arial" w:cs="Arial" w:eastAsia="Arial" w:hAnsi="Arial"/>
          <w:sz w:val="18"/>
          <w:szCs w:val="18"/>
          <w:color w:val="auto"/>
        </w:rPr>
      </w:pPr>
    </w:p>
    <w:p>
      <w:pPr>
        <w:ind w:left="2280" w:hanging="490"/>
        <w:spacing w:after="0" w:line="277" w:lineRule="auto"/>
        <w:tabs>
          <w:tab w:leader="none" w:pos="2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 or</w:t>
      </w:r>
    </w:p>
    <w:p>
      <w:pPr>
        <w:spacing w:after="0" w:line="197" w:lineRule="exact"/>
        <w:rPr>
          <w:rFonts w:ascii="Arial" w:cs="Arial" w:eastAsia="Arial" w:hAnsi="Arial"/>
          <w:sz w:val="18"/>
          <w:szCs w:val="18"/>
          <w:color w:val="auto"/>
        </w:rPr>
      </w:pPr>
    </w:p>
    <w:p>
      <w:pPr>
        <w:ind w:left="2280" w:hanging="490"/>
        <w:spacing w:after="0" w:line="277" w:lineRule="auto"/>
        <w:tabs>
          <w:tab w:leader="none" w:pos="2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under the law of any jurisdiction in which that Finance Party has a permanent establishment, branch or agency in respect of amounts attributable to that permanent establishment, branch or agency,</w:t>
      </w:r>
    </w:p>
    <w:p>
      <w:pPr>
        <w:spacing w:after="0" w:line="190" w:lineRule="exact"/>
        <w:rPr>
          <w:sz w:val="20"/>
          <w:szCs w:val="20"/>
          <w:color w:val="auto"/>
        </w:rPr>
      </w:pPr>
    </w:p>
    <w:p>
      <w:pPr>
        <w:ind w:left="1800"/>
        <w:spacing w:after="0" w:line="250" w:lineRule="auto"/>
        <w:rPr>
          <w:sz w:val="20"/>
          <w:szCs w:val="20"/>
          <w:color w:val="auto"/>
        </w:rPr>
      </w:pPr>
      <w:r>
        <w:rPr>
          <w:rFonts w:ascii="Arial" w:cs="Arial" w:eastAsia="Arial" w:hAnsi="Arial"/>
          <w:sz w:val="22"/>
          <w:szCs w:val="22"/>
          <w:color w:val="auto"/>
        </w:rPr>
        <w:t>if that Tax is imposed on or calculated by reference to the net income received or receivable (but not any sum deemed to be received or receivable) by that Finance Party; or</w:t>
      </w:r>
    </w:p>
    <w:p>
      <w:pPr>
        <w:spacing w:after="0" w:line="209" w:lineRule="exact"/>
        <w:rPr>
          <w:sz w:val="20"/>
          <w:szCs w:val="20"/>
          <w:color w:val="auto"/>
        </w:rPr>
      </w:pPr>
    </w:p>
    <w:p>
      <w:pPr>
        <w:ind w:left="1780" w:hanging="503"/>
        <w:spacing w:after="0"/>
        <w:tabs>
          <w:tab w:leader="none" w:pos="17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(d)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197" w:lineRule="exact"/>
        <w:rPr>
          <w:rFonts w:ascii="Arial" w:cs="Arial" w:eastAsia="Arial" w:hAnsi="Arial"/>
          <w:sz w:val="18"/>
          <w:szCs w:val="18"/>
          <w:color w:val="auto"/>
        </w:rPr>
      </w:pPr>
    </w:p>
    <w:p>
      <w:pPr>
        <w:ind w:left="2280" w:hanging="490"/>
        <w:spacing w:after="0"/>
        <w:tabs>
          <w:tab w:leader="none" w:pos="22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Tax Credit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If an Obligor makes a Tax Payment and the relevant Finance Party determines that:</w:t>
      </w:r>
    </w:p>
    <w:p>
      <w:pPr>
        <w:spacing w:after="0" w:line="240" w:lineRule="exact"/>
        <w:rPr>
          <w:sz w:val="20"/>
          <w:szCs w:val="20"/>
          <w:color w:val="auto"/>
        </w:rPr>
      </w:pPr>
    </w:p>
    <w:p>
      <w:pPr>
        <w:ind w:left="1260" w:right="20" w:hanging="496"/>
        <w:spacing w:after="0" w:line="277" w:lineRule="auto"/>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4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Lender status confirmation</w:t>
      </w:r>
    </w:p>
    <w:p>
      <w:pPr>
        <w:spacing w:after="0" w:line="252" w:lineRule="exact"/>
        <w:rPr>
          <w:sz w:val="20"/>
          <w:szCs w:val="20"/>
          <w:color w:val="auto"/>
        </w:rPr>
      </w:pPr>
    </w:p>
    <w:p>
      <w:pPr>
        <w:jc w:val="both"/>
        <w:ind w:left="1260" w:hanging="496"/>
        <w:spacing w:after="0" w:line="263" w:lineRule="auto"/>
        <w:tabs>
          <w:tab w:leader="none" w:pos="1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Lender which becomes a Party to this Agreement after the date of this Agreement shall indicate, in the Transfer Certificate which it executes on becoming a Party, and for the benefit of the Agent and without liability to any Obligor, which of the following categories it falls in with respect of each of the UK Borrower and the French Borrower:</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ind w:left="1780" w:hanging="503"/>
        <w:spacing w:after="0"/>
        <w:tabs>
          <w:tab w:leader="none" w:pos="17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not a Qualifying Lender in respect of the relevant jurisdiction;</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Qualifying Lender (other than a Treaty Lender) in respect of the relevant jurisdiction;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Treaty Lender in respect of the relevant jurisdiction.</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Lender who becomes Party to the Agreement on the Signing Date hereby confirms without liability to any Obligor that it is not incorporated or acting through a Facility Office situated in a Non-Cooperative Jurisdiction.</w:t>
      </w:r>
    </w:p>
    <w:p>
      <w:pPr>
        <w:spacing w:after="0" w:line="197" w:lineRule="exact"/>
        <w:rPr>
          <w:rFonts w:ascii="Arial" w:cs="Arial" w:eastAsia="Arial" w:hAnsi="Arial"/>
          <w:sz w:val="18"/>
          <w:szCs w:val="18"/>
          <w:color w:val="auto"/>
        </w:rPr>
      </w:pPr>
    </w:p>
    <w:p>
      <w:pPr>
        <w:jc w:val="both"/>
        <w:ind w:left="1260" w:hanging="496"/>
        <w:spacing w:after="0" w:line="257" w:lineRule="auto"/>
        <w:tabs>
          <w:tab w:leader="none" w:pos="1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New Lender fails to indicate its status in respect of the UK or France in accordance with this Clause 12.5 then such New Lender shall be treated for the purposes of this Agreement (including by each Borrower) as if it is not a Qualifying Lender in the relevant jurisdiction until such time as it notifies the Agent which category applies (and the Agent, upon receipt of such notification, shall inform the Company). For the avoidance of doubt, a Transfer Certificate shall not be invalidated by any failure of a Lender to comply with this Clause 12.5.</w:t>
      </w:r>
    </w:p>
    <w:p>
      <w:pPr>
        <w:spacing w:after="0" w:line="214" w:lineRule="exact"/>
        <w:rPr>
          <w:rFonts w:ascii="Arial" w:cs="Arial" w:eastAsia="Arial" w:hAnsi="Arial"/>
          <w:sz w:val="18"/>
          <w:szCs w:val="18"/>
          <w:color w:val="auto"/>
        </w:rPr>
      </w:pPr>
    </w:p>
    <w:p>
      <w:pPr>
        <w:jc w:val="both"/>
        <w:ind w:left="1260" w:right="20" w:hanging="496"/>
        <w:spacing w:after="0" w:line="263" w:lineRule="auto"/>
        <w:tabs>
          <w:tab w:leader="none" w:pos="1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New Lender shall also specify in the Transfer Certificate which it executes on becoming a Party, whether it is incorporated or acting through a Facility Office situated in a Non-Cooperative Jurisdiction. For the avoidance of doubt, a Transfer Certificate shall not be invalidated by any failure of a Lender to comply with this paragraph (b).</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5"/>
          <w:szCs w:val="15"/>
          <w:color w:val="auto"/>
        </w:rPr>
        <w:t>Stamp taxes</w:t>
      </w:r>
    </w:p>
    <w:p>
      <w:pPr>
        <w:spacing w:after="0" w:line="245" w:lineRule="exact"/>
        <w:rPr>
          <w:sz w:val="20"/>
          <w:szCs w:val="20"/>
          <w:color w:val="auto"/>
        </w:rPr>
      </w:pPr>
    </w:p>
    <w:p>
      <w:pPr>
        <w:jc w:val="both"/>
        <w:ind w:left="780"/>
        <w:spacing w:after="0"/>
        <w:rPr>
          <w:sz w:val="20"/>
          <w:szCs w:val="20"/>
          <w:color w:val="auto"/>
        </w:rPr>
      </w:pPr>
      <w:r>
        <w:rPr>
          <w:rFonts w:ascii="Arial" w:cs="Arial" w:eastAsia="Arial" w:hAnsi="Arial"/>
          <w:sz w:val="22"/>
          <w:szCs w:val="22"/>
          <w:color w:val="auto"/>
        </w:rPr>
        <w:t>The Company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VAT</w:t>
      </w:r>
    </w:p>
    <w:p>
      <w:pPr>
        <w:spacing w:after="0" w:line="252" w:lineRule="exact"/>
        <w:rPr>
          <w:sz w:val="20"/>
          <w:szCs w:val="20"/>
          <w:color w:val="auto"/>
        </w:rPr>
      </w:pPr>
    </w:p>
    <w:p>
      <w:pPr>
        <w:jc w:val="both"/>
        <w:ind w:left="1260" w:hanging="496"/>
        <w:spacing w:after="0" w:line="273" w:lineRule="auto"/>
        <w:tabs>
          <w:tab w:leader="none" w:pos="12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200" w:lineRule="exact"/>
        <w:rPr>
          <w:rFonts w:ascii="Arial" w:cs="Arial" w:eastAsia="Arial" w:hAnsi="Arial"/>
          <w:sz w:val="17"/>
          <w:szCs w:val="17"/>
          <w:color w:val="auto"/>
        </w:rPr>
      </w:pPr>
    </w:p>
    <w:p>
      <w:pPr>
        <w:jc w:val="both"/>
        <w:ind w:left="1260" w:hanging="496"/>
        <w:spacing w:after="0" w:line="261" w:lineRule="auto"/>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145"/>
        </w:numPr>
        <w:rPr>
          <w:rFonts w:ascii="Arial" w:cs="Arial" w:eastAsia="Arial" w:hAnsi="Arial"/>
          <w:sz w:val="14"/>
          <w:szCs w:val="14"/>
          <w:color w:val="auto"/>
        </w:rPr>
      </w:pPr>
      <w:r>
        <w:rPr>
          <w:rFonts w:ascii="Arial" w:cs="Arial" w:eastAsia="Arial" w:hAnsi="Arial"/>
          <w:sz w:val="14"/>
          <w:szCs w:val="14"/>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both"/>
        <w:ind w:left="1780" w:hanging="503"/>
        <w:spacing w:after="0" w:line="257" w:lineRule="auto"/>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214"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13"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213" w:lineRule="exact"/>
        <w:rPr>
          <w:rFonts w:ascii="Arial" w:cs="Arial" w:eastAsia="Arial" w:hAnsi="Arial"/>
          <w:sz w:val="18"/>
          <w:szCs w:val="18"/>
          <w:color w:val="auto"/>
        </w:rPr>
      </w:pPr>
    </w:p>
    <w:p>
      <w:pPr>
        <w:jc w:val="both"/>
        <w:ind w:left="1260" w:hanging="496"/>
        <w:spacing w:after="0" w:line="257" w:lineRule="auto"/>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reference in this Clause 12.7 (</w:t>
      </w:r>
      <w:r>
        <w:rPr>
          <w:rFonts w:ascii="Arial" w:cs="Arial" w:eastAsia="Arial" w:hAnsi="Arial"/>
          <w:sz w:val="18"/>
          <w:szCs w:val="18"/>
          <w:i w:val="1"/>
          <w:iCs w:val="1"/>
          <w:color w:val="auto"/>
        </w:rPr>
        <w:t>VAT</w:t>
      </w:r>
      <w:r>
        <w:rPr>
          <w:rFonts w:ascii="Arial" w:cs="Arial" w:eastAsia="Arial" w:hAnsi="Arial"/>
          <w:sz w:val="18"/>
          <w:szCs w:val="18"/>
          <w:color w:val="auto"/>
        </w:rPr>
        <w:t>) to any Party shall, at any time when such Party is treated as a member of a group for VAT purposes, include (where appropriate and unless the context otherwise requires) a reference to the person who is treated as making the supply, or (as appropriate) receiving the supply (as provided for in Article 11 of Council Directive 2006/112/EC or as otherwise implemented by any relevant member state of the European Union or any other similar provision in any jurisdiction which is not a member state of the European Union).</w:t>
      </w:r>
    </w:p>
    <w:p>
      <w:pPr>
        <w:spacing w:after="0" w:line="214"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color w:val="auto"/>
        </w:rPr>
        <w:t>FATCA Information</w:t>
      </w:r>
    </w:p>
    <w:p>
      <w:pPr>
        <w:spacing w:after="0" w:line="252" w:lineRule="exact"/>
        <w:rPr>
          <w:sz w:val="20"/>
          <w:szCs w:val="20"/>
          <w:color w:val="auto"/>
        </w:rPr>
      </w:pPr>
    </w:p>
    <w:p>
      <w:pPr>
        <w:ind w:left="1260" w:hanging="496"/>
        <w:spacing w:after="0"/>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3"/>
          <w:numId w:val="148"/>
        </w:numPr>
        <w:rPr>
          <w:rFonts w:ascii="Arial" w:cs="Arial" w:eastAsia="Arial" w:hAnsi="Arial"/>
          <w:sz w:val="14"/>
          <w:szCs w:val="14"/>
          <w:color w:val="auto"/>
        </w:rPr>
      </w:pPr>
      <w:r>
        <w:rPr>
          <w:rFonts w:ascii="Arial" w:cs="Arial" w:eastAsia="Arial" w:hAnsi="Arial"/>
          <w:sz w:val="14"/>
          <w:szCs w:val="14"/>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ind w:left="1780" w:hanging="503"/>
        <w:spacing w:after="0" w:line="308" w:lineRule="auto"/>
        <w:tabs>
          <w:tab w:leader="none" w:pos="17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73" w:lineRule="exact"/>
        <w:rPr>
          <w:rFonts w:ascii="Arial" w:cs="Arial" w:eastAsia="Arial" w:hAnsi="Arial"/>
          <w:sz w:val="17"/>
          <w:szCs w:val="17"/>
          <w:color w:val="auto"/>
        </w:rPr>
      </w:pPr>
    </w:p>
    <w:p>
      <w:pPr>
        <w:ind w:left="1260" w:hanging="496"/>
        <w:spacing w:after="0" w:line="308" w:lineRule="auto"/>
        <w:tabs>
          <w:tab w:leader="none" w:pos="12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73"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52" w:lineRule="exact"/>
        <w:rPr>
          <w:sz w:val="20"/>
          <w:szCs w:val="20"/>
          <w:color w:val="auto"/>
        </w:rPr>
      </w:pPr>
    </w:p>
    <w:p>
      <w:pPr>
        <w:ind w:left="1780" w:hanging="503"/>
        <w:spacing w:after="0"/>
        <w:tabs>
          <w:tab w:leader="none" w:pos="17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52" w:lineRule="exact"/>
        <w:rPr>
          <w:rFonts w:ascii="Arial" w:cs="Arial" w:eastAsia="Arial" w:hAnsi="Arial"/>
          <w:sz w:val="18"/>
          <w:szCs w:val="18"/>
          <w:color w:val="auto"/>
        </w:rPr>
      </w:pPr>
    </w:p>
    <w:p>
      <w:pPr>
        <w:jc w:val="both"/>
        <w:ind w:left="1260" w:hanging="496"/>
        <w:spacing w:after="0" w:line="301" w:lineRule="auto"/>
        <w:tabs>
          <w:tab w:leader="none" w:pos="12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FATCA Deduction</w:t>
      </w:r>
    </w:p>
    <w:p>
      <w:pPr>
        <w:spacing w:after="0" w:line="252" w:lineRule="exact"/>
        <w:rPr>
          <w:sz w:val="20"/>
          <w:szCs w:val="20"/>
          <w:color w:val="auto"/>
        </w:rPr>
      </w:pPr>
    </w:p>
    <w:p>
      <w:pPr>
        <w:jc w:val="both"/>
        <w:ind w:left="1260" w:hanging="496"/>
        <w:spacing w:after="0" w:line="263" w:lineRule="auto"/>
        <w:tabs>
          <w:tab w:leader="none" w:pos="12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Increased Costs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Increased costs</w:t>
      </w:r>
    </w:p>
    <w:p>
      <w:pPr>
        <w:spacing w:after="0" w:line="252" w:lineRule="exact"/>
        <w:rPr>
          <w:sz w:val="20"/>
          <w:szCs w:val="20"/>
          <w:color w:val="auto"/>
        </w:rPr>
      </w:pPr>
    </w:p>
    <w:p>
      <w:pPr>
        <w:jc w:val="both"/>
        <w:ind w:left="1260" w:hanging="496"/>
        <w:spacing w:after="0" w:line="257" w:lineRule="auto"/>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Company shall, within three (3)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(iii) the application of or compliance with Basel III or CRD IV or any requests, rules, guidelines or directives thereunder or issued in connection therewith.</w:t>
      </w:r>
    </w:p>
    <w:p>
      <w:pPr>
        <w:spacing w:after="0" w:line="385" w:lineRule="exact"/>
        <w:rPr>
          <w:rFonts w:ascii="Arial" w:cs="Arial" w:eastAsia="Arial" w:hAnsi="Arial"/>
          <w:sz w:val="18"/>
          <w:szCs w:val="18"/>
          <w:color w:val="auto"/>
        </w:rPr>
      </w:pPr>
    </w:p>
    <w:p>
      <w:pPr>
        <w:ind w:left="5560" w:hanging="92"/>
        <w:spacing w:after="0"/>
        <w:tabs>
          <w:tab w:leader="none" w:pos="556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ind w:left="1260" w:hanging="496"/>
        <w:spacing w:after="0"/>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256" w:lineRule="exact"/>
        <w:rPr>
          <w:rFonts w:ascii="Arial" w:cs="Arial" w:eastAsia="Arial" w:hAnsi="Arial"/>
          <w:sz w:val="18"/>
          <w:szCs w:val="18"/>
          <w:color w:val="auto"/>
        </w:rPr>
      </w:pPr>
    </w:p>
    <w:p>
      <w:pPr>
        <w:ind w:left="1780" w:hanging="503"/>
        <w:spacing w:after="0"/>
        <w:tabs>
          <w:tab w:leader="none" w:pos="17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52"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 which is incurred or suffered by a Finance Party or any of its Affiliates to the extent that it is attributable to that Finance Party having entered into its Commitment or funding or performing its obligations under any Finance Document.</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Increased cost claims</w:t>
      </w:r>
    </w:p>
    <w:p>
      <w:pPr>
        <w:spacing w:after="0" w:line="252" w:lineRule="exact"/>
        <w:rPr>
          <w:sz w:val="20"/>
          <w:szCs w:val="20"/>
          <w:color w:val="auto"/>
        </w:rPr>
      </w:pPr>
    </w:p>
    <w:p>
      <w:pPr>
        <w:ind w:left="1260" w:hanging="496"/>
        <w:spacing w:after="0" w:line="277" w:lineRule="auto"/>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Company.</w:t>
      </w:r>
    </w:p>
    <w:p>
      <w:pPr>
        <w:spacing w:after="0" w:line="197" w:lineRule="exact"/>
        <w:rPr>
          <w:rFonts w:ascii="Arial" w:cs="Arial" w:eastAsia="Arial" w:hAnsi="Arial"/>
          <w:sz w:val="18"/>
          <w:szCs w:val="18"/>
          <w:color w:val="auto"/>
        </w:rPr>
      </w:pPr>
    </w:p>
    <w:p>
      <w:pPr>
        <w:jc w:val="both"/>
        <w:ind w:left="1260" w:hanging="496"/>
        <w:spacing w:after="0" w:line="293" w:lineRule="auto"/>
        <w:tabs>
          <w:tab w:leader="none" w:pos="12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Each Finance Party shall, as soon as practicable after a demand by the Company (through the Agent), and prior to any payment of Increased Costs by the Company, provide to the Company and the Agent a certificate setting out in reasonable detail the calculation of, and confirming the amount of, its Increased Costs. Such Finance Party's determination of such amount (i) shall be substantially consistent with similarly situated customers of such Finance Party under agreements having provisions similar to Clause 13.1 (</w:t>
      </w:r>
      <w:r>
        <w:rPr>
          <w:rFonts w:ascii="Arial" w:cs="Arial" w:eastAsia="Arial" w:hAnsi="Arial"/>
          <w:sz w:val="16"/>
          <w:szCs w:val="16"/>
          <w:i w:val="1"/>
          <w:iCs w:val="1"/>
          <w:color w:val="auto"/>
        </w:rPr>
        <w:t>Increased costs</w:t>
      </w:r>
      <w:r>
        <w:rPr>
          <w:rFonts w:ascii="Arial" w:cs="Arial" w:eastAsia="Arial" w:hAnsi="Arial"/>
          <w:sz w:val="16"/>
          <w:szCs w:val="16"/>
          <w:color w:val="auto"/>
        </w:rPr>
        <w:t>), after consideration of such factors as such Finance Party reasonably determines to be relevant and (ii) shall not lead to the relevant Finance Party being required to disclose confidential information or price-sensitive information or infringing any confidentiality undertaking.</w:t>
      </w:r>
    </w:p>
    <w:p>
      <w:pPr>
        <w:spacing w:after="0" w:line="191" w:lineRule="exact"/>
        <w:rPr>
          <w:rFonts w:ascii="Arial" w:cs="Arial" w:eastAsia="Arial" w:hAnsi="Arial"/>
          <w:sz w:val="16"/>
          <w:szCs w:val="16"/>
          <w:color w:val="auto"/>
        </w:rPr>
      </w:pPr>
    </w:p>
    <w:p>
      <w:pPr>
        <w:jc w:val="both"/>
        <w:ind w:left="1260" w:hanging="496"/>
        <w:spacing w:after="0" w:line="293" w:lineRule="auto"/>
        <w:tabs>
          <w:tab w:leader="none" w:pos="12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Finance Party to demand compensation pursuant to this Clause 13 shall not constitute a waiver of such Finance Party's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Finance Party pursuant to this Clause 13 for any Increased Costs incurred more than 180 days prior to the date that such Finance Party notifies the Company of the applicable event(s) in clauses (a)(i) through (a)(iii) of Clause 13.1 (</w:t>
      </w:r>
      <w:r>
        <w:rPr>
          <w:rFonts w:ascii="Arial" w:cs="Arial" w:eastAsia="Arial" w:hAnsi="Arial"/>
          <w:sz w:val="16"/>
          <w:szCs w:val="16"/>
          <w:i w:val="1"/>
          <w:iCs w:val="1"/>
          <w:color w:val="auto"/>
        </w:rPr>
        <w:t>Increased costs</w:t>
      </w:r>
      <w:r>
        <w:rPr>
          <w:rFonts w:ascii="Arial" w:cs="Arial" w:eastAsia="Arial" w:hAnsi="Arial"/>
          <w:sz w:val="16"/>
          <w:szCs w:val="16"/>
          <w:color w:val="auto"/>
        </w:rPr>
        <w:t xml:space="preserve">) giving rise to such Increased Costs and of such Finance Party's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event(s) giving rise to such Increased Costs are retroactive, then the 180-day period referred to above shall be extended to include the period of retroactive effect thereof.</w:t>
      </w:r>
    </w:p>
    <w:p>
      <w:pPr>
        <w:spacing w:after="0" w:line="1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Exceptions</w:t>
      </w:r>
    </w:p>
    <w:p>
      <w:pPr>
        <w:spacing w:after="0" w:line="252" w:lineRule="exact"/>
        <w:rPr>
          <w:sz w:val="20"/>
          <w:szCs w:val="20"/>
          <w:color w:val="auto"/>
        </w:rPr>
      </w:pPr>
    </w:p>
    <w:p>
      <w:pPr>
        <w:ind w:left="1260" w:hanging="496"/>
        <w:spacing w:after="0"/>
        <w:tabs>
          <w:tab w:leader="none" w:pos="1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52" w:lineRule="exact"/>
        <w:rPr>
          <w:rFonts w:ascii="Arial" w:cs="Arial" w:eastAsia="Arial" w:hAnsi="Arial"/>
          <w:sz w:val="18"/>
          <w:szCs w:val="18"/>
          <w:color w:val="auto"/>
        </w:rPr>
      </w:pPr>
    </w:p>
    <w:p>
      <w:pPr>
        <w:ind w:left="1780" w:hanging="503"/>
        <w:spacing w:after="0" w:line="308" w:lineRule="auto"/>
        <w:tabs>
          <w:tab w:leader="none" w:pos="17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compensated for by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would have been compensated for under Clause 12.3 (Tax indemnity) but was not so compensated solely because any of the exclusions in paragraph (b) of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applied);</w:t>
      </w:r>
    </w:p>
    <w:p>
      <w:pPr>
        <w:spacing w:after="0" w:line="344" w:lineRule="exact"/>
        <w:rPr>
          <w:rFonts w:ascii="Arial" w:cs="Arial" w:eastAsia="Arial" w:hAnsi="Arial"/>
          <w:sz w:val="17"/>
          <w:szCs w:val="17"/>
          <w:color w:val="auto"/>
        </w:rPr>
      </w:pPr>
    </w:p>
    <w:p>
      <w:pPr>
        <w:ind w:left="5560" w:hanging="92"/>
        <w:spacing w:after="0"/>
        <w:tabs>
          <w:tab w:leader="none" w:pos="5560" w:val="left"/>
        </w:tabs>
        <w:numPr>
          <w:ilvl w:val="2"/>
          <w:numId w:val="158"/>
        </w:numPr>
        <w:rPr>
          <w:rFonts w:ascii="Arial" w:cs="Arial" w:eastAsia="Arial" w:hAnsi="Arial"/>
          <w:sz w:val="14"/>
          <w:szCs w:val="14"/>
          <w:color w:val="auto"/>
        </w:rPr>
      </w:pPr>
      <w:r>
        <w:rPr>
          <w:rFonts w:ascii="Arial" w:cs="Arial" w:eastAsia="Arial" w:hAnsi="Arial"/>
          <w:sz w:val="14"/>
          <w:szCs w:val="14"/>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780" w:hanging="503"/>
        <w:spacing w:after="0"/>
        <w:tabs>
          <w:tab w:leader="none" w:pos="17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52"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 II</w:t>
      </w:r>
      <w:r>
        <w:rPr>
          <w:rFonts w:ascii="Arial" w:cs="Arial" w:eastAsia="Arial" w:hAnsi="Arial"/>
          <w:sz w:val="18"/>
          <w:szCs w:val="18"/>
          <w:color w:val="auto"/>
        </w:rPr>
        <w:t>") or any other law or regulation which implements Basel II (whether such implementation, application or compliance is by a government, regulator, Finance Party or any of its Affiliates).</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760" w:hanging="752"/>
        <w:spacing w:after="0"/>
        <w:tabs>
          <w:tab w:leader="none" w:pos="7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Other Indemnities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Currency indemnity</w:t>
      </w:r>
    </w:p>
    <w:p>
      <w:pPr>
        <w:spacing w:after="0" w:line="248" w:lineRule="exact"/>
        <w:rPr>
          <w:sz w:val="20"/>
          <w:szCs w:val="20"/>
          <w:color w:val="auto"/>
        </w:rPr>
      </w:pPr>
    </w:p>
    <w:p>
      <w:pPr>
        <w:jc w:val="both"/>
        <w:ind w:left="1260" w:hanging="496"/>
        <w:spacing w:after="0" w:line="266" w:lineRule="auto"/>
        <w:tabs>
          <w:tab w:leader="none" w:pos="1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206" w:lineRule="exact"/>
        <w:rPr>
          <w:rFonts w:ascii="Arial" w:cs="Arial" w:eastAsia="Arial" w:hAnsi="Arial"/>
          <w:sz w:val="18"/>
          <w:szCs w:val="18"/>
          <w:color w:val="auto"/>
        </w:rPr>
      </w:pPr>
    </w:p>
    <w:p>
      <w:pPr>
        <w:ind w:left="1780" w:hanging="503"/>
        <w:spacing w:after="0"/>
        <w:tabs>
          <w:tab w:leader="none" w:pos="17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45" w:lineRule="exact"/>
        <w:rPr>
          <w:sz w:val="20"/>
          <w:szCs w:val="20"/>
          <w:color w:val="auto"/>
        </w:rPr>
      </w:pPr>
    </w:p>
    <w:p>
      <w:pPr>
        <w:jc w:val="both"/>
        <w:ind w:left="1280"/>
        <w:spacing w:after="0" w:line="236" w:lineRule="auto"/>
        <w:rPr>
          <w:sz w:val="20"/>
          <w:szCs w:val="20"/>
          <w:color w:val="auto"/>
        </w:rPr>
      </w:pPr>
      <w:r>
        <w:rPr>
          <w:rFonts w:ascii="Arial" w:cs="Arial" w:eastAsia="Arial" w:hAnsi="Arial"/>
          <w:sz w:val="22"/>
          <w:szCs w:val="22"/>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221" w:lineRule="exact"/>
        <w:rPr>
          <w:sz w:val="20"/>
          <w:szCs w:val="20"/>
          <w:color w:val="auto"/>
        </w:rPr>
      </w:pPr>
    </w:p>
    <w:p>
      <w:pPr>
        <w:ind w:left="1260" w:hanging="496"/>
        <w:spacing w:after="0" w:line="277"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Other indemnities</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shall (and shall procure that an Obligor will), within three (3) Business Days of demand, indemnify (i) each Finance Party, (ii) each Affiliate of a Finance Party, and (iii) the respective directors, officers, employees, agents and advisors of each Finance Party and each of its Affiliates (each of the foregoing in clauses (i) through (iii), an "</w:t>
      </w:r>
      <w:r>
        <w:rPr>
          <w:rFonts w:ascii="Arial" w:cs="Arial" w:eastAsia="Arial" w:hAnsi="Arial"/>
          <w:sz w:val="22"/>
          <w:szCs w:val="22"/>
          <w:b w:val="1"/>
          <w:bCs w:val="1"/>
          <w:color w:val="auto"/>
        </w:rPr>
        <w:t>Indemnitee</w:t>
      </w:r>
      <w:r>
        <w:rPr>
          <w:rFonts w:ascii="Arial" w:cs="Arial" w:eastAsia="Arial" w:hAnsi="Arial"/>
          <w:sz w:val="22"/>
          <w:szCs w:val="22"/>
          <w:color w:val="auto"/>
        </w:rPr>
        <w:t>") against, and hold each Indemnitee harmless from, any cost, loss, claim, damage or liability incurred by or asserted against any Indemnitee arising out of, as a result of or in connection with:</w:t>
      </w:r>
    </w:p>
    <w:p>
      <w:pPr>
        <w:spacing w:after="0" w:line="221" w:lineRule="exact"/>
        <w:rPr>
          <w:sz w:val="20"/>
          <w:szCs w:val="20"/>
          <w:color w:val="auto"/>
        </w:rPr>
      </w:pPr>
    </w:p>
    <w:p>
      <w:pPr>
        <w:ind w:left="1260" w:hanging="496"/>
        <w:spacing w:after="0"/>
        <w:tabs>
          <w:tab w:leader="none" w:pos="1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164"/>
        </w:numPr>
        <w:rPr>
          <w:rFonts w:ascii="Arial" w:cs="Arial" w:eastAsia="Arial" w:hAnsi="Arial"/>
          <w:sz w:val="14"/>
          <w:szCs w:val="14"/>
          <w:color w:val="auto"/>
        </w:rPr>
      </w:pPr>
      <w:r>
        <w:rPr>
          <w:rFonts w:ascii="Arial" w:cs="Arial" w:eastAsia="Arial" w:hAnsi="Arial"/>
          <w:sz w:val="14"/>
          <w:szCs w:val="14"/>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ind w:left="1260" w:hanging="496"/>
        <w:spacing w:after="0" w:line="277" w:lineRule="auto"/>
        <w:tabs>
          <w:tab w:leader="none" w:pos="1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a Borrower in a Utilisation Request but not made by reason of the operation of any one or more of the provisions of this Agreement;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Utilisation (or part of a Utilisation) not being prepaid in accordance with a notice of prepayment given by the Company or the Subsidiary Borrower;</w:t>
      </w:r>
    </w:p>
    <w:p>
      <w:pPr>
        <w:spacing w:after="0" w:line="197" w:lineRule="exact"/>
        <w:rPr>
          <w:rFonts w:ascii="Arial" w:cs="Arial" w:eastAsia="Arial" w:hAnsi="Arial"/>
          <w:sz w:val="18"/>
          <w:szCs w:val="18"/>
          <w:color w:val="auto"/>
        </w:rPr>
      </w:pPr>
    </w:p>
    <w:p>
      <w:pPr>
        <w:ind w:left="1260" w:hanging="496"/>
        <w:spacing w:after="0" w:line="342" w:lineRule="auto"/>
        <w:tabs>
          <w:tab w:leader="none" w:pos="12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execution or delivery of the Finance Documents, or any agreement or instrument expressly contemplated thereby, the performance by the parties thereto of their respective obligations thereunder or the consummation of the transactions contemplated thereby;</w:t>
      </w:r>
    </w:p>
    <w:p>
      <w:pPr>
        <w:spacing w:after="0" w:line="150" w:lineRule="exact"/>
        <w:rPr>
          <w:rFonts w:ascii="Arial" w:cs="Arial" w:eastAsia="Arial" w:hAnsi="Arial"/>
          <w:sz w:val="16"/>
          <w:szCs w:val="16"/>
          <w:color w:val="auto"/>
        </w:rPr>
      </w:pPr>
    </w:p>
    <w:p>
      <w:pPr>
        <w:ind w:left="1260" w:hanging="496"/>
        <w:spacing w:after="0" w:line="342" w:lineRule="auto"/>
        <w:tabs>
          <w:tab w:leader="none" w:pos="12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actual or alleged presence or release of hazardous materials on or from any property owned or operated by the Borrowers or any of their respective Subsidiaries, or any environmental liability related in any way to the Borrowers or any of their respective Subsidiaries; or</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any actual or prospective claim, litigation, investigation or proceeding relating to paragraphs (e) and (f) of this Clause 14.2, whether based on contract, tort or any other theory, whether brought by a third party or by any Borrower or any of its Subsidiaries,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will have any right to indemnification for any of the foregoing to the extent resulting from (i) such Indemnitee's own gross negligence, bad faith or willful misconduct as determined by a court of competent jurisdiction in a final non-appealable judgment, (ii) a material breach of the funding obligations of such Indemnitee under the Finance Documents as determined by a court of competent jurisdiction in a final non-appealable judgment or (iii) any dispute solely among Indemnitees, other than any claims against any person in its capacity or in fulfilling its role as the Agent or any similar role under the Facility, and other than any claims arising out of any act or omission on the part of any of the Borrowers or their respective Subsidiaries or Affiliates.</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Indemnity to the Agent</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relevant Borrower shall promptly indemnify the Agent against any cost, loss or liability incurred by the Agent (acting reasonably) as a result of:</w:t>
      </w:r>
    </w:p>
    <w:p>
      <w:pPr>
        <w:spacing w:after="0" w:line="209" w:lineRule="exact"/>
        <w:rPr>
          <w:sz w:val="20"/>
          <w:szCs w:val="20"/>
          <w:color w:val="auto"/>
        </w:rPr>
      </w:pPr>
    </w:p>
    <w:p>
      <w:pPr>
        <w:ind w:left="1260" w:hanging="496"/>
        <w:spacing w:after="0"/>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275" w:lineRule="exact"/>
        <w:rPr>
          <w:rFonts w:ascii="Arial" w:cs="Arial" w:eastAsia="Arial" w:hAnsi="Arial"/>
          <w:sz w:val="16"/>
          <w:szCs w:val="16"/>
          <w:color w:val="auto"/>
        </w:rPr>
      </w:pPr>
    </w:p>
    <w:p>
      <w:pPr>
        <w:ind w:left="1260" w:hanging="496"/>
        <w:spacing w:after="0"/>
        <w:tabs>
          <w:tab w:leader="none" w:pos="12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instructing lawyers, accountants, tax advisers, surveyors or other professional advisers or experts as permitted under this Agreement.</w:t>
      </w:r>
    </w:p>
    <w:p>
      <w:pPr>
        <w:spacing w:after="0" w:line="275" w:lineRule="exact"/>
        <w:rPr>
          <w:rFonts w:ascii="Arial" w:cs="Arial" w:eastAsia="Arial" w:hAnsi="Arial"/>
          <w:sz w:val="16"/>
          <w:szCs w:val="16"/>
          <w:color w:val="auto"/>
        </w:rPr>
      </w:pPr>
    </w:p>
    <w:p>
      <w:pPr>
        <w:ind w:left="760" w:hanging="752"/>
        <w:spacing w:after="0"/>
        <w:tabs>
          <w:tab w:leader="none" w:pos="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Mitigation by the Lenders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Mitigation</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Without limiting the obligations of any Obligor under the Finance Documents, each Finance Party shall, in consultation with the Company,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9"/>
          <w:szCs w:val="19"/>
          <w:i w:val="1"/>
          <w:iCs w:val="1"/>
          <w:color w:val="auto"/>
        </w:rPr>
        <w:t>Illegality</w:t>
      </w:r>
      <w:r>
        <w:rPr>
          <w:rFonts w:ascii="Arial" w:cs="Arial" w:eastAsia="Arial" w:hAnsi="Arial"/>
          <w:sz w:val="19"/>
          <w:szCs w:val="19"/>
          <w:color w:val="auto"/>
        </w:rPr>
        <w:t>), Clause 12 (</w:t>
      </w:r>
      <w:r>
        <w:rPr>
          <w:rFonts w:ascii="Arial" w:cs="Arial" w:eastAsia="Arial" w:hAnsi="Arial"/>
          <w:sz w:val="19"/>
          <w:szCs w:val="19"/>
          <w:i w:val="1"/>
          <w:iCs w:val="1"/>
          <w:color w:val="auto"/>
        </w:rPr>
        <w:t>Tax Gross up and Indemnities</w:t>
      </w:r>
      <w:r>
        <w:rPr>
          <w:rFonts w:ascii="Arial" w:cs="Arial" w:eastAsia="Arial" w:hAnsi="Arial"/>
          <w:sz w:val="19"/>
          <w:szCs w:val="19"/>
          <w:color w:val="auto"/>
        </w:rPr>
        <w:t>) or Clause 13 (</w:t>
      </w:r>
      <w:r>
        <w:rPr>
          <w:rFonts w:ascii="Arial" w:cs="Arial" w:eastAsia="Arial" w:hAnsi="Arial"/>
          <w:sz w:val="19"/>
          <w:szCs w:val="19"/>
          <w:i w:val="1"/>
          <w:iCs w:val="1"/>
          <w:color w:val="auto"/>
        </w:rPr>
        <w:t>Increased Costs</w:t>
      </w:r>
      <w:r>
        <w:rPr>
          <w:rFonts w:ascii="Arial" w:cs="Arial" w:eastAsia="Arial" w:hAnsi="Arial"/>
          <w:sz w:val="19"/>
          <w:szCs w:val="19"/>
          <w:color w:val="auto"/>
        </w:rPr>
        <w:t>) or in any amount payable under a Finance Document by the French Borrower becoming not deductible from the French Borrower's taxable income for French tax purposes by reason of that amount being (i) paid or accrued to a Finance Party incorporated, domiciled, established or acting through a Facility Office situated in a Non-Cooperative Jurisdiction; or (ii) paid to a bank or credit or financial institution account opened in the name of or for the benefit of that Finance Party in a financial institution situated in a Non-Cooperative Jurisdiction, including (but not limited to) transferring its rights and obligations under the Finance Documents to another Affiliate or Facility Office.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Limitation of liability</w:t>
      </w:r>
    </w:p>
    <w:p>
      <w:pPr>
        <w:spacing w:after="0" w:line="252" w:lineRule="exact"/>
        <w:rPr>
          <w:sz w:val="20"/>
          <w:szCs w:val="20"/>
          <w:color w:val="auto"/>
        </w:rPr>
      </w:pPr>
    </w:p>
    <w:p>
      <w:pPr>
        <w:ind w:left="1260" w:hanging="496"/>
        <w:spacing w:after="0" w:line="277" w:lineRule="auto"/>
        <w:tabs>
          <w:tab w:leader="none" w:pos="12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shall promptly indemnify each Finance Party for all costs and expenses reasonably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97" w:lineRule="exact"/>
        <w:rPr>
          <w:rFonts w:ascii="Arial" w:cs="Arial" w:eastAsia="Arial" w:hAnsi="Arial"/>
          <w:sz w:val="18"/>
          <w:szCs w:val="18"/>
          <w:color w:val="auto"/>
        </w:rPr>
      </w:pPr>
    </w:p>
    <w:p>
      <w:pPr>
        <w:ind w:left="760" w:hanging="752"/>
        <w:spacing w:after="0"/>
        <w:tabs>
          <w:tab w:leader="none" w:pos="7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Costs and Expenses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color w:val="auto"/>
        </w:rPr>
        <w:t>Transaction expenses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on behalf of itself and of the Subsidiary Borrower, undertakes, promptly on demand, to pay to the Agent all Transaction Expenses that are payable at the Signing Date with such amount being payable by the Company on behalf of itself and of the Subsidiary Borrower.</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For the purposes of this Clause 16.1, "</w:t>
      </w:r>
      <w:r>
        <w:rPr>
          <w:rFonts w:ascii="Arial" w:cs="Arial" w:eastAsia="Arial" w:hAnsi="Arial"/>
          <w:sz w:val="22"/>
          <w:szCs w:val="22"/>
          <w:b w:val="1"/>
          <w:bCs w:val="1"/>
          <w:color w:val="auto"/>
        </w:rPr>
        <w:t>Transaction Expenses</w:t>
      </w:r>
      <w:r>
        <w:rPr>
          <w:rFonts w:ascii="Arial" w:cs="Arial" w:eastAsia="Arial" w:hAnsi="Arial"/>
          <w:sz w:val="22"/>
          <w:szCs w:val="22"/>
          <w:color w:val="auto"/>
        </w:rPr>
        <w:t>" shall mean the amount of all costs and expenses (including legal fees, subject to any agreed caps) reasonably incurred by the Agent in connection with the negotiation, preparation, printing, administration, issuance, amendment, payment and execution and of:</w:t>
      </w:r>
    </w:p>
    <w:p>
      <w:pPr>
        <w:spacing w:after="0" w:line="217" w:lineRule="exact"/>
        <w:rPr>
          <w:sz w:val="20"/>
          <w:szCs w:val="20"/>
          <w:color w:val="auto"/>
        </w:rPr>
      </w:pPr>
    </w:p>
    <w:p>
      <w:pPr>
        <w:ind w:left="1260" w:hanging="496"/>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16.2</w:t>
      </w:r>
      <w:r>
        <w:rPr>
          <w:rFonts w:ascii="Arial" w:cs="Arial" w:eastAsia="Arial" w:hAnsi="Arial"/>
          <w:sz w:val="16"/>
          <w:szCs w:val="16"/>
          <w:color w:val="auto"/>
        </w:rPr>
        <w:t>Amendment costs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Borrower undertakes, on a joint and several basis and promptly on demand, to reimburse the Agent for all Amendment Costs that are payable after the Signing Date.</w:t>
      </w:r>
    </w:p>
    <w:p>
      <w:pPr>
        <w:spacing w:after="0" w:line="196" w:lineRule="exact"/>
        <w:rPr>
          <w:sz w:val="20"/>
          <w:szCs w:val="20"/>
          <w:color w:val="auto"/>
        </w:rPr>
      </w:pPr>
    </w:p>
    <w:p>
      <w:pPr>
        <w:spacing w:after="0" w:line="334" w:lineRule="auto"/>
        <w:rPr>
          <w:sz w:val="20"/>
          <w:szCs w:val="20"/>
          <w:color w:val="auto"/>
        </w:rPr>
      </w:pPr>
      <w:r>
        <w:rPr>
          <w:rFonts w:ascii="Arial" w:cs="Arial" w:eastAsia="Arial" w:hAnsi="Arial"/>
          <w:sz w:val="19"/>
          <w:szCs w:val="19"/>
          <w:color w:val="auto"/>
        </w:rPr>
        <w:t>For the purposes of this Clause 16.2, "</w:t>
      </w:r>
      <w:r>
        <w:rPr>
          <w:rFonts w:ascii="Arial" w:cs="Arial" w:eastAsia="Arial" w:hAnsi="Arial"/>
          <w:sz w:val="19"/>
          <w:szCs w:val="19"/>
          <w:b w:val="1"/>
          <w:bCs w:val="1"/>
          <w:color w:val="auto"/>
        </w:rPr>
        <w:t>Amendment Costs</w:t>
      </w:r>
      <w:r>
        <w:rPr>
          <w:rFonts w:ascii="Arial" w:cs="Arial" w:eastAsia="Arial" w:hAnsi="Arial"/>
          <w:sz w:val="19"/>
          <w:szCs w:val="19"/>
          <w:color w:val="auto"/>
        </w:rPr>
        <w:t>" shall mean the amount of all costs and expenses (including legal fees, subject to any agreed caps) reasonably incurred by the Agent in responding to, evaluating, negotiating or complying with:</w:t>
      </w:r>
    </w:p>
    <w:p>
      <w:pPr>
        <w:spacing w:after="0" w:line="134" w:lineRule="exact"/>
        <w:rPr>
          <w:sz w:val="20"/>
          <w:szCs w:val="20"/>
          <w:color w:val="auto"/>
        </w:rPr>
      </w:pPr>
    </w:p>
    <w:p>
      <w:pPr>
        <w:ind w:left="1260" w:hanging="496"/>
        <w:spacing w:after="0"/>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amendment, waiver or consent requested by an Obligor;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amendment required pursuant to Clause 28.10 (</w:t>
      </w:r>
      <w:r>
        <w:rPr>
          <w:rFonts w:ascii="Arial" w:cs="Arial" w:eastAsia="Arial" w:hAnsi="Arial"/>
          <w:sz w:val="18"/>
          <w:szCs w:val="18"/>
          <w:i w:val="1"/>
          <w:iCs w:val="1"/>
          <w:color w:val="auto"/>
        </w:rPr>
        <w:t>Change of currency</w:t>
      </w:r>
      <w:r>
        <w:rPr>
          <w:rFonts w:ascii="Arial" w:cs="Arial" w:eastAsia="Arial" w:hAnsi="Arial"/>
          <w:sz w:val="18"/>
          <w:szCs w:val="18"/>
          <w:color w:val="auto"/>
        </w:rPr>
        <w:t>) or Clause 34.5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16.3</w:t>
      </w:r>
      <w:r>
        <w:rPr>
          <w:rFonts w:ascii="Arial" w:cs="Arial" w:eastAsia="Arial" w:hAnsi="Arial"/>
          <w:sz w:val="16"/>
          <w:szCs w:val="16"/>
          <w:color w:val="auto"/>
        </w:rPr>
        <w:t>Enforcement costs</w:t>
      </w:r>
    </w:p>
    <w:p>
      <w:pPr>
        <w:spacing w:after="0" w:line="24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relevant Borrower undertakes, within three Business Days of demand, to pay to each Finance Party the amount of all Enforcement Costs that are payable on or after the Signing Date.</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For purposes of this Clause 16.2, "</w:t>
      </w:r>
      <w:r>
        <w:rPr>
          <w:rFonts w:ascii="Arial" w:cs="Arial" w:eastAsia="Arial" w:hAnsi="Arial"/>
          <w:sz w:val="22"/>
          <w:szCs w:val="22"/>
          <w:b w:val="1"/>
          <w:bCs w:val="1"/>
          <w:color w:val="auto"/>
        </w:rPr>
        <w:t>Enforcement Costs</w:t>
      </w:r>
      <w:r>
        <w:rPr>
          <w:rFonts w:ascii="Arial" w:cs="Arial" w:eastAsia="Arial" w:hAnsi="Arial"/>
          <w:sz w:val="22"/>
          <w:szCs w:val="22"/>
          <w:color w:val="auto"/>
        </w:rPr>
        <w:t>" shall mean, with respect to each Finance Party, all costs and expenses (including legal fees) incurred by that Finance Party in connection with the enforcement of, or the preservation of any rights under, any Finance Document.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SECTION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GUARANTEE</w:t>
      </w:r>
    </w:p>
    <w:p>
      <w:pPr>
        <w:spacing w:after="0" w:line="222" w:lineRule="exact"/>
        <w:rPr>
          <w:sz w:val="20"/>
          <w:szCs w:val="20"/>
          <w:color w:val="auto"/>
        </w:rPr>
      </w:pPr>
    </w:p>
    <w:p>
      <w:pPr>
        <w:ind w:left="760" w:hanging="752"/>
        <w:spacing w:after="0"/>
        <w:tabs>
          <w:tab w:leader="none" w:pos="7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Guarantee</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The Company, notwithstanding the release of the Subsidiary Borrower under the terms of any composition or arrangement with any creditors, hereby irrevocably and jointly and severally guarantees to the Finance Parties as </w:t>
      </w:r>
      <w:r>
        <w:rPr>
          <w:rFonts w:ascii="Arial" w:cs="Arial" w:eastAsia="Arial" w:hAnsi="Arial"/>
          <w:sz w:val="18"/>
          <w:szCs w:val="18"/>
          <w:i w:val="1"/>
          <w:iCs w:val="1"/>
          <w:color w:val="auto"/>
        </w:rPr>
        <w:t>caution solidaire</w:t>
      </w:r>
      <w:r>
        <w:rPr>
          <w:rFonts w:ascii="Arial" w:cs="Arial" w:eastAsia="Arial" w:hAnsi="Arial"/>
          <w:sz w:val="18"/>
          <w:szCs w:val="18"/>
          <w:color w:val="auto"/>
        </w:rPr>
        <w:t xml:space="preserve"> the payment when due of all sums from time to time payable by the Subsidiary Borrower under the Finance Documents.</w:t>
      </w:r>
    </w:p>
    <w:p>
      <w:pPr>
        <w:spacing w:after="0" w:line="210" w:lineRule="exact"/>
        <w:rPr>
          <w:rFonts w:ascii="Arial" w:cs="Arial" w:eastAsia="Arial" w:hAnsi="Arial"/>
          <w:sz w:val="18"/>
          <w:szCs w:val="18"/>
          <w:color w:val="auto"/>
        </w:rPr>
      </w:pPr>
    </w:p>
    <w:p>
      <w:pPr>
        <w:jc w:val="both"/>
        <w:ind w:left="1260" w:hanging="496"/>
        <w:spacing w:after="0" w:line="271" w:lineRule="auto"/>
        <w:tabs>
          <w:tab w:leader="none" w:pos="126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The obligations of the Company under this Clause 17 will not be affected by any act, variation, circumstance, omission, matter or thing which, but for this provision, would reduce, release or prejudice any of its obligations under this Clause 17 or prejudice or diminish those obligations in whole or in part, including without limitation (whether or not known to it or any other Party) any extension of time, renewal, amendment or modification of any of the clauses, terms or conditions of the Finance Documents so that each such obligation shall, for the purposes of the Company's obligations under this Clause 17, remain in full force and be construed as if there were no such act, circumstance, variation, omission, matter or thing and the Company hereby expressly agrees and waives any rights which it may have to claim that any such act, circumstance, variation, omission, matter or thing operates as a novation within the meaning of articles 1329 </w:t>
      </w:r>
      <w:r>
        <w:rPr>
          <w:rFonts w:ascii="Arial" w:cs="Arial" w:eastAsia="Arial" w:hAnsi="Arial"/>
          <w:sz w:val="17"/>
          <w:szCs w:val="17"/>
          <w:i w:val="1"/>
          <w:iCs w:val="1"/>
          <w:color w:val="auto"/>
        </w:rPr>
        <w:t>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seq. </w:t>
      </w:r>
      <w:r>
        <w:rPr>
          <w:rFonts w:ascii="Arial" w:cs="Arial" w:eastAsia="Arial" w:hAnsi="Arial"/>
          <w:sz w:val="17"/>
          <w:szCs w:val="17"/>
          <w:color w:val="auto"/>
        </w:rPr>
        <w:t>of the French</w:t>
      </w:r>
      <w:r>
        <w:rPr>
          <w:rFonts w:ascii="Arial" w:cs="Arial" w:eastAsia="Arial" w:hAnsi="Arial"/>
          <w:sz w:val="17"/>
          <w:szCs w:val="17"/>
          <w:i w:val="1"/>
          <w:iCs w:val="1"/>
          <w:color w:val="auto"/>
        </w:rPr>
        <w:t xml:space="preserve"> Code civil </w:t>
      </w:r>
      <w:r>
        <w:rPr>
          <w:rFonts w:ascii="Arial" w:cs="Arial" w:eastAsia="Arial" w:hAnsi="Arial"/>
          <w:sz w:val="17"/>
          <w:szCs w:val="17"/>
          <w:color w:val="auto"/>
        </w:rPr>
        <w:t>so as to release it from its obligations under this Clause.</w:t>
      </w:r>
    </w:p>
    <w:p>
      <w:pPr>
        <w:spacing w:after="0" w:line="205" w:lineRule="exact"/>
        <w:rPr>
          <w:rFonts w:ascii="Arial" w:cs="Arial" w:eastAsia="Arial" w:hAnsi="Arial"/>
          <w:sz w:val="17"/>
          <w:szCs w:val="17"/>
          <w:color w:val="auto"/>
        </w:rPr>
      </w:pPr>
    </w:p>
    <w:p>
      <w:pPr>
        <w:jc w:val="both"/>
        <w:ind w:left="1260" w:hanging="496"/>
        <w:spacing w:after="0" w:line="259" w:lineRule="auto"/>
        <w:tabs>
          <w:tab w:leader="none" w:pos="1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further expressly waives and renounces any rights which it may have to claim a novation and release under the Finance Documents because of a change in the legal form or personality of any of the Subsidiary Borrower in the future or in the case of any merger or other restructuring ("</w:t>
      </w:r>
      <w:r>
        <w:rPr>
          <w:rFonts w:ascii="Arial" w:cs="Arial" w:eastAsia="Arial" w:hAnsi="Arial"/>
          <w:sz w:val="18"/>
          <w:szCs w:val="18"/>
          <w:i w:val="1"/>
          <w:iCs w:val="1"/>
          <w:color w:val="auto"/>
        </w:rPr>
        <w:t>fusion</w:t>
      </w:r>
      <w:r>
        <w:rPr>
          <w:rFonts w:ascii="Arial" w:cs="Arial" w:eastAsia="Arial" w:hAnsi="Arial"/>
          <w:sz w:val="18"/>
          <w:szCs w:val="18"/>
          <w:color w:val="auto"/>
        </w:rPr>
        <w:t>", "</w:t>
      </w:r>
      <w:r>
        <w:rPr>
          <w:rFonts w:ascii="Arial" w:cs="Arial" w:eastAsia="Arial" w:hAnsi="Arial"/>
          <w:sz w:val="18"/>
          <w:szCs w:val="18"/>
          <w:i w:val="1"/>
          <w:iCs w:val="1"/>
          <w:color w:val="auto"/>
        </w:rPr>
        <w:t>scission</w:t>
      </w:r>
      <w:r>
        <w:rPr>
          <w:rFonts w:ascii="Arial" w:cs="Arial" w:eastAsia="Arial" w:hAnsi="Arial"/>
          <w:sz w:val="18"/>
          <w:szCs w:val="18"/>
          <w:color w:val="auto"/>
        </w:rPr>
        <w:t>" or "</w:t>
      </w:r>
      <w:r>
        <w:rPr>
          <w:rFonts w:ascii="Arial" w:cs="Arial" w:eastAsia="Arial" w:hAnsi="Arial"/>
          <w:sz w:val="18"/>
          <w:szCs w:val="18"/>
          <w:i w:val="1"/>
          <w:iCs w:val="1"/>
          <w:color w:val="auto"/>
        </w:rPr>
        <w:t>apport partiel d'actif</w:t>
      </w:r>
      <w:r>
        <w:rPr>
          <w:rFonts w:ascii="Arial" w:cs="Arial" w:eastAsia="Arial" w:hAnsi="Arial"/>
          <w:sz w:val="18"/>
          <w:szCs w:val="18"/>
          <w:color w:val="auto"/>
        </w:rPr>
        <w:t>") of the Subsidiary Borrower with another entity even if it is not the surviving entity.</w:t>
      </w:r>
    </w:p>
    <w:p>
      <w:pPr>
        <w:spacing w:after="0" w:line="213"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Furthermore, the Company agrees that it will continue to be bound by the terms of the guarantee given pursuant to this Clause 17 notwithstanding any merger or other restructuring ("</w:t>
      </w:r>
      <w:r>
        <w:rPr>
          <w:rFonts w:ascii="Arial" w:cs="Arial" w:eastAsia="Arial" w:hAnsi="Arial"/>
          <w:sz w:val="18"/>
          <w:szCs w:val="18"/>
          <w:i w:val="1"/>
          <w:iCs w:val="1"/>
          <w:color w:val="auto"/>
        </w:rPr>
        <w:t>fusion</w:t>
      </w:r>
      <w:r>
        <w:rPr>
          <w:rFonts w:ascii="Arial" w:cs="Arial" w:eastAsia="Arial" w:hAnsi="Arial"/>
          <w:sz w:val="18"/>
          <w:szCs w:val="18"/>
          <w:color w:val="auto"/>
        </w:rPr>
        <w:t>", "</w:t>
      </w:r>
      <w:r>
        <w:rPr>
          <w:rFonts w:ascii="Arial" w:cs="Arial" w:eastAsia="Arial" w:hAnsi="Arial"/>
          <w:sz w:val="18"/>
          <w:szCs w:val="18"/>
          <w:i w:val="1"/>
          <w:iCs w:val="1"/>
          <w:color w:val="auto"/>
        </w:rPr>
        <w:t>scission</w:t>
      </w:r>
      <w:r>
        <w:rPr>
          <w:rFonts w:ascii="Arial" w:cs="Arial" w:eastAsia="Arial" w:hAnsi="Arial"/>
          <w:sz w:val="18"/>
          <w:szCs w:val="18"/>
          <w:color w:val="auto"/>
        </w:rPr>
        <w:t>" or "</w:t>
      </w:r>
      <w:r>
        <w:rPr>
          <w:rFonts w:ascii="Arial" w:cs="Arial" w:eastAsia="Arial" w:hAnsi="Arial"/>
          <w:sz w:val="18"/>
          <w:szCs w:val="18"/>
          <w:i w:val="1"/>
          <w:iCs w:val="1"/>
          <w:color w:val="auto"/>
        </w:rPr>
        <w:t>apport partiel d'actif</w:t>
      </w:r>
      <w:r>
        <w:rPr>
          <w:rFonts w:ascii="Arial" w:cs="Arial" w:eastAsia="Arial" w:hAnsi="Arial"/>
          <w:sz w:val="18"/>
          <w:szCs w:val="18"/>
          <w:color w:val="auto"/>
        </w:rPr>
        <w:t>") of any of the Finance Parties with another entity and notwithstanding any modification in the legal form of personality of any such Finance Party, even if that Finance Party is not the surviving entity.</w:t>
      </w:r>
    </w:p>
    <w:p>
      <w:pPr>
        <w:spacing w:after="0" w:line="213"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guarantee under this Clause 17 will extend to the ultimate balance of all sums payable by the Subsidiary Borrower under the Finance Documents, regardless of any intermediate payment or discharge in whole or in part and shall as a matter of law benefit to each successor or transferee of the rights and obligations of each Finance Party hereunder (including any New Lender).</w:t>
      </w:r>
    </w:p>
    <w:p>
      <w:pPr>
        <w:spacing w:after="0" w:line="192" w:lineRule="exact"/>
        <w:rPr>
          <w:rFonts w:ascii="Arial" w:cs="Arial" w:eastAsia="Arial" w:hAnsi="Arial"/>
          <w:sz w:val="17"/>
          <w:szCs w:val="17"/>
          <w:color w:val="auto"/>
        </w:rPr>
      </w:pPr>
    </w:p>
    <w:p>
      <w:pPr>
        <w:jc w:val="both"/>
        <w:ind w:left="1260" w:hanging="496"/>
        <w:spacing w:after="0" w:line="259" w:lineRule="auto"/>
        <w:tabs>
          <w:tab w:leader="none" w:pos="1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waives any right it may have of first requiring any Finance Party (or any agent on its behalf) to proceed against the Subsidiary Borrower or any other person (</w:t>
      </w:r>
      <w:r>
        <w:rPr>
          <w:rFonts w:ascii="Arial" w:cs="Arial" w:eastAsia="Arial" w:hAnsi="Arial"/>
          <w:sz w:val="18"/>
          <w:szCs w:val="18"/>
          <w:i w:val="1"/>
          <w:iCs w:val="1"/>
          <w:color w:val="auto"/>
        </w:rPr>
        <w:t>bénéfice de discussion</w:t>
      </w:r>
      <w:r>
        <w:rPr>
          <w:rFonts w:ascii="Arial" w:cs="Arial" w:eastAsia="Arial" w:hAnsi="Arial"/>
          <w:sz w:val="18"/>
          <w:szCs w:val="18"/>
          <w:color w:val="auto"/>
        </w:rPr>
        <w:t>) or enforce any other rights or security or claim payment from or file any proof or claim in any insolvency proceedings of any person before claiming from the Company under this Clause 17 (</w:t>
      </w:r>
      <w:r>
        <w:rPr>
          <w:rFonts w:ascii="Arial" w:cs="Arial" w:eastAsia="Arial" w:hAnsi="Arial"/>
          <w:sz w:val="18"/>
          <w:szCs w:val="18"/>
          <w:i w:val="1"/>
          <w:iCs w:val="1"/>
          <w:color w:val="auto"/>
        </w:rPr>
        <w:t>bénéfice de</w:t>
      </w:r>
      <w:r>
        <w:rPr>
          <w:rFonts w:ascii="Arial" w:cs="Arial" w:eastAsia="Arial" w:hAnsi="Arial"/>
          <w:sz w:val="18"/>
          <w:szCs w:val="18"/>
          <w:color w:val="auto"/>
        </w:rPr>
        <w:t xml:space="preserve"> </w:t>
      </w:r>
      <w:r>
        <w:rPr>
          <w:rFonts w:ascii="Arial" w:cs="Arial" w:eastAsia="Arial" w:hAnsi="Arial"/>
          <w:sz w:val="18"/>
          <w:szCs w:val="18"/>
          <w:i w:val="1"/>
          <w:iCs w:val="1"/>
          <w:color w:val="auto"/>
        </w:rPr>
        <w:t>division</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Subsidiary Borrower under or in connection with the Finance Documents have been irrevocably paid in full, the Company shall not, after a claim has been made or by virtue of any payment or performance by it under this Clause 17:</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2"/>
          <w:numId w:val="172"/>
        </w:numPr>
        <w:rPr>
          <w:rFonts w:ascii="Arial" w:cs="Arial" w:eastAsia="Arial" w:hAnsi="Arial"/>
          <w:sz w:val="14"/>
          <w:szCs w:val="14"/>
          <w:color w:val="auto"/>
        </w:rPr>
      </w:pPr>
      <w:r>
        <w:rPr>
          <w:rFonts w:ascii="Arial" w:cs="Arial" w:eastAsia="Arial" w:hAnsi="Arial"/>
          <w:sz w:val="14"/>
          <w:szCs w:val="14"/>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jc w:val="both"/>
        <w:ind w:left="1016" w:hanging="503"/>
        <w:spacing w:after="0" w:line="257" w:lineRule="auto"/>
        <w:tabs>
          <w:tab w:leader="none" w:pos="101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be subrogated to any rights, security or moneys held, received or receivable by any Finance Party (or any agent on its behalf) or be entitled to any right of contribution or indemnity in respect of any payment made or moneys received on account of the Company's liability under this Clause 17 and, to the extent that the Company is so subrogated or entitled by law, the Company (to the fullest extent permitted by law) waives and agrees not to exercise or claim those rights, security or money or that right of contribution or indemnity;</w:t>
      </w:r>
    </w:p>
    <w:p>
      <w:pPr>
        <w:spacing w:after="0" w:line="214" w:lineRule="exact"/>
        <w:rPr>
          <w:rFonts w:ascii="Arial" w:cs="Arial" w:eastAsia="Arial" w:hAnsi="Arial"/>
          <w:sz w:val="18"/>
          <w:szCs w:val="18"/>
          <w:color w:val="auto"/>
        </w:rPr>
      </w:pPr>
    </w:p>
    <w:p>
      <w:pPr>
        <w:jc w:val="both"/>
        <w:ind w:left="1016" w:hanging="503"/>
        <w:spacing w:after="0" w:line="275" w:lineRule="auto"/>
        <w:tabs>
          <w:tab w:leader="none" w:pos="10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claim, rank, prove or vote as a creditor of the Subsidiary Borrower or its estate in competition with any Finance Party (or any agent on its behalf) unless otherwise required by the Agent or by law (in which case any proceeds of any claim in respect of any rights, security or monies of any Finance Party to which the Company was subrogated will be paid by the Company to the Agent to be applied in accordance with the provisions of the Finance Documents) or unless required for filing any debt claim (déclaration de créance) it may have against the Subsidiary Borrower in an insolvency proceeding; or</w:t>
      </w:r>
    </w:p>
    <w:p>
      <w:pPr>
        <w:spacing w:after="0" w:line="203" w:lineRule="exact"/>
        <w:rPr>
          <w:rFonts w:ascii="Arial" w:cs="Arial" w:eastAsia="Arial" w:hAnsi="Arial"/>
          <w:sz w:val="17"/>
          <w:szCs w:val="17"/>
          <w:color w:val="auto"/>
        </w:rPr>
      </w:pPr>
    </w:p>
    <w:p>
      <w:pPr>
        <w:jc w:val="both"/>
        <w:ind w:left="1016" w:hanging="503"/>
        <w:spacing w:after="0" w:line="286" w:lineRule="auto"/>
        <w:tabs>
          <w:tab w:leader="none" w:pos="101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or security from or on account of the Subsidiary Borrower, or exercise any right of set-off as against the Subsidiary Borrower (and without prejudice to the foregoing, the Company shall forthwith pay to the Agent for the benefit of the Finance Parties an amount equal to any amount so set-off by it).</w:t>
      </w:r>
    </w:p>
    <w:p>
      <w:pPr>
        <w:spacing w:after="0" w:line="192" w:lineRule="exact"/>
        <w:rPr>
          <w:rFonts w:ascii="Arial" w:cs="Arial" w:eastAsia="Arial" w:hAnsi="Arial"/>
          <w:sz w:val="17"/>
          <w:szCs w:val="17"/>
          <w:color w:val="auto"/>
        </w:rPr>
      </w:pPr>
    </w:p>
    <w:p>
      <w:pPr>
        <w:jc w:val="both"/>
        <w:ind w:left="496" w:hanging="496"/>
        <w:spacing w:after="0" w:line="263" w:lineRule="auto"/>
        <w:tabs>
          <w:tab w:leader="none" w:pos="4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Until all amounts which may be or become payable by the Subsidiary Borrower under or in connection with the Finance Documents have been irrevocably paid in full, the Company expressly undertakes not to exercise any rights which it may have against the Subsidiary Borrower under articles 2305, 2306 and 2309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96" w:hanging="496"/>
        <w:spacing w:after="0" w:line="277" w:lineRule="auto"/>
        <w:tabs>
          <w:tab w:leader="none" w:pos="4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shall hold for the account of and forthwith pay or transfer to the Agent for the Finance Parties any payment or distribution or benefit of security received by it contrary to paragraph (g) above.</w:t>
      </w:r>
    </w:p>
    <w:p>
      <w:pPr>
        <w:spacing w:after="0" w:line="197" w:lineRule="exact"/>
        <w:rPr>
          <w:rFonts w:ascii="Arial" w:cs="Arial" w:eastAsia="Arial" w:hAnsi="Arial"/>
          <w:sz w:val="18"/>
          <w:szCs w:val="18"/>
          <w:color w:val="auto"/>
        </w:rPr>
      </w:pPr>
    </w:p>
    <w:p>
      <w:pPr>
        <w:jc w:val="both"/>
        <w:ind w:left="496" w:hanging="496"/>
        <w:spacing w:after="0" w:line="259" w:lineRule="auto"/>
        <w:tabs>
          <w:tab w:leader="none" w:pos="4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Company irrevocably and expressly undertakes not to exercise any rights which it may have under Article 2316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civil </w:t>
      </w:r>
      <w:r>
        <w:rPr>
          <w:rFonts w:ascii="Arial" w:cs="Arial" w:eastAsia="Arial" w:hAnsi="Arial"/>
          <w:sz w:val="18"/>
          <w:szCs w:val="18"/>
          <w:color w:val="auto"/>
        </w:rPr>
        <w:t>to take any action against the Subsidiary Borrower in the event of any extension of any Availability Period, any Maturity Date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date for payment of any amount due, owing or payable to any Finance Party under any Finance Document, in each case without the consent of the Agent.</w:t>
      </w:r>
    </w:p>
    <w:p>
      <w:pPr>
        <w:spacing w:after="0" w:line="213" w:lineRule="exact"/>
        <w:rPr>
          <w:rFonts w:ascii="Arial" w:cs="Arial" w:eastAsia="Arial" w:hAnsi="Arial"/>
          <w:sz w:val="18"/>
          <w:szCs w:val="18"/>
          <w:color w:val="auto"/>
        </w:rPr>
      </w:pPr>
    </w:p>
    <w:p>
      <w:pPr>
        <w:ind w:left="496" w:hanging="496"/>
        <w:spacing w:after="0" w:line="342" w:lineRule="auto"/>
        <w:tabs>
          <w:tab w:leader="none" w:pos="49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Company's obligations as </w:t>
      </w:r>
      <w:r>
        <w:rPr>
          <w:rFonts w:ascii="Arial" w:cs="Arial" w:eastAsia="Arial" w:hAnsi="Arial"/>
          <w:sz w:val="16"/>
          <w:szCs w:val="16"/>
          <w:i w:val="1"/>
          <w:iCs w:val="1"/>
          <w:color w:val="auto"/>
        </w:rPr>
        <w:t>a caution solidaire</w:t>
      </w:r>
      <w:r>
        <w:rPr>
          <w:rFonts w:ascii="Arial" w:cs="Arial" w:eastAsia="Arial" w:hAnsi="Arial"/>
          <w:sz w:val="16"/>
          <w:szCs w:val="16"/>
          <w:color w:val="auto"/>
        </w:rPr>
        <w:t xml:space="preserve"> under this Clause will continue in full force and effect until all sums due or which may become due by the Subsidiary Borrower under the Facility have been fully paid and discharged in accordance with the terms hereof.</w:t>
      </w:r>
    </w:p>
    <w:p>
      <w:pPr>
        <w:spacing w:after="0" w:line="150" w:lineRule="exact"/>
        <w:rPr>
          <w:rFonts w:ascii="Arial" w:cs="Arial" w:eastAsia="Arial" w:hAnsi="Arial"/>
          <w:sz w:val="16"/>
          <w:szCs w:val="16"/>
          <w:color w:val="auto"/>
        </w:rPr>
      </w:pPr>
    </w:p>
    <w:p>
      <w:pPr>
        <w:ind w:left="496" w:right="20" w:hanging="496"/>
        <w:spacing w:after="0" w:line="277" w:lineRule="auto"/>
        <w:tabs>
          <w:tab w:leader="none" w:pos="49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the avoidance of doubt it is specified that any payment to be made by the Company pursuant to Clause 17 shall be made in the same currency as the obligations then secured.</w:t>
      </w:r>
    </w:p>
    <w:p>
      <w:pPr>
        <w:spacing w:after="0" w:line="368" w:lineRule="exact"/>
        <w:rPr>
          <w:rFonts w:ascii="Arial" w:cs="Arial" w:eastAsia="Arial" w:hAnsi="Arial"/>
          <w:sz w:val="18"/>
          <w:szCs w:val="18"/>
          <w:color w:val="auto"/>
        </w:rPr>
      </w:pPr>
    </w:p>
    <w:p>
      <w:pPr>
        <w:ind w:left="4796" w:hanging="92"/>
        <w:spacing w:after="0"/>
        <w:tabs>
          <w:tab w:leader="none" w:pos="4796" w:val="left"/>
        </w:tabs>
        <w:numPr>
          <w:ilvl w:val="2"/>
          <w:numId w:val="174"/>
        </w:numPr>
        <w:rPr>
          <w:rFonts w:ascii="Arial" w:cs="Arial" w:eastAsia="Arial" w:hAnsi="Arial"/>
          <w:sz w:val="14"/>
          <w:szCs w:val="14"/>
          <w:color w:val="auto"/>
        </w:rPr>
      </w:pPr>
      <w:r>
        <w:rPr>
          <w:rFonts w:ascii="Arial" w:cs="Arial" w:eastAsia="Arial" w:hAnsi="Arial"/>
          <w:sz w:val="14"/>
          <w:szCs w:val="14"/>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12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SECTION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UNDERTAKINGS AND EVENTS OF DEFAULT</w:t>
      </w:r>
    </w:p>
    <w:p>
      <w:pPr>
        <w:spacing w:after="0" w:line="222" w:lineRule="exact"/>
        <w:rPr>
          <w:sz w:val="20"/>
          <w:szCs w:val="20"/>
          <w:color w:val="auto"/>
        </w:rPr>
      </w:pPr>
    </w:p>
    <w:p>
      <w:pPr>
        <w:ind w:left="760" w:hanging="752"/>
        <w:spacing w:after="0"/>
        <w:tabs>
          <w:tab w:leader="none" w:pos="7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Obligor makes the representations and warranties set forth in this Clause 18 to each Finance Party on the date of this Agreement. Each Obligor makes such representations and warranties with respect to itself, and where a representation and warranty is expressed to apply to all Subsidiaries or a group of Subsidiaries, each Obligor makes such representation and warranty with respect to each of its Subsidiaries or each of its Subsidiaries that is a member of such group, as applicable.</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color w:val="auto"/>
        </w:rPr>
        <w:t>Status</w:t>
      </w:r>
    </w:p>
    <w:p>
      <w:pPr>
        <w:spacing w:after="0" w:line="252" w:lineRule="exact"/>
        <w:rPr>
          <w:sz w:val="20"/>
          <w:szCs w:val="20"/>
          <w:color w:val="auto"/>
        </w:rPr>
      </w:pPr>
    </w:p>
    <w:p>
      <w:pPr>
        <w:ind w:left="1260" w:hanging="496"/>
        <w:spacing w:after="0" w:line="277" w:lineRule="auto"/>
        <w:tabs>
          <w:tab w:leader="none" w:pos="1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Obligor and each Material Subsidiary is duly incorporated, organised or formed and validly existing under the laws of its jurisdiction of incorporation, organisation or formation.</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Obligor and each Material Subsidiary has the power to own its assets and carry on its business as it is being conducted save where failure to do so could not be reasonably expected to have a Material Adverse Effect.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Powers and authority</w:t>
      </w:r>
    </w:p>
    <w:p>
      <w:pPr>
        <w:spacing w:after="0" w:line="24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Each Obligor has the power to enter into, deliver and perform, and has taken all necessary action to authorise the entry into and performance of the Finance Documents to which it is a party and the transactions contemplated by the Finance Documents.</w:t>
      </w:r>
    </w:p>
    <w:p>
      <w:pPr>
        <w:spacing w:after="0" w:line="1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Legal validity</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Each Finance Document to which each Obligor is a party constitutes a legal, valid, binding and enforceable agreement of the relevant Obligor, subject to exceptions covered by legal opinions delivered as conditions precedent under Agreement and listed in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 or except as such enforceability may be limited by Debtor Relief Laws.</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No conflict</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execution, delivery and performance by each Obligor of each Finance Document to which it is a party and the borrowing by each Borrower under the Finance Documents, and each Obligor's compliance with each Finance Document to which it is a party, do not:</w:t>
      </w:r>
    </w:p>
    <w:p>
      <w:pPr>
        <w:spacing w:after="0" w:line="220" w:lineRule="exact"/>
        <w:rPr>
          <w:sz w:val="20"/>
          <w:szCs w:val="20"/>
          <w:color w:val="auto"/>
        </w:rPr>
      </w:pPr>
    </w:p>
    <w:p>
      <w:pPr>
        <w:ind w:left="1260" w:hanging="496"/>
        <w:spacing w:after="0"/>
        <w:tabs>
          <w:tab w:leader="none" w:pos="1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conflict in any material respect with any law or regulation applicable to it;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conflict with its constitutional documents; or</w:t>
      </w:r>
    </w:p>
    <w:p>
      <w:pPr>
        <w:spacing w:after="0" w:line="252"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conflict with or constitute a default under any contractual commitment, judgment, injunction, order, decree or any other obligation or restriction which is binding on it or any Material Subsidiary to the extent that such conflict has or is reasonably likely to have a Material Adverse Effect or result in or require the creation or imposition of any Security on the assets of any member of the Group (except for any Security permitted under this Agreement).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Governmental Consents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No authorisation, consent, approval, licence or exemption of, or filing or registration with, any Governmental Authority is necessary to have been made or obtained by any Obligor for the valid execution, delivery and performance by any Obligor of any Finance Document to which it is a party or the consummation of the transactions contemplated hereby or thereby, except those that have been obtained and are in full force and effect and such matters relating to performance as would ordinarily be done in the ordinary course of business after the Signing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tabs>
          <w:tab w:leader="none" w:pos="7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Deduction of Tax</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All amounts payable by an Obligor under the Finance Documents to a Finance Party may be made without any Tax Deduction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9" w:lineRule="exact"/>
        <w:rPr>
          <w:sz w:val="20"/>
          <w:szCs w:val="20"/>
          <w:color w:val="auto"/>
        </w:rPr>
      </w:pPr>
    </w:p>
    <w:p>
      <w:pPr>
        <w:ind w:left="1260" w:hanging="496"/>
        <w:spacing w:after="0" w:line="277" w:lineRule="auto"/>
        <w:tabs>
          <w:tab w:leader="none" w:pos="1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such Obligor is incorporated under the laws of France, such Finance Party is a Qualifying Lender falling within paragraph (b) of the definition of "Qualifying Lender";</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such Obligor is incorporated in the UK, such Finance Party is either: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Qualifying Lender falling within paragraph (a)(i)(A) of the definition of "Qualifying Lender"; or</w:t>
      </w:r>
    </w:p>
    <w:p>
      <w:pPr>
        <w:spacing w:after="0" w:line="252"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Treaty Lender and the payment is one specified in a direction given by the Commissioners of Revenue &amp; Customs under Regulation 2 of the Double Taxation Relief (Taxes on Income) (General) Regulations 1970 (SI 1970/488); or</w:t>
      </w:r>
    </w:p>
    <w:p>
      <w:pPr>
        <w:spacing w:after="0" w:line="197"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Qualifying Lender falling within paragraph (a)(i)(B) of the definition of "Qualifying Lender", except where a direction has been given under section 931 of the ITA in relation to the payment concerned; 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Qualifying Lender falling within paragraph (a)(ii) of the definition of "Qualifying Lender".</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Filing, Stamp duties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Under the law of the jurisdiction of incorporation or organisation of each Obligor, it is not necessary that any Finance Document to which such Obligor is party be filed, recorded or enrolled with any court or other authority in that jurisdiction or that any stamp or registration duty or similar tax or charge be paid in respect of any such Finance Document.</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Financial Statements</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consolidated financial statements of the Company and its subsidiaries as of 31 December 2019 and the related consolidated statements of income, cash flows and changes in stockholders' equity for the fiscal year then ended, copies of which have been delivered to each of the Lenders (or have otherwise been made available hereunder), fairly present in all material respects, in conformity with generally accepted accounting principles, the consolidated financial position of the Company and its subsidiaries as of such date and their consolidated results of operations, cash flows and changes in stockholders' equity for the periods then ended.</w:t>
      </w: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Pari passu ranking</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payment obligations of each Obligor under the Finance Documents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claims of all its other present unsecured and unsubordinated creditors, except for obligations that are mandatorily preferred by law applying to companies generally.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tabs>
          <w:tab w:leader="none" w:pos="7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7"/>
          <w:szCs w:val="17"/>
          <w:color w:val="auto"/>
        </w:rPr>
        <w:t>Litigation</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 action, suit, proceeding, litigation, arbitration or administrative or regulatory proceedings are current or pending against or, to the knowledge of each Obligor threatened against or otherwise affecting, any Obligor or any Subsidiary which have or are reasonably likely to have a Material Adverse Effect or which have been brought by a member of the Group and which in any manner question the validity or enforceability of any of the Finance Documents.</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Environmental matters</w:t>
      </w:r>
    </w:p>
    <w:p>
      <w:pPr>
        <w:spacing w:after="0" w:line="252" w:lineRule="exact"/>
        <w:rPr>
          <w:sz w:val="20"/>
          <w:szCs w:val="20"/>
          <w:color w:val="auto"/>
        </w:rPr>
      </w:pPr>
    </w:p>
    <w:p>
      <w:pPr>
        <w:jc w:val="both"/>
        <w:ind w:left="1260" w:hanging="496"/>
        <w:spacing w:after="0" w:line="291" w:lineRule="auto"/>
        <w:tabs>
          <w:tab w:leader="none" w:pos="12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Each Obligor and each Material Subsidiary has obtained all material Environmental Licences required for the carrying out of its business as currently conducted and is in compliance in all material respects with (a) the terms and conditions of such Environmental Licences and</w:t>
      </w:r>
    </w:p>
    <w:p>
      <w:pPr>
        <w:ind w:left="1260" w:firstLine="3"/>
        <w:spacing w:after="0" w:line="260" w:lineRule="auto"/>
        <w:tabs>
          <w:tab w:leader="none" w:pos="15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other applicable Environmental Law and there are, to the best of each Obligor's knowledge, no circumstances which may prevent or interfere with such compliance where failure to comply is reasonably likely to have a Material Adverse Effect.</w:t>
      </w:r>
    </w:p>
    <w:p>
      <w:pPr>
        <w:spacing w:after="0" w:line="212" w:lineRule="exact"/>
        <w:rPr>
          <w:rFonts w:ascii="Arial" w:cs="Arial" w:eastAsia="Arial" w:hAnsi="Arial"/>
          <w:sz w:val="18"/>
          <w:szCs w:val="18"/>
          <w:color w:val="auto"/>
        </w:rPr>
      </w:pPr>
    </w:p>
    <w:p>
      <w:pPr>
        <w:jc w:val="both"/>
        <w:ind w:left="1260" w:hanging="496"/>
        <w:spacing w:after="0" w:line="271" w:lineRule="auto"/>
        <w:tabs>
          <w:tab w:leader="none" w:pos="12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ordinary course of its business, each Obligor conducts an ongoing review of the effect of Environmental Laws on the business, operations and properties of each Obligor and its Subsidiaries, in the course of which it identifies and evaluates associated liabilities and costs (including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and any actual or potential liabilities to third parties, including employees, and any related costs and expenses). On the basis of this review, each Obligor has reasonably concluded that Environmental Laws are unlikely to have a Material Adverse Effect.</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Accuracy of disclosure</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Taken as a whole, all written information (other than financial projections and general economic or specific industry information developed by or obtained from third-party resources) heretofore furnished by the Obligors to the Agent or any Lender for purposes of or in connection with this Agreement or any transaction contemplated hereby was, and all such information hereafter furnished by the Obligors to the Agent or any Lender will be, true and accurate in every material respect, and all financial projections concerning the Obligors and its Subsidiaries that have been or hereafter will be prepared by the Obligors and furnished to the Agent or any Lender have been and will be prepared in good faith based on assumptions believed by the Obligors, at the time of preparation, to be reasonable (it being understood that such projections are subject to significant uncertainties and contingencies, many of which are beyond the Obligors' control, that no assurance can be given that such projections will be realised and that actual results may vary materially from such projections).</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Compliance with laws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Obligors and each Material Subsidiary are in compliance with all applicable Laws other than such Laws (a) the validity or applicability of which an Obligor or a Material Subsidiary is contesting in good faith or (b) the failure to comply with which cannot reasonably be expected to have a Material Adverse Effect.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tabs>
          <w:tab w:leader="none" w:pos="7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5"/>
          <w:szCs w:val="15"/>
          <w:color w:val="auto"/>
        </w:rPr>
        <w:t>Taxes</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Borrowers and each Subsidiary have duly filed or caused to be filed all income and other material tax returns, statements and reports in all jurisdictions where any of them are required do so and have paid all Taxes due pursuant to such tax returns or pursuant to any assessment received by any of them, except for any such Taxes being diligently contested in good faith and by appropriate proceedings. Adequate reserves have been provided on the books of the Borrowers and their Subsidiaries in respect of all Taxes or other governmental charges in accordance with generally accepted accounting principles, and no Tax liabilities in excess of the amount so provided are anticipated that could reasonably be expected to have a Material Adverse Effect.</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Material adverse change</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Since 31 December 2019, no event, condition or circumstance not otherwise disclosed (including, without limitation, any facts publicly disclosed by the Company prior to the Signing Date) to the Lenders has occurred that has resulted in a material adverse change in the business or financial condition of the Borrowers and their respective subsidiaries, taken as a whole.</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18.16</w:t>
      </w:r>
      <w:r>
        <w:rPr>
          <w:sz w:val="20"/>
          <w:szCs w:val="20"/>
          <w:color w:val="auto"/>
        </w:rPr>
        <w:tab/>
      </w:r>
      <w:r>
        <w:rPr>
          <w:rFonts w:ascii="Arial" w:cs="Arial" w:eastAsia="Arial" w:hAnsi="Arial"/>
          <w:sz w:val="15"/>
          <w:szCs w:val="15"/>
          <w:color w:val="auto"/>
        </w:rPr>
        <w:t>Pension schemes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pension schemes of each member of the Group are funded to the extent required by law or otherwise comply with the requirements of any material law applicable in the jurisdiction in which the relevant pension scheme is maintained, in each case, where failure to do so would reasonably be expected to have a Material Adverse Effect.</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18.17</w:t>
      </w:r>
      <w:r>
        <w:rPr>
          <w:sz w:val="20"/>
          <w:szCs w:val="20"/>
          <w:color w:val="auto"/>
        </w:rPr>
        <w:tab/>
      </w:r>
      <w:r>
        <w:rPr>
          <w:rFonts w:ascii="Arial" w:cs="Arial" w:eastAsia="Arial" w:hAnsi="Arial"/>
          <w:sz w:val="17"/>
          <w:szCs w:val="17"/>
          <w:color w:val="auto"/>
        </w:rPr>
        <w:t>ERISA</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Each member of the ERISA Group has fulfilled its obligations under the minimum funding standards of ERISA and the Code with respect to each Plan and is in compliance in all material respects with the presently applicable provisions of ERISA and the Code with respect to each Plan. No member of the ERISA Group has (a) sought a waiver of the minimum funding standard under Section 412 of the Code in respect of any Plan, (b) failed to make any contribution or payment to any Plan or Multiemployer Plan or made any amendment to any Plan which in either case has resulted or could result in the imposition of any Security or the posting of a bond or other security under ERISA or the Code or (c) incurred any liability under Title IV of ERISA other than a liability to the PBGC for premiums under Section 4007 of ERISA.</w:t>
      </w:r>
    </w:p>
    <w:p>
      <w:pPr>
        <w:spacing w:after="0" w:line="2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18.18</w:t>
      </w:r>
      <w:r>
        <w:rPr>
          <w:sz w:val="20"/>
          <w:szCs w:val="20"/>
          <w:color w:val="auto"/>
        </w:rPr>
        <w:tab/>
      </w:r>
      <w:r>
        <w:rPr>
          <w:rFonts w:ascii="Arial" w:cs="Arial" w:eastAsia="Arial" w:hAnsi="Arial"/>
          <w:sz w:val="16"/>
          <w:szCs w:val="16"/>
          <w:color w:val="auto"/>
        </w:rPr>
        <w:t>FCPA and sanctions</w:t>
      </w:r>
    </w:p>
    <w:p>
      <w:pPr>
        <w:spacing w:after="0" w:line="252" w:lineRule="exact"/>
        <w:rPr>
          <w:sz w:val="20"/>
          <w:szCs w:val="20"/>
          <w:color w:val="auto"/>
        </w:rPr>
      </w:pPr>
    </w:p>
    <w:p>
      <w:pPr>
        <w:jc w:val="both"/>
        <w:ind w:left="1260" w:hanging="496"/>
        <w:spacing w:after="0" w:line="259" w:lineRule="auto"/>
        <w:tabs>
          <w:tab w:leader="none" w:pos="1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Obligor, its Subsidiaries, and their respective employees and officers, and, to the knowledge of such Obligor, any of its directors, agents or affiliates are in compliance with the FCPA, the Bribery Act 2010 and any other applicable Anti-Corruption Law and each Obligor has instituted and maintains in effect policies and procedures designed to ensure compliance therewith by such Obligor, its Subsidiaries and their respective directors, officers, employees and agents.</w:t>
      </w:r>
    </w:p>
    <w:p>
      <w:pPr>
        <w:spacing w:after="0" w:line="213" w:lineRule="exact"/>
        <w:rPr>
          <w:rFonts w:ascii="Arial" w:cs="Arial" w:eastAsia="Arial" w:hAnsi="Arial"/>
          <w:sz w:val="18"/>
          <w:szCs w:val="18"/>
          <w:color w:val="auto"/>
        </w:rPr>
      </w:pPr>
    </w:p>
    <w:p>
      <w:pPr>
        <w:jc w:val="both"/>
        <w:ind w:left="1260" w:hanging="496"/>
        <w:spacing w:after="0" w:line="284" w:lineRule="auto"/>
        <w:tabs>
          <w:tab w:leader="none" w:pos="12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None of the Obligors, any of their respective Subsidiaries or any of their respective directors, officers or employees, or, to the knowledge of the Obligors, any of their respective agents or affiliates or any Subsidiary of the Obligors that will act in any capacity in connection with or benefit from the credit facility established hereby is an individual or entity that is, or is owned or controlled by persons or entities that are: (i) listed in any Sanctions-related list of designated persons or entities maintained by the US Department of the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United Nations Security Council, the European Union, any European Union member state, the United Kingdom or any other relevant sanctions authority (collectively, "</w:t>
      </w:r>
      <w:r>
        <w:rPr>
          <w:rFonts w:ascii="Arial" w:cs="Arial" w:eastAsia="Arial" w:hAnsi="Arial"/>
          <w:sz w:val="16"/>
          <w:szCs w:val="16"/>
          <w:b w:val="1"/>
          <w:bCs w:val="1"/>
          <w:color w:val="auto"/>
        </w:rPr>
        <w:t>Sanctioned Persons</w:t>
      </w:r>
      <w:r>
        <w:rPr>
          <w:rFonts w:ascii="Arial" w:cs="Arial" w:eastAsia="Arial" w:hAnsi="Arial"/>
          <w:sz w:val="16"/>
          <w:szCs w:val="16"/>
          <w:color w:val="auto"/>
        </w:rPr>
        <w:t>"), or</w:t>
      </w:r>
    </w:p>
    <w:p>
      <w:pPr>
        <w:spacing w:after="0" w:line="4" w:lineRule="exact"/>
        <w:rPr>
          <w:rFonts w:ascii="Arial" w:cs="Arial" w:eastAsia="Arial" w:hAnsi="Arial"/>
          <w:sz w:val="16"/>
          <w:szCs w:val="16"/>
          <w:color w:val="auto"/>
        </w:rPr>
      </w:pPr>
    </w:p>
    <w:p>
      <w:pPr>
        <w:ind w:left="1260" w:firstLine="3"/>
        <w:spacing w:after="0" w:line="260" w:lineRule="auto"/>
        <w:tabs>
          <w:tab w:leader="none" w:pos="152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operating, organised or resident in a country, region or territory that is, or whose government is, the subject or target of any Sanctions (collectively, "</w:t>
      </w:r>
      <w:r>
        <w:rPr>
          <w:rFonts w:ascii="Arial" w:cs="Arial" w:eastAsia="Arial" w:hAnsi="Arial"/>
          <w:sz w:val="18"/>
          <w:szCs w:val="18"/>
          <w:b w:val="1"/>
          <w:bCs w:val="1"/>
          <w:color w:val="auto"/>
        </w:rPr>
        <w:t>Sanctioned Countries</w:t>
      </w:r>
      <w:r>
        <w:rPr>
          <w:rFonts w:ascii="Arial" w:cs="Arial" w:eastAsia="Arial" w:hAnsi="Arial"/>
          <w:sz w:val="18"/>
          <w:szCs w:val="18"/>
          <w:color w:val="auto"/>
        </w:rPr>
        <w:t>").</w:t>
      </w:r>
    </w:p>
    <w:p>
      <w:pPr>
        <w:spacing w:after="0" w:line="383" w:lineRule="exact"/>
        <w:rPr>
          <w:rFonts w:ascii="Arial" w:cs="Arial" w:eastAsia="Arial" w:hAnsi="Arial"/>
          <w:sz w:val="18"/>
          <w:szCs w:val="18"/>
          <w:color w:val="auto"/>
        </w:rPr>
      </w:pPr>
    </w:p>
    <w:p>
      <w:pPr>
        <w:ind w:left="5560" w:hanging="92"/>
        <w:spacing w:after="0"/>
        <w:tabs>
          <w:tab w:leader="none" w:pos="5560" w:val="left"/>
        </w:tabs>
        <w:numPr>
          <w:ilvl w:val="2"/>
          <w:numId w:val="180"/>
        </w:numPr>
        <w:rPr>
          <w:rFonts w:ascii="Arial" w:cs="Arial" w:eastAsia="Arial" w:hAnsi="Arial"/>
          <w:sz w:val="14"/>
          <w:szCs w:val="14"/>
          <w:color w:val="auto"/>
        </w:rPr>
      </w:pPr>
      <w:r>
        <w:rPr>
          <w:rFonts w:ascii="Arial" w:cs="Arial" w:eastAsia="Arial" w:hAnsi="Arial"/>
          <w:sz w:val="14"/>
          <w:szCs w:val="14"/>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both"/>
        <w:ind w:left="1260" w:hanging="496"/>
        <w:spacing w:after="0" w:line="259"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Obligors, their respective Subsidiaries, their respective employees and officers, and, to the knowledge of the Obligors, each agent, director and affiliate of the Obligors are in compliance with all applicable Sanctions in all material respects, and each Obligor has instituted and maintains in effect policies and procedures designed to achieve compliance therewith by such Obligor, its Subsidiaries and their respective directors, officers and employees.</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Loan, use of proceeds thereof or other transaction contemplated by this Agreement will violate any Anti-Corruption Law or applicable Sanctions.</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Obligor is knowingly engaged in any activity that could reasonably be expected to result in such Obligor being designated as a Sanctioned Person.</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18.19</w:t>
      </w:r>
      <w:r>
        <w:rPr>
          <w:sz w:val="20"/>
          <w:szCs w:val="20"/>
          <w:color w:val="auto"/>
        </w:rPr>
        <w:tab/>
      </w:r>
      <w:r>
        <w:rPr>
          <w:rFonts w:ascii="Arial" w:cs="Arial" w:eastAsia="Arial" w:hAnsi="Arial"/>
          <w:sz w:val="16"/>
          <w:szCs w:val="16"/>
          <w:color w:val="auto"/>
        </w:rPr>
        <w:t>Margin stock</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Neither the Obligors nor any of their respective Subsidiaries are engaged principally or as one of its activities in the business of extending credit for the purpose of "purchasing" or "carrying" any "margin stock" (as each such term is defined or used, directly or indirectly, in Regulation U of the Board of Governors of the Federal Reserve System) of the United States of America.</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18.20</w:t>
      </w:r>
      <w:r>
        <w:rPr>
          <w:sz w:val="20"/>
          <w:szCs w:val="20"/>
          <w:color w:val="auto"/>
        </w:rPr>
        <w:tab/>
      </w:r>
      <w:r>
        <w:rPr>
          <w:rFonts w:ascii="Arial" w:cs="Arial" w:eastAsia="Arial" w:hAnsi="Arial"/>
          <w:sz w:val="16"/>
          <w:szCs w:val="16"/>
          <w:color w:val="auto"/>
        </w:rPr>
        <w:t>Intellectual Property Rights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Obligor and each Material Subsidiary owns and maintains all intellectual property rights which are required by it in order for it to carry on its business as such business is at any time being conducted, save where any failure to do so could not reasonably be expected to have a Material Adverse Effect.</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6"/>
          <w:szCs w:val="16"/>
          <w:color w:val="auto"/>
        </w:rPr>
        <w:t>Valid choice of law and jurisdiction</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choice of French law as the governing law and the choice of the exclusive jurisdiction of the </w:t>
      </w:r>
      <w:r>
        <w:rPr>
          <w:rFonts w:ascii="Arial" w:cs="Arial" w:eastAsia="Arial" w:hAnsi="Arial"/>
          <w:sz w:val="19"/>
          <w:szCs w:val="19"/>
          <w:i w:val="1"/>
          <w:iCs w:val="1"/>
          <w:color w:val="auto"/>
        </w:rPr>
        <w:t>Tribunal de commerce de Paris</w:t>
      </w:r>
      <w:r>
        <w:rPr>
          <w:rFonts w:ascii="Arial" w:cs="Arial" w:eastAsia="Arial" w:hAnsi="Arial"/>
          <w:sz w:val="19"/>
          <w:szCs w:val="19"/>
          <w:color w:val="auto"/>
        </w:rPr>
        <w:t xml:space="preserve"> as the competent jurisdiction to settle any dispute arising out of or in connection with any of the Finance Documents which are expressed to be governed by French law is legal, valid and binding upon the Obligors and will be recognised and enforced in the jurisdiction of incorporation or organisation of each Obligor, subject to exceptions covered by legal opinions delivered as conditions precedent under this Agreement and listed in Schedule 2 (</w:t>
      </w:r>
      <w:r>
        <w:rPr>
          <w:rFonts w:ascii="Arial" w:cs="Arial" w:eastAsia="Arial" w:hAnsi="Arial"/>
          <w:sz w:val="19"/>
          <w:szCs w:val="19"/>
          <w:i w:val="1"/>
          <w:iCs w:val="1"/>
          <w:color w:val="auto"/>
        </w:rPr>
        <w:t>Conditions Precedent</w:t>
      </w:r>
      <w:r>
        <w:rPr>
          <w:rFonts w:ascii="Arial" w:cs="Arial" w:eastAsia="Arial" w:hAnsi="Arial"/>
          <w:sz w:val="19"/>
          <w:szCs w:val="19"/>
          <w:color w:val="auto"/>
        </w:rPr>
        <w:t>).</w:t>
      </w:r>
    </w:p>
    <w:p>
      <w:pPr>
        <w:spacing w:after="0" w:line="1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16"/>
          <w:szCs w:val="16"/>
          <w:color w:val="auto"/>
        </w:rPr>
        <w:t>No event of default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To the best knowledge of each Borrower, no Event of Default has occurred and is continuing.</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16"/>
          <w:szCs w:val="16"/>
          <w:color w:val="auto"/>
        </w:rPr>
        <w:t>Repetition</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Repeating Representations are deemed to be made by each Borrower by reference to the facts and circumstances then existing on the date of each Utilisation Request under the Facility and the first day of each Interest Period.</w:t>
      </w:r>
    </w:p>
    <w:p>
      <w:pPr>
        <w:spacing w:after="0" w:line="185" w:lineRule="exact"/>
        <w:rPr>
          <w:sz w:val="20"/>
          <w:szCs w:val="20"/>
          <w:color w:val="auto"/>
        </w:rPr>
      </w:pPr>
    </w:p>
    <w:p>
      <w:pPr>
        <w:ind w:left="760" w:hanging="752"/>
        <w:spacing w:after="0"/>
        <w:tabs>
          <w:tab w:leader="none" w:pos="7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Information Undertakings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undertakings in this Clause 19 remain in force from the date of this Agreement for so long as any amount is outstanding under the Finance Documents or any Commitment is in force.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tabs>
          <w:tab w:leader="none" w:pos="7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supply to the Agent:</w:t>
      </w:r>
    </w:p>
    <w:p>
      <w:pPr>
        <w:spacing w:after="0" w:line="240" w:lineRule="exact"/>
        <w:rPr>
          <w:sz w:val="20"/>
          <w:szCs w:val="20"/>
          <w:color w:val="auto"/>
        </w:rPr>
      </w:pPr>
    </w:p>
    <w:p>
      <w:pPr>
        <w:jc w:val="both"/>
        <w:ind w:left="1260" w:hanging="496"/>
        <w:spacing w:after="0" w:line="263" w:lineRule="auto"/>
        <w:tabs>
          <w:tab w:leader="none" w:pos="1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soon as available and, in any event, within 90 days (or such shorter time period as applicable to the Company pursuant to the Exchange Act) of the end of its financial year ending 31 December 2020, one copy of its annual audited consolidated financial statements for that financial year;</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the extent not provided previously to the Agent, as soon as available and, in any event, no later than 15 May 2020, one copy of its quarterly unaudited consolidated interim financial statements for the financial quarter ending 30 March 2020;</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of the end of each of the financial quarters ending respectively on 30 June 2020, 30 September 2020 and 30 March 2021, one copy of its quarterly unaudited consolidated interim financial statements for each of those financial quarters; and</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shall ensure that each set of financial statements delivered to the Agent pursuant to paragraphs(a), (b) and (c) above shall:</w:t>
      </w:r>
    </w:p>
    <w:p>
      <w:pPr>
        <w:spacing w:after="0" w:line="275" w:lineRule="exact"/>
        <w:rPr>
          <w:rFonts w:ascii="Arial" w:cs="Arial" w:eastAsia="Arial" w:hAnsi="Arial"/>
          <w:sz w:val="16"/>
          <w:szCs w:val="16"/>
          <w:color w:val="auto"/>
        </w:rPr>
      </w:pPr>
    </w:p>
    <w:p>
      <w:pPr>
        <w:ind w:left="1780" w:right="20" w:hanging="503"/>
        <w:spacing w:after="0" w:line="277" w:lineRule="auto"/>
        <w:tabs>
          <w:tab w:leader="none" w:pos="17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generally accepted accounting principles applicable to the Company, consistently applied;</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give a true and fair view of the financial condition (consolidated, if applicable) of the Company and its Subsidiaries at the date of which those accounts were drawn up and of their profit for the period to which those accounts relate;</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the annual financial statements for the financial year ending on 31 December 2020:</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include a consolidated balance sheet and the related consolidated statements of income, of cash flows and of changes in shareholders' equity for such fiscal year;</w:t>
      </w:r>
    </w:p>
    <w:p>
      <w:pPr>
        <w:spacing w:after="0" w:line="197" w:lineRule="exact"/>
        <w:rPr>
          <w:rFonts w:ascii="Arial" w:cs="Arial" w:eastAsia="Arial" w:hAnsi="Arial"/>
          <w:sz w:val="18"/>
          <w:szCs w:val="18"/>
          <w:color w:val="auto"/>
        </w:rPr>
      </w:pPr>
    </w:p>
    <w:p>
      <w:pPr>
        <w:ind w:left="2280" w:hanging="490"/>
        <w:spacing w:after="0" w:line="277" w:lineRule="auto"/>
        <w:tabs>
          <w:tab w:leader="none" w:pos="22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set forth in each case in comparative form the figures as of the end of and for the previous fiscal year in reasonable detail; and</w:t>
      </w:r>
    </w:p>
    <w:p>
      <w:pPr>
        <w:spacing w:after="0" w:line="197" w:lineRule="exact"/>
        <w:rPr>
          <w:rFonts w:ascii="Arial" w:cs="Arial" w:eastAsia="Arial" w:hAnsi="Arial"/>
          <w:sz w:val="18"/>
          <w:szCs w:val="18"/>
          <w:color w:val="auto"/>
        </w:rPr>
      </w:pPr>
    </w:p>
    <w:p>
      <w:pPr>
        <w:ind w:left="2280" w:hanging="490"/>
        <w:spacing w:after="0"/>
        <w:tabs>
          <w:tab w:leader="none" w:pos="2280" w:val="left"/>
        </w:tabs>
        <w:numPr>
          <w:ilvl w:val="2"/>
          <w:numId w:val="183"/>
        </w:numPr>
        <w:rPr>
          <w:rFonts w:ascii="Arial" w:cs="Arial" w:eastAsia="Arial" w:hAnsi="Arial"/>
          <w:sz w:val="17"/>
          <w:szCs w:val="17"/>
          <w:color w:val="auto"/>
        </w:rPr>
      </w:pPr>
      <w:r>
        <w:rPr>
          <w:rFonts w:ascii="Arial" w:cs="Arial" w:eastAsia="Arial" w:hAnsi="Arial"/>
          <w:sz w:val="17"/>
          <w:szCs w:val="17"/>
          <w:color w:val="auto"/>
        </w:rPr>
        <w:t>be reported on without Qualification by an independent public accounting firm of nationally recognised standing; and</w:t>
      </w:r>
    </w:p>
    <w:p>
      <w:pPr>
        <w:spacing w:after="0" w:line="263" w:lineRule="exact"/>
        <w:rPr>
          <w:rFonts w:ascii="Arial" w:cs="Arial" w:eastAsia="Arial" w:hAnsi="Arial"/>
          <w:sz w:val="17"/>
          <w:szCs w:val="17"/>
          <w:color w:val="auto"/>
        </w:rPr>
      </w:pPr>
    </w:p>
    <w:p>
      <w:pPr>
        <w:ind w:left="1780" w:hanging="503"/>
        <w:spacing w:after="0"/>
        <w:tabs>
          <w:tab w:leader="none" w:pos="17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quarterly financial statements:</w:t>
      </w:r>
    </w:p>
    <w:p>
      <w:pPr>
        <w:spacing w:after="0" w:line="252" w:lineRule="exact"/>
        <w:rPr>
          <w:rFonts w:ascii="Arial" w:cs="Arial" w:eastAsia="Arial" w:hAnsi="Arial"/>
          <w:sz w:val="18"/>
          <w:szCs w:val="18"/>
          <w:color w:val="auto"/>
        </w:rPr>
      </w:pPr>
    </w:p>
    <w:p>
      <w:pPr>
        <w:jc w:val="both"/>
        <w:ind w:left="2280" w:hanging="490"/>
        <w:spacing w:after="0" w:line="286" w:lineRule="auto"/>
        <w:tabs>
          <w:tab w:leader="none" w:pos="2280" w:val="left"/>
        </w:tabs>
        <w:numPr>
          <w:ilvl w:val="2"/>
          <w:numId w:val="183"/>
        </w:numPr>
        <w:rPr>
          <w:rFonts w:ascii="Arial" w:cs="Arial" w:eastAsia="Arial" w:hAnsi="Arial"/>
          <w:sz w:val="17"/>
          <w:szCs w:val="17"/>
          <w:color w:val="auto"/>
        </w:rPr>
      </w:pPr>
      <w:r>
        <w:rPr>
          <w:rFonts w:ascii="Arial" w:cs="Arial" w:eastAsia="Arial" w:hAnsi="Arial"/>
          <w:sz w:val="17"/>
          <w:szCs w:val="17"/>
          <w:color w:val="auto"/>
        </w:rPr>
        <w:t>include a consolidated balance sheet and the related consolidated statements of income for the relevant quarter and for the portion of the Company's financial year ended at the end of such quarter and the related consolidated statement of cash flows for the portion of the Company's financial year ended at the end of such quarter;</w:t>
      </w:r>
    </w:p>
    <w:p>
      <w:pPr>
        <w:spacing w:after="0" w:line="192" w:lineRule="exact"/>
        <w:rPr>
          <w:rFonts w:ascii="Arial" w:cs="Arial" w:eastAsia="Arial" w:hAnsi="Arial"/>
          <w:sz w:val="17"/>
          <w:szCs w:val="17"/>
          <w:color w:val="auto"/>
        </w:rPr>
      </w:pPr>
    </w:p>
    <w:p>
      <w:pPr>
        <w:jc w:val="both"/>
        <w:ind w:left="2280" w:hanging="490"/>
        <w:spacing w:after="0" w:line="263" w:lineRule="auto"/>
        <w:tabs>
          <w:tab w:leader="none" w:pos="22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set forth in each case in comparative form the consolidated balance sheet as of the end of the corresponding quarter and corresponding portion of the previous financial year and the consolidated statements of income for the corresponding quarter and the corresponding portion of the previous financial year; and</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3"/>
          <w:numId w:val="183"/>
        </w:numPr>
        <w:rPr>
          <w:rFonts w:ascii="Arial" w:cs="Arial" w:eastAsia="Arial" w:hAnsi="Arial"/>
          <w:sz w:val="14"/>
          <w:szCs w:val="14"/>
          <w:color w:val="auto"/>
        </w:rPr>
      </w:pPr>
      <w:r>
        <w:rPr>
          <w:rFonts w:ascii="Arial" w:cs="Arial" w:eastAsia="Arial" w:hAnsi="Arial"/>
          <w:sz w:val="14"/>
          <w:szCs w:val="14"/>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ind w:left="2280" w:hanging="490"/>
        <w:spacing w:after="0"/>
        <w:tabs>
          <w:tab w:leader="none" w:pos="22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certified (subject to normal year-end adjustments) as to fairness of presentation and consistency by the CFO.</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Documents required to be delivered pursuant to paragraphs (a) to (c) above may be delivered electronically in accordance with the provisions of Clause 19.5 (</w:t>
      </w:r>
      <w:r>
        <w:rPr>
          <w:rFonts w:ascii="Arial" w:cs="Arial" w:eastAsia="Arial" w:hAnsi="Arial"/>
          <w:sz w:val="18"/>
          <w:szCs w:val="18"/>
          <w:i w:val="1"/>
          <w:iCs w:val="1"/>
          <w:color w:val="auto"/>
        </w:rPr>
        <w:t>Use of websites</w:t>
      </w:r>
      <w:r>
        <w:rPr>
          <w:rFonts w:ascii="Arial" w:cs="Arial" w:eastAsia="Arial" w:hAnsi="Arial"/>
          <w:sz w:val="18"/>
          <w:szCs w:val="18"/>
          <w:color w:val="auto"/>
        </w:rPr>
        <w: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Compliance Certificates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Company shall supply to the Agent with each set of financial statements delivered in accordance with Clause (a), (b) and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Financial statements</w:t>
      </w:r>
      <w:r>
        <w:rPr>
          <w:rFonts w:ascii="Arial" w:cs="Arial" w:eastAsia="Arial" w:hAnsi="Arial"/>
          <w:sz w:val="22"/>
          <w:szCs w:val="22"/>
          <w:color w:val="auto"/>
        </w:rPr>
        <w:t>) above a Compliance Certificate signed by its CFO:</w:t>
      </w:r>
    </w:p>
    <w:p>
      <w:pPr>
        <w:spacing w:after="0" w:line="222" w:lineRule="exact"/>
        <w:rPr>
          <w:sz w:val="20"/>
          <w:szCs w:val="20"/>
          <w:color w:val="auto"/>
        </w:rPr>
      </w:pPr>
    </w:p>
    <w:p>
      <w:pPr>
        <w:ind w:left="1260" w:hanging="496"/>
        <w:spacing w:after="0" w:line="277" w:lineRule="auto"/>
        <w:tabs>
          <w:tab w:leader="none" w:pos="1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 respect to the Company setting forth in reasonable detail such calculations as are required to establish whether the Company was in compliance with the requirements of Clause 20 (</w:t>
      </w:r>
      <w:r>
        <w:rPr>
          <w:rFonts w:ascii="Arial" w:cs="Arial" w:eastAsia="Arial" w:hAnsi="Arial"/>
          <w:sz w:val="18"/>
          <w:szCs w:val="18"/>
          <w:i w:val="1"/>
          <w:iCs w:val="1"/>
          <w:color w:val="auto"/>
        </w:rPr>
        <w:t>Financial Covenant</w:t>
      </w:r>
      <w:r>
        <w:rPr>
          <w:rFonts w:ascii="Arial" w:cs="Arial" w:eastAsia="Arial" w:hAnsi="Arial"/>
          <w:sz w:val="18"/>
          <w:szCs w:val="18"/>
          <w:color w:val="auto"/>
        </w:rPr>
        <w:t>) and Clause 21.3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260" w:hanging="496"/>
        <w:spacing w:after="0" w:line="308" w:lineRule="auto"/>
        <w:tabs>
          <w:tab w:leader="none" w:pos="12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stating whether there exists on the date of such certificate any Default or Event of Default and, if any Default or Event of Default then exists, setting forth the details thereof and the action that such Borrower is taking or proposes to take with respect thereto; and</w:t>
      </w:r>
    </w:p>
    <w:p>
      <w:pPr>
        <w:spacing w:after="0" w:line="173" w:lineRule="exact"/>
        <w:rPr>
          <w:rFonts w:ascii="Arial" w:cs="Arial" w:eastAsia="Arial" w:hAnsi="Arial"/>
          <w:sz w:val="17"/>
          <w:szCs w:val="17"/>
          <w:color w:val="auto"/>
        </w:rPr>
      </w:pPr>
    </w:p>
    <w:p>
      <w:pPr>
        <w:ind w:left="1260" w:right="20" w:hanging="496"/>
        <w:spacing w:after="0" w:line="308" w:lineRule="auto"/>
        <w:tabs>
          <w:tab w:leader="none" w:pos="12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the case of the Compliance Certificate supplied with the annual financial statements for the financial year ending 31 December 2020 and delivered in accordance with Clause (a) (</w:t>
      </w:r>
      <w:r>
        <w:rPr>
          <w:rFonts w:ascii="Arial" w:cs="Arial" w:eastAsia="Arial" w:hAnsi="Arial"/>
          <w:sz w:val="17"/>
          <w:szCs w:val="17"/>
          <w:i w:val="1"/>
          <w:iCs w:val="1"/>
          <w:color w:val="auto"/>
        </w:rPr>
        <w:t>Financial statements</w:t>
      </w:r>
      <w:r>
        <w:rPr>
          <w:rFonts w:ascii="Arial" w:cs="Arial" w:eastAsia="Arial" w:hAnsi="Arial"/>
          <w:sz w:val="17"/>
          <w:szCs w:val="17"/>
          <w:color w:val="auto"/>
        </w:rPr>
        <w:t>), an updated list of all Material Subsidiaries.</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Other Information</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Obligor will, promptly upon becoming aware of or receiving a request from the Agent therefor (as the case may be), deliver to the Agent:</w:t>
      </w:r>
    </w:p>
    <w:p>
      <w:pPr>
        <w:spacing w:after="0" w:line="209" w:lineRule="exact"/>
        <w:rPr>
          <w:sz w:val="20"/>
          <w:szCs w:val="20"/>
          <w:color w:val="auto"/>
        </w:rPr>
      </w:pPr>
    </w:p>
    <w:p>
      <w:pPr>
        <w:ind w:left="1260" w:right="20" w:hanging="496"/>
        <w:spacing w:after="0" w:line="277" w:lineRule="auto"/>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documents dispatched by it to its shareholders (or any class of them) or its creditors generally at the same time as they are dispatched or promptly thereafter;</w:t>
      </w:r>
    </w:p>
    <w:p>
      <w:pPr>
        <w:spacing w:after="0" w:line="197"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or pending against any Obligor or Material Subsidiary, and which have or are reasonably likely to have a Material Adverse Effect or which in any manner question the validity or enforceability of this Agreement or any other Finance Document or any of the transactions contemplated hereby or thereby;</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promptly upon becoming aware of Moody's or S&amp;P having announced a change in the rating established or deemed to have been established for the Index Debt, written notice of such rating change;</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 soon as reasonably practicable and on reasonable request from the Agent, such further information regarding the financial condition of the Obligors and the Material Subsidiaries, to the extent permitted by applicable Laws;</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annual, quarterly or monthly reports and any reports on Form 8-K (or any successor form) that an Obligor or any Subsidiary shall have filed with the SEC; and</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187"/>
        </w:numPr>
        <w:rPr>
          <w:rFonts w:ascii="Arial" w:cs="Arial" w:eastAsia="Arial" w:hAnsi="Arial"/>
          <w:sz w:val="14"/>
          <w:szCs w:val="14"/>
          <w:color w:val="auto"/>
        </w:rPr>
      </w:pPr>
      <w:r>
        <w:rPr>
          <w:rFonts w:ascii="Arial" w:cs="Arial" w:eastAsia="Arial" w:hAnsi="Arial"/>
          <w:sz w:val="14"/>
          <w:szCs w:val="14"/>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ind w:left="1260" w:hanging="496"/>
        <w:spacing w:after="0"/>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within 14 days after any member of the ERISA Group:</w:t>
      </w:r>
    </w:p>
    <w:p>
      <w:pPr>
        <w:spacing w:after="0" w:line="252"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w:t>
      </w:r>
    </w:p>
    <w:p>
      <w:pPr>
        <w:spacing w:after="0" w:line="213"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receives notice of complete or partial withdrawal liability under Title IV of ERISA which liability exceeds $250,000,000 or notice that any Multiemployer Plan is insolvent or has been terminated, a copy of such notice;</w:t>
      </w:r>
    </w:p>
    <w:p>
      <w:pPr>
        <w:spacing w:after="0" w:line="197" w:lineRule="exact"/>
        <w:rPr>
          <w:rFonts w:ascii="Arial" w:cs="Arial" w:eastAsia="Arial" w:hAnsi="Arial"/>
          <w:sz w:val="18"/>
          <w:szCs w:val="18"/>
          <w:color w:val="auto"/>
        </w:rPr>
      </w:pPr>
    </w:p>
    <w:p>
      <w:pPr>
        <w:ind w:left="1780" w:hanging="503"/>
        <w:spacing w:after="0" w:line="308" w:lineRule="auto"/>
        <w:tabs>
          <w:tab w:leader="none" w:pos="17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receives notice from the PBGC under Title IV of ERISA of an intent to terminate, impose liability (other than for premiums under Section 4007 of ERISA) in respect of, or appoint a trustee to administer, any Plan, a copy of such notice;</w:t>
      </w:r>
    </w:p>
    <w:p>
      <w:pPr>
        <w:spacing w:after="0" w:line="173" w:lineRule="exact"/>
        <w:rPr>
          <w:rFonts w:ascii="Arial" w:cs="Arial" w:eastAsia="Arial" w:hAnsi="Arial"/>
          <w:sz w:val="17"/>
          <w:szCs w:val="17"/>
          <w:color w:val="auto"/>
        </w:rPr>
      </w:pPr>
    </w:p>
    <w:p>
      <w:pPr>
        <w:ind w:left="1780" w:hanging="503"/>
        <w:spacing w:after="0"/>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applies for a waiver of the minimum funding standard under Section 412 of the Code, a copy of such application;</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gives notice of intent to terminate any Plan under Section 4041(c) of ERISA, a copy of such notice and other information filed with the PBGC;</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gives notice of withdrawal from any Plan pursuant to Section 4063 of ERISA, a copy of such notice; or</w:t>
      </w:r>
    </w:p>
    <w:p>
      <w:pPr>
        <w:spacing w:after="0" w:line="252"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fails to make any payment or contribution to any Plan or Multiemployer Plan or makes any amendment to any Plan which in either case has resulted or could result in the imposition of a Security or the posting of a bond or other security, a certificate of the CFO setting forth details as to such occurrence and the action, if any, which such Obligor or applicable member of the ERISA Group is required or proposes to take with respect thereto.</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Notification of Default</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Within five Business Days of obtaining knowledge of any Default or Event of Default, if such Default or Event of Default is then continuing, the Company shall provide to the Agent a certificate signed by a financial officer of the Company or the </w:t>
      </w:r>
      <w:r>
        <w:rPr>
          <w:rFonts w:ascii="Arial" w:cs="Arial" w:eastAsia="Arial" w:hAnsi="Arial"/>
          <w:sz w:val="22"/>
          <w:szCs w:val="22"/>
          <w:i w:val="1"/>
          <w:iCs w:val="1"/>
          <w:color w:val="auto"/>
        </w:rPr>
        <w:t>gérant</w:t>
      </w:r>
      <w:r>
        <w:rPr>
          <w:rFonts w:ascii="Arial" w:cs="Arial" w:eastAsia="Arial" w:hAnsi="Arial"/>
          <w:sz w:val="22"/>
          <w:szCs w:val="22"/>
          <w:color w:val="auto"/>
        </w:rPr>
        <w:t xml:space="preserve"> of Technip Eurocash SNC, as the case may be, setting out the details thereof and the action that the relevant Borrower is taking or proposing to take with respect to such Default or Event of Default.</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Use of websites</w:t>
      </w:r>
    </w:p>
    <w:p>
      <w:pPr>
        <w:spacing w:after="0" w:line="248" w:lineRule="exact"/>
        <w:rPr>
          <w:sz w:val="20"/>
          <w:szCs w:val="20"/>
          <w:color w:val="auto"/>
        </w:rPr>
      </w:pPr>
    </w:p>
    <w:p>
      <w:pPr>
        <w:jc w:val="both"/>
        <w:ind w:left="1260" w:hanging="496"/>
        <w:spacing w:after="0" w:line="266" w:lineRule="auto"/>
        <w:tabs>
          <w:tab w:leader="none" w:pos="1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Borrower may satisfy its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206"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2"/>
          <w:numId w:val="189"/>
        </w:numPr>
        <w:rPr>
          <w:rFonts w:ascii="Arial" w:cs="Arial" w:eastAsia="Arial" w:hAnsi="Arial"/>
          <w:sz w:val="14"/>
          <w:szCs w:val="14"/>
          <w:color w:val="auto"/>
        </w:rPr>
      </w:pPr>
      <w:r>
        <w:rPr>
          <w:rFonts w:ascii="Arial" w:cs="Arial" w:eastAsia="Arial" w:hAnsi="Arial"/>
          <w:sz w:val="14"/>
          <w:szCs w:val="14"/>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ind w:left="1780" w:right="20" w:hanging="503"/>
        <w:spacing w:after="0" w:line="277" w:lineRule="auto"/>
        <w:tabs>
          <w:tab w:leader="none" w:pos="17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both the Company and the Agent are aware of the address of and any relevant password specifications for the Designated Website; and</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Company and the Agent.</w:t>
      </w:r>
    </w:p>
    <w:p>
      <w:pPr>
        <w:spacing w:after="0" w:line="239" w:lineRule="exact"/>
        <w:rPr>
          <w:sz w:val="20"/>
          <w:szCs w:val="20"/>
          <w:color w:val="auto"/>
        </w:rPr>
      </w:pPr>
    </w:p>
    <w:p>
      <w:pPr>
        <w:jc w:val="both"/>
        <w:ind w:left="1280"/>
        <w:spacing w:after="0" w:line="254" w:lineRule="auto"/>
        <w:rPr>
          <w:sz w:val="20"/>
          <w:szCs w:val="20"/>
          <w:color w:val="auto"/>
        </w:rPr>
      </w:pPr>
      <w:r>
        <w:rPr>
          <w:rFonts w:ascii="Arial" w:cs="Arial" w:eastAsia="Arial" w:hAnsi="Arial"/>
          <w:sz w:val="21"/>
          <w:szCs w:val="21"/>
          <w:color w:val="auto"/>
        </w:rPr>
        <w:t>If any Lender (a "</w:t>
      </w:r>
      <w:r>
        <w:rPr>
          <w:rFonts w:ascii="Arial" w:cs="Arial" w:eastAsia="Arial" w:hAnsi="Arial"/>
          <w:sz w:val="21"/>
          <w:szCs w:val="21"/>
          <w:b w:val="1"/>
          <w:bCs w:val="1"/>
          <w:color w:val="auto"/>
        </w:rPr>
        <w:t>Paper Form Lender</w:t>
      </w:r>
      <w:r>
        <w:rPr>
          <w:rFonts w:ascii="Arial" w:cs="Arial" w:eastAsia="Arial" w:hAnsi="Arial"/>
          <w:sz w:val="21"/>
          <w:szCs w:val="21"/>
          <w:color w:val="auto"/>
        </w:rPr>
        <w:t>") does not agree to the delivery of information electronically then the Agent shall notify the Company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206" w:lineRule="exact"/>
        <w:rPr>
          <w:sz w:val="20"/>
          <w:szCs w:val="20"/>
          <w:color w:val="auto"/>
        </w:rPr>
      </w:pPr>
    </w:p>
    <w:p>
      <w:pPr>
        <w:ind w:left="1260" w:hanging="496"/>
        <w:spacing w:after="0" w:line="277" w:lineRule="auto"/>
        <w:tabs>
          <w:tab w:leader="none" w:pos="1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Company and the Agent.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 shall promptly upon becoming aware of its occurrence notify the Agent if:</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75" w:lineRule="exact"/>
        <w:rPr>
          <w:rFonts w:ascii="Arial" w:cs="Arial" w:eastAsia="Arial" w:hAnsi="Arial"/>
          <w:sz w:val="16"/>
          <w:szCs w:val="16"/>
          <w:color w:val="auto"/>
        </w:rPr>
      </w:pPr>
    </w:p>
    <w:p>
      <w:pPr>
        <w:ind w:left="1780" w:right="20" w:hanging="503"/>
        <w:spacing w:after="0" w:line="277" w:lineRule="auto"/>
        <w:tabs>
          <w:tab w:leader="none" w:pos="17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that the Company becomes aware that the Designated Website or any information posted onto the Designated Website is or has been infected by any electronic virus or similar software.</w:t>
      </w:r>
    </w:p>
    <w:p>
      <w:pPr>
        <w:spacing w:after="0" w:line="190" w:lineRule="exact"/>
        <w:rPr>
          <w:sz w:val="20"/>
          <w:szCs w:val="20"/>
          <w:color w:val="auto"/>
        </w:rPr>
      </w:pPr>
    </w:p>
    <w:p>
      <w:pPr>
        <w:jc w:val="both"/>
        <w:ind w:left="1280"/>
        <w:spacing w:after="0" w:line="238" w:lineRule="auto"/>
        <w:rPr>
          <w:sz w:val="20"/>
          <w:szCs w:val="20"/>
          <w:color w:val="auto"/>
        </w:rPr>
      </w:pPr>
      <w:r>
        <w:rPr>
          <w:rFonts w:ascii="Arial" w:cs="Arial" w:eastAsia="Arial" w:hAnsi="Arial"/>
          <w:sz w:val="22"/>
          <w:szCs w:val="22"/>
          <w:color w:val="auto"/>
        </w:rPr>
        <w:t>If the Company notifies the Agent under paragraph (c)(i) or paragraph (c)(v)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219" w:lineRule="exact"/>
        <w:rPr>
          <w:sz w:val="20"/>
          <w:szCs w:val="20"/>
          <w:color w:val="auto"/>
        </w:rPr>
      </w:pPr>
    </w:p>
    <w:p>
      <w:pPr>
        <w:ind w:left="1260" w:hanging="496"/>
        <w:spacing w:after="0" w:line="342" w:lineRule="auto"/>
        <w:tabs>
          <w:tab w:leader="none" w:pos="12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5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"Know your customer" checks</w:t>
      </w:r>
    </w:p>
    <w:p>
      <w:pPr>
        <w:spacing w:after="0" w:line="252" w:lineRule="exact"/>
        <w:rPr>
          <w:sz w:val="20"/>
          <w:szCs w:val="20"/>
          <w:color w:val="auto"/>
        </w:rPr>
      </w:pPr>
    </w:p>
    <w:p>
      <w:pPr>
        <w:ind w:left="1260" w:hanging="496"/>
        <w:spacing w:after="0"/>
        <w:tabs>
          <w:tab w:leader="none" w:pos="1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change in the status of an Obligor after the date of this Agreement;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2"/>
          <w:numId w:val="193"/>
        </w:numPr>
        <w:rPr>
          <w:rFonts w:ascii="Arial" w:cs="Arial" w:eastAsia="Arial" w:hAnsi="Arial"/>
          <w:sz w:val="14"/>
          <w:szCs w:val="14"/>
          <w:color w:val="auto"/>
        </w:rPr>
      </w:pPr>
      <w:r>
        <w:rPr>
          <w:rFonts w:ascii="Arial" w:cs="Arial" w:eastAsia="Arial" w:hAnsi="Arial"/>
          <w:sz w:val="14"/>
          <w:szCs w:val="14"/>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ind w:left="1780" w:hanging="503"/>
        <w:spacing w:after="0" w:line="277" w:lineRule="auto"/>
        <w:tabs>
          <w:tab w:leader="none" w:pos="17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proposed transfer by a Lender of any of its rights and obligations under this Agreement to a party that is not a Lender prior to such transfer,</w:t>
      </w:r>
    </w:p>
    <w:p>
      <w:pPr>
        <w:spacing w:after="0" w:line="190" w:lineRule="exact"/>
        <w:rPr>
          <w:sz w:val="20"/>
          <w:szCs w:val="20"/>
          <w:color w:val="auto"/>
        </w:rPr>
      </w:pPr>
    </w:p>
    <w:p>
      <w:pPr>
        <w:jc w:val="both"/>
        <w:ind w:left="1280"/>
        <w:spacing w:after="0" w:line="274" w:lineRule="auto"/>
        <w:rPr>
          <w:sz w:val="20"/>
          <w:szCs w:val="20"/>
          <w:color w:val="auto"/>
        </w:rPr>
      </w:pPr>
      <w:r>
        <w:rPr>
          <w:rFonts w:ascii="Arial" w:cs="Arial" w:eastAsia="Arial" w:hAnsi="Arial"/>
          <w:sz w:val="19"/>
          <w:szCs w:val="19"/>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92" w:lineRule="exact"/>
        <w:rPr>
          <w:sz w:val="20"/>
          <w:szCs w:val="20"/>
          <w:color w:val="auto"/>
        </w:rPr>
      </w:pPr>
    </w:p>
    <w:p>
      <w:pPr>
        <w:jc w:val="both"/>
        <w:ind w:left="1260" w:hanging="496"/>
        <w:spacing w:after="0" w:line="259" w:lineRule="auto"/>
        <w:tabs>
          <w:tab w:leader="none" w:pos="1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Appointment of the new managing director (</w:t>
      </w:r>
      <w:r>
        <w:rPr>
          <w:rFonts w:ascii="Arial" w:cs="Arial" w:eastAsia="Arial" w:hAnsi="Arial"/>
          <w:sz w:val="16"/>
          <w:szCs w:val="16"/>
          <w:i w:val="1"/>
          <w:iCs w:val="1"/>
          <w:color w:val="auto"/>
        </w:rPr>
        <w:t>gérant</w:t>
      </w:r>
      <w:r>
        <w:rPr>
          <w:rFonts w:ascii="Arial" w:cs="Arial" w:eastAsia="Arial" w:hAnsi="Arial"/>
          <w:sz w:val="16"/>
          <w:szCs w:val="16"/>
          <w:color w:val="auto"/>
        </w:rPr>
        <w:t>) of Technip Eurocash SNC</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Within 10 days of the appointment or renewal of French Borrower's managing director (</w:t>
      </w:r>
      <w:r>
        <w:rPr>
          <w:rFonts w:ascii="Arial" w:cs="Arial" w:eastAsia="Arial" w:hAnsi="Arial"/>
          <w:sz w:val="22"/>
          <w:szCs w:val="22"/>
          <w:i w:val="1"/>
          <w:iCs w:val="1"/>
          <w:color w:val="auto"/>
        </w:rPr>
        <w:t>gérant</w:t>
      </w:r>
      <w:r>
        <w:rPr>
          <w:rFonts w:ascii="Arial" w:cs="Arial" w:eastAsia="Arial" w:hAnsi="Arial"/>
          <w:sz w:val="22"/>
          <w:szCs w:val="22"/>
          <w:color w:val="auto"/>
        </w:rPr>
        <w:t>), a certified copy of the decision of the partners (</w:t>
      </w:r>
      <w:r>
        <w:rPr>
          <w:rFonts w:ascii="Arial" w:cs="Arial" w:eastAsia="Arial" w:hAnsi="Arial"/>
          <w:sz w:val="22"/>
          <w:szCs w:val="22"/>
          <w:i w:val="1"/>
          <w:iCs w:val="1"/>
          <w:color w:val="auto"/>
        </w:rPr>
        <w:t>associés</w:t>
      </w:r>
      <w:r>
        <w:rPr>
          <w:rFonts w:ascii="Arial" w:cs="Arial" w:eastAsia="Arial" w:hAnsi="Arial"/>
          <w:sz w:val="22"/>
          <w:szCs w:val="22"/>
          <w:color w:val="auto"/>
        </w:rPr>
        <w:t>) of the French Borrower whereby its managing director (</w:t>
      </w:r>
      <w:r>
        <w:rPr>
          <w:rFonts w:ascii="Arial" w:cs="Arial" w:eastAsia="Arial" w:hAnsi="Arial"/>
          <w:sz w:val="22"/>
          <w:szCs w:val="22"/>
          <w:i w:val="1"/>
          <w:iCs w:val="1"/>
          <w:color w:val="auto"/>
        </w:rPr>
        <w:t>gérant</w:t>
      </w:r>
      <w:r>
        <w:rPr>
          <w:rFonts w:ascii="Arial" w:cs="Arial" w:eastAsia="Arial" w:hAnsi="Arial"/>
          <w:sz w:val="22"/>
          <w:szCs w:val="22"/>
          <w:color w:val="auto"/>
        </w:rPr>
        <w:t>) has been appointed or renewed, together with (only in case of change of managing director (</w:t>
      </w:r>
      <w:r>
        <w:rPr>
          <w:rFonts w:ascii="Arial" w:cs="Arial" w:eastAsia="Arial" w:hAnsi="Arial"/>
          <w:sz w:val="22"/>
          <w:szCs w:val="22"/>
          <w:i w:val="1"/>
          <w:iCs w:val="1"/>
          <w:color w:val="auto"/>
        </w:rPr>
        <w:t>gérant</w:t>
      </w:r>
      <w:r>
        <w:rPr>
          <w:rFonts w:ascii="Arial" w:cs="Arial" w:eastAsia="Arial" w:hAnsi="Arial"/>
          <w:sz w:val="22"/>
          <w:szCs w:val="22"/>
          <w:color w:val="auto"/>
        </w:rPr>
        <w:t>)) (i) an original copy of the Kbis extract (</w:t>
      </w:r>
      <w:r>
        <w:rPr>
          <w:rFonts w:ascii="Arial" w:cs="Arial" w:eastAsia="Arial" w:hAnsi="Arial"/>
          <w:sz w:val="22"/>
          <w:szCs w:val="22"/>
          <w:i w:val="1"/>
          <w:iCs w:val="1"/>
          <w:color w:val="auto"/>
        </w:rPr>
        <w:t>Extrait Kbis</w:t>
      </w:r>
      <w:r>
        <w:rPr>
          <w:rFonts w:ascii="Arial" w:cs="Arial" w:eastAsia="Arial" w:hAnsi="Arial"/>
          <w:sz w:val="22"/>
          <w:szCs w:val="22"/>
          <w:color w:val="auto"/>
        </w:rPr>
        <w:t>) relating to the French Borrower evidencing such appointment and (ii) a specimen of signature of the relevant managing director (</w:t>
      </w:r>
      <w:r>
        <w:rPr>
          <w:rFonts w:ascii="Arial" w:cs="Arial" w:eastAsia="Arial" w:hAnsi="Arial"/>
          <w:sz w:val="22"/>
          <w:szCs w:val="22"/>
          <w:i w:val="1"/>
          <w:iCs w:val="1"/>
          <w:color w:val="auto"/>
        </w:rPr>
        <w:t>gérant</w:t>
      </w:r>
      <w:r>
        <w:rPr>
          <w:rFonts w:ascii="Arial" w:cs="Arial" w:eastAsia="Arial" w:hAnsi="Arial"/>
          <w:sz w:val="22"/>
          <w:szCs w:val="22"/>
          <w:color w:val="auto"/>
        </w:rPr>
        <w:t>).</w:t>
      </w:r>
    </w:p>
    <w:p>
      <w:pPr>
        <w:spacing w:after="0" w:line="221" w:lineRule="exact"/>
        <w:rPr>
          <w:sz w:val="20"/>
          <w:szCs w:val="20"/>
          <w:color w:val="auto"/>
        </w:rPr>
      </w:pPr>
    </w:p>
    <w:p>
      <w:pPr>
        <w:ind w:left="760" w:hanging="752"/>
        <w:spacing w:after="0"/>
        <w:tabs>
          <w:tab w:leader="none" w:pos="7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Financial Covenant</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Total Capitalisation Ratio</w:t>
      </w:r>
    </w:p>
    <w:p>
      <w:pPr>
        <w:spacing w:after="0" w:line="252" w:lineRule="exact"/>
        <w:rPr>
          <w:sz w:val="20"/>
          <w:szCs w:val="20"/>
          <w:color w:val="auto"/>
        </w:rPr>
      </w:pPr>
    </w:p>
    <w:p>
      <w:pPr>
        <w:ind w:left="1260" w:hanging="496"/>
        <w:spacing w:after="0"/>
        <w:tabs>
          <w:tab w:leader="none" w:pos="1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will not permit the Total Capitalisation Ratio to be greater than 60% at the end of any financial quarter.</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undertaking in this Clause 20.1 shall continue for so long as any sum remains payable or capable of becoming payable under the Finance Documents.</w:t>
      </w:r>
    </w:p>
    <w:p>
      <w:pPr>
        <w:spacing w:after="0" w:line="197" w:lineRule="exact"/>
        <w:rPr>
          <w:rFonts w:ascii="Arial" w:cs="Arial" w:eastAsia="Arial" w:hAnsi="Arial"/>
          <w:sz w:val="18"/>
          <w:szCs w:val="18"/>
          <w:color w:val="auto"/>
        </w:rPr>
      </w:pPr>
    </w:p>
    <w:p>
      <w:pPr>
        <w:jc w:val="both"/>
        <w:ind w:left="1260" w:hanging="496"/>
        <w:spacing w:after="0" w:line="293" w:lineRule="auto"/>
        <w:tabs>
          <w:tab w:leader="none" w:pos="12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Notwithstanding anything to the contrary herein, solely for purposes of calculating compliance with Clause 20.1 (and not for the purposes of (i) calculating Consolidated Net Worth under Clause 21.3 or Clause 21.4(q), (ii) measuring pro forma compliance with Clause 20.1 pursuant to Clauses 21.5(b), 21.5(c), 21.5(d) or 21.5(e) or (iii) for any other purpose hereunder), (1) Consolidated Net Worth at the end of the financial quarter ending on 30 June 2020 (as a component of Total Capitalisation) shall be increased by the amount of the Specified Impairment Charges and (2) Consolidated Net Worth at the end of each financial quarter ending thereafter (as a component of Total Capitalisation) shall be increased by the amount of the Residual Specified Impairment Charges for such financial quarter (if any).</w:t>
      </w:r>
    </w:p>
    <w:p>
      <w:pPr>
        <w:spacing w:after="0" w:line="362" w:lineRule="exact"/>
        <w:rPr>
          <w:rFonts w:ascii="Arial" w:cs="Arial" w:eastAsia="Arial" w:hAnsi="Arial"/>
          <w:sz w:val="16"/>
          <w:szCs w:val="16"/>
          <w:color w:val="auto"/>
        </w:rPr>
      </w:pPr>
    </w:p>
    <w:p>
      <w:pPr>
        <w:ind w:left="5560" w:hanging="92"/>
        <w:spacing w:after="0"/>
        <w:tabs>
          <w:tab w:leader="none" w:pos="5560" w:val="left"/>
        </w:tabs>
        <w:numPr>
          <w:ilvl w:val="1"/>
          <w:numId w:val="197"/>
        </w:numPr>
        <w:rPr>
          <w:rFonts w:ascii="Arial" w:cs="Arial" w:eastAsia="Arial" w:hAnsi="Arial"/>
          <w:sz w:val="14"/>
          <w:szCs w:val="14"/>
          <w:color w:val="auto"/>
        </w:rPr>
      </w:pPr>
      <w:r>
        <w:rPr>
          <w:rFonts w:ascii="Arial" w:cs="Arial" w:eastAsia="Arial" w:hAnsi="Arial"/>
          <w:sz w:val="14"/>
          <w:szCs w:val="14"/>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tabs>
          <w:tab w:leader="none" w:pos="7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Financial testing</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components of the definitions of "</w:t>
      </w:r>
      <w:r>
        <w:rPr>
          <w:rFonts w:ascii="Arial" w:cs="Arial" w:eastAsia="Arial" w:hAnsi="Arial"/>
          <w:sz w:val="21"/>
          <w:szCs w:val="21"/>
          <w:b w:val="1"/>
          <w:bCs w:val="1"/>
          <w:color w:val="auto"/>
        </w:rPr>
        <w:t>Consolidated Net Worth</w:t>
      </w:r>
      <w:r>
        <w:rPr>
          <w:rFonts w:ascii="Arial" w:cs="Arial" w:eastAsia="Arial" w:hAnsi="Arial"/>
          <w:sz w:val="21"/>
          <w:szCs w:val="21"/>
          <w:color w:val="auto"/>
        </w:rPr>
        <w:t>", "</w:t>
      </w:r>
      <w:r>
        <w:rPr>
          <w:rFonts w:ascii="Arial" w:cs="Arial" w:eastAsia="Arial" w:hAnsi="Arial"/>
          <w:sz w:val="21"/>
          <w:szCs w:val="21"/>
          <w:b w:val="1"/>
          <w:bCs w:val="1"/>
          <w:color w:val="auto"/>
        </w:rPr>
        <w:t>Total Capitalisation</w:t>
      </w:r>
      <w:r>
        <w:rPr>
          <w:rFonts w:ascii="Arial" w:cs="Arial" w:eastAsia="Arial" w:hAnsi="Arial"/>
          <w:sz w:val="21"/>
          <w:szCs w:val="21"/>
          <w:color w:val="auto"/>
        </w:rPr>
        <w:t>" and "</w:t>
      </w:r>
      <w:r>
        <w:rPr>
          <w:rFonts w:ascii="Arial" w:cs="Arial" w:eastAsia="Arial" w:hAnsi="Arial"/>
          <w:sz w:val="21"/>
          <w:szCs w:val="21"/>
          <w:b w:val="1"/>
          <w:bCs w:val="1"/>
          <w:color w:val="auto"/>
        </w:rPr>
        <w:t>Total Indebtedness</w:t>
      </w:r>
      <w:r>
        <w:rPr>
          <w:rFonts w:ascii="Arial" w:cs="Arial" w:eastAsia="Arial" w:hAnsi="Arial"/>
          <w:sz w:val="21"/>
          <w:szCs w:val="21"/>
          <w:color w:val="auto"/>
        </w:rPr>
        <w:t>" shall be calculated by reference to the latest consolidated financial statements of the Company delivered to the Agent pursuant to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 and in accordance with this Agreement and applicable GAAP.</w:t>
      </w:r>
    </w:p>
    <w:p>
      <w:pPr>
        <w:spacing w:after="0" w:line="200" w:lineRule="exact"/>
        <w:rPr>
          <w:sz w:val="20"/>
          <w:szCs w:val="20"/>
          <w:color w:val="auto"/>
        </w:rPr>
      </w:pPr>
    </w:p>
    <w:p>
      <w:pPr>
        <w:ind w:left="760" w:hanging="752"/>
        <w:spacing w:after="0"/>
        <w:tabs>
          <w:tab w:leader="none" w:pos="7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General Undertakings</w:t>
      </w:r>
    </w:p>
    <w:p>
      <w:pPr>
        <w:spacing w:after="0" w:line="252"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Each Obligor agrees to be bound by the undertakings set out in this Clause 21 (</w:t>
      </w:r>
      <w:r>
        <w:rPr>
          <w:rFonts w:ascii="Arial" w:cs="Arial" w:eastAsia="Arial" w:hAnsi="Arial"/>
          <w:sz w:val="17"/>
          <w:szCs w:val="17"/>
          <w:i w:val="1"/>
          <w:iCs w:val="1"/>
          <w:color w:val="auto"/>
        </w:rPr>
        <w:t>General Undertakings</w:t>
      </w:r>
      <w:r>
        <w:rPr>
          <w:rFonts w:ascii="Arial" w:cs="Arial" w:eastAsia="Arial" w:hAnsi="Arial"/>
          <w:sz w:val="17"/>
          <w:szCs w:val="17"/>
          <w:color w:val="auto"/>
        </w:rPr>
        <w:t>) relating to it and, where the undertaking is expressed to apply to all Subsidiaries or a group of Subsidiaries, each of the Obligors shall procure that each of its Subsidiaries or each of its Subsidiaries that is a member of such group, as applicable, complies with that undertaking.</w:t>
      </w:r>
    </w:p>
    <w:p>
      <w:pPr>
        <w:spacing w:after="0" w:line="192" w:lineRule="exact"/>
        <w:rPr>
          <w:rFonts w:ascii="Arial" w:cs="Arial" w:eastAsia="Arial" w:hAnsi="Arial"/>
          <w:sz w:val="17"/>
          <w:szCs w:val="17"/>
          <w:color w:val="auto"/>
        </w:rPr>
      </w:pPr>
    </w:p>
    <w:p>
      <w:pPr>
        <w:ind w:left="1260" w:hanging="496"/>
        <w:spacing w:after="0" w:line="277" w:lineRule="auto"/>
        <w:tabs>
          <w:tab w:leader="none" w:pos="12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undertakings in this Clause 21 (</w:t>
      </w:r>
      <w:r>
        <w:rPr>
          <w:rFonts w:ascii="Arial" w:cs="Arial" w:eastAsia="Arial" w:hAnsi="Arial"/>
          <w:sz w:val="18"/>
          <w:szCs w:val="18"/>
          <w:i w:val="1"/>
          <w:iCs w:val="1"/>
          <w:color w:val="auto"/>
        </w:rPr>
        <w:t>General Undertakings</w:t>
      </w:r>
      <w:r>
        <w:rPr>
          <w:rFonts w:ascii="Arial" w:cs="Arial" w:eastAsia="Arial" w:hAnsi="Arial"/>
          <w:sz w:val="18"/>
          <w:szCs w:val="18"/>
          <w:color w:val="auto"/>
        </w:rPr>
        <w:t>) remain in force from the date of this Agreement for so long as any amount is outstanding under the Finance Documents or any Commitment is in force.</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Authorisations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Obligor shall obtain and do all that is necessary to maintain in full force and effect any material authorisation required under any law or regulation of its jurisdiction of incorporation or formation:</w:t>
      </w:r>
    </w:p>
    <w:p>
      <w:pPr>
        <w:spacing w:after="0" w:line="209" w:lineRule="exact"/>
        <w:rPr>
          <w:sz w:val="20"/>
          <w:szCs w:val="20"/>
          <w:color w:val="auto"/>
        </w:rPr>
      </w:pPr>
    </w:p>
    <w:p>
      <w:pPr>
        <w:ind w:left="1260" w:hanging="496"/>
        <w:spacing w:after="0"/>
        <w:tabs>
          <w:tab w:leader="none" w:pos="1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enable it to perform its obligations under the Finance Documents;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ensure the legality, validity and enforceability of any Finance Document; and</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enable the carrying out of its business where failure so to obtain or maintain has or would be likely to have a Material Adverse Effect; and each Obligor shall comply with the terms of such material authorisations.</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Pari passu ranking</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Each Obligor shall ensure that its payment obligations under the Finance Documents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claims of all its other present unsecured and unsubordinated creditors, except for obligations that are mandatorily preferred by law applying to companies generally.</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color w:val="auto"/>
        </w:rPr>
        <w:t>Indebtedness</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not, and will not permit any Restricted Subsidiary to, permit the sum (without duplication) of (a) the aggregate principal amount of all Indebtedness of the Company and its Restricted Subsidiaries which is secured by a Security permitted under Clause 21.4(q) (</w:t>
      </w:r>
      <w:r>
        <w:rPr>
          <w:rFonts w:ascii="Arial" w:cs="Arial" w:eastAsia="Arial" w:hAnsi="Arial"/>
          <w:sz w:val="19"/>
          <w:szCs w:val="19"/>
          <w:i w:val="1"/>
          <w:iCs w:val="1"/>
          <w:color w:val="auto"/>
        </w:rPr>
        <w:t>Negative pledge</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principal amount of all unsecured Indebtedness of the Restricted Subsidiaries (other than (i) Indebtedness owing by a Restricted Subsidiary to the Company or any other Restricted Subsidiary and</w:t>
      </w:r>
    </w:p>
    <w:p>
      <w:pPr>
        <w:spacing w:after="0" w:line="3" w:lineRule="exact"/>
        <w:rPr>
          <w:sz w:val="20"/>
          <w:szCs w:val="20"/>
          <w:color w:val="auto"/>
        </w:rPr>
      </w:pPr>
    </w:p>
    <w:p>
      <w:pPr>
        <w:jc w:val="both"/>
        <w:ind w:firstLine="8"/>
        <w:spacing w:after="0" w:line="233" w:lineRule="auto"/>
        <w:tabs>
          <w:tab w:leader="none" w:pos="3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any Technip Eurocash Short Term Indebtedness, not to exceed $1,500,000,000 in aggregate, it being specified that for the purpose of this paragraph (b) FMC Technologies, Inc. will not be considered as a Restricted Subsidiary), </w:t>
      </w:r>
      <w:r>
        <w:rPr>
          <w:rFonts w:ascii="Arial" w:cs="Arial" w:eastAsia="Arial" w:hAnsi="Arial"/>
          <w:sz w:val="22"/>
          <w:szCs w:val="22"/>
          <w:i w:val="1"/>
          <w:iCs w:val="1"/>
          <w:color w:val="auto"/>
        </w:rPr>
        <w:t>plus</w:t>
      </w:r>
      <w:r>
        <w:rPr>
          <w:rFonts w:ascii="Arial" w:cs="Arial" w:eastAsia="Arial" w:hAnsi="Arial"/>
          <w:sz w:val="22"/>
          <w:szCs w:val="22"/>
          <w:color w:val="auto"/>
        </w:rPr>
        <w:t xml:space="preserve"> (c) the aggregate principal amount of all Indebtedness consisting of unpaid reimbursement obligations owing by the Obligors in respect of letters of credit or similar instruments (other than undrawn amounts under such instruments), to exceed in the aggregate 20% of Consolidated Net Worth.</w:t>
      </w:r>
    </w:p>
    <w:p>
      <w:pPr>
        <w:spacing w:after="0" w:line="390" w:lineRule="exact"/>
        <w:rPr>
          <w:rFonts w:ascii="Arial" w:cs="Arial" w:eastAsia="Arial" w:hAnsi="Arial"/>
          <w:sz w:val="22"/>
          <w:szCs w:val="22"/>
          <w:color w:val="auto"/>
        </w:rPr>
      </w:pPr>
    </w:p>
    <w:p>
      <w:pPr>
        <w:ind w:left="5560" w:hanging="92"/>
        <w:spacing w:after="0"/>
        <w:tabs>
          <w:tab w:leader="none" w:pos="5560" w:val="left"/>
        </w:tabs>
        <w:numPr>
          <w:ilvl w:val="1"/>
          <w:numId w:val="200"/>
        </w:numPr>
        <w:rPr>
          <w:rFonts w:ascii="Arial" w:cs="Arial" w:eastAsia="Arial" w:hAnsi="Arial"/>
          <w:sz w:val="14"/>
          <w:szCs w:val="14"/>
          <w:color w:val="auto"/>
        </w:rPr>
      </w:pPr>
      <w:r>
        <w:rPr>
          <w:rFonts w:ascii="Arial" w:cs="Arial" w:eastAsia="Arial" w:hAnsi="Arial"/>
          <w:sz w:val="14"/>
          <w:szCs w:val="14"/>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tabs>
          <w:tab w:leader="none" w:pos="7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Negative pledge</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Obligors will not, and will not permit any Material Subsidiary to, create, assume or suffer to exist any Security on any asset now owned or hereafter acquired by it, except:</w:t>
      </w:r>
    </w:p>
    <w:p>
      <w:pPr>
        <w:spacing w:after="0" w:line="209" w:lineRule="exact"/>
        <w:rPr>
          <w:sz w:val="20"/>
          <w:szCs w:val="20"/>
          <w:color w:val="auto"/>
        </w:rPr>
      </w:pPr>
    </w:p>
    <w:p>
      <w:pPr>
        <w:ind w:left="1260" w:hanging="496"/>
        <w:spacing w:after="0" w:line="277"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netting or set-off or cash management arrangement entered into by any Obligor or Restricted Subsidiary in the ordinary course of its banking or contractual arrangements for the purpose of netting debit and credit balances;</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arising by operation of law in the ordinary course of business;</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created over goods and documents of title to goods arising in the ordinary course of business, or letter of credit transactions entered into in the ordinary course of trade as security only for debt owed to a bank or financial institution directly relating to the goods or documents on or over which those Security exist;</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arising out of title retention and set-off provisions in a supplier's standard conditions for the supply of goods acquired by an Obligor or a Restricted Subsidiary;</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created with the prior consent of the Majority Lenders;</w:t>
      </w:r>
    </w:p>
    <w:p>
      <w:pPr>
        <w:spacing w:after="0" w:line="252"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which arise on the basis of any judgment or award for which an appeal or proceedings for review are being pursued without delay and in good faith and in respect of which not more than 30 days have elapsed without a stay of execution in respect thereof having been granted, but only to the extent such judgment or award has not resulted in an Event of Default under Clause 22.8 (</w:t>
      </w:r>
      <w:r>
        <w:rPr>
          <w:rFonts w:ascii="Arial" w:cs="Arial" w:eastAsia="Arial" w:hAnsi="Arial"/>
          <w:sz w:val="18"/>
          <w:szCs w:val="18"/>
          <w:i w:val="1"/>
          <w:iCs w:val="1"/>
          <w:color w:val="auto"/>
        </w:rPr>
        <w:t>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judgments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260" w:hanging="496"/>
        <w:spacing w:after="0" w:line="279" w:lineRule="auto"/>
        <w:tabs>
          <w:tab w:leader="none" w:pos="12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Security in respect of borrowings from the French Export Credit Corporation (COFACE), any similar governmental agency or any other state-owned or multilateral financial institution incurred by the Obligors or any Restricted Subsidiary to refinance any amount receivable under any export sales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Security consists only of a pledge of any Obligor's or Restricted Subsidiary's claims under such contract against the foreign buyer and/or any Security or guarantee of such claims;</w:t>
      </w:r>
    </w:p>
    <w:p>
      <w:pPr>
        <w:spacing w:after="0" w:line="198"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existing on the Signing Date and described on Schedule 6 (</w:t>
      </w:r>
      <w:r>
        <w:rPr>
          <w:rFonts w:ascii="Arial" w:cs="Arial" w:eastAsia="Arial" w:hAnsi="Arial"/>
          <w:sz w:val="18"/>
          <w:szCs w:val="18"/>
          <w:i w:val="1"/>
          <w:iCs w:val="1"/>
          <w:color w:val="auto"/>
        </w:rPr>
        <w:t>Existing Security</w:t>
      </w:r>
      <w:r>
        <w:rPr>
          <w:rFonts w:ascii="Arial" w:cs="Arial" w:eastAsia="Arial" w:hAnsi="Arial"/>
          <w:sz w:val="18"/>
          <w:szCs w:val="18"/>
          <w:color w:val="auto"/>
        </w:rPr>
        <w:t>), securing Indebtedness outstanding on the Signing Date;</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over deposits of cash or cash equivalent investments provided by way of cash collateral in order to secure any obligations under this Agreement;</w:t>
      </w:r>
    </w:p>
    <w:p>
      <w:pPr>
        <w:spacing w:after="0" w:line="197" w:lineRule="exact"/>
        <w:rPr>
          <w:rFonts w:ascii="Arial" w:cs="Arial" w:eastAsia="Arial" w:hAnsi="Arial"/>
          <w:sz w:val="18"/>
          <w:szCs w:val="18"/>
          <w:color w:val="auto"/>
        </w:rPr>
      </w:pPr>
    </w:p>
    <w:p>
      <w:pPr>
        <w:jc w:val="both"/>
        <w:ind w:left="1260" w:hanging="496"/>
        <w:spacing w:after="0" w:line="296" w:lineRule="auto"/>
        <w:tabs>
          <w:tab w:leader="none" w:pos="12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Security incidental to the conduct of its business or the ownership of its assets which (i) arise in the ordinary course of business, (ii) do not secure Indebtedness and (iii) do not in the aggregate materially detract from the value of its assets or materially impair the use thereof in the operation of its business including, without limitation, in connection with workers' compensation, unemployment insurance and other social security legislation or deposits securing liability to insurance carriers under insurance or self-insurance arrangements or granted by any Obligor or any Restricted Subsidiary to any pension fund or managers securing the pension obligations of any member of the Group;</w:t>
      </w:r>
    </w:p>
    <w:p>
      <w:pPr>
        <w:spacing w:after="0" w:line="188" w:lineRule="exact"/>
        <w:rPr>
          <w:rFonts w:ascii="Arial" w:cs="Arial" w:eastAsia="Arial" w:hAnsi="Arial"/>
          <w:sz w:val="16"/>
          <w:szCs w:val="16"/>
          <w:color w:val="auto"/>
        </w:rPr>
      </w:pPr>
    </w:p>
    <w:p>
      <w:pPr>
        <w:ind w:left="1260" w:hanging="496"/>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Security in favor of such Borrower or any other Restricted Subsidiary;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both"/>
        <w:ind w:left="1260" w:hanging="496"/>
        <w:spacing w:after="0" w:line="286" w:lineRule="auto"/>
        <w:tabs>
          <w:tab w:leader="none" w:pos="12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Security on any property or assets existing at the time of, or incurred within 120 days after, the acquisition thereof (by purchase, merger or otherwise), securing Indebtedness incurred to pay the purchase price or construction cost thereof, or the capital lease obligations related thereto, so long as such Security do not and are not extended to cover any other property or assets;</w:t>
      </w:r>
    </w:p>
    <w:p>
      <w:pPr>
        <w:spacing w:after="0" w:line="192" w:lineRule="exact"/>
        <w:rPr>
          <w:rFonts w:ascii="Arial" w:cs="Arial" w:eastAsia="Arial" w:hAnsi="Arial"/>
          <w:sz w:val="17"/>
          <w:szCs w:val="17"/>
          <w:color w:val="auto"/>
        </w:rPr>
      </w:pPr>
    </w:p>
    <w:p>
      <w:pPr>
        <w:jc w:val="both"/>
        <w:ind w:left="1260" w:hanging="496"/>
        <w:spacing w:after="0" w:line="255" w:lineRule="auto"/>
        <w:tabs>
          <w:tab w:leader="none" w:pos="1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Security in favor of a Governmental Authority to secure payments under any contract or statute, or to secure any Indebtedness incurred in financing the acquisition, construction or improvement of property subject thereto, including Security on, and created or arising in connection with the financing of the acquisition, construction or improvement of, any facility used or to be used in the business of such Borrower or any Restricted Subsidiary through the issuance of obligations, the income from which shall be excludable from gross income by virtue of Section 103 of the Code (or any subsequently adopted provisions thereof providing for a specific exclusion from gross income;</w:t>
      </w:r>
    </w:p>
    <w:p>
      <w:pPr>
        <w:spacing w:after="0" w:line="219" w:lineRule="exact"/>
        <w:rPr>
          <w:rFonts w:ascii="Arial" w:cs="Arial" w:eastAsia="Arial" w:hAnsi="Arial"/>
          <w:sz w:val="18"/>
          <w:szCs w:val="18"/>
          <w:color w:val="auto"/>
        </w:rPr>
      </w:pPr>
    </w:p>
    <w:p>
      <w:pPr>
        <w:jc w:val="both"/>
        <w:ind w:left="1260" w:hanging="496"/>
        <w:spacing w:after="0" w:line="301" w:lineRule="auto"/>
        <w:tabs>
          <w:tab w:leader="none" w:pos="12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any extension, renewal, substitution, or replacement (or successive extensions, renewals, substitutions or replacements), as a whole or in part, of any Security referred to in clauses (a) through (m)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extension, renewal, substitution or replacement Security shall be limited to all or any part of the same property or assets subject to the Security extended, renewed, substituted or replaced (plus improvements on such property) and (ii) the Indebtedness secured by such Security at such time is not increased; and</w:t>
      </w:r>
    </w:p>
    <w:p>
      <w:pPr>
        <w:spacing w:after="0" w:line="184" w:lineRule="exact"/>
        <w:rPr>
          <w:rFonts w:ascii="Arial" w:cs="Arial" w:eastAsia="Arial" w:hAnsi="Arial"/>
          <w:sz w:val="16"/>
          <w:szCs w:val="16"/>
          <w:color w:val="auto"/>
        </w:rPr>
      </w:pPr>
    </w:p>
    <w:p>
      <w:pPr>
        <w:ind w:left="1260" w:hanging="496"/>
        <w:spacing w:after="0" w:line="277" w:lineRule="auto"/>
        <w:tabs>
          <w:tab w:leader="none" w:pos="1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statutory Security imposed by any Governmental Authority for taxes that are not yet due or that are being diligently contested in good faith by appropriate proceedings for which adequate reserves in conformity with GAAP have been provided therefor;</w:t>
      </w:r>
    </w:p>
    <w:p>
      <w:pPr>
        <w:spacing w:after="0" w:line="197" w:lineRule="exact"/>
        <w:rPr>
          <w:rFonts w:ascii="Arial" w:cs="Arial" w:eastAsia="Arial" w:hAnsi="Arial"/>
          <w:sz w:val="18"/>
          <w:szCs w:val="18"/>
          <w:color w:val="auto"/>
        </w:rPr>
      </w:pPr>
    </w:p>
    <w:p>
      <w:pPr>
        <w:ind w:left="1260" w:hanging="496"/>
        <w:spacing w:after="0" w:line="342" w:lineRule="auto"/>
        <w:tabs>
          <w:tab w:leader="none" w:pos="12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for a period of 120 days after any Restricted Subsidiary becomes a Material Subsidiary, any Security on the assets of such Restricted Subsidiary existing at the time it became a Material Subsidiary and not otherwise permitted by this Clause 21.4 (</w:t>
      </w:r>
      <w:r>
        <w:rPr>
          <w:rFonts w:ascii="Arial" w:cs="Arial" w:eastAsia="Arial" w:hAnsi="Arial"/>
          <w:sz w:val="16"/>
          <w:szCs w:val="16"/>
          <w:i w:val="1"/>
          <w:iCs w:val="1"/>
          <w:color w:val="auto"/>
        </w:rPr>
        <w:t>Negative pledge</w:t>
      </w:r>
      <w:r>
        <w:rPr>
          <w:rFonts w:ascii="Arial" w:cs="Arial" w:eastAsia="Arial" w:hAnsi="Arial"/>
          <w:sz w:val="16"/>
          <w:szCs w:val="16"/>
          <w:color w:val="auto"/>
        </w:rPr>
        <w:t>); and</w:t>
      </w:r>
    </w:p>
    <w:p>
      <w:pPr>
        <w:spacing w:after="0" w:line="150" w:lineRule="exact"/>
        <w:rPr>
          <w:rFonts w:ascii="Arial" w:cs="Arial" w:eastAsia="Arial" w:hAnsi="Arial"/>
          <w:sz w:val="16"/>
          <w:szCs w:val="16"/>
          <w:color w:val="auto"/>
        </w:rPr>
      </w:pPr>
    </w:p>
    <w:p>
      <w:pPr>
        <w:jc w:val="both"/>
        <w:ind w:left="1260" w:hanging="496"/>
        <w:spacing w:after="0" w:line="273" w:lineRule="auto"/>
        <w:tabs>
          <w:tab w:leader="none" w:pos="12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Security not otherwise permitted by the foregoing paragraphs of this Clause 21.4 (</w:t>
      </w:r>
      <w:r>
        <w:rPr>
          <w:rFonts w:ascii="Arial" w:cs="Arial" w:eastAsia="Arial" w:hAnsi="Arial"/>
          <w:sz w:val="17"/>
          <w:szCs w:val="17"/>
          <w:i w:val="1"/>
          <w:iCs w:val="1"/>
          <w:color w:val="auto"/>
        </w:rPr>
        <w:t>Negative pledge</w:t>
      </w:r>
      <w:r>
        <w:rPr>
          <w:rFonts w:ascii="Arial" w:cs="Arial" w:eastAsia="Arial" w:hAnsi="Arial"/>
          <w:sz w:val="17"/>
          <w:szCs w:val="17"/>
          <w:color w:val="auto"/>
        </w:rPr>
        <w:t xml:space="preserve">) securing Indebtedness of the Company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Security, the sum of (i) the aggregate principal amount of all Indebtedness secured by Security permitted under this paragraph (q)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principal amount of all Indebtedness incurred under paragraphs (b) and (c) of Clause 21.3 (</w:t>
      </w:r>
      <w:r>
        <w:rPr>
          <w:rFonts w:ascii="Arial" w:cs="Arial" w:eastAsia="Arial" w:hAnsi="Arial"/>
          <w:sz w:val="17"/>
          <w:szCs w:val="17"/>
          <w:i w:val="1"/>
          <w:iCs w:val="1"/>
          <w:color w:val="auto"/>
        </w:rPr>
        <w:t>Indebtedness</w:t>
      </w:r>
      <w:r>
        <w:rPr>
          <w:rFonts w:ascii="Arial" w:cs="Arial" w:eastAsia="Arial" w:hAnsi="Arial"/>
          <w:sz w:val="17"/>
          <w:szCs w:val="17"/>
          <w:color w:val="auto"/>
        </w:rPr>
        <w:t>) and outstanding at such time, shall not exceed 20% of Consolidated Net Worth (measured at the time of creation, incurrence or assumption of such Security based upon the financial statements most recently available prior to such date).</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Disposals; Mergers</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None of the Obligors will, and will not permit any Restricted Subsidiary to, merge or consolidate with or into, or sell, convey, transfer, lease or otherwise dispose of (whether in one transaction or in a series of transactions) a material portion of its assets to, any person, except that, so long as (i) no Default then exists or would result therefrom and (ii) such transaction would not constitute the sale, conveyance, transfer, lease or other disposition of all or substantially all of the assets of the Company and its Restricted Subsidiaries, taken as a whole: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both"/>
        <w:ind w:left="496" w:hanging="496"/>
        <w:spacing w:after="0" w:line="263" w:lineRule="auto"/>
        <w:tabs>
          <w:tab w:leader="none" w:pos="49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or consolidate with (i)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the continuing or surviving person, or (ii)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merger or consolidation involves the Subsidiary Borrower, the Subsidiary Borrower shall be the continuing or surviving person;</w:t>
      </w:r>
    </w:p>
    <w:p>
      <w:pPr>
        <w:spacing w:after="0" w:line="210" w:lineRule="exact"/>
        <w:rPr>
          <w:rFonts w:ascii="Arial" w:cs="Arial" w:eastAsia="Arial" w:hAnsi="Arial"/>
          <w:sz w:val="18"/>
          <w:szCs w:val="18"/>
          <w:color w:val="auto"/>
        </w:rPr>
      </w:pPr>
    </w:p>
    <w:p>
      <w:pPr>
        <w:jc w:val="both"/>
        <w:ind w:left="496" w:hanging="496"/>
        <w:spacing w:after="0" w:line="273" w:lineRule="auto"/>
        <w:tabs>
          <w:tab w:leader="none" w:pos="49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any Restricted Subsidiary may merge or consolidate with any other person if (i) the Company in good faith determines that such merger or consolidation is in the best interest of the Company and would not have a Material Adverse Effect and (ii) within 30 days after such merger or consolidation (if the transaction value of such merger or consolidation is in the amount of $750,000,000 or more), the Company delivers to the Agent a certificate of a financial officer of the Company showing pro forma compliance with Clauses 20.1 (</w:t>
      </w:r>
      <w:r>
        <w:rPr>
          <w:rFonts w:ascii="Arial" w:cs="Arial" w:eastAsia="Arial" w:hAnsi="Arial"/>
          <w:sz w:val="17"/>
          <w:szCs w:val="17"/>
          <w:i w:val="1"/>
          <w:iCs w:val="1"/>
          <w:color w:val="auto"/>
        </w:rPr>
        <w:t>Total</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Capitalisation Ratio</w:t>
      </w:r>
      <w:r>
        <w:rPr>
          <w:rFonts w:ascii="Arial" w:cs="Arial" w:eastAsia="Arial" w:hAnsi="Arial"/>
          <w:sz w:val="17"/>
          <w:szCs w:val="17"/>
          <w:color w:val="auto"/>
        </w:rPr>
        <w:t>), 21.3 (</w:t>
      </w:r>
      <w:r>
        <w:rPr>
          <w:rFonts w:ascii="Arial" w:cs="Arial" w:eastAsia="Arial" w:hAnsi="Arial"/>
          <w:sz w:val="17"/>
          <w:szCs w:val="17"/>
          <w:i w:val="1"/>
          <w:iCs w:val="1"/>
          <w:color w:val="auto"/>
        </w:rPr>
        <w:t>Indebtedness</w:t>
      </w:r>
      <w:r>
        <w:rPr>
          <w:rFonts w:ascii="Arial" w:cs="Arial" w:eastAsia="Arial" w:hAnsi="Arial"/>
          <w:sz w:val="17"/>
          <w:szCs w:val="17"/>
          <w:color w:val="auto"/>
        </w:rPr>
        <w:t>) and 21.7 (</w:t>
      </w:r>
      <w:r>
        <w:rPr>
          <w:rFonts w:ascii="Arial" w:cs="Arial" w:eastAsia="Arial" w:hAnsi="Arial"/>
          <w:sz w:val="17"/>
          <w:szCs w:val="17"/>
          <w:i w:val="1"/>
          <w:iCs w:val="1"/>
          <w:color w:val="auto"/>
        </w:rPr>
        <w:t>Investments in Unrestricted Subsidiaries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if such merger or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involves an Obligor, such Obligor shall be the continuing or surviving person.</w:t>
      </w:r>
    </w:p>
    <w:p>
      <w:pPr>
        <w:spacing w:after="0" w:line="204" w:lineRule="exact"/>
        <w:rPr>
          <w:rFonts w:ascii="Arial" w:cs="Arial" w:eastAsia="Arial" w:hAnsi="Arial"/>
          <w:sz w:val="17"/>
          <w:szCs w:val="17"/>
          <w:color w:val="auto"/>
        </w:rPr>
      </w:pPr>
    </w:p>
    <w:p>
      <w:pPr>
        <w:jc w:val="both"/>
        <w:ind w:left="496" w:hanging="496"/>
        <w:spacing w:after="0" w:line="293" w:lineRule="auto"/>
        <w:tabs>
          <w:tab w:leader="none" w:pos="49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Restricted Subsidiary may sell, convey, transfer, lease or otherwise dispose of a material portion of its assets to (i) the Borrower, (ii) any other Restricted Subsidiary or (iii) any other person if the Company in good faith determines that such sale is in the best interest of the Company and would not have a Material Adverse Effect and,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20.1 (</w:t>
      </w:r>
      <w:r>
        <w:rPr>
          <w:rFonts w:ascii="Arial" w:cs="Arial" w:eastAsia="Arial" w:hAnsi="Arial"/>
          <w:sz w:val="16"/>
          <w:szCs w:val="16"/>
          <w:i w:val="1"/>
          <w:iCs w:val="1"/>
          <w:color w:val="auto"/>
        </w:rPr>
        <w:t>Total Capitalisation Ratio</w:t>
      </w:r>
      <w:r>
        <w:rPr>
          <w:rFonts w:ascii="Arial" w:cs="Arial" w:eastAsia="Arial" w:hAnsi="Arial"/>
          <w:sz w:val="16"/>
          <w:szCs w:val="16"/>
          <w:color w:val="auto"/>
        </w:rPr>
        <w:t>), 21.3 (</w:t>
      </w:r>
      <w:r>
        <w:rPr>
          <w:rFonts w:ascii="Arial" w:cs="Arial" w:eastAsia="Arial" w:hAnsi="Arial"/>
          <w:sz w:val="16"/>
          <w:szCs w:val="16"/>
          <w:i w:val="1"/>
          <w:iCs w:val="1"/>
          <w:color w:val="auto"/>
        </w:rPr>
        <w:t>Indebtedness</w:t>
      </w:r>
      <w:r>
        <w:rPr>
          <w:rFonts w:ascii="Arial" w:cs="Arial" w:eastAsia="Arial" w:hAnsi="Arial"/>
          <w:sz w:val="16"/>
          <w:szCs w:val="16"/>
          <w:color w:val="auto"/>
        </w:rPr>
        <w:t>) and 21.7 (</w:t>
      </w:r>
      <w:r>
        <w:rPr>
          <w:rFonts w:ascii="Arial" w:cs="Arial" w:eastAsia="Arial" w:hAnsi="Arial"/>
          <w:sz w:val="16"/>
          <w:szCs w:val="16"/>
          <w:i w:val="1"/>
          <w:iCs w:val="1"/>
          <w:color w:val="auto"/>
        </w:rPr>
        <w:t>Investments in Unrestricted Subsidiaries</w:t>
      </w:r>
      <w:r>
        <w:rPr>
          <w:rFonts w:ascii="Arial" w:cs="Arial" w:eastAsia="Arial" w:hAnsi="Arial"/>
          <w:sz w:val="16"/>
          <w:szCs w:val="16"/>
          <w:color w:val="auto"/>
        </w:rPr>
        <w:t>); and</w:t>
      </w:r>
    </w:p>
    <w:p>
      <w:pPr>
        <w:spacing w:after="0" w:line="191" w:lineRule="exact"/>
        <w:rPr>
          <w:rFonts w:ascii="Arial" w:cs="Arial" w:eastAsia="Arial" w:hAnsi="Arial"/>
          <w:sz w:val="16"/>
          <w:szCs w:val="16"/>
          <w:color w:val="auto"/>
        </w:rPr>
      </w:pPr>
    </w:p>
    <w:p>
      <w:pPr>
        <w:jc w:val="both"/>
        <w:ind w:left="496" w:hanging="496"/>
        <w:spacing w:after="0" w:line="257" w:lineRule="auto"/>
        <w:tabs>
          <w:tab w:leader="none" w:pos="49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Company may merge or consolidate with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is the continuing or surviving person, (ii) the Ratings are not less than BBB- by S&amp;P or Baa3 by Moody's after giving effect thereto, and (iii) within 30 days after such merger or consolidation (if the transaction value of such merger or consolidation is in the amount of $750,000,000 or more), the Company delivers to the Agent a certificate of a financial officer of the Company showing pro forma compliance with 20.1 (</w:t>
      </w:r>
      <w:r>
        <w:rPr>
          <w:rFonts w:ascii="Arial" w:cs="Arial" w:eastAsia="Arial" w:hAnsi="Arial"/>
          <w:sz w:val="18"/>
          <w:szCs w:val="18"/>
          <w:i w:val="1"/>
          <w:iCs w:val="1"/>
          <w:color w:val="auto"/>
        </w:rPr>
        <w:t>Total Capitalisation Ratio</w:t>
      </w:r>
      <w:r>
        <w:rPr>
          <w:rFonts w:ascii="Arial" w:cs="Arial" w:eastAsia="Arial" w:hAnsi="Arial"/>
          <w:sz w:val="18"/>
          <w:szCs w:val="18"/>
          <w:color w:val="auto"/>
        </w:rPr>
        <w:t>), 21.3 (</w:t>
      </w:r>
      <w:r>
        <w:rPr>
          <w:rFonts w:ascii="Arial" w:cs="Arial" w:eastAsia="Arial" w:hAnsi="Arial"/>
          <w:sz w:val="18"/>
          <w:szCs w:val="18"/>
          <w:i w:val="1"/>
          <w:iCs w:val="1"/>
          <w:color w:val="auto"/>
        </w:rPr>
        <w:t>Indebtedness</w:t>
      </w:r>
      <w:r>
        <w:rPr>
          <w:rFonts w:ascii="Arial" w:cs="Arial" w:eastAsia="Arial" w:hAnsi="Arial"/>
          <w:sz w:val="18"/>
          <w:szCs w:val="18"/>
          <w:color w:val="auto"/>
        </w:rPr>
        <w:t>) and 21.7 (</w:t>
      </w:r>
      <w:r>
        <w:rPr>
          <w:rFonts w:ascii="Arial" w:cs="Arial" w:eastAsia="Arial" w:hAnsi="Arial"/>
          <w:sz w:val="18"/>
          <w:szCs w:val="18"/>
          <w:i w:val="1"/>
          <w:iCs w:val="1"/>
          <w:color w:val="auto"/>
        </w:rPr>
        <w:t>Investments in Unrestricted Subsidiaries</w:t>
      </w:r>
      <w:r>
        <w:rPr>
          <w:rFonts w:ascii="Arial" w:cs="Arial" w:eastAsia="Arial" w:hAnsi="Arial"/>
          <w:sz w:val="18"/>
          <w:szCs w:val="18"/>
          <w:color w:val="auto"/>
        </w:rPr>
        <w:t>); and</w:t>
      </w:r>
    </w:p>
    <w:p>
      <w:pPr>
        <w:spacing w:after="0" w:line="214" w:lineRule="exact"/>
        <w:rPr>
          <w:rFonts w:ascii="Arial" w:cs="Arial" w:eastAsia="Arial" w:hAnsi="Arial"/>
          <w:sz w:val="18"/>
          <w:szCs w:val="18"/>
          <w:color w:val="auto"/>
        </w:rPr>
      </w:pPr>
    </w:p>
    <w:p>
      <w:pPr>
        <w:jc w:val="both"/>
        <w:ind w:left="496" w:hanging="496"/>
        <w:spacing w:after="0" w:line="296" w:lineRule="auto"/>
        <w:tabs>
          <w:tab w:leader="none" w:pos="49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the Company may sell, convey, transfer, lease or otherwise dispose of a material portion of its assets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Ratings are not less than BBB- by S&amp;P or Baa3 by Moody's after giving effect thereto and (ii) within 30 days after such sale, conveyance, transfer, lease or other disposition (if the transaction value of such sale, conveyance, transfer, lease or other disposition is in the amount of $750,000,000 or more), the Company delivers to the Agent a certificate of a financial officer of the Company showing pro forma compliance with Clauses 20.1 (</w:t>
      </w:r>
      <w:r>
        <w:rPr>
          <w:rFonts w:ascii="Arial" w:cs="Arial" w:eastAsia="Arial" w:hAnsi="Arial"/>
          <w:sz w:val="16"/>
          <w:szCs w:val="16"/>
          <w:i w:val="1"/>
          <w:iCs w:val="1"/>
          <w:color w:val="auto"/>
        </w:rPr>
        <w:t>Total Capitalisation Ratio</w:t>
      </w:r>
      <w:r>
        <w:rPr>
          <w:rFonts w:ascii="Arial" w:cs="Arial" w:eastAsia="Arial" w:hAnsi="Arial"/>
          <w:sz w:val="16"/>
          <w:szCs w:val="16"/>
          <w:color w:val="auto"/>
        </w:rPr>
        <w:t>), 21.3 (</w:t>
      </w:r>
      <w:r>
        <w:rPr>
          <w:rFonts w:ascii="Arial" w:cs="Arial" w:eastAsia="Arial" w:hAnsi="Arial"/>
          <w:sz w:val="16"/>
          <w:szCs w:val="16"/>
          <w:i w:val="1"/>
          <w:iCs w:val="1"/>
          <w:color w:val="auto"/>
        </w:rPr>
        <w:t>Indebtedness</w:t>
      </w:r>
      <w:r>
        <w:rPr>
          <w:rFonts w:ascii="Arial" w:cs="Arial" w:eastAsia="Arial" w:hAnsi="Arial"/>
          <w:sz w:val="16"/>
          <w:szCs w:val="16"/>
          <w:color w:val="auto"/>
        </w:rPr>
        <w:t>) and 21.7 (</w:t>
      </w:r>
      <w:r>
        <w:rPr>
          <w:rFonts w:ascii="Arial" w:cs="Arial" w:eastAsia="Arial" w:hAnsi="Arial"/>
          <w:sz w:val="16"/>
          <w:szCs w:val="16"/>
          <w:i w:val="1"/>
          <w:iCs w:val="1"/>
          <w:color w:val="auto"/>
        </w:rPr>
        <w:t>Investments in Unrestricted Subsidiaries</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496" w:hanging="496"/>
        <w:spacing w:after="0"/>
        <w:tabs>
          <w:tab w:leader="none" w:pos="49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Obligors and any Restricted Subsidiary may engage in:</w:t>
      </w:r>
    </w:p>
    <w:p>
      <w:pPr>
        <w:spacing w:after="0" w:line="252" w:lineRule="exact"/>
        <w:rPr>
          <w:rFonts w:ascii="Arial" w:cs="Arial" w:eastAsia="Arial" w:hAnsi="Arial"/>
          <w:sz w:val="18"/>
          <w:szCs w:val="18"/>
          <w:color w:val="auto"/>
        </w:rPr>
      </w:pPr>
    </w:p>
    <w:p>
      <w:pPr>
        <w:ind w:left="1016" w:hanging="503"/>
        <w:spacing w:after="0"/>
        <w:tabs>
          <w:tab w:leader="none" w:pos="10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disposal of stock in trade or inventory made in the ordinary course of business;</w:t>
      </w:r>
    </w:p>
    <w:p>
      <w:pPr>
        <w:spacing w:after="0" w:line="252" w:lineRule="exact"/>
        <w:rPr>
          <w:rFonts w:ascii="Arial" w:cs="Arial" w:eastAsia="Arial" w:hAnsi="Arial"/>
          <w:sz w:val="18"/>
          <w:szCs w:val="18"/>
          <w:color w:val="auto"/>
        </w:rPr>
      </w:pPr>
    </w:p>
    <w:p>
      <w:pPr>
        <w:ind w:left="1016" w:hanging="503"/>
        <w:spacing w:after="0"/>
        <w:tabs>
          <w:tab w:leader="none" w:pos="10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disposal of receivables and related security made in connection with a Permitted Securitisation;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796" w:hanging="92"/>
        <w:spacing w:after="0"/>
        <w:tabs>
          <w:tab w:leader="none" w:pos="4796" w:val="left"/>
        </w:tabs>
        <w:numPr>
          <w:ilvl w:val="2"/>
          <w:numId w:val="203"/>
        </w:numPr>
        <w:rPr>
          <w:rFonts w:ascii="Arial" w:cs="Arial" w:eastAsia="Arial" w:hAnsi="Arial"/>
          <w:sz w:val="14"/>
          <w:szCs w:val="14"/>
          <w:color w:val="auto"/>
        </w:rPr>
      </w:pPr>
      <w:r>
        <w:rPr>
          <w:rFonts w:ascii="Arial" w:cs="Arial" w:eastAsia="Arial" w:hAnsi="Arial"/>
          <w:sz w:val="14"/>
          <w:szCs w:val="14"/>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125" w:right="339" w:bottom="1440" w:gutter="0" w:footer="0" w:header="0"/>
        </w:sectPr>
      </w:pPr>
    </w:p>
    <w:bookmarkStart w:id="109" w:name="page110"/>
    <w:bookmarkEnd w:id="109"/>
    <w:p>
      <w:pPr>
        <w:ind w:left="1780" w:hanging="503"/>
        <w:spacing w:after="0"/>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 issuance or disposal by any Permitted JV of its own securities;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made in connection with a sale and leaseback permitted under the terms of this Agreement;</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in exchange for assets (other than cash or cash equivalents) comparable or superior as to value (including disposals of businesses in exchange for other businesses);</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of cash or marketable securities on arm's length terms for cash or marketable securities;</w:t>
      </w:r>
    </w:p>
    <w:p>
      <w:pPr>
        <w:spacing w:after="0" w:line="252"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on a non-recourse basis of payment instruments and/or irrevocable accounts receivable made by way of collections for cash and at a fair market value on a contract-by-contract basis and which are not made for the purposes of incurring Indebtedness nor made pursuant to a Permitted Securitisation;</w:t>
      </w:r>
    </w:p>
    <w:p>
      <w:pPr>
        <w:spacing w:after="0" w:line="210" w:lineRule="exact"/>
        <w:rPr>
          <w:rFonts w:ascii="Arial" w:cs="Arial" w:eastAsia="Arial" w:hAnsi="Arial"/>
          <w:sz w:val="18"/>
          <w:szCs w:val="18"/>
          <w:color w:val="auto"/>
        </w:rPr>
      </w:pPr>
    </w:p>
    <w:p>
      <w:pPr>
        <w:ind w:left="1780" w:right="20" w:hanging="503"/>
        <w:spacing w:after="0" w:line="277" w:lineRule="auto"/>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of obsolete or worn property, whether now owned or acquired after the date of this Agreement, in the ordinary course of business; 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disposal made with the consent of the Majority Lenders.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Restricted Payments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 Obligor shall (and each of the Obligors shall procure that no Restricted Subsidiaries will) declare or make any Restricted Payment, except that:</w:t>
      </w:r>
    </w:p>
    <w:p>
      <w:pPr>
        <w:spacing w:after="0" w:line="209" w:lineRule="exact"/>
        <w:rPr>
          <w:sz w:val="20"/>
          <w:szCs w:val="20"/>
          <w:color w:val="auto"/>
        </w:rPr>
      </w:pPr>
    </w:p>
    <w:p>
      <w:pPr>
        <w:jc w:val="both"/>
        <w:ind w:left="1260" w:hanging="496"/>
        <w:spacing w:after="0" w:line="311" w:lineRule="auto"/>
        <w:tabs>
          <w:tab w:leader="none" w:pos="1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Restricted Subsidiary may declare and make Restricted Payments to a Borrower or to any other Restricted Subsidiary (and, in the case of a Restricted Payment by a non-wholly-owned Restricted Subsidiary, to a Borrower or any other Restricted Subsidiary and to each other owner of the equity interests of such Restricted Subsidiary on a pro-rata basis based on their relative ownership interests);</w:t>
      </w:r>
    </w:p>
    <w:p>
      <w:pPr>
        <w:spacing w:after="0" w:line="175" w:lineRule="exact"/>
        <w:rPr>
          <w:rFonts w:ascii="Arial" w:cs="Arial" w:eastAsia="Arial" w:hAnsi="Arial"/>
          <w:sz w:val="16"/>
          <w:szCs w:val="16"/>
          <w:color w:val="auto"/>
        </w:rPr>
      </w:pPr>
    </w:p>
    <w:p>
      <w:pPr>
        <w:ind w:left="1260" w:hanging="496"/>
        <w:spacing w:after="0"/>
        <w:tabs>
          <w:tab w:leader="none" w:pos="1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 Obligor or any Restricted Subsidiary may declare and make Restricted Payments, payable in the Common Stock of such person; and</w:t>
      </w:r>
    </w:p>
    <w:p>
      <w:pPr>
        <w:spacing w:after="0" w:line="275" w:lineRule="exact"/>
        <w:rPr>
          <w:rFonts w:ascii="Arial" w:cs="Arial" w:eastAsia="Arial" w:hAnsi="Arial"/>
          <w:sz w:val="16"/>
          <w:szCs w:val="16"/>
          <w:color w:val="auto"/>
        </w:rPr>
      </w:pPr>
    </w:p>
    <w:p>
      <w:pPr>
        <w:ind w:left="1260" w:right="20" w:hanging="496"/>
        <w:spacing w:after="0" w:line="277" w:lineRule="auto"/>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Company may declare and make Restricted Payments to the holders of its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Default or Event of Default exists at the time of the declaration thereof or would result therefrom.</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Investments in Unrestricted Subsidiaries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 Obligor will, and will not permit any Restricted Subsidiary to, make Investments in Unrestricted Subsidiaries in an aggregate amount outstanding at any time in excess of $500,000,000 for all such Unrestricted Subsidiaries.</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Limitations on up streaming</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Obligors will not, and will not permit any Restricted Subsidiary to, directly or indirectly agree to any restriction or limitation on the making of Restricted Payments by a Restricted Subsidiary, the repaying of loans or advances owing by a Restricted Subsidiary to any Obligor or any other Restricted Subsidiary or the transferring of assets from any Restricted Subsidiary to an Obligor or any other Restricted Subsidiary, except (a) restrictions and limitations imposed by applicable laws or by the Finance Documents, (b) customary restrictions and limitations contained in agreements relating to the disposition of a Restricted Subsidiary or its assets that is permitted hereunder and (c) any other restrictions that could not reasonably be expected to impair the Obligor's ability to repay the obligations hereunder as and when due.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tabs>
          <w:tab w:leader="none" w:pos="7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Transactions with Affiliates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Obligors will not, and will not permit any Restricted Subsidiary to, enter into any material transaction of any kind with any Affiliate of a Obligor (other than an Obligor or a Restricted Subsidiary), other than upon fair and reasonable terms as could reasonably be obtained in an arms-length transaction with a person that is not an Affiliate in accordance with prevailing industry customs and practices.</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7"/>
          <w:szCs w:val="17"/>
          <w:color w:val="auto"/>
        </w:rPr>
        <w:t>Control of Borrower</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shall ensure that it, at all times (directly or indirectly) beneficially owns and controls the entire issued voting share capital of the Subsidiary Borrower.</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Change and continuation of business</w:t>
      </w:r>
    </w:p>
    <w:p>
      <w:pPr>
        <w:spacing w:after="0" w:line="252" w:lineRule="exact"/>
        <w:rPr>
          <w:sz w:val="20"/>
          <w:szCs w:val="20"/>
          <w:color w:val="auto"/>
        </w:rPr>
      </w:pPr>
    </w:p>
    <w:p>
      <w:pPr>
        <w:jc w:val="both"/>
        <w:ind w:left="1260" w:hanging="496"/>
        <w:spacing w:after="0" w:line="263" w:lineRule="auto"/>
        <w:tabs>
          <w:tab w:leader="none" w:pos="1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Obligor will ensure (and each of the Obligors shall procure that its Material Subsidiaries ensures), that no material change, which has or is reasonably likely to have a Material Adverse Effect, is made to the general nature of the business conducted by them at the date of signing of the Finance Documents.</w:t>
      </w:r>
    </w:p>
    <w:p>
      <w:pPr>
        <w:spacing w:after="0" w:line="210" w:lineRule="exact"/>
        <w:rPr>
          <w:rFonts w:ascii="Arial" w:cs="Arial" w:eastAsia="Arial" w:hAnsi="Arial"/>
          <w:sz w:val="18"/>
          <w:szCs w:val="18"/>
          <w:color w:val="auto"/>
        </w:rPr>
      </w:pPr>
    </w:p>
    <w:p>
      <w:pPr>
        <w:jc w:val="both"/>
        <w:ind w:left="1260" w:hanging="496"/>
        <w:spacing w:after="0" w:line="254" w:lineRule="auto"/>
        <w:tabs>
          <w:tab w:leader="none" w:pos="1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Save as permitted by Clause 21.5 (</w:t>
      </w:r>
      <w:r>
        <w:rPr>
          <w:rFonts w:ascii="Arial" w:cs="Arial" w:eastAsia="Arial" w:hAnsi="Arial"/>
          <w:sz w:val="18"/>
          <w:szCs w:val="18"/>
          <w:i w:val="1"/>
          <w:iCs w:val="1"/>
          <w:color w:val="auto"/>
        </w:rPr>
        <w:t>Disposals; Mergers</w:t>
      </w:r>
      <w:r>
        <w:rPr>
          <w:rFonts w:ascii="Arial" w:cs="Arial" w:eastAsia="Arial" w:hAnsi="Arial"/>
          <w:sz w:val="18"/>
          <w:szCs w:val="18"/>
          <w:color w:val="auto"/>
        </w:rPr>
        <w:t xml:space="preserve">), each Obligor will (and the Company shall procure that each of its Subsidiaries will) preserve, renew and keep in full force and effect each of their respective corporate or partnership existence and their respective rights, privileges and franchises necessary or desirable in the normal conduct of business, except where failure to do so could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21.11(b) (</w:t>
      </w:r>
      <w:r>
        <w:rPr>
          <w:rFonts w:ascii="Arial" w:cs="Arial" w:eastAsia="Arial" w:hAnsi="Arial"/>
          <w:sz w:val="18"/>
          <w:szCs w:val="18"/>
          <w:i w:val="1"/>
          <w:iCs w:val="1"/>
          <w:color w:val="auto"/>
        </w:rPr>
        <w:t>Change and continuation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shall prohibit the termination of the corporate or partnership existence of any Restricted Subsidiary if the Company in good faith</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that such termination is in the best interests of the Company and could not be reasonably expected to have a Material Adverse Effect.</w:t>
      </w: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Environmental matters</w:t>
      </w: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Each Obligor will (and each of the Obligors shall procure that its Material Subsidiaries will) obtain all material Environmental Licences required for the carrying on of its business as currently conducted and will be in compliance in all material respects with</w:t>
      </w:r>
    </w:p>
    <w:p>
      <w:pPr>
        <w:spacing w:after="0" w:line="1" w:lineRule="exact"/>
        <w:rPr>
          <w:sz w:val="20"/>
          <w:szCs w:val="20"/>
          <w:color w:val="auto"/>
        </w:rPr>
      </w:pPr>
    </w:p>
    <w:p>
      <w:pPr>
        <w:ind w:firstLine="8"/>
        <w:spacing w:after="0" w:line="236" w:lineRule="auto"/>
        <w:tabs>
          <w:tab w:leader="none" w:pos="30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terms and conditions of such Environmental Licences and (b) all other applicable Environmental Law in each case where failure to do so would have or could reasonably be likely to have a Material Adverse Effect.</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Compliance with laws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Obligor shall (and each of the Obligors shall procure that each of its Material Subsidiaries will) comply in all respects with all laws to which it may be subject (including ERISA and with respect to any pension scheme operated by a member of the Group) if failure so to comply would materially impair its ability to perform its payment obligations under the Finance Documents.</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5"/>
          <w:szCs w:val="15"/>
          <w:color w:val="auto"/>
        </w:rPr>
        <w:t>Insurance</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Obligor will maintain (and each of the Obligors shall procure that each of its Material Subsidiaries maintains) all insurances for risks which are customarily insured under available and reasonable commercial insurance terms and conditions by companies carrying on a similar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tabs>
          <w:tab w:leader="none" w:pos="74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color w:val="auto"/>
        </w:rPr>
        <w:t>Maintenance of property, books and records</w:t>
      </w:r>
    </w:p>
    <w:p>
      <w:pPr>
        <w:spacing w:after="0" w:line="252" w:lineRule="exact"/>
        <w:rPr>
          <w:sz w:val="20"/>
          <w:szCs w:val="20"/>
          <w:color w:val="auto"/>
        </w:rPr>
      </w:pPr>
    </w:p>
    <w:p>
      <w:pPr>
        <w:ind w:left="1260" w:hanging="496"/>
        <w:spacing w:after="0" w:line="277" w:lineRule="auto"/>
        <w:tabs>
          <w:tab w:leader="none" w:pos="1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Obligor will keep (and each of the Obligors will cause each of its Subsidiaries to keep) all material property useful and necessary in its business in good working order and condition, normal wear and tear excepted.</w:t>
      </w:r>
    </w:p>
    <w:p>
      <w:pPr>
        <w:spacing w:after="0" w:line="197" w:lineRule="exact"/>
        <w:rPr>
          <w:rFonts w:ascii="Arial" w:cs="Arial" w:eastAsia="Arial" w:hAnsi="Arial"/>
          <w:sz w:val="18"/>
          <w:szCs w:val="18"/>
          <w:color w:val="auto"/>
        </w:rPr>
      </w:pPr>
    </w:p>
    <w:p>
      <w:pPr>
        <w:ind w:left="1260" w:right="20" w:hanging="496"/>
        <w:spacing w:after="0" w:line="308" w:lineRule="auto"/>
        <w:tabs>
          <w:tab w:leader="none" w:pos="12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Obligor will keep (and each of the Obligors will cause each of its Subsidiaries to keep) proper books of record and account in which full, true and correct entries shall be made of all dealings and transactions in relation to its business and activities.</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21.16</w:t>
      </w:r>
      <w:r>
        <w:rPr>
          <w:sz w:val="20"/>
          <w:szCs w:val="20"/>
          <w:color w:val="auto"/>
        </w:rPr>
        <w:tab/>
      </w:r>
      <w:r>
        <w:rPr>
          <w:rFonts w:ascii="Arial" w:cs="Arial" w:eastAsia="Arial" w:hAnsi="Arial"/>
          <w:sz w:val="15"/>
          <w:szCs w:val="15"/>
          <w:color w:val="auto"/>
        </w:rPr>
        <w:t>Use of proceeds</w:t>
      </w:r>
    </w:p>
    <w:p>
      <w:pPr>
        <w:spacing w:after="0" w:line="252" w:lineRule="exact"/>
        <w:rPr>
          <w:sz w:val="20"/>
          <w:szCs w:val="20"/>
          <w:color w:val="auto"/>
        </w:rPr>
      </w:pPr>
    </w:p>
    <w:p>
      <w:pPr>
        <w:jc w:val="both"/>
        <w:ind w:left="1260" w:hanging="496"/>
        <w:spacing w:after="0" w:line="270" w:lineRule="auto"/>
        <w:tabs>
          <w:tab w:leader="none" w:pos="12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No part of the proceeds of any Loan will be used, whether directly or indirectly, in a manner that violates Regulation U or X of the Board. The Obligors will not permit more than 25% of the consolidated assets of the Obligors and their Subsidiaries to consist of "margin stock," as such term is defined in Regulation U of the Board of Governors of the Federal Reserve System of the United States of America. No Borrower will request any Loan, or shall use or otherwise make available, and shall procure that its Subsidiaries and its or their respective directors, officers, employees and agents shall not use or otherwise make available, any proceeds of any Loan (i) in furtherance of an offer, payment, promise to pay, or authorisation of the payment or giving of money, or anything else of value, to any person or entity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207"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proceeds of the Loans under this Agreement may only be used by the Obligors in accordance with the provisions of Clause 3.1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i w:val="1"/>
          <w:iCs w:val="1"/>
          <w:color w:val="auto"/>
        </w:rPr>
        <w:t>21.17</w:t>
      </w:r>
      <w:r>
        <w:rPr>
          <w:sz w:val="20"/>
          <w:szCs w:val="20"/>
          <w:color w:val="auto"/>
        </w:rPr>
        <w:tab/>
      </w:r>
      <w:r>
        <w:rPr>
          <w:rFonts w:ascii="Arial" w:cs="Arial" w:eastAsia="Arial" w:hAnsi="Arial"/>
          <w:sz w:val="16"/>
          <w:szCs w:val="16"/>
          <w:i w:val="1"/>
          <w:iCs w:val="1"/>
          <w:color w:val="auto"/>
        </w:rPr>
        <w:t>Société en nom collectif</w:t>
      </w:r>
    </w:p>
    <w:p>
      <w:pPr>
        <w:spacing w:after="0" w:line="245"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If as a result of a change of law effective after the date of this Agreement, a partner of a </w:t>
      </w:r>
      <w:r>
        <w:rPr>
          <w:rFonts w:ascii="Arial" w:cs="Arial" w:eastAsia="Arial" w:hAnsi="Arial"/>
          <w:sz w:val="19"/>
          <w:szCs w:val="19"/>
          <w:i w:val="1"/>
          <w:iCs w:val="1"/>
          <w:color w:val="auto"/>
        </w:rPr>
        <w:t>société en nom collectif</w:t>
      </w:r>
      <w:r>
        <w:rPr>
          <w:rFonts w:ascii="Arial" w:cs="Arial" w:eastAsia="Arial" w:hAnsi="Arial"/>
          <w:sz w:val="19"/>
          <w:szCs w:val="19"/>
          <w:color w:val="auto"/>
        </w:rPr>
        <w:t xml:space="preserve"> could no longer be jointly and severally liable for the obligations of Technip Eurocash SNC under this Agreement the Company shall:</w:t>
      </w:r>
    </w:p>
    <w:p>
      <w:pPr>
        <w:spacing w:after="0" w:line="139" w:lineRule="exact"/>
        <w:rPr>
          <w:sz w:val="20"/>
          <w:szCs w:val="20"/>
          <w:color w:val="auto"/>
        </w:rPr>
      </w:pPr>
    </w:p>
    <w:p>
      <w:pPr>
        <w:ind w:left="1260" w:hanging="496"/>
        <w:spacing w:after="0"/>
        <w:tabs>
          <w:tab w:leader="none" w:pos="1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use its reasonable endeavours to overcome or mitigate such circumstances; and</w:t>
      </w:r>
    </w:p>
    <w:p>
      <w:pPr>
        <w:spacing w:after="0" w:line="252"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enter into negotiations with the Agent in order to agree as soon as practicable (but in any case within 90 days) alternative arrangements or appropriate solutions, so that the legal and economic recourse of the Finance Parties is comparable to that existing prior to the occurrence of the relevant circumstances. Any agreement reached by the Agent under this paragraph will require the approval of the Majority Lenders.</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21.18</w:t>
      </w:r>
      <w:r>
        <w:rPr>
          <w:sz w:val="20"/>
          <w:szCs w:val="20"/>
          <w:color w:val="auto"/>
        </w:rPr>
        <w:tab/>
      </w:r>
      <w:r>
        <w:rPr>
          <w:rFonts w:ascii="Arial" w:cs="Arial" w:eastAsia="Arial" w:hAnsi="Arial"/>
          <w:sz w:val="16"/>
          <w:szCs w:val="16"/>
          <w:color w:val="auto"/>
        </w:rPr>
        <w:t>Payment of obligations</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Obligor will, and will ensure that each of its Subsidiaries will, duly and punctually pay and discharge all their respective material obligations and liabilities and all Taxes imposed by any agency of any state upon it or any of them or any of its or their assets, income or profits or any transactions undertaken or entered into by it or any of them due and payable by it or that Subsidiary within the time period allowed therefor without imposing material penalties where failure to do so could reasonably be expected to have a Material Adverse Effect other than in respect of amounts diligently contested in good faith.</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tabs>
          <w:tab w:leader="none" w:pos="740" w:val="left"/>
        </w:tabs>
        <w:rPr>
          <w:sz w:val="20"/>
          <w:szCs w:val="20"/>
          <w:color w:val="auto"/>
        </w:rPr>
      </w:pPr>
      <w:r>
        <w:rPr>
          <w:rFonts w:ascii="Arial" w:cs="Arial" w:eastAsia="Arial" w:hAnsi="Arial"/>
          <w:sz w:val="18"/>
          <w:szCs w:val="18"/>
          <w:color w:val="auto"/>
        </w:rPr>
        <w:t>21.19</w:t>
      </w:r>
      <w:r>
        <w:rPr>
          <w:sz w:val="20"/>
          <w:szCs w:val="20"/>
          <w:color w:val="auto"/>
        </w:rPr>
        <w:tab/>
      </w:r>
      <w:r>
        <w:rPr>
          <w:rFonts w:ascii="Arial" w:cs="Arial" w:eastAsia="Arial" w:hAnsi="Arial"/>
          <w:sz w:val="16"/>
          <w:szCs w:val="16"/>
          <w:color w:val="auto"/>
        </w:rPr>
        <w:t>Anti-corruption laws and Sanctions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Obligor will maintain in effect and enforce policies and procedures designed to ensure compliance by the Obligors, their Subsidiaries, and their respective directors, officers, employees, and agents with the FCPA, the Bribery Act 2010 and any other applicable Anti-Corruption Laws and all applicable Sanctions.</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21.20</w:t>
      </w:r>
      <w:r>
        <w:rPr>
          <w:sz w:val="20"/>
          <w:szCs w:val="20"/>
          <w:color w:val="auto"/>
        </w:rPr>
        <w:tab/>
      </w:r>
      <w:r>
        <w:rPr>
          <w:rFonts w:ascii="Arial" w:cs="Arial" w:eastAsia="Arial" w:hAnsi="Arial"/>
          <w:sz w:val="16"/>
          <w:szCs w:val="16"/>
          <w:color w:val="auto"/>
        </w:rPr>
        <w:t>Designation of Unrestricted Subsidiaries; Redesignation of Unrestricted Subsidiaries as Restricted Subsidiaries</w:t>
      </w:r>
    </w:p>
    <w:p>
      <w:pPr>
        <w:spacing w:after="0" w:line="252" w:lineRule="exact"/>
        <w:rPr>
          <w:sz w:val="20"/>
          <w:szCs w:val="20"/>
          <w:color w:val="auto"/>
        </w:rPr>
      </w:pPr>
    </w:p>
    <w:p>
      <w:pPr>
        <w:ind w:left="1260" w:hanging="496"/>
        <w:spacing w:after="0" w:line="342" w:lineRule="auto"/>
        <w:tabs>
          <w:tab w:leader="none" w:pos="12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Unless designated as an Unrestricted Subsidiary pursuant to this Clause 21.20 (Designation of Unrestricted Subsidiaries; Redesignation of Unrestricted Subsidiaries as Restricted Subsidiaries), each Subsidiary shall be classified as a Restricted Subsidiary.</w:t>
      </w:r>
    </w:p>
    <w:p>
      <w:pPr>
        <w:spacing w:after="0" w:line="150" w:lineRule="exact"/>
        <w:rPr>
          <w:rFonts w:ascii="Arial" w:cs="Arial" w:eastAsia="Arial" w:hAnsi="Arial"/>
          <w:sz w:val="16"/>
          <w:szCs w:val="16"/>
          <w:color w:val="auto"/>
        </w:rPr>
      </w:pPr>
    </w:p>
    <w:p>
      <w:pPr>
        <w:jc w:val="both"/>
        <w:ind w:left="1260" w:hanging="496"/>
        <w:spacing w:after="0" w:line="259" w:lineRule="auto"/>
        <w:tabs>
          <w:tab w:leader="none" w:pos="1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the Company designates any Subsidiary as an Unrestricted Subsidiary pursuant to paragraph (c) below, the Company shall be deemed to have made an Investment in such Unrestricted Subsidiary in an amount equal to (i) the fair market value as of the date of such designation of the consolidated assets of such Subsidiary minus (ii) if such Subsidiary was in existence on the Signing Date, the fair market value of the consolidated assets of such Subsidiary as of the Signing Date.</w:t>
      </w:r>
    </w:p>
    <w:p>
      <w:pPr>
        <w:spacing w:after="0" w:line="213"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 may designate, by written notice to the Agent, any Subsidiary to be an Unrestricted Subsidiary if (i) before and after giving effect to such designation, no Default or Event of Default shall exist (including, without limitation, no Default or Event of Default arising as a result of failure to comply with Clause 21.9 (Transactions with Affiliates) upon the designation of such Subsidiary as an Unrestricted Subsidiary as a result of any then-existing material transactions between such Subsidiary and the Company or any Restricted Subsidiary),</w:t>
      </w:r>
    </w:p>
    <w:p>
      <w:pPr>
        <w:spacing w:after="0" w:line="1" w:lineRule="exact"/>
        <w:rPr>
          <w:rFonts w:ascii="Arial" w:cs="Arial" w:eastAsia="Arial" w:hAnsi="Arial"/>
          <w:sz w:val="16"/>
          <w:szCs w:val="16"/>
          <w:color w:val="auto"/>
        </w:rPr>
      </w:pPr>
    </w:p>
    <w:p>
      <w:pPr>
        <w:jc w:val="both"/>
        <w:ind w:left="1260" w:firstLine="3"/>
        <w:spacing w:after="0" w:line="271" w:lineRule="auto"/>
        <w:tabs>
          <w:tab w:leader="none" w:pos="1552"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Company shall be in pro forma compliance with Clause 20 (Financial Covenant) both before and after giving effect to such designation, (iii) the deemed Investment by the Company in such Unrestricted Subsidiary resulting from such designation would be permitted to be made at the time of such designation under Clause 21.7 (Investments in Unrestricted Subsidiaries) and (iv) such Subsidiary otherwise meets the requirements set forth in the definition of "Unrestricted Subsidiary". Such written notice shall be accompanied by a certificate of a financial officer, certifying as to the matters set forth in the preceding sentence.</w:t>
      </w:r>
    </w:p>
    <w:p>
      <w:pPr>
        <w:spacing w:after="0" w:line="205" w:lineRule="exact"/>
        <w:rPr>
          <w:rFonts w:ascii="Arial" w:cs="Arial" w:eastAsia="Arial" w:hAnsi="Arial"/>
          <w:sz w:val="17"/>
          <w:szCs w:val="17"/>
          <w:color w:val="auto"/>
        </w:rPr>
      </w:pPr>
    </w:p>
    <w:p>
      <w:pPr>
        <w:jc w:val="both"/>
        <w:ind w:left="1260" w:hanging="496"/>
        <w:spacing w:after="0" w:line="285" w:lineRule="auto"/>
        <w:tabs>
          <w:tab w:leader="none" w:pos="12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 may designate any Unrestricted Subsidiary to be a Restricted Subsidiary if, after giving effect to such designation: (i) the representations and warranties of the Obligors contained in each of the Finance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w:t>
      </w:r>
    </w:p>
    <w:p>
      <w:pPr>
        <w:spacing w:after="0" w:line="1" w:lineRule="exact"/>
        <w:rPr>
          <w:rFonts w:ascii="Arial" w:cs="Arial" w:eastAsia="Arial" w:hAnsi="Arial"/>
          <w:sz w:val="16"/>
          <w:szCs w:val="16"/>
          <w:color w:val="auto"/>
        </w:rPr>
      </w:pPr>
    </w:p>
    <w:p>
      <w:pPr>
        <w:jc w:val="both"/>
        <w:ind w:left="1260" w:firstLine="3"/>
        <w:spacing w:after="0" w:line="270" w:lineRule="auto"/>
        <w:tabs>
          <w:tab w:leader="none" w:pos="154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no Default or Event of Default would exist, (iii) any Indebtedness of such Subsidiary (which shall be deemed to be incurred by a Restricted Subsidiary as of the date of designation) is permitted to be incurred as of such date under Clause 21.3 (Indebtedness), (iv) any Security over the assets of such Subsidiary (which shall be deemed to be created or incurred by a Restricted Subsidiary as of the date of designation) are permitted to be created or incurred as of such date under Clause 21.4 (Negative pledge) and (v) Investments in or of such Subsidiary (which shall be deemed to be created or incurred by a Restricted Subsidiary as of the date of designation) are permitted to be created or incurred as of such date under Clause 21.7 (Investments in Unrestricted Subsidiaries).</w:t>
      </w:r>
    </w:p>
    <w:p>
      <w:pPr>
        <w:spacing w:after="0" w:line="376" w:lineRule="exact"/>
        <w:rPr>
          <w:rFonts w:ascii="Arial" w:cs="Arial" w:eastAsia="Arial" w:hAnsi="Arial"/>
          <w:sz w:val="17"/>
          <w:szCs w:val="17"/>
          <w:color w:val="auto"/>
        </w:rPr>
      </w:pPr>
    </w:p>
    <w:p>
      <w:pPr>
        <w:ind w:left="5560" w:hanging="92"/>
        <w:spacing w:after="0"/>
        <w:tabs>
          <w:tab w:leader="none" w:pos="5560" w:val="left"/>
        </w:tabs>
        <w:numPr>
          <w:ilvl w:val="2"/>
          <w:numId w:val="211"/>
        </w:numPr>
        <w:rPr>
          <w:rFonts w:ascii="Arial" w:cs="Arial" w:eastAsia="Arial" w:hAnsi="Arial"/>
          <w:sz w:val="14"/>
          <w:szCs w:val="14"/>
          <w:color w:val="auto"/>
        </w:rPr>
      </w:pPr>
      <w:r>
        <w:rPr>
          <w:rFonts w:ascii="Arial" w:cs="Arial" w:eastAsia="Arial" w:hAnsi="Arial"/>
          <w:sz w:val="14"/>
          <w:szCs w:val="14"/>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both"/>
        <w:ind w:left="1260" w:hanging="496"/>
        <w:spacing w:after="0" w:line="263" w:lineRule="auto"/>
        <w:tabs>
          <w:tab w:leader="none" w:pos="1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merger, consolidation or amalgamation of an Unrestricted Subsidiary into a Restricted Subsidiary shall be deemed to constitute a designation of such Unrestricted Subsidiary as a Restricted Subsidiary for purposes of this Agreement and, as such, must be permitted by paragraph (d) above (in addition to any other relevant provisions herein).</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contained herein, no Obligor may be an Unrestricted Subsidiary.</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6"/>
          <w:szCs w:val="16"/>
          <w:color w:val="auto"/>
        </w:rPr>
        <w:t>Management of Unrestricted Subsidiaries</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will cause the management, business and affairs of each of the Company and its Restricted Subsidiaries to be conducted in such a manner (including, without limitation, by keeping separate books of account, furnishing separate financial statements of Unrestricted Subsidiaries to creditors thereof and by not permitting properties of the Company and its Restricted Subsidiaries to be commingled with that of its Unrestricted Subsidiaries) so that each Unrestricted Subsidiary will be treated as an entity separate and distinct from the Company and each Restricted Subsidiary.</w:t>
      </w:r>
    </w:p>
    <w:p>
      <w:pPr>
        <w:spacing w:after="0" w:line="182" w:lineRule="exact"/>
        <w:rPr>
          <w:sz w:val="20"/>
          <w:szCs w:val="20"/>
          <w:color w:val="auto"/>
        </w:rPr>
      </w:pPr>
    </w:p>
    <w:p>
      <w:pPr>
        <w:ind w:left="760" w:hanging="752"/>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Each of the events or circumstances set out in this Clause 22 is an Event of Default (save for Clause 22.12 </w:t>
      </w:r>
      <w:r>
        <w:rPr>
          <w:rFonts w:ascii="Arial" w:cs="Arial" w:eastAsia="Arial" w:hAnsi="Arial"/>
          <w:sz w:val="22"/>
          <w:szCs w:val="22"/>
          <w:i w:val="1"/>
          <w:iCs w:val="1"/>
          <w:color w:val="auto"/>
        </w:rPr>
        <w:t>Consequences of an</w:t>
      </w:r>
      <w:r>
        <w:rPr>
          <w:rFonts w:ascii="Arial" w:cs="Arial" w:eastAsia="Arial" w:hAnsi="Arial"/>
          <w:sz w:val="22"/>
          <w:szCs w:val="22"/>
          <w:color w:val="auto"/>
        </w:rPr>
        <w:t xml:space="preserve"> </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Non-payment</w:t>
      </w:r>
    </w:p>
    <w:p>
      <w:pPr>
        <w:spacing w:after="0" w:line="252" w:lineRule="exact"/>
        <w:rPr>
          <w:sz w:val="20"/>
          <w:szCs w:val="20"/>
          <w:color w:val="auto"/>
        </w:rPr>
      </w:pPr>
    </w:p>
    <w:p>
      <w:pPr>
        <w:ind w:left="1260" w:hanging="496"/>
        <w:spacing w:after="0" w:line="277" w:lineRule="auto"/>
        <w:tabs>
          <w:tab w:leader="none" w:pos="12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Borrower does not pay on the due date any principal of any Loan at the place at and in the currency in which it is expressed to be payable, unless:</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its failure to pay is caused by administrative or technical error or a Disruption Event;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payment is made within three Business Days of its due date.</w:t>
      </w:r>
    </w:p>
    <w:p>
      <w:pPr>
        <w:spacing w:after="0" w:line="252" w:lineRule="exact"/>
        <w:rPr>
          <w:rFonts w:ascii="Arial" w:cs="Arial" w:eastAsia="Arial" w:hAnsi="Arial"/>
          <w:sz w:val="18"/>
          <w:szCs w:val="18"/>
          <w:color w:val="auto"/>
        </w:rPr>
      </w:pPr>
    </w:p>
    <w:p>
      <w:pPr>
        <w:ind w:left="1260" w:right="20" w:hanging="496"/>
        <w:spacing w:after="0" w:line="342" w:lineRule="auto"/>
        <w:tabs>
          <w:tab w:leader="none" w:pos="12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 Borrower does not pay on the due date any amount payable under the Finance Documents not subject to paragraph (a) above at the place at and in the currency in which it is expressed to be payable unless payment is made within three Business Days of its due date.</w:t>
      </w:r>
    </w:p>
    <w:p>
      <w:pPr>
        <w:spacing w:after="0" w:line="15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Financial Covenant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Obligors do not comply with any of the provisions of Clause 20 (</w:t>
      </w:r>
      <w:r>
        <w:rPr>
          <w:rFonts w:ascii="Arial" w:cs="Arial" w:eastAsia="Arial" w:hAnsi="Arial"/>
          <w:sz w:val="22"/>
          <w:szCs w:val="22"/>
          <w:i w:val="1"/>
          <w:iCs w:val="1"/>
          <w:color w:val="auto"/>
        </w:rPr>
        <w:t>Financial Covenant</w:t>
      </w:r>
      <w:r>
        <w:rPr>
          <w:rFonts w:ascii="Arial" w:cs="Arial" w:eastAsia="Arial" w:hAnsi="Arial"/>
          <w:sz w:val="22"/>
          <w:szCs w:val="22"/>
          <w:color w:val="auto"/>
        </w:rPr>
        <w:t>).</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Other obligations</w:t>
      </w:r>
    </w:p>
    <w:p>
      <w:pPr>
        <w:spacing w:after="0" w:line="252" w:lineRule="exact"/>
        <w:rPr>
          <w:sz w:val="20"/>
          <w:szCs w:val="20"/>
          <w:color w:val="auto"/>
        </w:rPr>
      </w:pPr>
    </w:p>
    <w:p>
      <w:pPr>
        <w:ind w:left="1260" w:right="20" w:hanging="496"/>
        <w:spacing w:after="0" w:line="277" w:lineRule="auto"/>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Obligors do not comply with any provision of the Finance Documents (other than those referred to in Clauses 22.1 (</w:t>
      </w:r>
      <w:r>
        <w:rPr>
          <w:rFonts w:ascii="Arial" w:cs="Arial" w:eastAsia="Arial" w:hAnsi="Arial"/>
          <w:sz w:val="18"/>
          <w:szCs w:val="18"/>
          <w:i w:val="1"/>
          <w:iCs w:val="1"/>
          <w:color w:val="auto"/>
        </w:rPr>
        <w:t>Non-payment</w:t>
      </w:r>
      <w:r>
        <w:rPr>
          <w:rFonts w:ascii="Arial" w:cs="Arial" w:eastAsia="Arial" w:hAnsi="Arial"/>
          <w:sz w:val="18"/>
          <w:szCs w:val="18"/>
          <w:color w:val="auto"/>
        </w:rPr>
        <w:t>) and 22.2 (</w:t>
      </w:r>
      <w:r>
        <w:rPr>
          <w:rFonts w:ascii="Arial" w:cs="Arial" w:eastAsia="Arial" w:hAnsi="Arial"/>
          <w:sz w:val="18"/>
          <w:szCs w:val="18"/>
          <w:i w:val="1"/>
          <w:iCs w:val="1"/>
          <w:color w:val="auto"/>
        </w:rPr>
        <w:t>Financial Covenant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15 days of the earlier of the Agent giving notice to the Borrower specifying the particulars of the event concerned and an Obligor becoming aware of the failure to comply.</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tabs>
          <w:tab w:leader="none" w:pos="7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Misrepresentation</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representation or statement made or deemed to be made by an Obligor in the Finance Documents or in any Compliance Certificate or financial statement or any other material information contained in any other document furnished pursuant to or in connection with any Finance Document is incorrect in any material respect (or, with respect to any representation or statement qualified by materiality or "Material Adverse Effect", in any respect) when made or deemed to be made unless the circumstances giving rise to the misrepresentation:</w:t>
      </w:r>
    </w:p>
    <w:p>
      <w:pPr>
        <w:spacing w:after="0" w:line="221" w:lineRule="exact"/>
        <w:rPr>
          <w:sz w:val="20"/>
          <w:szCs w:val="20"/>
          <w:color w:val="auto"/>
        </w:rPr>
      </w:pPr>
    </w:p>
    <w:p>
      <w:pPr>
        <w:ind w:left="1260" w:hanging="496"/>
        <w:spacing w:after="0"/>
        <w:tabs>
          <w:tab w:leader="none" w:pos="1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are capable of remedy; and</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are remedied within 15 days of the earlier of the Agent notifying such misrepresentation to the Borrower and an Obligor becoming aware of the misrepresentation.</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Cross default</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Obligor or any Material Subsidiary shall fail to make any payment (whether of principal or interest and regardless of amount) in respect of any Material Indebtedness, when and as the same shall become due and payable after giving effect to any applicable grace period, or any event or condition occurs that results in any Material Indebtedness (other than Permitted JV Indebtedness) becoming due prior to its scheduled maturity or that requires the prepayment, repurchase, redemption or defeasance of any Material Indebtedness (other than Permitted JV Indebtedness) prior to its scheduled maturity.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Notwithstanding the foregoing, except to the extent that the failure to make such payment results in an event of default under any other Indebtedness of any Obligor or Material Subsidiary, no Event of Default shall occur under this Clause 22.5 (</w:t>
      </w:r>
      <w:r>
        <w:rPr>
          <w:rFonts w:ascii="Arial" w:cs="Arial" w:eastAsia="Arial" w:hAnsi="Arial"/>
          <w:sz w:val="19"/>
          <w:szCs w:val="19"/>
          <w:i w:val="1"/>
          <w:iCs w:val="1"/>
          <w:color w:val="auto"/>
        </w:rPr>
        <w:t>Cross default</w:t>
      </w:r>
      <w:r>
        <w:rPr>
          <w:rFonts w:ascii="Arial" w:cs="Arial" w:eastAsia="Arial" w:hAnsi="Arial"/>
          <w:sz w:val="19"/>
          <w:szCs w:val="19"/>
          <w:color w:val="auto"/>
        </w:rPr>
        <w:t>) as a result of the failure of any Obligor or any Material Subsidiary to make any payment in respect of any Material Indebtedness if the relevant Obligor or Restricted Subsidiary has been instructed in writing to contest its obligation to make such payment by an export credit agency or other insurance provider, multi-lateral organisation or other governmental organisation in any such case where such export credit agency, insurance provider, multi-lateral organisation or other governmental organisation has provided a guarantee or indemnity in connection with the supply of goods or services to which such Material Indebtedness relates and it is a requirement of such guarantee or indemnity that such Obligor or Material Subsidiary complies with such instructions, unless and until (a) the expiration of a period of 270 days from the date such instructions are given, (b) such instructions have expired or been revoked or are otherwise no longer in place or (c) a court of competent jurisdiction orders that such payment should be made or otherwise decides that such payment is due and payable, and in the case of (a), (b) or (c), such Obligor or Material Subsidiary fails to make such payment forthwith upon the occurrence of such event.</w:t>
      </w:r>
    </w:p>
    <w:p>
      <w:pPr>
        <w:spacing w:after="0" w:line="1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Insolvency, bankruptcy and insolvency proceedings</w:t>
      </w:r>
    </w:p>
    <w:p>
      <w:pPr>
        <w:spacing w:after="0" w:line="252" w:lineRule="exact"/>
        <w:rPr>
          <w:sz w:val="20"/>
          <w:szCs w:val="20"/>
          <w:color w:val="auto"/>
        </w:rPr>
      </w:pPr>
    </w:p>
    <w:p>
      <w:pPr>
        <w:ind w:left="1260" w:hanging="496"/>
        <w:spacing w:after="0"/>
        <w:tabs>
          <w:tab w:leader="none" w:pos="1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involuntary proceeding is commenced or an involuntary petition is filed seeking:</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liquidation, reorganisation or other relief in respect of an Obligor or any Material Subsidiary or its debts, or of a substantial part of its assets, under any Debtor Relief Law now or hereafter in effect or;</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appointment of a receiver, trustee, custodian, sequestrator, conservator or similar official for an Obligor or any Material Subsidiary or for a substantial part of its assets,</w:t>
      </w:r>
    </w:p>
    <w:p>
      <w:pPr>
        <w:spacing w:after="0" w:line="190"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and, in any such case, such proceeding or petition shall continue undismissed for 60 days or an order or decree approving or ordering any of the foregoing shall be entered;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ind w:left="1260" w:hanging="496"/>
        <w:spacing w:after="0"/>
        <w:tabs>
          <w:tab w:leader="none" w:pos="1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Obligor or any Material Subsidiary shall:</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voluntarily commence any proceeding or file any petition seeking liquidation, reorganisation or other relief under any Debtor Relief Law now or hereafter in effect;</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consent to the institution of, or fail to contest in a timely and appropriate manner, any proceeding or petition described in this Clause 22.6;</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sequestrator, conservator or similar official for an Obligor or any Material Subsidiary or for a substantial part of its assets;</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file an answer admitting the material allegations of a petition filed against it in any such proceeding;</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make a general assignment for the benefit of creditors;</w:t>
      </w:r>
    </w:p>
    <w:p>
      <w:pPr>
        <w:spacing w:after="0" w:line="252"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suspends making payments on all or any class of its indebtedness, or announce an intention to do so, or a moratorium is declared in respect of any of its indebtedness or is in state of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Article L.631-1 of the French Code de Commerce; or</w:t>
      </w:r>
    </w:p>
    <w:p>
      <w:pPr>
        <w:spacing w:after="0" w:line="210" w:lineRule="exact"/>
        <w:rPr>
          <w:rFonts w:ascii="Arial" w:cs="Arial" w:eastAsia="Arial" w:hAnsi="Arial"/>
          <w:sz w:val="18"/>
          <w:szCs w:val="18"/>
          <w:color w:val="auto"/>
        </w:rPr>
      </w:pPr>
    </w:p>
    <w:p>
      <w:pPr>
        <w:ind w:left="1780" w:hanging="503"/>
        <w:spacing w:after="0"/>
        <w:tabs>
          <w:tab w:leader="none" w:pos="1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take any action for the purpose of effecting any of the foregoing;</w:t>
      </w: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an Obligor or any Material Subsidiary applies for, or is subject to (i) an amicable liquidation (</w:t>
      </w:r>
      <w:r>
        <w:rPr>
          <w:rFonts w:ascii="Arial" w:cs="Arial" w:eastAsia="Arial" w:hAnsi="Arial"/>
          <w:sz w:val="19"/>
          <w:szCs w:val="19"/>
          <w:i w:val="1"/>
          <w:iCs w:val="1"/>
          <w:color w:val="auto"/>
        </w:rPr>
        <w:t>liquidation amiable</w:t>
      </w:r>
      <w:r>
        <w:rPr>
          <w:rFonts w:ascii="Arial" w:cs="Arial" w:eastAsia="Arial" w:hAnsi="Arial"/>
          <w:sz w:val="19"/>
          <w:szCs w:val="19"/>
          <w:color w:val="auto"/>
        </w:rPr>
        <w:t>),</w:t>
      </w:r>
    </w:p>
    <w:p>
      <w:pPr>
        <w:spacing w:after="0" w:line="43" w:lineRule="exact"/>
        <w:rPr>
          <w:sz w:val="20"/>
          <w:szCs w:val="20"/>
          <w:color w:val="auto"/>
        </w:rPr>
      </w:pPr>
    </w:p>
    <w:p>
      <w:pPr>
        <w:jc w:val="both"/>
        <w:ind w:left="1280" w:firstLine="4"/>
        <w:spacing w:after="0" w:line="243" w:lineRule="auto"/>
        <w:tabs>
          <w:tab w:leader="none" w:pos="1601" w:val="left"/>
        </w:tabs>
        <w:numPr>
          <w:ilvl w:val="1"/>
          <w:numId w:val="219"/>
        </w:numPr>
        <w:rPr>
          <w:rFonts w:ascii="Arial" w:cs="Arial" w:eastAsia="Arial" w:hAnsi="Arial"/>
          <w:sz w:val="21"/>
          <w:szCs w:val="21"/>
          <w:color w:val="auto"/>
        </w:rPr>
      </w:pPr>
      <w:r>
        <w:rPr>
          <w:rFonts w:ascii="Arial" w:cs="Arial" w:eastAsia="Arial" w:hAnsi="Arial"/>
          <w:sz w:val="21"/>
          <w:szCs w:val="21"/>
          <w:color w:val="auto"/>
        </w:rPr>
        <w:t>a conciliation procedure (</w:t>
      </w:r>
      <w:r>
        <w:rPr>
          <w:rFonts w:ascii="Arial" w:cs="Arial" w:eastAsia="Arial" w:hAnsi="Arial"/>
          <w:sz w:val="21"/>
          <w:szCs w:val="21"/>
          <w:i w:val="1"/>
          <w:iCs w:val="1"/>
          <w:color w:val="auto"/>
        </w:rPr>
        <w:t>procedure de conciliation</w:t>
      </w:r>
      <w:r>
        <w:rPr>
          <w:rFonts w:ascii="Arial" w:cs="Arial" w:eastAsia="Arial" w:hAnsi="Arial"/>
          <w:sz w:val="21"/>
          <w:szCs w:val="21"/>
          <w:color w:val="auto"/>
        </w:rPr>
        <w:t xml:space="preserve">) within the meaning of Article L.611-4 of the </w:t>
      </w:r>
      <w:r>
        <w:rPr>
          <w:rFonts w:ascii="Arial" w:cs="Arial" w:eastAsia="Arial" w:hAnsi="Arial"/>
          <w:sz w:val="21"/>
          <w:szCs w:val="21"/>
          <w:i w:val="1"/>
          <w:iCs w:val="1"/>
          <w:color w:val="auto"/>
        </w:rPr>
        <w:t>French Code</w:t>
      </w:r>
      <w:r>
        <w:rPr>
          <w:rFonts w:ascii="Arial" w:cs="Arial" w:eastAsia="Arial" w:hAnsi="Arial"/>
          <w:sz w:val="21"/>
          <w:szCs w:val="21"/>
          <w:color w:val="auto"/>
        </w:rPr>
        <w:t xml:space="preserve"> </w:t>
      </w:r>
      <w:r>
        <w:rPr>
          <w:rFonts w:ascii="Arial" w:cs="Arial" w:eastAsia="Arial" w:hAnsi="Arial"/>
          <w:sz w:val="21"/>
          <w:szCs w:val="21"/>
          <w:i w:val="1"/>
          <w:iCs w:val="1"/>
          <w:color w:val="auto"/>
        </w:rPr>
        <w:t>de Commerce</w:t>
      </w:r>
      <w:r>
        <w:rPr>
          <w:rFonts w:ascii="Arial" w:cs="Arial" w:eastAsia="Arial" w:hAnsi="Arial"/>
          <w:sz w:val="21"/>
          <w:szCs w:val="21"/>
          <w:color w:val="auto"/>
        </w:rPr>
        <w:t>, (iii) the appointment of a</w:t>
      </w:r>
      <w:r>
        <w:rPr>
          <w:rFonts w:ascii="Arial" w:cs="Arial" w:eastAsia="Arial" w:hAnsi="Arial"/>
          <w:sz w:val="21"/>
          <w:szCs w:val="21"/>
          <w:i w:val="1"/>
          <w:iCs w:val="1"/>
          <w:color w:val="auto"/>
        </w:rPr>
        <w:t xml:space="preserve"> mandataire ad hoc </w:t>
      </w:r>
      <w:r>
        <w:rPr>
          <w:rFonts w:ascii="Arial" w:cs="Arial" w:eastAsia="Arial" w:hAnsi="Arial"/>
          <w:sz w:val="21"/>
          <w:szCs w:val="21"/>
          <w:color w:val="auto"/>
        </w:rPr>
        <w:t>as referred to in Article L.611-3 of the French</w:t>
      </w:r>
      <w:r>
        <w:rPr>
          <w:rFonts w:ascii="Arial" w:cs="Arial" w:eastAsia="Arial" w:hAnsi="Arial"/>
          <w:sz w:val="21"/>
          <w:szCs w:val="21"/>
          <w:i w:val="1"/>
          <w:iCs w:val="1"/>
          <w:color w:val="auto"/>
        </w:rPr>
        <w:t xml:space="preserve"> Code de Commerce </w:t>
      </w:r>
      <w:r>
        <w:rPr>
          <w:rFonts w:ascii="Arial" w:cs="Arial" w:eastAsia="Arial" w:hAnsi="Arial"/>
          <w:sz w:val="21"/>
          <w:szCs w:val="21"/>
          <w:color w:val="auto"/>
        </w:rPr>
        <w:t>or of a</w:t>
      </w:r>
      <w:r>
        <w:rPr>
          <w:rFonts w:ascii="Arial" w:cs="Arial" w:eastAsia="Arial" w:hAnsi="Arial"/>
          <w:sz w:val="21"/>
          <w:szCs w:val="21"/>
          <w:i w:val="1"/>
          <w:iCs w:val="1"/>
          <w:color w:val="auto"/>
        </w:rPr>
        <w:t xml:space="preserve"> conciliateur</w:t>
      </w:r>
      <w:r>
        <w:rPr>
          <w:rFonts w:ascii="Arial" w:cs="Arial" w:eastAsia="Arial" w:hAnsi="Arial"/>
          <w:sz w:val="21"/>
          <w:szCs w:val="21"/>
          <w:color w:val="auto"/>
        </w:rPr>
        <w:t>, (iv) a safeguard procedure (</w:t>
      </w:r>
      <w:r>
        <w:rPr>
          <w:rFonts w:ascii="Arial" w:cs="Arial" w:eastAsia="Arial" w:hAnsi="Arial"/>
          <w:sz w:val="21"/>
          <w:szCs w:val="21"/>
          <w:i w:val="1"/>
          <w:iCs w:val="1"/>
          <w:color w:val="auto"/>
        </w:rPr>
        <w:t>procédure de sauvegarde</w:t>
      </w:r>
      <w:r>
        <w:rPr>
          <w:rFonts w:ascii="Arial" w:cs="Arial" w:eastAsia="Arial" w:hAnsi="Arial"/>
          <w:sz w:val="21"/>
          <w:szCs w:val="21"/>
          <w:color w:val="auto"/>
        </w:rPr>
        <w:t>) within the meaning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Article L.620-1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(v) an accelerated financial safeguard procedure (</w:t>
      </w:r>
      <w:r>
        <w:rPr>
          <w:rFonts w:ascii="Arial" w:cs="Arial" w:eastAsia="Arial" w:hAnsi="Arial"/>
          <w:sz w:val="21"/>
          <w:szCs w:val="21"/>
          <w:i w:val="1"/>
          <w:iCs w:val="1"/>
          <w:color w:val="auto"/>
        </w:rPr>
        <w:t>procédure de</w:t>
      </w:r>
      <w:r>
        <w:rPr>
          <w:rFonts w:ascii="Arial" w:cs="Arial" w:eastAsia="Arial" w:hAnsi="Arial"/>
          <w:sz w:val="21"/>
          <w:szCs w:val="21"/>
          <w:color w:val="auto"/>
        </w:rPr>
        <w:t xml:space="preserve"> </w:t>
      </w:r>
      <w:r>
        <w:rPr>
          <w:rFonts w:ascii="Arial" w:cs="Arial" w:eastAsia="Arial" w:hAnsi="Arial"/>
          <w:sz w:val="21"/>
          <w:szCs w:val="21"/>
          <w:i w:val="1"/>
          <w:iCs w:val="1"/>
          <w:color w:val="auto"/>
        </w:rPr>
        <w:t>sauvegarde financière accélérée</w:t>
      </w:r>
      <w:r>
        <w:rPr>
          <w:rFonts w:ascii="Arial" w:cs="Arial" w:eastAsia="Arial" w:hAnsi="Arial"/>
          <w:sz w:val="21"/>
          <w:szCs w:val="21"/>
          <w:color w:val="auto"/>
        </w:rPr>
        <w:t>) within the meaning of Article L. 628-9 of the French</w:t>
      </w:r>
      <w:r>
        <w:rPr>
          <w:rFonts w:ascii="Arial" w:cs="Arial" w:eastAsia="Arial" w:hAnsi="Arial"/>
          <w:sz w:val="21"/>
          <w:szCs w:val="21"/>
          <w:i w:val="1"/>
          <w:iCs w:val="1"/>
          <w:color w:val="auto"/>
        </w:rPr>
        <w:t xml:space="preserve"> Code de commerce</w:t>
      </w:r>
      <w:r>
        <w:rPr>
          <w:rFonts w:ascii="Arial" w:cs="Arial" w:eastAsia="Arial" w:hAnsi="Arial"/>
          <w:sz w:val="21"/>
          <w:szCs w:val="21"/>
          <w:color w:val="auto"/>
        </w:rPr>
        <w:t>, (vi) an</w:t>
      </w:r>
      <w:r>
        <w:rPr>
          <w:rFonts w:ascii="Arial" w:cs="Arial" w:eastAsia="Arial" w:hAnsi="Arial"/>
          <w:sz w:val="21"/>
          <w:szCs w:val="21"/>
          <w:i w:val="1"/>
          <w:iCs w:val="1"/>
          <w:color w:val="auto"/>
        </w:rPr>
        <w:t xml:space="preserve"> </w:t>
      </w:r>
      <w:r>
        <w:rPr>
          <w:rFonts w:ascii="Arial" w:cs="Arial" w:eastAsia="Arial" w:hAnsi="Arial"/>
          <w:sz w:val="21"/>
          <w:szCs w:val="21"/>
          <w:color w:val="auto"/>
        </w:rPr>
        <w:t>accelerated safeguard procedure (</w:t>
      </w:r>
      <w:r>
        <w:rPr>
          <w:rFonts w:ascii="Arial" w:cs="Arial" w:eastAsia="Arial" w:hAnsi="Arial"/>
          <w:sz w:val="21"/>
          <w:szCs w:val="21"/>
          <w:i w:val="1"/>
          <w:iCs w:val="1"/>
          <w:color w:val="auto"/>
        </w:rPr>
        <w:t>procédure de sauvegarde accélérée</w:t>
      </w:r>
      <w:r>
        <w:rPr>
          <w:rFonts w:ascii="Arial" w:cs="Arial" w:eastAsia="Arial" w:hAnsi="Arial"/>
          <w:sz w:val="21"/>
          <w:szCs w:val="21"/>
          <w:color w:val="auto"/>
        </w:rPr>
        <w:t xml:space="preserve">) within the meaning of Article L. 628-1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and (vii) a judgment of </w:t>
      </w:r>
      <w:r>
        <w:rPr>
          <w:rFonts w:ascii="Arial" w:cs="Arial" w:eastAsia="Arial" w:hAnsi="Arial"/>
          <w:sz w:val="21"/>
          <w:szCs w:val="21"/>
          <w:i w:val="1"/>
          <w:iCs w:val="1"/>
          <w:color w:val="auto"/>
        </w:rPr>
        <w:t>redressement judiciaire</w:t>
      </w:r>
      <w:r>
        <w:rPr>
          <w:rFonts w:ascii="Arial" w:cs="Arial" w:eastAsia="Arial" w:hAnsi="Arial"/>
          <w:sz w:val="21"/>
          <w:szCs w:val="21"/>
          <w:color w:val="auto"/>
        </w:rPr>
        <w:t xml:space="preserve"> or of </w:t>
      </w:r>
      <w:r>
        <w:rPr>
          <w:rFonts w:ascii="Arial" w:cs="Arial" w:eastAsia="Arial" w:hAnsi="Arial"/>
          <w:sz w:val="21"/>
          <w:szCs w:val="21"/>
          <w:i w:val="1"/>
          <w:iCs w:val="1"/>
          <w:color w:val="auto"/>
        </w:rPr>
        <w:t>liquidation judiciaire</w:t>
      </w:r>
      <w:r>
        <w:rPr>
          <w:rFonts w:ascii="Arial" w:cs="Arial" w:eastAsia="Arial" w:hAnsi="Arial"/>
          <w:sz w:val="21"/>
          <w:szCs w:val="21"/>
          <w:color w:val="auto"/>
        </w:rPr>
        <w:t xml:space="preserve"> or of a </w:t>
      </w:r>
      <w:r>
        <w:rPr>
          <w:rFonts w:ascii="Arial" w:cs="Arial" w:eastAsia="Arial" w:hAnsi="Arial"/>
          <w:sz w:val="21"/>
          <w:szCs w:val="21"/>
          <w:i w:val="1"/>
          <w:iCs w:val="1"/>
          <w:color w:val="auto"/>
        </w:rPr>
        <w:t>plan de cession totale ou partielle</w:t>
      </w:r>
      <w:r>
        <w:rPr>
          <w:rFonts w:ascii="Arial" w:cs="Arial" w:eastAsia="Arial" w:hAnsi="Arial"/>
          <w:sz w:val="21"/>
          <w:szCs w:val="21"/>
          <w:color w:val="auto"/>
        </w:rPr>
        <w:t xml:space="preserve"> as referred to in Titres III and IV of the Livre VI of the French </w:t>
      </w:r>
      <w:r>
        <w:rPr>
          <w:rFonts w:ascii="Arial" w:cs="Arial" w:eastAsia="Arial" w:hAnsi="Arial"/>
          <w:sz w:val="21"/>
          <w:szCs w:val="21"/>
          <w:i w:val="1"/>
          <w:iCs w:val="1"/>
          <w:color w:val="auto"/>
        </w:rPr>
        <w:t>Code de</w:t>
      </w:r>
      <w:r>
        <w:rPr>
          <w:rFonts w:ascii="Arial" w:cs="Arial" w:eastAsia="Arial" w:hAnsi="Arial"/>
          <w:sz w:val="21"/>
          <w:szCs w:val="21"/>
          <w:color w:val="auto"/>
        </w:rPr>
        <w:t xml:space="preserve"> </w:t>
      </w:r>
      <w:r>
        <w:rPr>
          <w:rFonts w:ascii="Arial" w:cs="Arial" w:eastAsia="Arial" w:hAnsi="Arial"/>
          <w:sz w:val="21"/>
          <w:szCs w:val="21"/>
          <w:i w:val="1"/>
          <w:iCs w:val="1"/>
          <w:color w:val="auto"/>
        </w:rPr>
        <w:t>Commerce</w:t>
      </w:r>
      <w:r>
        <w:rPr>
          <w:rFonts w:ascii="Arial" w:cs="Arial" w:eastAsia="Arial" w:hAnsi="Arial"/>
          <w:sz w:val="21"/>
          <w:szCs w:val="21"/>
          <w:color w:val="auto"/>
        </w:rPr>
        <w:t>; or</w:t>
      </w:r>
    </w:p>
    <w:p>
      <w:pPr>
        <w:spacing w:after="0" w:line="218" w:lineRule="exact"/>
        <w:rPr>
          <w:rFonts w:ascii="Arial" w:cs="Arial" w:eastAsia="Arial" w:hAnsi="Arial"/>
          <w:sz w:val="21"/>
          <w:szCs w:val="21"/>
          <w:color w:val="auto"/>
        </w:rPr>
      </w:pPr>
    </w:p>
    <w:p>
      <w:pPr>
        <w:ind w:left="1260" w:right="20" w:hanging="496"/>
        <w:spacing w:after="0" w:line="277" w:lineRule="auto"/>
        <w:tabs>
          <w:tab w:leader="none" w:pos="12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 Obligor or any Material Subsidiary shall become unable, admit in writing its inability or fail generally to pay its debts as they become due; or</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there occurs, in relation to an Obligor or any Material Subsidiary, any analogous step or proceedings having a similar effect in the jurisdiction of its incorporation to any of those mentioned in paragraphs (a) and (b) above.</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Creditor's process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attachment, sequestration, distress, execution or analogous event affects any asset(s) of an Obligor or any Material Subsidiary having an aggregate value of no less than $250,000,000 or the equivalent in another currency, except where the same is being contested in good faith or is removed, discharged or paid within 28 days.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tabs>
          <w:tab w:leader="none" w:pos="7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Material judgments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One or more judgments for the payment of money (to the extent not covered by independent third party insurance as to which the insurer does not dispute coverage) in aggregate amount in excess of $250,000,000 and the same shall remain undischarged for a period of 30 consecutive days during which execution shall not be effectively stayed, or any action shall be legally taken by a judgment creditor to attach or levy upon any assets of an Obligor or the applicable Subsidiary to enforce any such judgment;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Certain ERISA events/pension plans</w:t>
      </w:r>
    </w:p>
    <w:p>
      <w:pPr>
        <w:spacing w:after="0" w:line="252" w:lineRule="exact"/>
        <w:rPr>
          <w:sz w:val="20"/>
          <w:szCs w:val="20"/>
          <w:color w:val="auto"/>
        </w:rPr>
      </w:pPr>
    </w:p>
    <w:p>
      <w:pPr>
        <w:ind w:left="1260" w:right="20" w:hanging="496"/>
        <w:spacing w:after="0" w:line="277" w:lineRule="auto"/>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member of the ERISA Group shall fail to pay, when due, an amount or amounts aggregating in excess of $250,000,000 which it shall have become liable to pay under Title IV of ERISA.</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Notice of intent to terminate a Plan shall be filed under Title IV of ERISA by any member of the ERISA Group, any plan administrator or any combination of the foregoing.</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PBGC shall institute proceedings under Title IV of ERISA to terminate, to impose liability (other than for premiums under Section 4007 of ERISA) in respect of, or to cause a trustee to be appointed to administer, any Plan.</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condition shall exist by reason of which the PBGC would be entitled to obtain a decree adjudicating that any Plan must be terminated.</w:t>
      </w:r>
    </w:p>
    <w:p>
      <w:pPr>
        <w:spacing w:after="0" w:line="275" w:lineRule="exact"/>
        <w:rPr>
          <w:rFonts w:ascii="Arial" w:cs="Arial" w:eastAsia="Arial" w:hAnsi="Arial"/>
          <w:sz w:val="16"/>
          <w:szCs w:val="16"/>
          <w:color w:val="auto"/>
        </w:rPr>
      </w:pPr>
    </w:p>
    <w:p>
      <w:pPr>
        <w:jc w:val="both"/>
        <w:ind w:left="1260" w:hanging="496"/>
        <w:spacing w:after="0" w:line="263" w:lineRule="auto"/>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There shall occur a complete or partial withdrawal from, or a default, within the meaning of Section 4219(c)(5) of ERISA, with respect to, one or more multi-employer plans which could cause one or more members of the ERISA Group to incur a current payment obligation in excess of $250,000,000.</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Obligor or any Material Subsidiary shall be notified that it has incurred a debt or other liability under Section 75 or 75A of the Pensions Act 1995 or has been issued with a contribution notice or financial support direction (as those terms are defined in the Pensions Act 2004), or otherwise is liable to pay any amount to a pension plan, scheme or fund.</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5"/>
          <w:szCs w:val="15"/>
          <w:color w:val="auto"/>
        </w:rPr>
        <w:t>Cessation of business</w:t>
      </w:r>
    </w:p>
    <w:p>
      <w:pPr>
        <w:spacing w:after="0" w:line="24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An Obligor or any Material Subsidiary ceases entirely to carry on business except as part of a transaction permitted under and carried out subject to and in accordance with the terms of the Finance Documents.</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Unlawfulness and Repudiation</w:t>
      </w:r>
    </w:p>
    <w:p>
      <w:pPr>
        <w:spacing w:after="0" w:line="252" w:lineRule="exact"/>
        <w:rPr>
          <w:sz w:val="20"/>
          <w:szCs w:val="20"/>
          <w:color w:val="auto"/>
        </w:rPr>
      </w:pPr>
    </w:p>
    <w:p>
      <w:pPr>
        <w:ind w:left="1260" w:hanging="496"/>
        <w:spacing w:after="0"/>
        <w:tabs>
          <w:tab w:leader="none" w:pos="12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It is or becomes unlawful for an Obligor to perform any of its payment or other material obligations under the Finance Documents.</w:t>
      </w:r>
    </w:p>
    <w:p>
      <w:pPr>
        <w:spacing w:after="0" w:line="263"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Finance Document ceases to be legal, valid, binding and enforceable against an Obligor in any respect which materially and adversely limits the ability of the Obligors to satisfy their payment obligations under the Finance Documents.</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Obligor repudiates a Finance Document.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1"/>
          <w:numId w:val="222"/>
        </w:numPr>
        <w:rPr>
          <w:rFonts w:ascii="Arial" w:cs="Arial" w:eastAsia="Arial" w:hAnsi="Arial"/>
          <w:sz w:val="14"/>
          <w:szCs w:val="14"/>
          <w:color w:val="auto"/>
        </w:rPr>
      </w:pPr>
      <w:r>
        <w:rPr>
          <w:rFonts w:ascii="Arial" w:cs="Arial" w:eastAsia="Arial" w:hAnsi="Arial"/>
          <w:sz w:val="14"/>
          <w:szCs w:val="14"/>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tabs>
          <w:tab w:leader="none" w:pos="74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Consequences of an Event of Default</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and at any time after the occurrence of an Event of Default (other than an event with respect to any Obligor described in Clause 22.6 (</w:t>
      </w:r>
      <w:r>
        <w:rPr>
          <w:rFonts w:ascii="Arial" w:cs="Arial" w:eastAsia="Arial" w:hAnsi="Arial"/>
          <w:sz w:val="22"/>
          <w:szCs w:val="22"/>
          <w:i w:val="1"/>
          <w:iCs w:val="1"/>
          <w:color w:val="auto"/>
        </w:rPr>
        <w:t>Insolvency, bankruptcy and insolvency proceedings</w:t>
      </w:r>
      <w:r>
        <w:rPr>
          <w:rFonts w:ascii="Arial" w:cs="Arial" w:eastAsia="Arial" w:hAnsi="Arial"/>
          <w:sz w:val="22"/>
          <w:szCs w:val="22"/>
          <w:color w:val="auto"/>
        </w:rPr>
        <w:t>)) and after the expiry of any applicable grace period, while such event is continuing the Agent may, and if so directed by the Majority Lenders will, by notice to the Borrower declare that an Event of Default has occurred and:</w:t>
      </w:r>
    </w:p>
    <w:p>
      <w:pPr>
        <w:spacing w:after="0" w:line="219" w:lineRule="exact"/>
        <w:rPr>
          <w:sz w:val="20"/>
          <w:szCs w:val="20"/>
          <w:color w:val="auto"/>
        </w:rPr>
      </w:pPr>
    </w:p>
    <w:p>
      <w:pPr>
        <w:ind w:left="1260" w:hanging="496"/>
        <w:spacing w:after="0"/>
        <w:tabs>
          <w:tab w:leader="none" w:pos="1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immediately be cancelled; and/or</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case of any event with respect to any Obligor described in Clause 22.6 (</w:t>
      </w:r>
      <w:r>
        <w:rPr>
          <w:rFonts w:ascii="Arial" w:cs="Arial" w:eastAsia="Arial" w:hAnsi="Arial"/>
          <w:sz w:val="19"/>
          <w:szCs w:val="19"/>
          <w:i w:val="1"/>
          <w:iCs w:val="1"/>
          <w:color w:val="auto"/>
        </w:rPr>
        <w:t>Insolvency, bankruptcy and insolvency</w:t>
      </w:r>
      <w:r>
        <w:rPr>
          <w:rFonts w:ascii="Arial" w:cs="Arial" w:eastAsia="Arial" w:hAnsi="Arial"/>
          <w:sz w:val="19"/>
          <w:szCs w:val="19"/>
          <w:color w:val="auto"/>
        </w:rPr>
        <w:t xml:space="preserve"> </w:t>
      </w:r>
      <w:r>
        <w:rPr>
          <w:rFonts w:ascii="Arial" w:cs="Arial" w:eastAsia="Arial" w:hAnsi="Arial"/>
          <w:sz w:val="19"/>
          <w:szCs w:val="19"/>
          <w:i w:val="1"/>
          <w:iCs w:val="1"/>
          <w:color w:val="auto"/>
        </w:rPr>
        <w:t>proceedings</w:t>
      </w:r>
      <w:r>
        <w:rPr>
          <w:rFonts w:ascii="Arial" w:cs="Arial" w:eastAsia="Arial" w:hAnsi="Arial"/>
          <w:sz w:val="19"/>
          <w:szCs w:val="19"/>
          <w:color w:val="auto"/>
        </w:rPr>
        <w:t>), the Total Commitments shall automatically terminate and the principal of the Loans then outstanding together with</w:t>
      </w:r>
      <w:r>
        <w:rPr>
          <w:rFonts w:ascii="Arial" w:cs="Arial" w:eastAsia="Arial" w:hAnsi="Arial"/>
          <w:sz w:val="19"/>
          <w:szCs w:val="19"/>
          <w:i w:val="1"/>
          <w:iCs w:val="1"/>
          <w:color w:val="auto"/>
        </w:rPr>
        <w:t xml:space="preserve"> </w:t>
      </w:r>
      <w:r>
        <w:rPr>
          <w:rFonts w:ascii="Arial" w:cs="Arial" w:eastAsia="Arial" w:hAnsi="Arial"/>
          <w:sz w:val="19"/>
          <w:szCs w:val="19"/>
          <w:color w:val="auto"/>
        </w:rPr>
        <w:t>accrued interest and all other amounts accrued, or outstanding under the Finance Documents, shall automatically become due and payable, without presentment, demand, protest or other notice of any kind, all of which are hereby waived by the Obligors.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Notwithstanding the above, if after the expiry of the applicable grace periods referred to above, such Event of Default is, in the reasonable opinion of the Majority Lenders, remediable within an additional 15 days' period (or in the case of a payment default within an additional three Business Days' period), the Agent acting upon the instruction of the Majority Lenders, may allow an additional 15 days' grace period (or an additional three Business Days' grace period in the case of a payment default acting on instruction of all of the Lenders) for such Event of Default to be remedied.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CHANGES TO PARTIES</w:t>
      </w:r>
    </w:p>
    <w:p>
      <w:pPr>
        <w:spacing w:after="0" w:line="222" w:lineRule="exact"/>
        <w:rPr>
          <w:sz w:val="20"/>
          <w:szCs w:val="20"/>
          <w:color w:val="auto"/>
        </w:rPr>
      </w:pPr>
    </w:p>
    <w:p>
      <w:pPr>
        <w:ind w:left="760" w:hanging="752"/>
        <w:spacing w:after="0"/>
        <w:tabs>
          <w:tab w:leader="none" w:pos="7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Changes to the Lenders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6"/>
          <w:szCs w:val="16"/>
          <w:color w:val="auto"/>
        </w:rPr>
        <w:t>Transfers by the Lenders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Subject to this Clause 23, a Lender (the "</w:t>
      </w:r>
      <w:r>
        <w:rPr>
          <w:rFonts w:ascii="Arial" w:cs="Arial" w:eastAsia="Arial" w:hAnsi="Arial"/>
          <w:sz w:val="22"/>
          <w:szCs w:val="22"/>
          <w:b w:val="1"/>
          <w:bCs w:val="1"/>
          <w:color w:val="auto"/>
        </w:rPr>
        <w:t>Existing Lender</w:t>
      </w:r>
      <w:r>
        <w:rPr>
          <w:rFonts w:ascii="Arial" w:cs="Arial" w:eastAsia="Arial" w:hAnsi="Arial"/>
          <w:sz w:val="22"/>
          <w:szCs w:val="22"/>
          <w:color w:val="auto"/>
        </w:rPr>
        <w:t>") may transfer any of its rights (including such as relate to that Lender's participation in each Loan) and/or obligations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22"/>
          <w:szCs w:val="22"/>
          <w:b w:val="1"/>
          <w:bCs w:val="1"/>
          <w:color w:val="auto"/>
        </w:rPr>
        <w:t>New Lender</w:t>
      </w:r>
      <w:r>
        <w:rPr>
          <w:rFonts w:ascii="Arial" w:cs="Arial" w:eastAsia="Arial" w:hAnsi="Arial"/>
          <w:sz w:val="22"/>
          <w:szCs w:val="22"/>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consent of the Finance Parties is hereby given to a transfer by an Existing Lender to a New Lender.</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Conditions of transfer</w:t>
      </w:r>
    </w:p>
    <w:p>
      <w:pPr>
        <w:spacing w:after="0" w:line="252" w:lineRule="exact"/>
        <w:rPr>
          <w:sz w:val="20"/>
          <w:szCs w:val="20"/>
          <w:color w:val="auto"/>
        </w:rPr>
      </w:pPr>
    </w:p>
    <w:p>
      <w:pPr>
        <w:ind w:left="1260" w:hanging="496"/>
        <w:spacing w:after="0"/>
        <w:tabs>
          <w:tab w:leader="none" w:pos="12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consent of the Company is required for a transfer by an Existing Lender, unless the transfer is: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another Lender, the Agent or an Affiliate of a Lender or an Approved Fund;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245" w:lineRule="exact"/>
        <w:rPr>
          <w:sz w:val="20"/>
          <w:szCs w:val="20"/>
          <w:color w:val="auto"/>
        </w:rPr>
      </w:pPr>
    </w:p>
    <w:p>
      <w:pPr>
        <w:jc w:val="both"/>
        <w:ind w:left="1280"/>
        <w:spacing w:after="0" w:line="238" w:lineRule="auto"/>
        <w:rPr>
          <w:sz w:val="20"/>
          <w:szCs w:val="20"/>
          <w:color w:val="auto"/>
        </w:rPr>
      </w:pPr>
      <w:r>
        <w:rPr>
          <w:rFonts w:ascii="Arial" w:cs="Arial" w:eastAsia="Arial" w:hAnsi="Arial"/>
          <w:sz w:val="22"/>
          <w:szCs w:val="22"/>
          <w:color w:val="auto"/>
        </w:rPr>
        <w:t>Notwithstanding the above, no transfer, sub-participation or subcontracting in relation to a Utilisation by and/or Commitment to a Borrower established in France may be effected to a New Lender incorporated or acting through a Facility Office situated in a Non-Cooperative Jurisdiction without the prior consent of the Company, which shall not be unreasonably withheld.</w:t>
      </w:r>
    </w:p>
    <w:p>
      <w:pPr>
        <w:spacing w:after="0" w:line="219" w:lineRule="exact"/>
        <w:rPr>
          <w:sz w:val="20"/>
          <w:szCs w:val="20"/>
          <w:color w:val="auto"/>
        </w:rPr>
      </w:pPr>
    </w:p>
    <w:p>
      <w:pPr>
        <w:jc w:val="both"/>
        <w:ind w:left="1260" w:hanging="496"/>
        <w:spacing w:after="0" w:line="286" w:lineRule="auto"/>
        <w:tabs>
          <w:tab w:leader="none" w:pos="12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The consent of the Company to a transfer must not be unreasonably withheld or delayed. The Company will be deemed to have given its consent 10 Business Days after the Existing Lender has requested it unless consent is expressly refused by the Company within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proposed transferee is rated BBB or higher by S&amp;P or Baa2 or higher by Moody's.</w:t>
      </w:r>
    </w:p>
    <w:p>
      <w:pPr>
        <w:spacing w:after="0" w:line="192" w:lineRule="exact"/>
        <w:rPr>
          <w:rFonts w:ascii="Arial" w:cs="Arial" w:eastAsia="Arial" w:hAnsi="Arial"/>
          <w:sz w:val="17"/>
          <w:szCs w:val="17"/>
          <w:color w:val="auto"/>
        </w:rPr>
      </w:pPr>
    </w:p>
    <w:p>
      <w:pPr>
        <w:ind w:left="1260" w:hanging="496"/>
        <w:spacing w:after="0"/>
        <w:tabs>
          <w:tab w:leader="none" w:pos="12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transfer will only be effective on:</w:t>
      </w:r>
    </w:p>
    <w:p>
      <w:pPr>
        <w:spacing w:after="0" w:line="252" w:lineRule="exact"/>
        <w:rPr>
          <w:rFonts w:ascii="Arial" w:cs="Arial" w:eastAsia="Arial" w:hAnsi="Arial"/>
          <w:sz w:val="18"/>
          <w:szCs w:val="18"/>
          <w:color w:val="auto"/>
        </w:rPr>
      </w:pPr>
    </w:p>
    <w:p>
      <w:pPr>
        <w:jc w:val="both"/>
        <w:ind w:left="1780" w:right="20" w:hanging="503"/>
        <w:spacing w:after="0" w:line="263" w:lineRule="auto"/>
        <w:tabs>
          <w:tab w:leader="none" w:pos="17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receipt by the Agent (whether in the Transfer Agreement or otherwise) of written confirmation from the New Lender (in form and substance satisfactory to the Agent) that the New Lender will assume the same obligations to the other Finance Parties as it would have been under if it was an Original Lender; and</w:t>
      </w:r>
    </w:p>
    <w:p>
      <w:pPr>
        <w:spacing w:after="0" w:line="210"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transfer to a New Lender, the completion of which the Agent shall promptly notify to the Existing Lender and the New Lender.</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252" w:lineRule="exact"/>
        <w:rPr>
          <w:rFonts w:ascii="Arial" w:cs="Arial" w:eastAsia="Arial" w:hAnsi="Arial"/>
          <w:sz w:val="18"/>
          <w:szCs w:val="18"/>
          <w:color w:val="auto"/>
        </w:rPr>
      </w:pPr>
    </w:p>
    <w:p>
      <w:pPr>
        <w:jc w:val="both"/>
        <w:ind w:left="1260" w:hanging="496"/>
        <w:spacing w:after="0" w:line="279" w:lineRule="auto"/>
        <w:tabs>
          <w:tab w:leader="none" w:pos="12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this Agreement on or prior to the date on which the transfer becomes effective in accordance with this Agreement and that it is bound by that decision to the same extent as the Existing Lender would have been had it remained a Lender.</w:t>
      </w:r>
    </w:p>
    <w:p>
      <w:pPr>
        <w:spacing w:after="0" w:line="369" w:lineRule="exact"/>
        <w:rPr>
          <w:rFonts w:ascii="Arial" w:cs="Arial" w:eastAsia="Arial" w:hAnsi="Arial"/>
          <w:sz w:val="17"/>
          <w:szCs w:val="17"/>
          <w:color w:val="auto"/>
        </w:rPr>
      </w:pPr>
    </w:p>
    <w:p>
      <w:pPr>
        <w:ind w:left="5560" w:hanging="92"/>
        <w:spacing w:after="0"/>
        <w:tabs>
          <w:tab w:leader="none" w:pos="5560" w:val="left"/>
        </w:tabs>
        <w:numPr>
          <w:ilvl w:val="2"/>
          <w:numId w:val="226"/>
        </w:numPr>
        <w:rPr>
          <w:rFonts w:ascii="Arial" w:cs="Arial" w:eastAsia="Arial" w:hAnsi="Arial"/>
          <w:sz w:val="14"/>
          <w:szCs w:val="14"/>
          <w:color w:val="auto"/>
        </w:rPr>
      </w:pPr>
      <w:r>
        <w:rPr>
          <w:rFonts w:ascii="Arial" w:cs="Arial" w:eastAsia="Arial" w:hAnsi="Arial"/>
          <w:sz w:val="14"/>
          <w:szCs w:val="14"/>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ind w:left="1260" w:hanging="496"/>
        <w:spacing w:after="0"/>
        <w:tabs>
          <w:tab w:leader="none" w:pos="1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under the Finance Documents; and</w:t>
      </w:r>
    </w:p>
    <w:p>
      <w:pPr>
        <w:spacing w:after="0" w:line="252"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occurs, an Obligor would be obliged to make a payment to the New Lender under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then the New Lender is only entitled to receive payment under those Clauses to the same extent as the Existing Lender would have been if the assignment or transfer had not occurred. This paragraph (f) shall not apply in relation to Clause 12.2 (</w:t>
      </w:r>
      <w:r>
        <w:rPr>
          <w:rFonts w:ascii="Arial" w:cs="Arial" w:eastAsia="Arial" w:hAnsi="Arial"/>
          <w:sz w:val="18"/>
          <w:szCs w:val="18"/>
          <w:i w:val="1"/>
          <w:iCs w:val="1"/>
          <w:color w:val="auto"/>
        </w:rPr>
        <w:t>Tax gross-up</w:t>
      </w:r>
      <w:r>
        <w:rPr>
          <w:rFonts w:ascii="Arial" w:cs="Arial" w:eastAsia="Arial" w:hAnsi="Arial"/>
          <w:sz w:val="18"/>
          <w:szCs w:val="18"/>
          <w:color w:val="auto"/>
        </w:rPr>
        <w:t>), to a Treaty Lender that has included a confirmation of its scheme reference number and its jurisdiction of tax residence in accordance with paragraph (g)(ii)(B)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if the Borrower making the payment has not made a Borrower DTTP Filing in respect of that Treaty Lender.</w:t>
      </w:r>
    </w:p>
    <w:p>
      <w:pPr>
        <w:spacing w:after="0" w:line="214" w:lineRule="exact"/>
        <w:rPr>
          <w:rFonts w:ascii="Arial" w:cs="Arial" w:eastAsia="Arial" w:hAnsi="Arial"/>
          <w:sz w:val="18"/>
          <w:szCs w:val="18"/>
          <w:color w:val="auto"/>
        </w:rPr>
      </w:pPr>
    </w:p>
    <w:p>
      <w:pPr>
        <w:ind w:left="1260" w:hanging="496"/>
        <w:spacing w:after="0"/>
        <w:tabs>
          <w:tab w:leader="none" w:pos="12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For the avoidance of doubt, no transfer completed pursuant to this Clause 23 (Changes to the Lenders) shall constitute a novation.)</w:t>
      </w:r>
    </w:p>
    <w:p>
      <w:pPr>
        <w:spacing w:after="0" w:line="26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Transfer fee</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New Lender shall, on the date upon which an assignment or transfer takes effect, pay to the Agent (for its own account) a fee of €3,000.</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7"/>
          <w:szCs w:val="17"/>
          <w:color w:val="auto"/>
        </w:rPr>
        <w:t>Limitation of responsibility of Existing Lenders</w:t>
      </w:r>
    </w:p>
    <w:p>
      <w:pPr>
        <w:spacing w:after="0" w:line="252" w:lineRule="exact"/>
        <w:rPr>
          <w:sz w:val="20"/>
          <w:szCs w:val="20"/>
          <w:color w:val="auto"/>
        </w:rPr>
      </w:pPr>
    </w:p>
    <w:p>
      <w:pPr>
        <w:ind w:left="1260" w:hanging="496"/>
        <w:spacing w:after="0" w:line="277" w:lineRule="auto"/>
        <w:tabs>
          <w:tab w:leader="none" w:pos="1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performance and observance by any Obligor of its obligations under the Finance Documents or any other documents;</w:t>
      </w:r>
    </w:p>
    <w:p>
      <w:pPr>
        <w:spacing w:after="0" w:line="263"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existence of any transferred rights or receivables or their accessories,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representations or warranties implied by law are excluded.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2"/>
          <w:numId w:val="228"/>
        </w:numPr>
        <w:rPr>
          <w:rFonts w:ascii="Arial" w:cs="Arial" w:eastAsia="Arial" w:hAnsi="Arial"/>
          <w:sz w:val="14"/>
          <w:szCs w:val="14"/>
          <w:color w:val="auto"/>
        </w:rPr>
      </w:pPr>
      <w:r>
        <w:rPr>
          <w:rFonts w:ascii="Arial" w:cs="Arial" w:eastAsia="Arial" w:hAnsi="Arial"/>
          <w:sz w:val="14"/>
          <w:szCs w:val="14"/>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jc w:val="both"/>
        <w:ind w:left="1780" w:hanging="503"/>
        <w:spacing w:after="0" w:line="286" w:lineRule="auto"/>
        <w:tabs>
          <w:tab w:leader="none" w:pos="178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92"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accept a re-transfer from a New Lender of any of the rights and obligations transferred under this Clause 23; or</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Procedure for transfer</w:t>
      </w:r>
    </w:p>
    <w:p>
      <w:pPr>
        <w:spacing w:after="0" w:line="252" w:lineRule="exact"/>
        <w:rPr>
          <w:sz w:val="20"/>
          <w:szCs w:val="20"/>
          <w:color w:val="auto"/>
        </w:rPr>
      </w:pPr>
    </w:p>
    <w:p>
      <w:pPr>
        <w:jc w:val="both"/>
        <w:ind w:left="1260" w:hanging="496"/>
        <w:spacing w:after="0" w:line="255" w:lineRule="auto"/>
        <w:tabs>
          <w:tab w:leader="none" w:pos="1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the conditions set out in Clause 23.2 (</w:t>
      </w:r>
      <w:r>
        <w:rPr>
          <w:rFonts w:ascii="Arial" w:cs="Arial" w:eastAsia="Arial" w:hAnsi="Arial"/>
          <w:sz w:val="18"/>
          <w:szCs w:val="18"/>
          <w:i w:val="1"/>
          <w:iCs w:val="1"/>
          <w:color w:val="auto"/>
        </w:rPr>
        <w:t>Conditions of transfer</w:t>
      </w:r>
      <w:r>
        <w:rPr>
          <w:rFonts w:ascii="Arial" w:cs="Arial" w:eastAsia="Arial" w:hAnsi="Arial"/>
          <w:sz w:val="18"/>
          <w:szCs w:val="18"/>
          <w:color w:val="auto"/>
        </w:rPr>
        <w:t>), Clause 23.5 (</w:t>
      </w:r>
      <w:r>
        <w:rPr>
          <w:rFonts w:ascii="Arial" w:cs="Arial" w:eastAsia="Arial" w:hAnsi="Arial"/>
          <w:sz w:val="18"/>
          <w:szCs w:val="18"/>
          <w:i w:val="1"/>
          <w:iCs w:val="1"/>
          <w:color w:val="auto"/>
        </w:rPr>
        <w:t>Procédure for transfer</w:t>
      </w:r>
      <w:r>
        <w:rPr>
          <w:rFonts w:ascii="Arial" w:cs="Arial" w:eastAsia="Arial" w:hAnsi="Arial"/>
          <w:sz w:val="18"/>
          <w:szCs w:val="18"/>
          <w:color w:val="auto"/>
        </w:rPr>
        <w:t>) and subject to any applicable laws and regulations regarding procedures for specific transfer,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219"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52"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the extent that in the Transfer Certificate the Existing Lender seeks to transfer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2"/>
          <w:numId w:val="231"/>
        </w:numPr>
        <w:rPr>
          <w:rFonts w:ascii="Arial" w:cs="Arial" w:eastAsia="Arial" w:hAnsi="Arial"/>
          <w:sz w:val="14"/>
          <w:szCs w:val="14"/>
          <w:color w:val="auto"/>
        </w:rPr>
      </w:pPr>
      <w:r>
        <w:rPr>
          <w:rFonts w:ascii="Arial" w:cs="Arial" w:eastAsia="Arial" w:hAnsi="Arial"/>
          <w:sz w:val="14"/>
          <w:szCs w:val="14"/>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jc w:val="both"/>
        <w:ind w:left="1780" w:hanging="503"/>
        <w:spacing w:after="0" w:line="259" w:lineRule="auto"/>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Agent, the New Lender and the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and the Existing Lender shall each be released from further obligations to each other under the Finance Documents; and</w:t>
      </w:r>
    </w:p>
    <w:p>
      <w:pPr>
        <w:spacing w:after="0" w:line="213" w:lineRule="exact"/>
        <w:rPr>
          <w:rFonts w:ascii="Arial" w:cs="Arial" w:eastAsia="Arial" w:hAnsi="Arial"/>
          <w:sz w:val="18"/>
          <w:szCs w:val="18"/>
          <w:color w:val="auto"/>
        </w:rPr>
      </w:pPr>
    </w:p>
    <w:p>
      <w:pPr>
        <w:ind w:left="1780" w:hanging="503"/>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Copy of Transfer Certificate to Company</w:t>
      </w:r>
    </w:p>
    <w:p>
      <w:pPr>
        <w:spacing w:after="0" w:line="24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Agent shall, as soon as reasonably practicable after it has executed a Transfer Certificate, send to the Company a copy of that Transfer Certificate.</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Security over Lenders' rights</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to the other rights provided to Lenders under this Clause 23, each Lender may, without consulting with or obtaining consent from any Obligor, at any time charge, transfer or otherwise create a Security in or over (whether by way of collateral or otherwise) all or any of its rights under any Finance Document to secure obligations of that Lender including, without limitation:</w:t>
      </w:r>
    </w:p>
    <w:p>
      <w:pPr>
        <w:spacing w:after="0" w:line="168" w:lineRule="exact"/>
        <w:rPr>
          <w:sz w:val="20"/>
          <w:szCs w:val="20"/>
          <w:color w:val="auto"/>
        </w:rPr>
      </w:pPr>
    </w:p>
    <w:p>
      <w:pPr>
        <w:jc w:val="both"/>
        <w:ind w:left="1260" w:hanging="496"/>
        <w:spacing w:after="0" w:line="259" w:lineRule="auto"/>
        <w:tabs>
          <w:tab w:leader="none" w:pos="12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transfer, charge or other Security to secure obligations to a federal reserve or central bank (including, for the avoidance of doubt, the European Central Bank) including, without limitation, any transfer of rights to a special purpose vehicle where Security over securities issued by such special purpose vehicle is to be created in favour of a federal reserve or central bank (including, for the avoidance of doubt, the European Central Bank); and</w:t>
      </w:r>
    </w:p>
    <w:p>
      <w:pPr>
        <w:spacing w:after="0" w:line="213" w:lineRule="exact"/>
        <w:rPr>
          <w:rFonts w:ascii="Arial" w:cs="Arial" w:eastAsia="Arial" w:hAnsi="Arial"/>
          <w:sz w:val="18"/>
          <w:szCs w:val="18"/>
          <w:color w:val="auto"/>
        </w:rPr>
      </w:pPr>
    </w:p>
    <w:p>
      <w:pPr>
        <w:ind w:left="1260" w:right="20" w:hanging="496"/>
        <w:spacing w:after="0" w:line="308" w:lineRule="auto"/>
        <w:tabs>
          <w:tab w:leader="none" w:pos="12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the case of any Lender which is a fund, any charge, transfer or other Security granted to any holders (or trustee or representatives of holders) of obligations owed, or securities issued, by that Lender as security for those obligations or securities,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except that no such charge, transfer or Security shall:</w:t>
      </w:r>
    </w:p>
    <w:p>
      <w:pPr>
        <w:spacing w:after="0" w:line="240" w:lineRule="exact"/>
        <w:rPr>
          <w:sz w:val="20"/>
          <w:szCs w:val="20"/>
          <w:color w:val="auto"/>
        </w:rPr>
      </w:pPr>
    </w:p>
    <w:p>
      <w:pPr>
        <w:ind w:left="1780" w:hanging="503"/>
        <w:spacing w:after="0" w:line="277" w:lineRule="auto"/>
        <w:tabs>
          <w:tab w:leader="none" w:pos="17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transfer or Security for the Lender as a party to any of the Finance Documents; or</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97" w:lineRule="exact"/>
        <w:rPr>
          <w:rFonts w:ascii="Arial" w:cs="Arial" w:eastAsia="Arial" w:hAnsi="Arial"/>
          <w:sz w:val="18"/>
          <w:szCs w:val="18"/>
          <w:color w:val="auto"/>
        </w:rPr>
      </w:pPr>
    </w:p>
    <w:p>
      <w:pPr>
        <w:ind w:left="1260" w:hanging="496"/>
        <w:spacing w:after="0" w:line="342" w:lineRule="auto"/>
        <w:tabs>
          <w:tab w:leader="none" w:pos="12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limitations on transfers by a Lender set out in any Finance Document, in particular in Clause 23.1 (</w:t>
      </w:r>
      <w:r>
        <w:rPr>
          <w:rFonts w:ascii="Arial" w:cs="Arial" w:eastAsia="Arial" w:hAnsi="Arial"/>
          <w:sz w:val="16"/>
          <w:szCs w:val="16"/>
          <w:i w:val="1"/>
          <w:iCs w:val="1"/>
          <w:color w:val="auto"/>
        </w:rPr>
        <w:t>Transfers by the Lenders</w:t>
      </w:r>
      <w:r>
        <w:rPr>
          <w:rFonts w:ascii="Arial" w:cs="Arial" w:eastAsia="Arial" w:hAnsi="Arial"/>
          <w:sz w:val="16"/>
          <w:szCs w:val="16"/>
          <w:color w:val="auto"/>
        </w:rPr>
        <w:t>), Clause 23.2 (</w:t>
      </w:r>
      <w:r>
        <w:rPr>
          <w:rFonts w:ascii="Arial" w:cs="Arial" w:eastAsia="Arial" w:hAnsi="Arial"/>
          <w:sz w:val="16"/>
          <w:szCs w:val="16"/>
          <w:i w:val="1"/>
          <w:iCs w:val="1"/>
          <w:color w:val="auto"/>
        </w:rPr>
        <w:t>conditions of transfer</w:t>
      </w:r>
      <w:r>
        <w:rPr>
          <w:rFonts w:ascii="Arial" w:cs="Arial" w:eastAsia="Arial" w:hAnsi="Arial"/>
          <w:sz w:val="16"/>
          <w:szCs w:val="16"/>
          <w:color w:val="auto"/>
        </w:rPr>
        <w:t>) and Clause 23.3 (</w:t>
      </w:r>
      <w:r>
        <w:rPr>
          <w:rFonts w:ascii="Arial" w:cs="Arial" w:eastAsia="Arial" w:hAnsi="Arial"/>
          <w:sz w:val="16"/>
          <w:szCs w:val="16"/>
          <w:i w:val="1"/>
          <w:iCs w:val="1"/>
          <w:color w:val="auto"/>
        </w:rPr>
        <w:t>Transfer fee</w:t>
      </w:r>
      <w:r>
        <w:rPr>
          <w:rFonts w:ascii="Arial" w:cs="Arial" w:eastAsia="Arial" w:hAnsi="Arial"/>
          <w:sz w:val="16"/>
          <w:szCs w:val="16"/>
          <w:color w:val="auto"/>
        </w:rPr>
        <w:t>) shall not apply to the creation of Security pursuant to paragraph (a) above.</w:t>
      </w:r>
    </w:p>
    <w:p>
      <w:pPr>
        <w:spacing w:after="0" w:line="150" w:lineRule="exact"/>
        <w:rPr>
          <w:rFonts w:ascii="Arial" w:cs="Arial" w:eastAsia="Arial" w:hAnsi="Arial"/>
          <w:sz w:val="16"/>
          <w:szCs w:val="16"/>
          <w:color w:val="auto"/>
        </w:rPr>
      </w:pPr>
    </w:p>
    <w:p>
      <w:pPr>
        <w:jc w:val="both"/>
        <w:ind w:left="1260" w:hanging="496"/>
        <w:spacing w:after="0" w:line="259" w:lineRule="auto"/>
        <w:tabs>
          <w:tab w:leader="none" w:pos="12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limitations and provisions referred to in paragraph (b) above shall further not apply to any transfer of rights under the Finance Documents or of the securities issued by the special purpose vehicle, made by a federal reserve or central bank (including, for the avoidance of doubt, the European Central Bank) to a third party in connection with the enforcement of Security created pursuant to paragraph (a) above.</w:t>
      </w:r>
    </w:p>
    <w:p>
      <w:pPr>
        <w:spacing w:after="0" w:line="384" w:lineRule="exact"/>
        <w:rPr>
          <w:rFonts w:ascii="Arial" w:cs="Arial" w:eastAsia="Arial" w:hAnsi="Arial"/>
          <w:sz w:val="18"/>
          <w:szCs w:val="18"/>
          <w:color w:val="auto"/>
        </w:rPr>
      </w:pPr>
    </w:p>
    <w:p>
      <w:pPr>
        <w:ind w:left="5560" w:hanging="92"/>
        <w:spacing w:after="0"/>
        <w:tabs>
          <w:tab w:leader="none" w:pos="5560" w:val="left"/>
        </w:tabs>
        <w:numPr>
          <w:ilvl w:val="2"/>
          <w:numId w:val="235"/>
        </w:numPr>
        <w:rPr>
          <w:rFonts w:ascii="Arial" w:cs="Arial" w:eastAsia="Arial" w:hAnsi="Arial"/>
          <w:sz w:val="14"/>
          <w:szCs w:val="14"/>
          <w:color w:val="auto"/>
        </w:rPr>
      </w:pPr>
      <w:r>
        <w:rPr>
          <w:rFonts w:ascii="Arial" w:cs="Arial" w:eastAsia="Arial" w:hAnsi="Arial"/>
          <w:sz w:val="14"/>
          <w:szCs w:val="14"/>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tabs>
          <w:tab w:leader="none" w:pos="7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color w:val="auto"/>
        </w:rPr>
        <w:t>Pro rata interest settlement</w:t>
      </w:r>
    </w:p>
    <w:p>
      <w:pPr>
        <w:spacing w:after="0" w:line="252" w:lineRule="exact"/>
        <w:rPr>
          <w:sz w:val="20"/>
          <w:szCs w:val="20"/>
          <w:color w:val="auto"/>
        </w:rPr>
      </w:pPr>
    </w:p>
    <w:p>
      <w:pPr>
        <w:jc w:val="both"/>
        <w:ind w:left="1260" w:hanging="496"/>
        <w:spacing w:after="0" w:line="263" w:lineRule="auto"/>
        <w:tabs>
          <w:tab w:leader="none" w:pos="12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transfer pursuant to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210"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intervals of six Months after the first day of that Interest Period); and</w:t>
      </w:r>
    </w:p>
    <w:p>
      <w:pPr>
        <w:spacing w:after="0" w:line="214" w:lineRule="exact"/>
        <w:rPr>
          <w:rFonts w:ascii="Arial" w:cs="Arial" w:eastAsia="Arial" w:hAnsi="Arial"/>
          <w:sz w:val="18"/>
          <w:szCs w:val="18"/>
          <w:color w:val="auto"/>
        </w:rPr>
      </w:pPr>
    </w:p>
    <w:p>
      <w:pPr>
        <w:ind w:left="1780" w:hanging="503"/>
        <w:spacing w:after="0"/>
        <w:tabs>
          <w:tab w:leader="none" w:pos="1780" w:val="left"/>
        </w:tabs>
        <w:numPr>
          <w:ilvl w:val="2"/>
          <w:numId w:val="236"/>
        </w:numPr>
        <w:rPr>
          <w:rFonts w:ascii="Arial" w:cs="Arial" w:eastAsia="Arial" w:hAnsi="Arial"/>
          <w:sz w:val="16"/>
          <w:szCs w:val="16"/>
          <w:color w:val="auto"/>
        </w:rPr>
      </w:pPr>
      <w:r>
        <w:rPr>
          <w:rFonts w:ascii="Arial" w:cs="Arial" w:eastAsia="Arial" w:hAnsi="Arial"/>
          <w:sz w:val="16"/>
          <w:szCs w:val="16"/>
          <w:color w:val="auto"/>
        </w:rPr>
        <w:t>the rights transferred by the Existing Lender will not include the right to the Accrued Amounts, so that, for the avoidance of doubt:</w:t>
      </w:r>
    </w:p>
    <w:p>
      <w:pPr>
        <w:spacing w:after="0" w:line="275" w:lineRule="exact"/>
        <w:rPr>
          <w:rFonts w:ascii="Arial" w:cs="Arial" w:eastAsia="Arial" w:hAnsi="Arial"/>
          <w:sz w:val="16"/>
          <w:szCs w:val="16"/>
          <w:color w:val="auto"/>
        </w:rPr>
      </w:pPr>
    </w:p>
    <w:p>
      <w:pPr>
        <w:ind w:left="2280" w:hanging="490"/>
        <w:spacing w:after="0"/>
        <w:tabs>
          <w:tab w:leader="none" w:pos="2280" w:val="left"/>
        </w:tabs>
        <w:numPr>
          <w:ilvl w:val="3"/>
          <w:numId w:val="236"/>
        </w:numPr>
        <w:rPr>
          <w:rFonts w:ascii="Arial" w:cs="Arial" w:eastAsia="Arial" w:hAnsi="Arial"/>
          <w:sz w:val="17"/>
          <w:szCs w:val="17"/>
          <w:color w:val="auto"/>
        </w:rPr>
      </w:pPr>
      <w:r>
        <w:rPr>
          <w:rFonts w:ascii="Arial" w:cs="Arial" w:eastAsia="Arial" w:hAnsi="Arial"/>
          <w:sz w:val="17"/>
          <w:szCs w:val="17"/>
          <w:color w:val="auto"/>
        </w:rPr>
        <w:t>when the Accrued Amounts become payable, those Accrued Amounts will be payable to the Existing Lender; and</w:t>
      </w:r>
    </w:p>
    <w:p>
      <w:pPr>
        <w:spacing w:after="0" w:line="263" w:lineRule="exact"/>
        <w:rPr>
          <w:rFonts w:ascii="Arial" w:cs="Arial" w:eastAsia="Arial" w:hAnsi="Arial"/>
          <w:sz w:val="17"/>
          <w:szCs w:val="17"/>
          <w:color w:val="auto"/>
        </w:rPr>
      </w:pPr>
    </w:p>
    <w:p>
      <w:pPr>
        <w:jc w:val="both"/>
        <w:ind w:left="2280" w:hanging="490"/>
        <w:spacing w:after="0" w:line="342" w:lineRule="auto"/>
        <w:tabs>
          <w:tab w:leader="none" w:pos="2280" w:val="left"/>
        </w:tabs>
        <w:numPr>
          <w:ilvl w:val="3"/>
          <w:numId w:val="236"/>
        </w:numPr>
        <w:rPr>
          <w:rFonts w:ascii="Arial" w:cs="Arial" w:eastAsia="Arial" w:hAnsi="Arial"/>
          <w:sz w:val="16"/>
          <w:szCs w:val="16"/>
          <w:color w:val="auto"/>
        </w:rPr>
      </w:pPr>
      <w:r>
        <w:rPr>
          <w:rFonts w:ascii="Arial" w:cs="Arial" w:eastAsia="Arial" w:hAnsi="Arial"/>
          <w:sz w:val="16"/>
          <w:szCs w:val="16"/>
          <w:color w:val="auto"/>
        </w:rPr>
        <w:t>the amount payable to the New Lender on that date will be the amount which would, but for the application of this Clause 23.8 (</w:t>
      </w:r>
      <w:r>
        <w:rPr>
          <w:rFonts w:ascii="Arial" w:cs="Arial" w:eastAsia="Arial" w:hAnsi="Arial"/>
          <w:sz w:val="16"/>
          <w:szCs w:val="16"/>
          <w:i w:val="1"/>
          <w:iCs w:val="1"/>
          <w:color w:val="auto"/>
        </w:rPr>
        <w:t>Pro rata interest settlement</w:t>
      </w:r>
      <w:r>
        <w:rPr>
          <w:rFonts w:ascii="Arial" w:cs="Arial" w:eastAsia="Arial" w:hAnsi="Arial"/>
          <w:sz w:val="16"/>
          <w:szCs w:val="16"/>
          <w:color w:val="auto"/>
        </w:rPr>
        <w:t>), have been payable to it on that date, but after deduction of the Accrued Amounts.</w:t>
      </w:r>
    </w:p>
    <w:p>
      <w:pPr>
        <w:spacing w:after="0" w:line="150" w:lineRule="exact"/>
        <w:rPr>
          <w:rFonts w:ascii="Arial" w:cs="Arial" w:eastAsia="Arial" w:hAnsi="Arial"/>
          <w:sz w:val="16"/>
          <w:szCs w:val="16"/>
          <w:color w:val="auto"/>
        </w:rPr>
      </w:pPr>
    </w:p>
    <w:p>
      <w:pPr>
        <w:ind w:left="1260" w:hanging="496"/>
        <w:spacing w:after="0" w:line="277" w:lineRule="auto"/>
        <w:tabs>
          <w:tab w:leader="none" w:pos="12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this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references to "Interest Period" shall be construed to include a reference to any other period for accrual of fees.</w:t>
      </w:r>
    </w:p>
    <w:p>
      <w:pPr>
        <w:spacing w:after="0" w:line="197" w:lineRule="exact"/>
        <w:rPr>
          <w:rFonts w:ascii="Arial" w:cs="Arial" w:eastAsia="Arial" w:hAnsi="Arial"/>
          <w:sz w:val="18"/>
          <w:szCs w:val="18"/>
          <w:color w:val="auto"/>
        </w:rPr>
      </w:pPr>
    </w:p>
    <w:p>
      <w:pPr>
        <w:ind w:left="760" w:hanging="752"/>
        <w:spacing w:after="0"/>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Changes to the Obligors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 Obligor may transfer any of its rights and/or obligations under the Finance Documents.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SECTION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FINANCE PARTIES</w:t>
      </w:r>
    </w:p>
    <w:p>
      <w:pPr>
        <w:spacing w:after="0" w:line="222" w:lineRule="exact"/>
        <w:rPr>
          <w:sz w:val="20"/>
          <w:szCs w:val="20"/>
          <w:color w:val="auto"/>
        </w:rPr>
      </w:pPr>
    </w:p>
    <w:p>
      <w:pPr>
        <w:ind w:left="760" w:hanging="752"/>
        <w:spacing w:after="0"/>
        <w:tabs>
          <w:tab w:leader="none" w:pos="7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Role of the Agent</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Appointment of the Agent</w:t>
      </w:r>
    </w:p>
    <w:p>
      <w:pPr>
        <w:spacing w:after="0" w:line="252" w:lineRule="exact"/>
        <w:rPr>
          <w:sz w:val="20"/>
          <w:szCs w:val="20"/>
          <w:color w:val="auto"/>
        </w:rPr>
      </w:pPr>
    </w:p>
    <w:p>
      <w:pPr>
        <w:ind w:left="1260" w:hanging="496"/>
        <w:spacing w:after="0"/>
        <w:tabs>
          <w:tab w:leader="none" w:pos="12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Each of the Lenders appoints the Agent to act as its agent ("</w:t>
      </w:r>
      <w:r>
        <w:rPr>
          <w:rFonts w:ascii="Arial" w:cs="Arial" w:eastAsia="Arial" w:hAnsi="Arial"/>
          <w:sz w:val="17"/>
          <w:szCs w:val="17"/>
          <w:i w:val="1"/>
          <w:iCs w:val="1"/>
          <w:color w:val="auto"/>
        </w:rPr>
        <w:t>mandataire</w:t>
      </w:r>
      <w:r>
        <w:rPr>
          <w:rFonts w:ascii="Arial" w:cs="Arial" w:eastAsia="Arial" w:hAnsi="Arial"/>
          <w:sz w:val="17"/>
          <w:szCs w:val="17"/>
          <w:color w:val="auto"/>
        </w:rPr>
        <w:t>") under and in connection with the Finance Documents.</w:t>
      </w:r>
    </w:p>
    <w:p>
      <w:pPr>
        <w:spacing w:after="0" w:line="263" w:lineRule="exact"/>
        <w:rPr>
          <w:rFonts w:ascii="Arial" w:cs="Arial" w:eastAsia="Arial" w:hAnsi="Arial"/>
          <w:sz w:val="17"/>
          <w:szCs w:val="17"/>
          <w:color w:val="auto"/>
        </w:rPr>
      </w:pPr>
    </w:p>
    <w:p>
      <w:pPr>
        <w:jc w:val="both"/>
        <w:ind w:left="1260" w:hanging="496"/>
        <w:spacing w:after="0" w:line="263" w:lineRule="auto"/>
        <w:tabs>
          <w:tab w:leader="none" w:pos="1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of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Instructions</w:t>
      </w:r>
    </w:p>
    <w:p>
      <w:pPr>
        <w:spacing w:after="0" w:line="252" w:lineRule="exact"/>
        <w:rPr>
          <w:sz w:val="20"/>
          <w:szCs w:val="20"/>
          <w:color w:val="auto"/>
        </w:rPr>
      </w:pPr>
    </w:p>
    <w:p>
      <w:pPr>
        <w:ind w:left="1260" w:hanging="496"/>
        <w:spacing w:after="0"/>
        <w:tabs>
          <w:tab w:leader="none" w:pos="1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97" w:lineRule="exact"/>
        <w:rPr>
          <w:rFonts w:ascii="Arial" w:cs="Arial" w:eastAsia="Arial" w:hAnsi="Arial"/>
          <w:sz w:val="18"/>
          <w:szCs w:val="18"/>
          <w:color w:val="auto"/>
        </w:rPr>
      </w:pPr>
    </w:p>
    <w:p>
      <w:pPr>
        <w:ind w:left="2280" w:hanging="490"/>
        <w:spacing w:after="0"/>
        <w:tabs>
          <w:tab w:leader="none" w:pos="22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52" w:lineRule="exact"/>
        <w:rPr>
          <w:rFonts w:ascii="Arial" w:cs="Arial" w:eastAsia="Arial" w:hAnsi="Arial"/>
          <w:sz w:val="18"/>
          <w:szCs w:val="18"/>
          <w:color w:val="auto"/>
        </w:rPr>
      </w:pPr>
    </w:p>
    <w:p>
      <w:pPr>
        <w:jc w:val="both"/>
        <w:ind w:left="1260" w:hanging="496"/>
        <w:spacing w:after="0" w:line="279" w:lineRule="auto"/>
        <w:tabs>
          <w:tab w:leader="none" w:pos="12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98" w:lineRule="exact"/>
        <w:rPr>
          <w:rFonts w:ascii="Arial" w:cs="Arial" w:eastAsia="Arial" w:hAnsi="Arial"/>
          <w:sz w:val="17"/>
          <w:szCs w:val="17"/>
          <w:color w:val="auto"/>
        </w:rPr>
      </w:pPr>
    </w:p>
    <w:p>
      <w:pPr>
        <w:jc w:val="both"/>
        <w:ind w:left="1260" w:hanging="496"/>
        <w:spacing w:after="0" w:line="286" w:lineRule="auto"/>
        <w:tabs>
          <w:tab w:leader="none" w:pos="12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92" w:lineRule="exact"/>
        <w:rPr>
          <w:rFonts w:ascii="Arial" w:cs="Arial" w:eastAsia="Arial" w:hAnsi="Arial"/>
          <w:sz w:val="17"/>
          <w:szCs w:val="17"/>
          <w:color w:val="auto"/>
        </w:rPr>
      </w:pPr>
    </w:p>
    <w:p>
      <w:pPr>
        <w:jc w:val="both"/>
        <w:ind w:left="1260" w:hanging="496"/>
        <w:spacing w:after="0" w:line="259" w:lineRule="auto"/>
        <w:tabs>
          <w:tab w:leader="none" w:pos="1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13" w:lineRule="exact"/>
        <w:rPr>
          <w:rFonts w:ascii="Arial" w:cs="Arial" w:eastAsia="Arial" w:hAnsi="Arial"/>
          <w:sz w:val="18"/>
          <w:szCs w:val="18"/>
          <w:color w:val="auto"/>
        </w:rPr>
      </w:pPr>
    </w:p>
    <w:p>
      <w:pPr>
        <w:ind w:left="1260" w:hanging="496"/>
        <w:spacing w:after="0"/>
        <w:tabs>
          <w:tab w:leader="none" w:pos="12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Lenders.</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560" w:hanging="92"/>
        <w:spacing w:after="0"/>
        <w:tabs>
          <w:tab w:leader="none" w:pos="5560" w:val="left"/>
        </w:tabs>
        <w:numPr>
          <w:ilvl w:val="3"/>
          <w:numId w:val="240"/>
        </w:numPr>
        <w:rPr>
          <w:rFonts w:ascii="Arial" w:cs="Arial" w:eastAsia="Arial" w:hAnsi="Arial"/>
          <w:sz w:val="14"/>
          <w:szCs w:val="14"/>
          <w:color w:val="auto"/>
        </w:rPr>
      </w:pPr>
      <w:r>
        <w:rPr>
          <w:rFonts w:ascii="Arial" w:cs="Arial" w:eastAsia="Arial" w:hAnsi="Arial"/>
          <w:sz w:val="14"/>
          <w:szCs w:val="14"/>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ind w:left="1260" w:hanging="496"/>
        <w:spacing w:after="0" w:line="277" w:lineRule="auto"/>
        <w:tabs>
          <w:tab w:leader="none" w:pos="12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Duties of the Agent</w:t>
      </w:r>
    </w:p>
    <w:p>
      <w:pPr>
        <w:spacing w:after="0" w:line="252" w:lineRule="exact"/>
        <w:rPr>
          <w:sz w:val="20"/>
          <w:szCs w:val="20"/>
          <w:color w:val="auto"/>
        </w:rPr>
      </w:pPr>
    </w:p>
    <w:p>
      <w:pPr>
        <w:ind w:left="1260" w:hanging="496"/>
        <w:spacing w:after="0"/>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Without prejudice to Clause 23.6 (</w:t>
      </w:r>
      <w:r>
        <w:rPr>
          <w:rFonts w:ascii="Arial" w:cs="Arial" w:eastAsia="Arial" w:hAnsi="Arial"/>
          <w:sz w:val="18"/>
          <w:szCs w:val="18"/>
          <w:i w:val="1"/>
          <w:iCs w:val="1"/>
          <w:color w:val="auto"/>
        </w:rPr>
        <w:t>Copy of Transfer Certificate to Company</w:t>
      </w:r>
      <w:r>
        <w:rPr>
          <w:rFonts w:ascii="Arial" w:cs="Arial" w:eastAsia="Arial" w:hAnsi="Arial"/>
          <w:sz w:val="18"/>
          <w:szCs w:val="18"/>
          <w:color w:val="auto"/>
        </w:rPr>
        <w:t>), paragraph (b) above shall not apply to any Transfer Certificate.</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facility fee or other fee payable to a Finance Party (other than the Agent) under this Agreement, it shall promptly notify the other Finance Parties.</w:t>
      </w:r>
    </w:p>
    <w:p>
      <w:pPr>
        <w:spacing w:after="0" w:line="197" w:lineRule="exact"/>
        <w:rPr>
          <w:rFonts w:ascii="Arial" w:cs="Arial" w:eastAsia="Arial" w:hAnsi="Arial"/>
          <w:sz w:val="18"/>
          <w:szCs w:val="18"/>
          <w:color w:val="auto"/>
        </w:rPr>
      </w:pPr>
    </w:p>
    <w:p>
      <w:pPr>
        <w:jc w:val="both"/>
        <w:ind w:left="1260" w:hanging="496"/>
        <w:spacing w:after="0" w:line="272" w:lineRule="auto"/>
        <w:tabs>
          <w:tab w:leader="none" w:pos="12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Agent shall provide to the Company, within five Business Days of a request by the Company,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204"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7"/>
          <w:szCs w:val="17"/>
          <w:color w:val="auto"/>
        </w:rPr>
        <w:t>No fiduciary duties</w:t>
      </w:r>
    </w:p>
    <w:p>
      <w:pPr>
        <w:spacing w:after="0" w:line="252" w:lineRule="exact"/>
        <w:rPr>
          <w:sz w:val="20"/>
          <w:szCs w:val="20"/>
          <w:color w:val="auto"/>
        </w:rPr>
      </w:pPr>
    </w:p>
    <w:p>
      <w:pPr>
        <w:ind w:left="1260" w:hanging="496"/>
        <w:spacing w:after="0"/>
        <w:tabs>
          <w:tab w:leader="none" w:pos="1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Agent shall not be bound to account to any Lender for any sum or the profit element of any sum received by it for its own account.</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560" w:hanging="92"/>
        <w:spacing w:after="0"/>
        <w:tabs>
          <w:tab w:leader="none" w:pos="5560" w:val="left"/>
        </w:tabs>
        <w:numPr>
          <w:ilvl w:val="1"/>
          <w:numId w:val="243"/>
        </w:numPr>
        <w:rPr>
          <w:rFonts w:ascii="Arial" w:cs="Arial" w:eastAsia="Arial" w:hAnsi="Arial"/>
          <w:sz w:val="14"/>
          <w:szCs w:val="14"/>
          <w:color w:val="auto"/>
        </w:rPr>
      </w:pPr>
      <w:r>
        <w:rPr>
          <w:rFonts w:ascii="Arial" w:cs="Arial" w:eastAsia="Arial" w:hAnsi="Arial"/>
          <w:sz w:val="14"/>
          <w:szCs w:val="14"/>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tabs>
          <w:tab w:leader="none" w:pos="74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Business with the Group</w:t>
      </w:r>
    </w:p>
    <w:p>
      <w:pPr>
        <w:spacing w:after="0" w:line="24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Agent may accept deposits from, lend money to and generally engage in any kind of banking or other business with any member of the Group.</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color w:val="auto"/>
        </w:rPr>
        <w:t>Rights and discretions</w:t>
      </w:r>
    </w:p>
    <w:p>
      <w:pPr>
        <w:spacing w:after="0" w:line="252" w:lineRule="exact"/>
        <w:rPr>
          <w:sz w:val="20"/>
          <w:szCs w:val="20"/>
          <w:color w:val="auto"/>
        </w:rPr>
      </w:pPr>
    </w:p>
    <w:p>
      <w:pPr>
        <w:ind w:left="1260" w:hanging="496"/>
        <w:spacing w:after="0"/>
        <w:tabs>
          <w:tab w:leader="none" w:pos="12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275" w:lineRule="exact"/>
        <w:rPr>
          <w:rFonts w:ascii="Arial" w:cs="Arial" w:eastAsia="Arial" w:hAnsi="Arial"/>
          <w:sz w:val="16"/>
          <w:szCs w:val="16"/>
          <w:color w:val="auto"/>
        </w:rPr>
      </w:pPr>
    </w:p>
    <w:p>
      <w:pPr>
        <w:ind w:left="1780" w:hanging="503"/>
        <w:spacing w:after="0"/>
        <w:tabs>
          <w:tab w:leader="none" w:pos="17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52" w:lineRule="exact"/>
        <w:rPr>
          <w:rFonts w:ascii="Arial" w:cs="Arial" w:eastAsia="Arial" w:hAnsi="Arial"/>
          <w:sz w:val="18"/>
          <w:szCs w:val="18"/>
          <w:color w:val="auto"/>
        </w:rPr>
      </w:pPr>
    </w:p>
    <w:p>
      <w:pPr>
        <w:ind w:left="2280" w:hanging="490"/>
        <w:spacing w:after="0" w:line="277" w:lineRule="auto"/>
        <w:tabs>
          <w:tab w:leader="none" w:pos="228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7" w:lineRule="exact"/>
        <w:rPr>
          <w:rFonts w:ascii="Arial" w:cs="Arial" w:eastAsia="Arial" w:hAnsi="Arial"/>
          <w:sz w:val="18"/>
          <w:szCs w:val="18"/>
          <w:color w:val="auto"/>
        </w:rPr>
      </w:pPr>
    </w:p>
    <w:p>
      <w:pPr>
        <w:ind w:left="2280" w:hanging="490"/>
        <w:spacing w:after="0"/>
        <w:tabs>
          <w:tab w:leader="none" w:pos="228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75" w:lineRule="exact"/>
        <w:rPr>
          <w:rFonts w:ascii="Arial" w:cs="Arial" w:eastAsia="Arial" w:hAnsi="Arial"/>
          <w:sz w:val="16"/>
          <w:szCs w:val="16"/>
          <w:color w:val="auto"/>
        </w:rPr>
      </w:pPr>
    </w:p>
    <w:p>
      <w:pPr>
        <w:ind w:left="2280" w:hanging="490"/>
        <w:spacing w:after="0"/>
        <w:tabs>
          <w:tab w:leader="none" w:pos="228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45" w:lineRule="exact"/>
        <w:rPr>
          <w:sz w:val="20"/>
          <w:szCs w:val="20"/>
          <w:color w:val="auto"/>
        </w:rPr>
      </w:pPr>
    </w:p>
    <w:p>
      <w:pPr>
        <w:ind w:left="1800" w:right="20"/>
        <w:spacing w:after="0" w:line="250" w:lineRule="auto"/>
        <w:rPr>
          <w:sz w:val="20"/>
          <w:szCs w:val="20"/>
          <w:color w:val="auto"/>
        </w:rPr>
      </w:pPr>
      <w:r>
        <w:rPr>
          <w:rFonts w:ascii="Arial" w:cs="Arial" w:eastAsia="Arial" w:hAnsi="Arial"/>
          <w:sz w:val="22"/>
          <w:szCs w:val="22"/>
          <w:color w:val="auto"/>
        </w:rPr>
        <w:t>as sufficient evidence that that is the case and, in the case of paragraph (A) above, may assume the truth and accuracy of that certificate.</w:t>
      </w:r>
    </w:p>
    <w:p>
      <w:pPr>
        <w:spacing w:after="0" w:line="209" w:lineRule="exact"/>
        <w:rPr>
          <w:sz w:val="20"/>
          <w:szCs w:val="20"/>
          <w:color w:val="auto"/>
        </w:rPr>
      </w:pPr>
    </w:p>
    <w:p>
      <w:pPr>
        <w:ind w:left="1260" w:hanging="496"/>
        <w:spacing w:after="0"/>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22.1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any notice or request made by the Company is made on behalf of and with the consent and knowledge of all the Obligors.</w:t>
      </w:r>
    </w:p>
    <w:p>
      <w:pPr>
        <w:spacing w:after="0" w:line="263" w:lineRule="exact"/>
        <w:rPr>
          <w:rFonts w:ascii="Arial" w:cs="Arial" w:eastAsia="Arial" w:hAnsi="Arial"/>
          <w:sz w:val="17"/>
          <w:szCs w:val="17"/>
          <w:color w:val="auto"/>
        </w:rPr>
      </w:pPr>
    </w:p>
    <w:p>
      <w:pPr>
        <w:ind w:left="1260" w:hanging="496"/>
        <w:spacing w:after="0" w:line="277" w:lineRule="auto"/>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2"/>
          <w:numId w:val="245"/>
        </w:numPr>
        <w:rPr>
          <w:rFonts w:ascii="Arial" w:cs="Arial" w:eastAsia="Arial" w:hAnsi="Arial"/>
          <w:sz w:val="14"/>
          <w:szCs w:val="14"/>
          <w:color w:val="auto"/>
        </w:rPr>
      </w:pPr>
      <w:r>
        <w:rPr>
          <w:rFonts w:ascii="Arial" w:cs="Arial" w:eastAsia="Arial" w:hAnsi="Arial"/>
          <w:sz w:val="14"/>
          <w:szCs w:val="14"/>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both"/>
        <w:ind w:left="1260" w:hanging="496"/>
        <w:spacing w:after="0" w:line="263" w:lineRule="auto"/>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on the written request of the Company or the Majority Lenders shall, as soon as reasonably practicable, disclose, the identity of a Defaulting Lender to the Company and to the other Finance Parties.</w:t>
      </w:r>
    </w:p>
    <w:p>
      <w:pPr>
        <w:spacing w:after="0" w:line="197" w:lineRule="exact"/>
        <w:rPr>
          <w:rFonts w:ascii="Arial" w:cs="Arial" w:eastAsia="Arial" w:hAnsi="Arial"/>
          <w:sz w:val="18"/>
          <w:szCs w:val="18"/>
          <w:color w:val="auto"/>
        </w:rPr>
      </w:pPr>
    </w:p>
    <w:p>
      <w:pPr>
        <w:jc w:val="both"/>
        <w:ind w:left="1260" w:right="20" w:hanging="496"/>
        <w:spacing w:after="0" w:line="263" w:lineRule="auto"/>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210"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color w:val="auto"/>
        </w:rPr>
        <w:t>Responsibility for documentation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Agent is not responsible nor liable for:</w:t>
      </w:r>
    </w:p>
    <w:p>
      <w:pPr>
        <w:spacing w:after="0" w:line="240" w:lineRule="exact"/>
        <w:rPr>
          <w:sz w:val="20"/>
          <w:szCs w:val="20"/>
          <w:color w:val="auto"/>
        </w:rPr>
      </w:pPr>
    </w:p>
    <w:p>
      <w:pPr>
        <w:jc w:val="both"/>
        <w:ind w:left="1260" w:hanging="496"/>
        <w:spacing w:after="0" w:line="259" w:lineRule="auto"/>
        <w:tabs>
          <w:tab w:leader="none" w:pos="1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213" w:lineRule="exact"/>
        <w:rPr>
          <w:rFonts w:ascii="Arial" w:cs="Arial" w:eastAsia="Arial" w:hAnsi="Arial"/>
          <w:sz w:val="18"/>
          <w:szCs w:val="18"/>
          <w:color w:val="auto"/>
        </w:rPr>
      </w:pPr>
    </w:p>
    <w:p>
      <w:pPr>
        <w:ind w:left="1260" w:hanging="496"/>
        <w:spacing w:after="0" w:line="308" w:lineRule="auto"/>
        <w:tabs>
          <w:tab w:leader="none" w:pos="12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73"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247"/>
        </w:numPr>
        <w:rPr>
          <w:rFonts w:ascii="Arial" w:cs="Arial" w:eastAsia="Arial" w:hAnsi="Arial"/>
          <w:sz w:val="14"/>
          <w:szCs w:val="14"/>
          <w:color w:val="auto"/>
        </w:rPr>
      </w:pPr>
      <w:r>
        <w:rPr>
          <w:rFonts w:ascii="Arial" w:cs="Arial" w:eastAsia="Arial" w:hAnsi="Arial"/>
          <w:sz w:val="14"/>
          <w:szCs w:val="14"/>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tabs>
          <w:tab w:leader="none" w:pos="74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color w:val="auto"/>
        </w:rPr>
        <w:t>No duty to monitor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Agent shall not be bound to enquire:</w:t>
      </w:r>
    </w:p>
    <w:p>
      <w:pPr>
        <w:spacing w:after="0" w:line="240" w:lineRule="exact"/>
        <w:rPr>
          <w:sz w:val="20"/>
          <w:szCs w:val="20"/>
          <w:color w:val="auto"/>
        </w:rPr>
      </w:pPr>
    </w:p>
    <w:p>
      <w:pPr>
        <w:ind w:left="1260" w:hanging="496"/>
        <w:spacing w:after="0"/>
        <w:tabs>
          <w:tab w:leader="none" w:pos="12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7"/>
          <w:szCs w:val="17"/>
          <w:color w:val="auto"/>
        </w:rPr>
        <w:t>Exclusion of liability</w:t>
      </w:r>
    </w:p>
    <w:p>
      <w:pPr>
        <w:spacing w:after="0" w:line="252" w:lineRule="exact"/>
        <w:rPr>
          <w:sz w:val="20"/>
          <w:szCs w:val="20"/>
          <w:color w:val="auto"/>
        </w:rPr>
      </w:pPr>
    </w:p>
    <w:p>
      <w:pPr>
        <w:ind w:left="1260" w:hanging="496"/>
        <w:spacing w:after="0" w:line="277" w:lineRule="auto"/>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 as finally determined by a court of competent jurisdiction;</w:t>
      </w:r>
    </w:p>
    <w:p>
      <w:pPr>
        <w:spacing w:after="0" w:line="210"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as finally determined by a court of competent jurisdiction; or</w:t>
      </w:r>
    </w:p>
    <w:p>
      <w:pPr>
        <w:spacing w:after="0" w:line="213"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210" w:lineRule="exact"/>
        <w:rPr>
          <w:rFonts w:ascii="Arial" w:cs="Arial" w:eastAsia="Arial" w:hAnsi="Arial"/>
          <w:sz w:val="18"/>
          <w:szCs w:val="18"/>
          <w:color w:val="auto"/>
        </w:rPr>
      </w:pPr>
    </w:p>
    <w:p>
      <w:pPr>
        <w:ind w:left="2280" w:hanging="490"/>
        <w:spacing w:after="0"/>
        <w:tabs>
          <w:tab w:leader="none" w:pos="228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52" w:lineRule="exact"/>
        <w:rPr>
          <w:rFonts w:ascii="Arial" w:cs="Arial" w:eastAsia="Arial" w:hAnsi="Arial"/>
          <w:sz w:val="18"/>
          <w:szCs w:val="18"/>
          <w:color w:val="auto"/>
        </w:rPr>
      </w:pPr>
    </w:p>
    <w:p>
      <w:pPr>
        <w:jc w:val="both"/>
        <w:ind w:left="2280" w:hanging="490"/>
        <w:spacing w:after="0" w:line="273" w:lineRule="auto"/>
        <w:tabs>
          <w:tab w:leader="none" w:pos="228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204" w:lineRule="exact"/>
        <w:rPr>
          <w:rFonts w:ascii="Arial" w:cs="Arial" w:eastAsia="Arial" w:hAnsi="Arial"/>
          <w:sz w:val="17"/>
          <w:szCs w:val="17"/>
          <w:color w:val="auto"/>
        </w:rPr>
      </w:pPr>
    </w:p>
    <w:p>
      <w:pPr>
        <w:jc w:val="both"/>
        <w:ind w:left="1260" w:hanging="496"/>
        <w:spacing w:after="0" w:line="263" w:lineRule="auto"/>
        <w:tabs>
          <w:tab w:leader="none" w:pos="1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25.9.</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3"/>
          <w:numId w:val="249"/>
        </w:numPr>
        <w:rPr>
          <w:rFonts w:ascii="Arial" w:cs="Arial" w:eastAsia="Arial" w:hAnsi="Arial"/>
          <w:sz w:val="14"/>
          <w:szCs w:val="14"/>
          <w:color w:val="auto"/>
        </w:rPr>
      </w:pPr>
      <w:r>
        <w:rPr>
          <w:rFonts w:ascii="Arial" w:cs="Arial" w:eastAsia="Arial" w:hAnsi="Arial"/>
          <w:sz w:val="14"/>
          <w:szCs w:val="14"/>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jc w:val="both"/>
        <w:ind w:left="1260" w:hanging="496"/>
        <w:spacing w:after="0" w:line="286" w:lineRule="auto"/>
        <w:tabs>
          <w:tab w:leader="none" w:pos="12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92" w:lineRule="exact"/>
        <w:rPr>
          <w:rFonts w:ascii="Arial" w:cs="Arial" w:eastAsia="Arial" w:hAnsi="Arial"/>
          <w:sz w:val="17"/>
          <w:szCs w:val="17"/>
          <w:color w:val="auto"/>
        </w:rPr>
      </w:pPr>
    </w:p>
    <w:p>
      <w:pPr>
        <w:ind w:left="1260" w:hanging="496"/>
        <w:spacing w:after="0"/>
        <w:tabs>
          <w:tab w:leader="none" w:pos="12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45" w:lineRule="exact"/>
        <w:rPr>
          <w:sz w:val="20"/>
          <w:szCs w:val="20"/>
          <w:color w:val="auto"/>
        </w:rPr>
      </w:pPr>
    </w:p>
    <w:p>
      <w:pPr>
        <w:ind w:left="1280"/>
        <w:spacing w:after="0" w:line="328" w:lineRule="auto"/>
        <w:rPr>
          <w:sz w:val="20"/>
          <w:szCs w:val="20"/>
          <w:color w:val="auto"/>
        </w:rPr>
      </w:pPr>
      <w:r>
        <w:rPr>
          <w:rFonts w:ascii="Arial" w:cs="Arial" w:eastAsia="Arial" w:hAnsi="Arial"/>
          <w:sz w:val="19"/>
          <w:szCs w:val="19"/>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139" w:lineRule="exact"/>
        <w:rPr>
          <w:sz w:val="20"/>
          <w:szCs w:val="20"/>
          <w:color w:val="auto"/>
        </w:rPr>
      </w:pPr>
    </w:p>
    <w:p>
      <w:pPr>
        <w:jc w:val="both"/>
        <w:ind w:left="1260" w:hanging="496"/>
        <w:spacing w:after="0" w:line="293" w:lineRule="auto"/>
        <w:tabs>
          <w:tab w:leader="none" w:pos="12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25.10</w:t>
      </w:r>
      <w:r>
        <w:rPr>
          <w:sz w:val="20"/>
          <w:szCs w:val="20"/>
          <w:color w:val="auto"/>
        </w:rPr>
        <w:tab/>
      </w:r>
      <w:r>
        <w:rPr>
          <w:rFonts w:ascii="Arial" w:cs="Arial" w:eastAsia="Arial" w:hAnsi="Arial"/>
          <w:sz w:val="16"/>
          <w:szCs w:val="16"/>
          <w:color w:val="auto"/>
        </w:rPr>
        <w:t>Lenders' indemnity to the Agent</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as finally determined by a court of competent jurisdiction) (or, in the case of any cost, loss or liability pursuant to Clause 28.11 (</w:t>
      </w:r>
      <w:r>
        <w:rPr>
          <w:rFonts w:ascii="Arial" w:cs="Arial" w:eastAsia="Arial" w:hAnsi="Arial"/>
          <w:sz w:val="19"/>
          <w:szCs w:val="19"/>
          <w:i w:val="1"/>
          <w:iCs w:val="1"/>
          <w:color w:val="auto"/>
        </w:rPr>
        <w:t>Disruption</w:t>
      </w:r>
      <w:r>
        <w:rPr>
          <w:rFonts w:ascii="Arial" w:cs="Arial" w:eastAsia="Arial" w:hAnsi="Arial"/>
          <w:sz w:val="19"/>
          <w:szCs w:val="19"/>
          <w:color w:val="auto"/>
        </w:rPr>
        <w:t xml:space="preserve"> </w:t>
      </w:r>
      <w:r>
        <w:rPr>
          <w:rFonts w:ascii="Arial" w:cs="Arial" w:eastAsia="Arial" w:hAnsi="Arial"/>
          <w:sz w:val="19"/>
          <w:szCs w:val="19"/>
          <w:i w:val="1"/>
          <w:iCs w:val="1"/>
          <w:color w:val="auto"/>
        </w:rPr>
        <w:t>to payment systems etc.</w:t>
      </w:r>
      <w:r>
        <w:rPr>
          <w:rFonts w:ascii="Arial" w:cs="Arial" w:eastAsia="Arial" w:hAnsi="Arial"/>
          <w:sz w:val="19"/>
          <w:szCs w:val="19"/>
          <w:color w:val="auto"/>
        </w:rPr>
        <w:t>), notwithstanding the Agent's negligence, gross negligence or any other category of liability whatsoever,</w:t>
      </w:r>
      <w:r>
        <w:rPr>
          <w:rFonts w:ascii="Arial" w:cs="Arial" w:eastAsia="Arial" w:hAnsi="Arial"/>
          <w:sz w:val="19"/>
          <w:szCs w:val="19"/>
          <w:i w:val="1"/>
          <w:iCs w:val="1"/>
          <w:color w:val="auto"/>
        </w:rPr>
        <w:t xml:space="preserve"> </w:t>
      </w:r>
      <w:r>
        <w:rPr>
          <w:rFonts w:ascii="Arial" w:cs="Arial" w:eastAsia="Arial" w:hAnsi="Arial"/>
          <w:sz w:val="19"/>
          <w:szCs w:val="19"/>
          <w:color w:val="auto"/>
        </w:rPr>
        <w:t>but not including any claim based on the fraud of the Agent) in acting as Agent under the Finance Documents (unless the Agent has been reimbursed by an Obligor pursuant to a Finance Document).</w:t>
      </w:r>
    </w:p>
    <w:p>
      <w:pPr>
        <w:spacing w:after="0" w:line="1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6"/>
          <w:szCs w:val="16"/>
          <w:color w:val="auto"/>
        </w:rPr>
        <w:t>Resignation of the Agent</w:t>
      </w:r>
    </w:p>
    <w:p>
      <w:pPr>
        <w:spacing w:after="0" w:line="252" w:lineRule="exact"/>
        <w:rPr>
          <w:sz w:val="20"/>
          <w:szCs w:val="20"/>
          <w:color w:val="auto"/>
        </w:rPr>
      </w:pPr>
    </w:p>
    <w:p>
      <w:pPr>
        <w:ind w:left="1260" w:hanging="496"/>
        <w:spacing w:after="0"/>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as successor by giving notice to the Lenders and the Company.</w:t>
      </w:r>
    </w:p>
    <w:p>
      <w:pPr>
        <w:spacing w:after="0" w:line="252" w:lineRule="exact"/>
        <w:rPr>
          <w:rFonts w:ascii="Arial" w:cs="Arial" w:eastAsia="Arial" w:hAnsi="Arial"/>
          <w:sz w:val="18"/>
          <w:szCs w:val="18"/>
          <w:color w:val="auto"/>
        </w:rPr>
      </w:pPr>
    </w:p>
    <w:p>
      <w:pPr>
        <w:jc w:val="both"/>
        <w:ind w:left="1260" w:right="20" w:hanging="496"/>
        <w:spacing w:after="0" w:line="263" w:lineRule="auto"/>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Lenders and the Company, in which case the Majority Lenders (after consultation with the Company) may appoint a successor Agent, which shall not be incorporated or acting through an office situated in a Non-Cooperative Jurisdiction.</w:t>
      </w:r>
    </w:p>
    <w:p>
      <w:pPr>
        <w:spacing w:after="0" w:line="381" w:lineRule="exact"/>
        <w:rPr>
          <w:rFonts w:ascii="Arial" w:cs="Arial" w:eastAsia="Arial" w:hAnsi="Arial"/>
          <w:sz w:val="18"/>
          <w:szCs w:val="18"/>
          <w:color w:val="auto"/>
        </w:rPr>
      </w:pPr>
    </w:p>
    <w:p>
      <w:pPr>
        <w:ind w:left="5560" w:hanging="92"/>
        <w:spacing w:after="0"/>
        <w:tabs>
          <w:tab w:leader="none" w:pos="556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ind w:left="496" w:hanging="496"/>
        <w:spacing w:after="0" w:line="277" w:lineRule="auto"/>
        <w:tabs>
          <w:tab w:leader="none" w:pos="4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20 days after notice of resignation was given, the retiring Agent (after consultation with the Company) may appoint a successor Agent.</w:t>
      </w:r>
    </w:p>
    <w:p>
      <w:pPr>
        <w:spacing w:after="0" w:line="197" w:lineRule="exact"/>
        <w:rPr>
          <w:rFonts w:ascii="Arial" w:cs="Arial" w:eastAsia="Arial" w:hAnsi="Arial"/>
          <w:sz w:val="18"/>
          <w:szCs w:val="18"/>
          <w:color w:val="auto"/>
        </w:rPr>
      </w:pPr>
    </w:p>
    <w:p>
      <w:pPr>
        <w:jc w:val="both"/>
        <w:ind w:left="496" w:hanging="496"/>
        <w:spacing w:after="0" w:line="254" w:lineRule="auto"/>
        <w:tabs>
          <w:tab w:leader="none" w:pos="4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25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21" w:lineRule="exact"/>
        <w:rPr>
          <w:rFonts w:ascii="Arial" w:cs="Arial" w:eastAsia="Arial" w:hAnsi="Arial"/>
          <w:sz w:val="18"/>
          <w:szCs w:val="18"/>
          <w:color w:val="auto"/>
        </w:rPr>
      </w:pPr>
    </w:p>
    <w:p>
      <w:pPr>
        <w:jc w:val="both"/>
        <w:ind w:left="496" w:hanging="496"/>
        <w:spacing w:after="0" w:line="279" w:lineRule="auto"/>
        <w:tabs>
          <w:tab w:leader="none" w:pos="49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retiring Agent shall make available to the successor Agent such documents and records and provide such assistance as the successor Agent may reasonably request for the purposes of performing its functions as Agent under the Finance Documents. The Company shall, within three Business Days of demand, reimburse the retiring Agent for the amount of all costs and expenses (including legal fees) properly incurred by it in making available such documents and records and providing such assistance.</w:t>
      </w:r>
    </w:p>
    <w:p>
      <w:pPr>
        <w:spacing w:after="0" w:line="198" w:lineRule="exact"/>
        <w:rPr>
          <w:rFonts w:ascii="Arial" w:cs="Arial" w:eastAsia="Arial" w:hAnsi="Arial"/>
          <w:sz w:val="17"/>
          <w:szCs w:val="17"/>
          <w:color w:val="auto"/>
        </w:rPr>
      </w:pPr>
    </w:p>
    <w:p>
      <w:pPr>
        <w:ind w:left="496" w:hanging="496"/>
        <w:spacing w:after="0"/>
        <w:tabs>
          <w:tab w:leader="none" w:pos="4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52" w:lineRule="exact"/>
        <w:rPr>
          <w:rFonts w:ascii="Arial" w:cs="Arial" w:eastAsia="Arial" w:hAnsi="Arial"/>
          <w:sz w:val="18"/>
          <w:szCs w:val="18"/>
          <w:color w:val="auto"/>
        </w:rPr>
      </w:pPr>
    </w:p>
    <w:p>
      <w:pPr>
        <w:jc w:val="both"/>
        <w:ind w:left="496" w:hanging="496"/>
        <w:spacing w:after="0" w:line="257" w:lineRule="auto"/>
        <w:tabs>
          <w:tab w:leader="none" w:pos="4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14.3 (</w:t>
      </w:r>
      <w:r>
        <w:rPr>
          <w:rFonts w:ascii="Arial" w:cs="Arial" w:eastAsia="Arial" w:hAnsi="Arial"/>
          <w:sz w:val="18"/>
          <w:szCs w:val="18"/>
          <w:i w:val="1"/>
          <w:iCs w:val="1"/>
          <w:color w:val="auto"/>
        </w:rPr>
        <w:t>Indemnity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and this Clause 25 (and any agency fees for the account of the retiring Agent shall cease to accrue from (and shall be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that date). Any successor and each of the other Parties shall have the same rights and obligations amongst themselves as they would have had if such successor had been an original Party.</w:t>
      </w:r>
    </w:p>
    <w:p>
      <w:pPr>
        <w:spacing w:after="0" w:line="214" w:lineRule="exact"/>
        <w:rPr>
          <w:rFonts w:ascii="Arial" w:cs="Arial" w:eastAsia="Arial" w:hAnsi="Arial"/>
          <w:sz w:val="18"/>
          <w:szCs w:val="18"/>
          <w:color w:val="auto"/>
        </w:rPr>
      </w:pPr>
    </w:p>
    <w:p>
      <w:pPr>
        <w:jc w:val="both"/>
        <w:ind w:left="496" w:hanging="496"/>
        <w:spacing w:after="0" w:line="263" w:lineRule="auto"/>
        <w:tabs>
          <w:tab w:leader="none" w:pos="4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210" w:lineRule="exact"/>
        <w:rPr>
          <w:rFonts w:ascii="Arial" w:cs="Arial" w:eastAsia="Arial" w:hAnsi="Arial"/>
          <w:sz w:val="18"/>
          <w:szCs w:val="18"/>
          <w:color w:val="auto"/>
        </w:rPr>
      </w:pPr>
    </w:p>
    <w:p>
      <w:pPr>
        <w:ind w:left="1016" w:hanging="503"/>
        <w:spacing w:after="0" w:line="277" w:lineRule="auto"/>
        <w:tabs>
          <w:tab w:leader="none" w:pos="101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 and a Lender reasonably believes that the Agent will not be (or will have ceased to be) a FATCA Exempt Party on or after that FATCA Application Date;</w:t>
      </w:r>
    </w:p>
    <w:p>
      <w:pPr>
        <w:spacing w:after="0" w:line="197" w:lineRule="exact"/>
        <w:rPr>
          <w:rFonts w:ascii="Arial" w:cs="Arial" w:eastAsia="Arial" w:hAnsi="Arial"/>
          <w:sz w:val="18"/>
          <w:szCs w:val="18"/>
          <w:color w:val="auto"/>
        </w:rPr>
      </w:pPr>
    </w:p>
    <w:p>
      <w:pPr>
        <w:ind w:left="1016" w:hanging="503"/>
        <w:spacing w:after="0" w:line="277" w:lineRule="auto"/>
        <w:tabs>
          <w:tab w:leader="none" w:pos="101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97" w:lineRule="exact"/>
        <w:rPr>
          <w:rFonts w:ascii="Arial" w:cs="Arial" w:eastAsia="Arial" w:hAnsi="Arial"/>
          <w:sz w:val="18"/>
          <w:szCs w:val="18"/>
          <w:color w:val="auto"/>
        </w:rPr>
      </w:pPr>
    </w:p>
    <w:p>
      <w:pPr>
        <w:jc w:val="both"/>
        <w:ind w:left="1016" w:hanging="503"/>
        <w:spacing w:after="0" w:line="259" w:lineRule="auto"/>
        <w:tabs>
          <w:tab w:leader="none" w:pos="101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Agent notifies the Company and the Lenders that the Agent will not be (or will have ceased to be) a FATCA Exempt Party on or after that FATCA Application Date; and (in each case) a Lender reasonably believes that a Party will be required to make a FATCA Deduction that would not be required if the Agent were a FATCA Exempt Party, and that Lender, by notice to the Agent, requires it to resign.</w:t>
      </w:r>
    </w:p>
    <w:p>
      <w:pPr>
        <w:spacing w:after="0" w:line="384" w:lineRule="exact"/>
        <w:rPr>
          <w:rFonts w:ascii="Arial" w:cs="Arial" w:eastAsia="Arial" w:hAnsi="Arial"/>
          <w:sz w:val="18"/>
          <w:szCs w:val="18"/>
          <w:color w:val="auto"/>
        </w:rPr>
      </w:pPr>
    </w:p>
    <w:p>
      <w:pPr>
        <w:ind w:left="4796" w:hanging="92"/>
        <w:spacing w:after="0"/>
        <w:tabs>
          <w:tab w:leader="none" w:pos="4796" w:val="left"/>
        </w:tabs>
        <w:numPr>
          <w:ilvl w:val="2"/>
          <w:numId w:val="253"/>
        </w:numPr>
        <w:rPr>
          <w:rFonts w:ascii="Arial" w:cs="Arial" w:eastAsia="Arial" w:hAnsi="Arial"/>
          <w:sz w:val="14"/>
          <w:szCs w:val="14"/>
          <w:color w:val="auto"/>
        </w:rPr>
      </w:pPr>
      <w:r>
        <w:rPr>
          <w:rFonts w:ascii="Arial" w:cs="Arial" w:eastAsia="Arial" w:hAnsi="Arial"/>
          <w:sz w:val="14"/>
          <w:szCs w:val="14"/>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125" w:right="339" w:bottom="1440" w:gutter="0" w:footer="0" w:header="0"/>
        </w:sectPr>
      </w:pPr>
    </w:p>
    <w:bookmarkStart w:id="130" w:name="page131"/>
    <w:bookmarkEnd w:id="130"/>
    <w:p>
      <w:pPr>
        <w:spacing w:after="0"/>
        <w:tabs>
          <w:tab w:leader="none" w:pos="740"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6"/>
          <w:szCs w:val="16"/>
          <w:color w:val="auto"/>
        </w:rPr>
        <w:t>Replacement of the Agent</w:t>
      </w:r>
    </w:p>
    <w:p>
      <w:pPr>
        <w:spacing w:after="0" w:line="252" w:lineRule="exact"/>
        <w:rPr>
          <w:sz w:val="20"/>
          <w:szCs w:val="20"/>
          <w:color w:val="auto"/>
        </w:rPr>
      </w:pPr>
    </w:p>
    <w:p>
      <w:pPr>
        <w:ind w:left="1260" w:hanging="496"/>
        <w:spacing w:after="0" w:line="342" w:lineRule="auto"/>
        <w:tabs>
          <w:tab w:leader="none" w:pos="12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After consultation with the Company , the Majority Lenders may, by giving 30 days' notice to the Agent (or, at any time the Agent is an Impaired Agent, by giving any shorter notice determined by the Majority Lenders) replace the Agent by appointing a successor Agent.</w:t>
      </w:r>
    </w:p>
    <w:p>
      <w:pPr>
        <w:spacing w:after="0" w:line="150" w:lineRule="exact"/>
        <w:rPr>
          <w:rFonts w:ascii="Arial" w:cs="Arial" w:eastAsia="Arial" w:hAnsi="Arial"/>
          <w:sz w:val="16"/>
          <w:szCs w:val="16"/>
          <w:color w:val="auto"/>
        </w:rPr>
      </w:pPr>
    </w:p>
    <w:p>
      <w:pPr>
        <w:jc w:val="both"/>
        <w:ind w:left="1260" w:hanging="496"/>
        <w:spacing w:after="0" w:line="263" w:lineRule="auto"/>
        <w:tabs>
          <w:tab w:leader="none" w:pos="1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10" w:lineRule="exact"/>
        <w:rPr>
          <w:rFonts w:ascii="Arial" w:cs="Arial" w:eastAsia="Arial" w:hAnsi="Arial"/>
          <w:sz w:val="18"/>
          <w:szCs w:val="18"/>
          <w:color w:val="auto"/>
        </w:rPr>
      </w:pPr>
    </w:p>
    <w:p>
      <w:pPr>
        <w:jc w:val="both"/>
        <w:ind w:left="1260" w:hanging="496"/>
        <w:spacing w:after="0" w:line="301" w:lineRule="auto"/>
        <w:tabs>
          <w:tab w:leader="none" w:pos="12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14.3 (</w:t>
      </w:r>
      <w:r>
        <w:rPr>
          <w:rFonts w:ascii="Arial" w:cs="Arial" w:eastAsia="Arial" w:hAnsi="Arial"/>
          <w:sz w:val="16"/>
          <w:szCs w:val="16"/>
          <w:i w:val="1"/>
          <w:iCs w:val="1"/>
          <w:color w:val="auto"/>
        </w:rPr>
        <w:t>Indemnity to the Agent</w:t>
      </w:r>
      <w:r>
        <w:rPr>
          <w:rFonts w:ascii="Arial" w:cs="Arial" w:eastAsia="Arial" w:hAnsi="Arial"/>
          <w:sz w:val="16"/>
          <w:szCs w:val="16"/>
          <w:color w:val="auto"/>
        </w:rPr>
        <w:t>) and this Clause 25 (and any agency fees for the account of the retiring Agent shall cease to accrue from (and shall be payable on) that date).</w:t>
      </w:r>
    </w:p>
    <w:p>
      <w:pPr>
        <w:spacing w:after="0" w:line="184" w:lineRule="exact"/>
        <w:rPr>
          <w:rFonts w:ascii="Arial" w:cs="Arial" w:eastAsia="Arial" w:hAnsi="Arial"/>
          <w:sz w:val="16"/>
          <w:szCs w:val="16"/>
          <w:color w:val="auto"/>
        </w:rPr>
      </w:pPr>
    </w:p>
    <w:p>
      <w:pPr>
        <w:ind w:left="1260" w:hanging="496"/>
        <w:spacing w:after="0" w:line="277" w:lineRule="auto"/>
        <w:tabs>
          <w:tab w:leader="none" w:pos="1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97" w:lineRule="exact"/>
        <w:rPr>
          <w:rFonts w:ascii="Arial" w:cs="Arial" w:eastAsia="Arial" w:hAnsi="Arial"/>
          <w:sz w:val="18"/>
          <w:szCs w:val="18"/>
          <w:color w:val="auto"/>
        </w:rPr>
      </w:pPr>
    </w:p>
    <w:p>
      <w:pPr>
        <w:jc w:val="both"/>
        <w:ind w:left="1260" w:hanging="496"/>
        <w:spacing w:after="0" w:line="254" w:lineRule="auto"/>
        <w:tabs>
          <w:tab w:leader="none" w:pos="12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Notwithstanding paragraph 25.12(a) above, the Company may, on no less than 30 days’ prior notice to the Agent, replace the Agent by requiring the Lenders to appoint a replacement Agent if any amount payable under a Finance Document by the French Borrower becomes not deductible from that French Borrower’s taxable income for French tax purposes by reason of that amount (i) being paid or accrued to an Agent incorporated or acting through an office situated in a Non-Cooperative Jurisdiction or (ii) paid to an account opened in the name, or for the benefit of, that Agent in a financial institution situated in a Non-Cooperative Jurisdiction. In this case, the Agent shall resign and a replacement Agent shall be appointed by the Majority Lenders (after consultation with the Company) within 30 days after notice of replacement was given.</w:t>
      </w: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7"/>
          <w:szCs w:val="17"/>
          <w:color w:val="auto"/>
        </w:rPr>
        <w:t>Confidentiality</w:t>
      </w:r>
    </w:p>
    <w:p>
      <w:pPr>
        <w:spacing w:after="0" w:line="252" w:lineRule="exact"/>
        <w:rPr>
          <w:sz w:val="20"/>
          <w:szCs w:val="20"/>
          <w:color w:val="auto"/>
        </w:rPr>
      </w:pPr>
    </w:p>
    <w:p>
      <w:pPr>
        <w:ind w:left="1260" w:hanging="496"/>
        <w:spacing w:after="0" w:line="277" w:lineRule="auto"/>
        <w:tabs>
          <w:tab w:leader="none" w:pos="1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368" w:lineRule="exact"/>
        <w:rPr>
          <w:rFonts w:ascii="Arial" w:cs="Arial" w:eastAsia="Arial" w:hAnsi="Arial"/>
          <w:sz w:val="18"/>
          <w:szCs w:val="18"/>
          <w:color w:val="auto"/>
        </w:rPr>
      </w:pPr>
    </w:p>
    <w:p>
      <w:pPr>
        <w:ind w:left="5560" w:hanging="92"/>
        <w:spacing w:after="0"/>
        <w:tabs>
          <w:tab w:leader="none" w:pos="556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tabs>
          <w:tab w:leader="none" w:pos="74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6"/>
          <w:szCs w:val="16"/>
          <w:color w:val="auto"/>
        </w:rPr>
        <w:t>Relationship with the Lenders</w:t>
      </w:r>
    </w:p>
    <w:p>
      <w:pPr>
        <w:spacing w:after="0" w:line="252" w:lineRule="exact"/>
        <w:rPr>
          <w:sz w:val="20"/>
          <w:szCs w:val="20"/>
          <w:color w:val="auto"/>
        </w:rPr>
      </w:pPr>
    </w:p>
    <w:p>
      <w:pPr>
        <w:jc w:val="both"/>
        <w:ind w:left="1260" w:right="20" w:hanging="496"/>
        <w:spacing w:after="0" w:line="263" w:lineRule="auto"/>
        <w:tabs>
          <w:tab w:leader="none" w:pos="12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Subject to Clause 23.8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at any time) as the Lender acting through its Facility Office:</w:t>
      </w:r>
    </w:p>
    <w:p>
      <w:pPr>
        <w:spacing w:after="0" w:line="210" w:lineRule="exact"/>
        <w:rPr>
          <w:rFonts w:ascii="Arial" w:cs="Arial" w:eastAsia="Arial" w:hAnsi="Arial"/>
          <w:sz w:val="18"/>
          <w:szCs w:val="18"/>
          <w:color w:val="auto"/>
        </w:rPr>
      </w:pPr>
    </w:p>
    <w:p>
      <w:pPr>
        <w:ind w:left="1780" w:hanging="503"/>
        <w:spacing w:after="0"/>
        <w:tabs>
          <w:tab w:leader="none" w:pos="17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90" w:lineRule="exact"/>
        <w:rPr>
          <w:sz w:val="20"/>
          <w:szCs w:val="20"/>
          <w:color w:val="auto"/>
        </w:rPr>
      </w:pPr>
    </w:p>
    <w:p>
      <w:pPr>
        <w:ind w:left="1280"/>
        <w:spacing w:after="0" w:line="250" w:lineRule="auto"/>
        <w:rPr>
          <w:sz w:val="20"/>
          <w:szCs w:val="20"/>
          <w:color w:val="auto"/>
        </w:rPr>
      </w:pPr>
      <w:r>
        <w:rPr>
          <w:rFonts w:ascii="Arial" w:cs="Arial" w:eastAsia="Arial" w:hAnsi="Arial"/>
          <w:sz w:val="22"/>
          <w:szCs w:val="22"/>
          <w:color w:val="auto"/>
        </w:rPr>
        <w:t>unless it has received not less than five Business Days' prior notice from that Lender to the contrary in accordance with the terms of this Agreement.</w:t>
      </w:r>
    </w:p>
    <w:p>
      <w:pPr>
        <w:spacing w:after="0" w:line="209" w:lineRule="exact"/>
        <w:rPr>
          <w:sz w:val="20"/>
          <w:szCs w:val="20"/>
          <w:color w:val="auto"/>
        </w:rPr>
      </w:pPr>
    </w:p>
    <w:p>
      <w:pPr>
        <w:jc w:val="both"/>
        <w:ind w:left="1260" w:hanging="496"/>
        <w:spacing w:after="0" w:line="290" w:lineRule="auto"/>
        <w:tabs>
          <w:tab w:leader="none" w:pos="12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30.6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that Lender.</w:t>
      </w:r>
    </w:p>
    <w:p>
      <w:pPr>
        <w:spacing w:after="0" w:line="192" w:lineRule="exact"/>
        <w:rPr>
          <w:rFonts w:ascii="Arial" w:cs="Arial" w:eastAsia="Arial" w:hAnsi="Arial"/>
          <w:sz w:val="16"/>
          <w:szCs w:val="16"/>
          <w:color w:val="auto"/>
        </w:rPr>
      </w:pPr>
    </w:p>
    <w:p>
      <w:pPr>
        <w:jc w:val="both"/>
        <w:ind w:left="1260" w:hanging="496"/>
        <w:spacing w:after="0" w:line="279" w:lineRule="auto"/>
        <w:tabs>
          <w:tab w:leader="none" w:pos="12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25.15</w:t>
      </w:r>
      <w:r>
        <w:rPr>
          <w:sz w:val="20"/>
          <w:szCs w:val="20"/>
          <w:color w:val="auto"/>
        </w:rPr>
        <w:tab/>
      </w:r>
      <w:r>
        <w:rPr>
          <w:rFonts w:ascii="Arial" w:cs="Arial" w:eastAsia="Arial" w:hAnsi="Arial"/>
          <w:sz w:val="16"/>
          <w:szCs w:val="16"/>
          <w:color w:val="auto"/>
        </w:rPr>
        <w:t>Credit appraisal by the Lenders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Without affecting the responsibility of any Obligor for information supplied by it or on its behalf in connection with any Finance Document, each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219" w:lineRule="exact"/>
        <w:rPr>
          <w:sz w:val="20"/>
          <w:szCs w:val="20"/>
          <w:color w:val="auto"/>
        </w:rPr>
      </w:pPr>
    </w:p>
    <w:p>
      <w:pPr>
        <w:ind w:left="1260" w:hanging="496"/>
        <w:spacing w:after="0"/>
        <w:tabs>
          <w:tab w:leader="none" w:pos="12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252" w:lineRule="exact"/>
        <w:rPr>
          <w:rFonts w:ascii="Arial" w:cs="Arial" w:eastAsia="Arial" w:hAnsi="Arial"/>
          <w:sz w:val="18"/>
          <w:szCs w:val="18"/>
          <w:color w:val="auto"/>
        </w:rPr>
      </w:pPr>
    </w:p>
    <w:p>
      <w:pPr>
        <w:ind w:left="1260" w:hanging="496"/>
        <w:spacing w:after="0" w:line="308" w:lineRule="auto"/>
        <w:tabs>
          <w:tab w:leader="none" w:pos="1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344" w:lineRule="exact"/>
        <w:rPr>
          <w:rFonts w:ascii="Arial" w:cs="Arial" w:eastAsia="Arial" w:hAnsi="Arial"/>
          <w:sz w:val="17"/>
          <w:szCs w:val="17"/>
          <w:color w:val="auto"/>
        </w:rPr>
      </w:pPr>
    </w:p>
    <w:p>
      <w:pPr>
        <w:ind w:left="5560" w:hanging="92"/>
        <w:spacing w:after="0"/>
        <w:tabs>
          <w:tab w:leader="none" w:pos="556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both"/>
        <w:ind w:left="1260" w:hanging="496"/>
        <w:spacing w:after="0" w:line="286" w:lineRule="auto"/>
        <w:tabs>
          <w:tab w:leader="none" w:pos="1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92" w:lineRule="exact"/>
        <w:rPr>
          <w:rFonts w:ascii="Arial" w:cs="Arial" w:eastAsia="Arial" w:hAnsi="Arial"/>
          <w:sz w:val="17"/>
          <w:szCs w:val="17"/>
          <w:color w:val="auto"/>
        </w:rPr>
      </w:pPr>
    </w:p>
    <w:p>
      <w:pPr>
        <w:jc w:val="both"/>
        <w:ind w:left="1260" w:hanging="496"/>
        <w:spacing w:after="0" w:line="286" w:lineRule="auto"/>
        <w:tabs>
          <w:tab w:leader="none" w:pos="1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adequacy, accuracy or completeness of any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25.16</w:t>
      </w:r>
      <w:r>
        <w:rPr>
          <w:sz w:val="20"/>
          <w:szCs w:val="20"/>
          <w:color w:val="auto"/>
        </w:rPr>
        <w:tab/>
      </w:r>
      <w:r>
        <w:rPr>
          <w:rFonts w:ascii="Arial" w:cs="Arial" w:eastAsia="Arial" w:hAnsi="Arial"/>
          <w:sz w:val="16"/>
          <w:szCs w:val="16"/>
          <w:color w:val="auto"/>
        </w:rPr>
        <w:t>Deduction from amounts payable by the Agent</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25.17</w:t>
      </w:r>
      <w:r>
        <w:rPr>
          <w:sz w:val="20"/>
          <w:szCs w:val="20"/>
          <w:color w:val="auto"/>
        </w:rPr>
        <w:tab/>
      </w:r>
      <w:r>
        <w:rPr>
          <w:rFonts w:ascii="Arial" w:cs="Arial" w:eastAsia="Arial" w:hAnsi="Arial"/>
          <w:sz w:val="16"/>
          <w:szCs w:val="16"/>
          <w:color w:val="auto"/>
        </w:rPr>
        <w:t>Abatement of fees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fees, commissions and expenses payable to the Agent for services rendered and the performance of its obligations under this Agreement shall not be abated by any remuneration or other amounts or profits receivable by the Agent (or by any of its associates) in connection with any transaction effected by the Agent with or for the Lenders or the Company.</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25.18</w:t>
      </w:r>
      <w:r>
        <w:rPr>
          <w:sz w:val="20"/>
          <w:szCs w:val="20"/>
          <w:color w:val="auto"/>
        </w:rPr>
        <w:tab/>
      </w:r>
      <w:r>
        <w:rPr>
          <w:rFonts w:ascii="Arial" w:cs="Arial" w:eastAsia="Arial" w:hAnsi="Arial"/>
          <w:sz w:val="16"/>
          <w:szCs w:val="16"/>
          <w:color w:val="auto"/>
        </w:rPr>
        <w:t>Role of Reference Banks</w:t>
      </w:r>
    </w:p>
    <w:p>
      <w:pPr>
        <w:spacing w:after="0" w:line="252" w:lineRule="exact"/>
        <w:rPr>
          <w:sz w:val="20"/>
          <w:szCs w:val="20"/>
          <w:color w:val="auto"/>
        </w:rPr>
      </w:pPr>
    </w:p>
    <w:p>
      <w:pPr>
        <w:ind w:left="1260" w:hanging="496"/>
        <w:spacing w:after="0"/>
        <w:tabs>
          <w:tab w:leader="none" w:pos="12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 Reference Bank is under any obligation to provide a quotation or any other information to the Agent.</w:t>
      </w:r>
    </w:p>
    <w:p>
      <w:pPr>
        <w:spacing w:after="0" w:line="252" w:lineRule="exact"/>
        <w:rPr>
          <w:rFonts w:ascii="Arial" w:cs="Arial" w:eastAsia="Arial" w:hAnsi="Arial"/>
          <w:sz w:val="18"/>
          <w:szCs w:val="18"/>
          <w:color w:val="auto"/>
        </w:rPr>
      </w:pPr>
    </w:p>
    <w:p>
      <w:pPr>
        <w:ind w:left="1260" w:right="20" w:hanging="496"/>
        <w:spacing w:after="0" w:line="277" w:lineRule="auto"/>
        <w:tabs>
          <w:tab w:leader="none" w:pos="12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 Reference Bank will be liable for any action taken by it under or in connection with any Finance Document, or for any Reference Bank Quotation, unless directly caused by its gross negligence or wilful misconduct.</w:t>
      </w:r>
    </w:p>
    <w:p>
      <w:pPr>
        <w:spacing w:after="0" w:line="197"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25.18.</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Reference Bank which is not a Party may rely on this Clause 25.18,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and Clause 36 (</w:t>
      </w:r>
      <w:r>
        <w:rPr>
          <w:rFonts w:ascii="Arial" w:cs="Arial" w:eastAsia="Arial" w:hAnsi="Arial"/>
          <w:sz w:val="18"/>
          <w:szCs w:val="18"/>
          <w:i w:val="1"/>
          <w:iCs w:val="1"/>
          <w:color w:val="auto"/>
        </w:rPr>
        <w:t>Confidentiality of</w:t>
      </w:r>
      <w:r>
        <w:rPr>
          <w:rFonts w:ascii="Arial" w:cs="Arial" w:eastAsia="Arial" w:hAnsi="Arial"/>
          <w:sz w:val="18"/>
          <w:szCs w:val="18"/>
          <w:color w:val="auto"/>
        </w:rPr>
        <w:t xml:space="preserve"> </w:t>
      </w:r>
      <w:r>
        <w:rPr>
          <w:rFonts w:ascii="Arial" w:cs="Arial" w:eastAsia="Arial" w:hAnsi="Arial"/>
          <w:sz w:val="18"/>
          <w:szCs w:val="18"/>
          <w:i w:val="1"/>
          <w:iCs w:val="1"/>
          <w:color w:val="auto"/>
        </w:rPr>
        <w:t>Funding Rates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760" w:hanging="752"/>
        <w:spacing w:after="0"/>
        <w:tabs>
          <w:tab w:leader="none" w:pos="7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Conduct of Business by the Finance Parties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 provision of this Agreement will:</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8"/>
        <w:spacing w:after="0"/>
        <w:tabs>
          <w:tab w:leader="none" w:pos="5520" w:val="left"/>
        </w:tabs>
        <w:numPr>
          <w:ilvl w:val="3"/>
          <w:numId w:val="261"/>
        </w:numPr>
        <w:rPr>
          <w:rFonts w:ascii="Arial" w:cs="Arial" w:eastAsia="Arial" w:hAnsi="Arial"/>
          <w:sz w:val="14"/>
          <w:szCs w:val="14"/>
          <w:color w:val="auto"/>
        </w:rPr>
      </w:pPr>
      <w:r>
        <w:rPr>
          <w:rFonts w:ascii="Arial" w:cs="Arial" w:eastAsia="Arial" w:hAnsi="Arial"/>
          <w:sz w:val="14"/>
          <w:szCs w:val="14"/>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ind w:left="1780" w:hanging="503"/>
        <w:spacing w:after="0" w:line="277" w:lineRule="auto"/>
        <w:tabs>
          <w:tab w:leader="none" w:pos="178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oblige any Finance Party to disclose any information relating to its affairs (tax or otherwise) or any computations in respect of Tax.</w:t>
      </w:r>
    </w:p>
    <w:p>
      <w:pPr>
        <w:spacing w:after="0" w:line="275" w:lineRule="exact"/>
        <w:rPr>
          <w:rFonts w:ascii="Arial" w:cs="Arial" w:eastAsia="Arial" w:hAnsi="Arial"/>
          <w:sz w:val="16"/>
          <w:szCs w:val="16"/>
          <w:color w:val="auto"/>
        </w:rPr>
      </w:pPr>
    </w:p>
    <w:p>
      <w:pPr>
        <w:ind w:left="1260" w:right="20" w:hanging="496"/>
        <w:spacing w:after="0" w:line="277" w:lineRule="auto"/>
        <w:tabs>
          <w:tab w:leader="none" w:pos="12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Lender is entitled to exercise any of its rights and discretion under the Finance Documents through any agent (including any entity appointed to act as servicer on its behalf).</w:t>
      </w:r>
    </w:p>
    <w:p>
      <w:pPr>
        <w:spacing w:after="0" w:line="197" w:lineRule="exact"/>
        <w:rPr>
          <w:rFonts w:ascii="Arial" w:cs="Arial" w:eastAsia="Arial" w:hAnsi="Arial"/>
          <w:sz w:val="18"/>
          <w:szCs w:val="18"/>
          <w:color w:val="auto"/>
        </w:rPr>
      </w:pPr>
    </w:p>
    <w:p>
      <w:pPr>
        <w:ind w:left="760" w:hanging="752"/>
        <w:spacing w:after="0"/>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Sharing among the Finance Parties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color w:val="auto"/>
        </w:rPr>
        <w:t>Payments to Finance Parties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Subject to paragraph (b) below, if a Finance Party (a "</w:t>
      </w:r>
      <w:r>
        <w:rPr>
          <w:rFonts w:ascii="Arial" w:cs="Arial" w:eastAsia="Arial" w:hAnsi="Arial"/>
          <w:sz w:val="21"/>
          <w:szCs w:val="21"/>
          <w:b w:val="1"/>
          <w:bCs w:val="1"/>
          <w:color w:val="auto"/>
        </w:rPr>
        <w:t>Recovering Finance Party</w:t>
      </w:r>
      <w:r>
        <w:rPr>
          <w:rFonts w:ascii="Arial" w:cs="Arial" w:eastAsia="Arial" w:hAnsi="Arial"/>
          <w:sz w:val="21"/>
          <w:szCs w:val="21"/>
          <w:color w:val="auto"/>
        </w:rPr>
        <w:t>") receives or recovers any amount from an Obligor other than in accordance with Clause 28 (</w:t>
      </w:r>
      <w:r>
        <w:rPr>
          <w:rFonts w:ascii="Arial" w:cs="Arial" w:eastAsia="Arial" w:hAnsi="Arial"/>
          <w:sz w:val="21"/>
          <w:szCs w:val="21"/>
          <w:i w:val="1"/>
          <w:iCs w:val="1"/>
          <w:color w:val="auto"/>
        </w:rPr>
        <w:t>Payment Mechanics</w:t>
      </w:r>
      <w:r>
        <w:rPr>
          <w:rFonts w:ascii="Arial" w:cs="Arial" w:eastAsia="Arial" w:hAnsi="Arial"/>
          <w:sz w:val="21"/>
          <w:szCs w:val="21"/>
          <w:color w:val="auto"/>
        </w:rPr>
        <w:t>) (a "</w:t>
      </w:r>
      <w:r>
        <w:rPr>
          <w:rFonts w:ascii="Arial" w:cs="Arial" w:eastAsia="Arial" w:hAnsi="Arial"/>
          <w:sz w:val="21"/>
          <w:szCs w:val="21"/>
          <w:b w:val="1"/>
          <w:bCs w:val="1"/>
          <w:color w:val="auto"/>
        </w:rPr>
        <w:t>Recovered Amount</w:t>
      </w:r>
      <w:r>
        <w:rPr>
          <w:rFonts w:ascii="Arial" w:cs="Arial" w:eastAsia="Arial" w:hAnsi="Arial"/>
          <w:sz w:val="21"/>
          <w:szCs w:val="21"/>
          <w:color w:val="auto"/>
        </w:rPr>
        <w:t>") and applies that amount to a payment due under the Finance Documents then such Recovering Finance Party shall be deemed to have been substituted for the Agent for purposes of receiving or recovering a Sharing Payment (as defined below) and:</w:t>
      </w:r>
    </w:p>
    <w:p>
      <w:pPr>
        <w:spacing w:after="0" w:line="206" w:lineRule="exact"/>
        <w:rPr>
          <w:sz w:val="20"/>
          <w:szCs w:val="20"/>
          <w:color w:val="auto"/>
        </w:rPr>
      </w:pPr>
    </w:p>
    <w:p>
      <w:pPr>
        <w:ind w:left="1260" w:hanging="496"/>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52" w:lineRule="exact"/>
        <w:rPr>
          <w:rFonts w:ascii="Arial" w:cs="Arial" w:eastAsia="Arial" w:hAnsi="Arial"/>
          <w:sz w:val="18"/>
          <w:szCs w:val="18"/>
          <w:color w:val="auto"/>
        </w:rPr>
      </w:pPr>
    </w:p>
    <w:p>
      <w:pPr>
        <w:jc w:val="both"/>
        <w:ind w:left="1260" w:hanging="496"/>
        <w:spacing w:after="0" w:line="311" w:lineRule="auto"/>
        <w:tabs>
          <w:tab w:leader="none" w:pos="12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71" w:lineRule="exact"/>
        <w:rPr>
          <w:rFonts w:ascii="Arial" w:cs="Arial" w:eastAsia="Arial" w:hAnsi="Arial"/>
          <w:sz w:val="16"/>
          <w:szCs w:val="16"/>
          <w:color w:val="auto"/>
        </w:rPr>
      </w:pPr>
    </w:p>
    <w:p>
      <w:pPr>
        <w:jc w:val="both"/>
        <w:ind w:left="1260" w:hanging="496"/>
        <w:spacing w:after="0" w:line="266" w:lineRule="auto"/>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of demand by the Agent, pay to the Agent an amount (the "</w:t>
      </w:r>
      <w:r>
        <w:rPr>
          <w:rFonts w:ascii="Arial" w:cs="Arial" w:eastAsia="Arial" w:hAnsi="Arial"/>
          <w:sz w:val="18"/>
          <w:szCs w:val="18"/>
          <w:b w:val="1"/>
          <w:bCs w:val="1"/>
          <w:color w:val="auto"/>
        </w:rPr>
        <w:t>Sharing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its share of any payment to be made, in accordance with Clause 28.6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Redistribution of payments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22"/>
          <w:szCs w:val="22"/>
          <w:b w:val="1"/>
          <w:bCs w:val="1"/>
          <w:color w:val="auto"/>
        </w:rPr>
        <w:t>Sharing Finance Parties</w:t>
      </w:r>
      <w:r>
        <w:rPr>
          <w:rFonts w:ascii="Arial" w:cs="Arial" w:eastAsia="Arial" w:hAnsi="Arial"/>
          <w:sz w:val="22"/>
          <w:szCs w:val="22"/>
          <w:color w:val="auto"/>
        </w:rPr>
        <w:t>") in accordance with Clause 28.6 (</w:t>
      </w:r>
      <w:r>
        <w:rPr>
          <w:rFonts w:ascii="Arial" w:cs="Arial" w:eastAsia="Arial" w:hAnsi="Arial"/>
          <w:sz w:val="22"/>
          <w:szCs w:val="22"/>
          <w:i w:val="1"/>
          <w:iCs w:val="1"/>
          <w:color w:val="auto"/>
        </w:rPr>
        <w:t>Partial</w:t>
      </w:r>
      <w:r>
        <w:rPr>
          <w:rFonts w:ascii="Arial" w:cs="Arial" w:eastAsia="Arial" w:hAnsi="Arial"/>
          <w:sz w:val="22"/>
          <w:szCs w:val="22"/>
          <w:color w:val="auto"/>
        </w:rPr>
        <w:t xml:space="preserve"> </w:t>
      </w:r>
      <w:r>
        <w:rPr>
          <w:rFonts w:ascii="Arial" w:cs="Arial" w:eastAsia="Arial" w:hAnsi="Arial"/>
          <w:sz w:val="22"/>
          <w:szCs w:val="22"/>
          <w:i w:val="1"/>
          <w:iCs w:val="1"/>
          <w:color w:val="auto"/>
        </w:rPr>
        <w:t>payments</w:t>
      </w:r>
      <w:r>
        <w:rPr>
          <w:rFonts w:ascii="Arial" w:cs="Arial" w:eastAsia="Arial" w:hAnsi="Arial"/>
          <w:sz w:val="22"/>
          <w:szCs w:val="22"/>
          <w:color w:val="auto"/>
        </w:rPr>
        <w:t>) towards the obligations of that Obligor to the Sharing Finance Parties.</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Recovering Finance Party's rights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 a distribution by the Agent under Clause 28.2 (</w:t>
      </w:r>
      <w:r>
        <w:rPr>
          <w:rFonts w:ascii="Arial" w:cs="Arial" w:eastAsia="Arial" w:hAnsi="Arial"/>
          <w:sz w:val="21"/>
          <w:szCs w:val="21"/>
          <w:i w:val="1"/>
          <w:iCs w:val="1"/>
          <w:color w:val="auto"/>
        </w:rPr>
        <w:t>Distributions by the Agent</w:t>
      </w:r>
      <w:r>
        <w:rPr>
          <w:rFonts w:ascii="Arial" w:cs="Arial" w:eastAsia="Arial" w:hAnsi="Arial"/>
          <w:sz w:val="21"/>
          <w:szCs w:val="21"/>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Reversal of redistribution</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If any part of the Sharing Payment received or recovered by a Recovering Finance Party becomes repayable and is repaid by that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Recovering Finance Party, then: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ind w:left="1260" w:hanging="496"/>
        <w:spacing w:after="0" w:line="259" w:lineRule="auto"/>
        <w:tabs>
          <w:tab w:leader="none" w:pos="12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 to the relevant Sharing Finance Party.</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color w:val="auto"/>
        </w:rPr>
        <w:t>Exceptions</w:t>
      </w:r>
    </w:p>
    <w:p>
      <w:pPr>
        <w:spacing w:after="0" w:line="252" w:lineRule="exact"/>
        <w:rPr>
          <w:sz w:val="20"/>
          <w:szCs w:val="20"/>
          <w:color w:val="auto"/>
        </w:rPr>
      </w:pPr>
    </w:p>
    <w:p>
      <w:pPr>
        <w:ind w:left="1260" w:hanging="496"/>
        <w:spacing w:after="0" w:line="277" w:lineRule="auto"/>
        <w:tabs>
          <w:tab w:leader="none" w:pos="12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Clause 27.5 shall not apply to the extent that the Recovering Finance Party would not, after making any payment pursuant to this Clause, have a valid and enforceable claim against the relevant Obligor.</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68" w:lineRule="exact"/>
        <w:rPr>
          <w:rFonts w:ascii="Arial" w:cs="Arial" w:eastAsia="Arial" w:hAnsi="Arial"/>
          <w:sz w:val="18"/>
          <w:szCs w:val="18"/>
          <w:color w:val="auto"/>
        </w:rPr>
      </w:pPr>
    </w:p>
    <w:p>
      <w:pPr>
        <w:ind w:left="5520" w:hanging="88"/>
        <w:spacing w:after="0"/>
        <w:tabs>
          <w:tab w:leader="none" w:pos="5520" w:val="left"/>
        </w:tabs>
        <w:numPr>
          <w:ilvl w:val="2"/>
          <w:numId w:val="267"/>
        </w:numPr>
        <w:rPr>
          <w:rFonts w:ascii="Arial" w:cs="Arial" w:eastAsia="Arial" w:hAnsi="Arial"/>
          <w:sz w:val="14"/>
          <w:szCs w:val="14"/>
          <w:color w:val="auto"/>
        </w:rPr>
      </w:pPr>
      <w:r>
        <w:rPr>
          <w:rFonts w:ascii="Arial" w:cs="Arial" w:eastAsia="Arial" w:hAnsi="Arial"/>
          <w:sz w:val="14"/>
          <w:szCs w:val="14"/>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22"/>
          <w:szCs w:val="22"/>
          <w:b w:val="1"/>
          <w:bCs w:val="1"/>
          <w:color w:val="auto"/>
        </w:rPr>
        <w:t>SECTION 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w:t>
      </w:r>
    </w:p>
    <w:p>
      <w:pPr>
        <w:spacing w:after="0" w:line="222" w:lineRule="exact"/>
        <w:rPr>
          <w:sz w:val="20"/>
          <w:szCs w:val="20"/>
          <w:color w:val="auto"/>
        </w:rPr>
      </w:pPr>
    </w:p>
    <w:p>
      <w:pPr>
        <w:ind w:left="760" w:hanging="752"/>
        <w:spacing w:after="0"/>
        <w:tabs>
          <w:tab w:leader="none" w:pos="7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Payment Mechanics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28.1</w:t>
      </w:r>
      <w:r>
        <w:rPr>
          <w:rFonts w:ascii="Arial" w:cs="Arial" w:eastAsia="Arial" w:hAnsi="Arial"/>
          <w:sz w:val="16"/>
          <w:szCs w:val="16"/>
          <w:color w:val="auto"/>
        </w:rPr>
        <w:t>Payments to the Agent</w:t>
      </w:r>
    </w:p>
    <w:p>
      <w:pPr>
        <w:spacing w:after="0" w:line="252"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in such Participating Member State or London, as specified by the Agent other than a Non-Cooperative Jurisdiction, and with such bank as the Agent, in each case, specifies.</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Distributions by the Agent</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Each payment received by the Agent under the Finance Documents for another Party shall, subject to Clause 28.3 (</w:t>
      </w:r>
      <w:r>
        <w:rPr>
          <w:rFonts w:ascii="Arial" w:cs="Arial" w:eastAsia="Arial" w:hAnsi="Arial"/>
          <w:sz w:val="22"/>
          <w:szCs w:val="22"/>
          <w:i w:val="1"/>
          <w:iCs w:val="1"/>
          <w:color w:val="auto"/>
        </w:rPr>
        <w:t>Distributions</w:t>
      </w:r>
      <w:r>
        <w:rPr>
          <w:rFonts w:ascii="Arial" w:cs="Arial" w:eastAsia="Arial" w:hAnsi="Arial"/>
          <w:sz w:val="22"/>
          <w:szCs w:val="22"/>
          <w:color w:val="auto"/>
        </w:rPr>
        <w:t xml:space="preserve"> </w:t>
      </w:r>
      <w:r>
        <w:rPr>
          <w:rFonts w:ascii="Arial" w:cs="Arial" w:eastAsia="Arial" w:hAnsi="Arial"/>
          <w:sz w:val="22"/>
          <w:szCs w:val="22"/>
          <w:i w:val="1"/>
          <w:iCs w:val="1"/>
          <w:color w:val="auto"/>
        </w:rPr>
        <w:t>to an Obligor</w:t>
      </w:r>
      <w:r>
        <w:rPr>
          <w:rFonts w:ascii="Arial" w:cs="Arial" w:eastAsia="Arial" w:hAnsi="Arial"/>
          <w:sz w:val="22"/>
          <w:szCs w:val="22"/>
          <w:color w:val="auto"/>
        </w:rPr>
        <w:t>) and Clause 28.4 (Clawback and pre-funding) be made available by the Agent as soon as practicable after receipt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a Participating Member State or London, as specified by that Party other than a Non-Cooperative Jurisdiction.</w:t>
      </w:r>
    </w:p>
    <w:p>
      <w:pPr>
        <w:spacing w:after="0" w:line="22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Distributions to an Obligor</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Agent may (with the consent of the Obligor or in accordance with Clause 29 (</w:t>
      </w:r>
      <w:r>
        <w:rPr>
          <w:rFonts w:ascii="Arial" w:cs="Arial" w:eastAsia="Arial" w:hAnsi="Arial"/>
          <w:sz w:val="21"/>
          <w:szCs w:val="21"/>
          <w:i w:val="1"/>
          <w:iCs w:val="1"/>
          <w:color w:val="auto"/>
        </w:rPr>
        <w:t>Set-Off</w:t>
      </w:r>
      <w:r>
        <w:rPr>
          <w:rFonts w:ascii="Arial" w:cs="Arial" w:eastAsia="Arial" w:hAnsi="Arial"/>
          <w:sz w:val="21"/>
          <w:szCs w:val="21"/>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color w:val="auto"/>
        </w:rPr>
        <w:t>Clawback and pre-funding</w:t>
      </w:r>
    </w:p>
    <w:p>
      <w:pPr>
        <w:spacing w:after="0" w:line="252" w:lineRule="exact"/>
        <w:rPr>
          <w:sz w:val="20"/>
          <w:szCs w:val="20"/>
          <w:color w:val="auto"/>
        </w:rPr>
      </w:pPr>
    </w:p>
    <w:p>
      <w:pPr>
        <w:jc w:val="both"/>
        <w:ind w:left="1260" w:hanging="496"/>
        <w:spacing w:after="0" w:line="263" w:lineRule="auto"/>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10"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13"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w:t>
      </w:r>
    </w:p>
    <w:p>
      <w:pPr>
        <w:spacing w:after="0" w:line="381" w:lineRule="exact"/>
        <w:rPr>
          <w:rFonts w:ascii="Arial" w:cs="Arial" w:eastAsia="Arial" w:hAnsi="Arial"/>
          <w:sz w:val="18"/>
          <w:szCs w:val="18"/>
          <w:color w:val="auto"/>
        </w:rPr>
      </w:pPr>
    </w:p>
    <w:p>
      <w:pPr>
        <w:ind w:left="5520" w:hanging="88"/>
        <w:spacing w:after="0"/>
        <w:tabs>
          <w:tab w:leader="none" w:pos="5520" w:val="left"/>
        </w:tabs>
        <w:numPr>
          <w:ilvl w:val="1"/>
          <w:numId w:val="269"/>
        </w:numPr>
        <w:rPr>
          <w:rFonts w:ascii="Arial" w:cs="Arial" w:eastAsia="Arial" w:hAnsi="Arial"/>
          <w:sz w:val="14"/>
          <w:szCs w:val="14"/>
          <w:color w:val="auto"/>
        </w:rPr>
      </w:pPr>
      <w:r>
        <w:rPr>
          <w:rFonts w:ascii="Arial" w:cs="Arial" w:eastAsia="Arial" w:hAnsi="Arial"/>
          <w:sz w:val="14"/>
          <w:szCs w:val="14"/>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ind w:left="1780" w:hanging="503"/>
        <w:spacing w:after="0"/>
        <w:tabs>
          <w:tab w:leader="none" w:pos="17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to whom that sum was made available shall on demand refund it to the Agent; and</w:t>
      </w:r>
    </w:p>
    <w:p>
      <w:pPr>
        <w:spacing w:after="0" w:line="252" w:lineRule="exact"/>
        <w:rPr>
          <w:rFonts w:ascii="Arial" w:cs="Arial" w:eastAsia="Arial" w:hAnsi="Arial"/>
          <w:sz w:val="18"/>
          <w:szCs w:val="18"/>
          <w:color w:val="auto"/>
        </w:rPr>
      </w:pPr>
    </w:p>
    <w:p>
      <w:pPr>
        <w:jc w:val="both"/>
        <w:ind w:left="1780" w:hanging="503"/>
        <w:spacing w:after="0" w:line="286" w:lineRule="auto"/>
        <w:tabs>
          <w:tab w:leader="none" w:pos="17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color w:val="auto"/>
        </w:rPr>
        <w:t>Impaired Agent</w:t>
      </w:r>
    </w:p>
    <w:p>
      <w:pPr>
        <w:spacing w:after="0" w:line="252" w:lineRule="exact"/>
        <w:rPr>
          <w:sz w:val="20"/>
          <w:szCs w:val="20"/>
          <w:color w:val="auto"/>
        </w:rPr>
      </w:pPr>
    </w:p>
    <w:p>
      <w:pPr>
        <w:ind w:left="1260" w:hanging="496"/>
        <w:spacing w:after="0" w:line="277" w:lineRule="auto"/>
        <w:tabs>
          <w:tab w:leader="none" w:pos="12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28.1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pay that amount directly to the required recipient(s); or</w:t>
      </w:r>
    </w:p>
    <w:p>
      <w:pPr>
        <w:spacing w:after="0" w:line="252" w:lineRule="exact"/>
        <w:rPr>
          <w:rFonts w:ascii="Arial" w:cs="Arial" w:eastAsia="Arial" w:hAnsi="Arial"/>
          <w:sz w:val="18"/>
          <w:szCs w:val="18"/>
          <w:color w:val="auto"/>
        </w:rPr>
      </w:pPr>
    </w:p>
    <w:p>
      <w:pPr>
        <w:jc w:val="both"/>
        <w:ind w:left="1780" w:hanging="503"/>
        <w:spacing w:after="0" w:line="275" w:lineRule="auto"/>
        <w:tabs>
          <w:tab w:leader="none" w:pos="178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if in its absolute discretion it considers that it is not reasonably practicable to pay that amount directly to the required recipient(s), pay that amount or the relevant part of that amount to an interest-bearing account held with a bank or financial institution and in relation to which no Insolvency Event has occurred and is continuing, in the name of the Obligor or the Lender making the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beneficially entitled to that payment under the 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In each case such payments must be made on the due date for payment under the Finance Documents.</w:t>
      </w:r>
    </w:p>
    <w:p>
      <w:pPr>
        <w:spacing w:after="0" w:line="240" w:lineRule="exact"/>
        <w:rPr>
          <w:sz w:val="20"/>
          <w:szCs w:val="20"/>
          <w:color w:val="auto"/>
        </w:rPr>
      </w:pPr>
    </w:p>
    <w:p>
      <w:pPr>
        <w:ind w:left="1260" w:hanging="496"/>
        <w:spacing w:after="0" w:line="277" w:lineRule="auto"/>
        <w:tabs>
          <w:tab w:leader="none" w:pos="1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97" w:lineRule="exact"/>
        <w:rPr>
          <w:rFonts w:ascii="Arial" w:cs="Arial" w:eastAsia="Arial" w:hAnsi="Arial"/>
          <w:sz w:val="18"/>
          <w:szCs w:val="18"/>
          <w:color w:val="auto"/>
        </w:rPr>
      </w:pPr>
    </w:p>
    <w:p>
      <w:pPr>
        <w:ind w:left="1260" w:right="20" w:hanging="496"/>
        <w:spacing w:after="0" w:line="342" w:lineRule="auto"/>
        <w:tabs>
          <w:tab w:leader="none" w:pos="12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this Clause 28.5 shall be discharged of the relevant payment obligation under the Finance Documents and shall not take any credit risk with respect to the amounts standing to the credit of the trust account.</w:t>
      </w:r>
    </w:p>
    <w:p>
      <w:pPr>
        <w:spacing w:after="0" w:line="150" w:lineRule="exact"/>
        <w:rPr>
          <w:rFonts w:ascii="Arial" w:cs="Arial" w:eastAsia="Arial" w:hAnsi="Arial"/>
          <w:sz w:val="16"/>
          <w:szCs w:val="16"/>
          <w:color w:val="auto"/>
        </w:rPr>
      </w:pPr>
    </w:p>
    <w:p>
      <w:pPr>
        <w:jc w:val="both"/>
        <w:ind w:left="1260" w:hanging="496"/>
        <w:spacing w:after="0" w:line="301" w:lineRule="auto"/>
        <w:tabs>
          <w:tab w:leader="none" w:pos="12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Promptly upon the appointment of a successor Agent in accordance with Clause 25.12 (</w:t>
      </w:r>
      <w:r>
        <w:rPr>
          <w:rFonts w:ascii="Arial" w:cs="Arial" w:eastAsia="Arial" w:hAnsi="Arial"/>
          <w:sz w:val="16"/>
          <w:szCs w:val="16"/>
          <w:i w:val="1"/>
          <w:iCs w:val="1"/>
          <w:color w:val="auto"/>
        </w:rPr>
        <w:t>Replacement of the Agent</w:t>
      </w:r>
      <w:r>
        <w:rPr>
          <w:rFonts w:ascii="Arial" w:cs="Arial" w:eastAsia="Arial" w:hAnsi="Arial"/>
          <w:sz w:val="16"/>
          <w:szCs w:val="16"/>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28.2 (</w:t>
      </w:r>
      <w:r>
        <w:rPr>
          <w:rFonts w:ascii="Arial" w:cs="Arial" w:eastAsia="Arial" w:hAnsi="Arial"/>
          <w:sz w:val="16"/>
          <w:szCs w:val="16"/>
          <w:i w:val="1"/>
          <w:iCs w:val="1"/>
          <w:color w:val="auto"/>
        </w:rPr>
        <w:t>Distributions by the Agent</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left="1260" w:hanging="496"/>
        <w:spacing w:after="0"/>
        <w:tabs>
          <w:tab w:leader="none" w:pos="1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252" w:lineRule="exact"/>
        <w:rPr>
          <w:rFonts w:ascii="Arial" w:cs="Arial" w:eastAsia="Arial" w:hAnsi="Arial"/>
          <w:sz w:val="18"/>
          <w:szCs w:val="18"/>
          <w:color w:val="auto"/>
        </w:rPr>
      </w:pPr>
    </w:p>
    <w:p>
      <w:pPr>
        <w:ind w:left="1780" w:hanging="503"/>
        <w:spacing w:after="0" w:line="308" w:lineRule="auto"/>
        <w:tabs>
          <w:tab w:leader="none" w:pos="17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that it has been provided with the necessary information by that Recipient Party, give all requisite instructions to the bank with whom the trust account is held to transfer the relevant amount (together with any accrued interest) to that Recipient Party.</w:t>
      </w:r>
    </w:p>
    <w:p>
      <w:pPr>
        <w:spacing w:after="0" w:line="344" w:lineRule="exact"/>
        <w:rPr>
          <w:rFonts w:ascii="Arial" w:cs="Arial" w:eastAsia="Arial" w:hAnsi="Arial"/>
          <w:sz w:val="17"/>
          <w:szCs w:val="17"/>
          <w:color w:val="auto"/>
        </w:rPr>
      </w:pPr>
    </w:p>
    <w:p>
      <w:pPr>
        <w:ind w:left="5520" w:hanging="88"/>
        <w:spacing w:after="0"/>
        <w:tabs>
          <w:tab w:leader="none" w:pos="5520" w:val="left"/>
        </w:tabs>
        <w:numPr>
          <w:ilvl w:val="2"/>
          <w:numId w:val="272"/>
        </w:numPr>
        <w:rPr>
          <w:rFonts w:ascii="Arial" w:cs="Arial" w:eastAsia="Arial" w:hAnsi="Arial"/>
          <w:sz w:val="14"/>
          <w:szCs w:val="14"/>
          <w:color w:val="auto"/>
        </w:rPr>
      </w:pPr>
      <w:r>
        <w:rPr>
          <w:rFonts w:ascii="Arial" w:cs="Arial" w:eastAsia="Arial" w:hAnsi="Arial"/>
          <w:sz w:val="14"/>
          <w:szCs w:val="14"/>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tabs>
          <w:tab w:leader="none" w:pos="74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Partial payments</w:t>
      </w:r>
    </w:p>
    <w:p>
      <w:pPr>
        <w:spacing w:after="0" w:line="252" w:lineRule="exact"/>
        <w:rPr>
          <w:sz w:val="20"/>
          <w:szCs w:val="20"/>
          <w:color w:val="auto"/>
        </w:rPr>
      </w:pPr>
    </w:p>
    <w:p>
      <w:pPr>
        <w:jc w:val="both"/>
        <w:ind w:left="1260" w:right="20" w:hanging="496"/>
        <w:spacing w:after="0" w:line="263" w:lineRule="auto"/>
        <w:tabs>
          <w:tab w:leader="none" w:pos="12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206" w:lineRule="exact"/>
        <w:rPr>
          <w:rFonts w:ascii="Arial" w:cs="Arial" w:eastAsia="Arial" w:hAnsi="Arial"/>
          <w:sz w:val="18"/>
          <w:szCs w:val="18"/>
          <w:color w:val="auto"/>
        </w:rPr>
      </w:pPr>
    </w:p>
    <w:p>
      <w:pPr>
        <w:ind w:left="1780" w:hanging="503"/>
        <w:spacing w:after="0"/>
        <w:tabs>
          <w:tab w:leader="none" w:pos="1780"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73"/>
        </w:numPr>
        <w:rPr>
          <w:rFonts w:ascii="Arial" w:cs="Arial" w:eastAsia="Arial" w:hAnsi="Arial"/>
          <w:sz w:val="17"/>
          <w:szCs w:val="17"/>
          <w:color w:val="auto"/>
        </w:rPr>
      </w:pPr>
      <w:r>
        <w:rPr>
          <w:rFonts w:ascii="Arial" w:cs="Arial" w:eastAsia="Arial" w:hAnsi="Arial"/>
          <w:sz w:val="17"/>
          <w:szCs w:val="17"/>
          <w:b w:val="1"/>
          <w:bCs w:val="1"/>
          <w:color w:val="auto"/>
        </w:rPr>
        <w:t>secondly</w:t>
      </w:r>
      <w:r>
        <w:rPr>
          <w:rFonts w:ascii="Arial" w:cs="Arial" w:eastAsia="Arial" w:hAnsi="Arial"/>
          <w:sz w:val="17"/>
          <w:szCs w:val="17"/>
          <w:color w:val="auto"/>
        </w:rPr>
        <w:t>, in or towards payment pro rata of any accrued interest, fee or commission due but unpaid under this Agreement;</w:t>
      </w:r>
    </w:p>
    <w:p>
      <w:pPr>
        <w:spacing w:after="0" w:line="263" w:lineRule="exact"/>
        <w:rPr>
          <w:rFonts w:ascii="Arial" w:cs="Arial" w:eastAsia="Arial" w:hAnsi="Arial"/>
          <w:sz w:val="17"/>
          <w:szCs w:val="17"/>
          <w:color w:val="auto"/>
        </w:rPr>
      </w:pPr>
    </w:p>
    <w:p>
      <w:pPr>
        <w:ind w:left="1780" w:hanging="503"/>
        <w:spacing w:after="0"/>
        <w:tabs>
          <w:tab w:leader="none" w:pos="1780"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256" w:lineRule="exact"/>
        <w:rPr>
          <w:rFonts w:ascii="Arial" w:cs="Arial" w:eastAsia="Arial" w:hAnsi="Arial"/>
          <w:sz w:val="18"/>
          <w:szCs w:val="18"/>
          <w:color w:val="auto"/>
        </w:rPr>
      </w:pPr>
    </w:p>
    <w:p>
      <w:pPr>
        <w:ind w:left="1260" w:hanging="496"/>
        <w:spacing w:after="0"/>
        <w:tabs>
          <w:tab w:leader="none" w:pos="12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(iv) above.</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 Obligor.</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7"/>
          <w:szCs w:val="17"/>
          <w:color w:val="auto"/>
        </w:rPr>
        <w:t>No set-off by Obligor</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All payments to be made by an Obligor under the Finance Documents shall be calculated and be made without (and free and clear of any deduction for) set-off or counterclaim.</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color w:val="auto"/>
        </w:rPr>
        <w:t>Business Days</w:t>
      </w:r>
    </w:p>
    <w:p>
      <w:pPr>
        <w:spacing w:after="0" w:line="252" w:lineRule="exact"/>
        <w:rPr>
          <w:sz w:val="20"/>
          <w:szCs w:val="20"/>
          <w:color w:val="auto"/>
        </w:rPr>
      </w:pPr>
    </w:p>
    <w:p>
      <w:pPr>
        <w:ind w:left="1260" w:hanging="496"/>
        <w:spacing w:after="0" w:line="277" w:lineRule="auto"/>
        <w:tabs>
          <w:tab w:leader="none" w:pos="12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color w:val="auto"/>
        </w:rPr>
        <w:t>Currency of account</w:t>
      </w:r>
    </w:p>
    <w:p>
      <w:pPr>
        <w:spacing w:after="0" w:line="252" w:lineRule="exact"/>
        <w:rPr>
          <w:sz w:val="20"/>
          <w:szCs w:val="20"/>
          <w:color w:val="auto"/>
        </w:rPr>
      </w:pPr>
    </w:p>
    <w:p>
      <w:pPr>
        <w:ind w:left="1260" w:hanging="496"/>
        <w:spacing w:after="0" w:line="277" w:lineRule="auto"/>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paragraphs (b) to (e) below, euro is the currency of account and payment for any sum due from an Obligor under any Finance Document.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repayment of a Utilisation or Unpaid Sum or a part of a Utilisation or Unpaid Sum shall be made in the currency in which that Utilisation or Unpaid Sum is denominated, pursuant to this Agreement, on its due date.</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pursuant to this Agreement, when that interest accrued.</w:t>
      </w:r>
    </w:p>
    <w:p>
      <w:pPr>
        <w:spacing w:after="0" w:line="368" w:lineRule="exact"/>
        <w:rPr>
          <w:rFonts w:ascii="Arial" w:cs="Arial" w:eastAsia="Arial" w:hAnsi="Arial"/>
          <w:sz w:val="18"/>
          <w:szCs w:val="18"/>
          <w:color w:val="auto"/>
        </w:rPr>
      </w:pPr>
    </w:p>
    <w:p>
      <w:pPr>
        <w:ind w:left="5520" w:hanging="88"/>
        <w:spacing w:after="0"/>
        <w:tabs>
          <w:tab w:leader="none" w:pos="552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ind w:left="1260" w:hanging="496"/>
        <w:spacing w:after="0"/>
        <w:tabs>
          <w:tab w:leader="none" w:pos="12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275" w:lineRule="exact"/>
        <w:rPr>
          <w:rFonts w:ascii="Arial" w:cs="Arial" w:eastAsia="Arial" w:hAnsi="Arial"/>
          <w:sz w:val="16"/>
          <w:szCs w:val="16"/>
          <w:color w:val="auto"/>
        </w:rPr>
      </w:pPr>
    </w:p>
    <w:p>
      <w:pPr>
        <w:ind w:left="1260" w:hanging="496"/>
        <w:spacing w:after="0"/>
        <w:tabs>
          <w:tab w:leader="none" w:pos="12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euro shall be paid in that other currency.</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28.10</w:t>
      </w:r>
      <w:r>
        <w:rPr>
          <w:sz w:val="20"/>
          <w:szCs w:val="20"/>
          <w:color w:val="auto"/>
        </w:rPr>
        <w:tab/>
      </w:r>
      <w:r>
        <w:rPr>
          <w:rFonts w:ascii="Arial" w:cs="Arial" w:eastAsia="Arial" w:hAnsi="Arial"/>
          <w:sz w:val="16"/>
          <w:szCs w:val="16"/>
          <w:color w:val="auto"/>
        </w:rPr>
        <w:t>Change of currency</w:t>
      </w:r>
    </w:p>
    <w:p>
      <w:pPr>
        <w:spacing w:after="0" w:line="252" w:lineRule="exact"/>
        <w:rPr>
          <w:sz w:val="20"/>
          <w:szCs w:val="20"/>
          <w:color w:val="auto"/>
        </w:rPr>
      </w:pPr>
    </w:p>
    <w:p>
      <w:pPr>
        <w:ind w:left="1260" w:hanging="496"/>
        <w:spacing w:after="0" w:line="277" w:lineRule="auto"/>
        <w:tabs>
          <w:tab w:leader="none" w:pos="1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210" w:lineRule="exact"/>
        <w:rPr>
          <w:rFonts w:ascii="Arial" w:cs="Arial" w:eastAsia="Arial" w:hAnsi="Arial"/>
          <w:sz w:val="18"/>
          <w:szCs w:val="18"/>
          <w:color w:val="auto"/>
        </w:rPr>
      </w:pPr>
    </w:p>
    <w:p>
      <w:pPr>
        <w:ind w:left="1780" w:hanging="503"/>
        <w:spacing w:after="0" w:line="308" w:lineRule="auto"/>
        <w:tabs>
          <w:tab w:leader="none" w:pos="178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73" w:lineRule="exact"/>
        <w:rPr>
          <w:rFonts w:ascii="Arial" w:cs="Arial" w:eastAsia="Arial" w:hAnsi="Arial"/>
          <w:sz w:val="17"/>
          <w:szCs w:val="17"/>
          <w:color w:val="auto"/>
        </w:rPr>
      </w:pPr>
    </w:p>
    <w:p>
      <w:pPr>
        <w:jc w:val="both"/>
        <w:ind w:left="1260" w:hanging="496"/>
        <w:spacing w:after="0" w:line="263" w:lineRule="auto"/>
        <w:tabs>
          <w:tab w:leader="none" w:pos="1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28.11</w:t>
      </w:r>
      <w:r>
        <w:rPr>
          <w:sz w:val="20"/>
          <w:szCs w:val="20"/>
          <w:color w:val="auto"/>
        </w:rPr>
        <w:tab/>
      </w:r>
      <w:r>
        <w:rPr>
          <w:rFonts w:ascii="Arial" w:cs="Arial" w:eastAsia="Arial" w:hAnsi="Arial"/>
          <w:sz w:val="16"/>
          <w:szCs w:val="16"/>
          <w:color w:val="auto"/>
        </w:rPr>
        <w:t>Disruption to payment systems etc.</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either the Agent determines (in its discretion) that a Disruption Event has occurred or the Agent is notified by the Company that a Disruption Event has occurred:</w:t>
      </w:r>
    </w:p>
    <w:p>
      <w:pPr>
        <w:spacing w:after="0" w:line="209" w:lineRule="exact"/>
        <w:rPr>
          <w:sz w:val="20"/>
          <w:szCs w:val="20"/>
          <w:color w:val="auto"/>
        </w:rPr>
      </w:pPr>
    </w:p>
    <w:p>
      <w:pPr>
        <w:ind w:left="1260" w:hanging="496"/>
        <w:spacing w:after="0" w:line="308" w:lineRule="auto"/>
        <w:tabs>
          <w:tab w:leader="none" w:pos="12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Company, consult with the Company with a view to agreeing with the Company such changes to the operation or administration of the Facility as the Agent may deem necessary in the circumstances;</w:t>
      </w:r>
    </w:p>
    <w:p>
      <w:pPr>
        <w:spacing w:after="0" w:line="173" w:lineRule="exact"/>
        <w:rPr>
          <w:rFonts w:ascii="Arial" w:cs="Arial" w:eastAsia="Arial" w:hAnsi="Arial"/>
          <w:sz w:val="17"/>
          <w:szCs w:val="17"/>
          <w:color w:val="auto"/>
        </w:rPr>
      </w:pPr>
    </w:p>
    <w:p>
      <w:pPr>
        <w:ind w:left="1260" w:hanging="496"/>
        <w:spacing w:after="0" w:line="308" w:lineRule="auto"/>
        <w:tabs>
          <w:tab w:leader="none" w:pos="12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Company in relation to any changes mentioned in paragraph (a) if, in its opinion, it is not practicable to do so in the circumstances and, in any event, shall have no obligation to agree to such changes;</w:t>
      </w:r>
    </w:p>
    <w:p>
      <w:pPr>
        <w:spacing w:after="0" w:line="173" w:lineRule="exact"/>
        <w:rPr>
          <w:rFonts w:ascii="Arial" w:cs="Arial" w:eastAsia="Arial" w:hAnsi="Arial"/>
          <w:sz w:val="17"/>
          <w:szCs w:val="17"/>
          <w:color w:val="auto"/>
        </w:rPr>
      </w:pPr>
    </w:p>
    <w:p>
      <w:pPr>
        <w:ind w:left="1260" w:right="20" w:hanging="496"/>
        <w:spacing w:after="0" w:line="277" w:lineRule="auto"/>
        <w:tabs>
          <w:tab w:leader="none" w:pos="1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but shall not be obliged to do so if, in its opinion, it is not practicable to do so in the circumstances;</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34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28.11; and</w:t>
      </w:r>
    </w:p>
    <w:p>
      <w:pPr>
        <w:spacing w:after="0" w:line="384" w:lineRule="exact"/>
        <w:rPr>
          <w:rFonts w:ascii="Arial" w:cs="Arial" w:eastAsia="Arial" w:hAnsi="Arial"/>
          <w:sz w:val="18"/>
          <w:szCs w:val="18"/>
          <w:color w:val="auto"/>
        </w:rPr>
      </w:pPr>
    </w:p>
    <w:p>
      <w:pPr>
        <w:ind w:left="5520" w:hanging="88"/>
        <w:spacing w:after="0"/>
        <w:tabs>
          <w:tab w:leader="none" w:pos="5520" w:val="left"/>
        </w:tabs>
        <w:numPr>
          <w:ilvl w:val="1"/>
          <w:numId w:val="278"/>
        </w:numPr>
        <w:rPr>
          <w:rFonts w:ascii="Arial" w:cs="Arial" w:eastAsia="Arial" w:hAnsi="Arial"/>
          <w:sz w:val="14"/>
          <w:szCs w:val="14"/>
          <w:color w:val="auto"/>
        </w:rPr>
      </w:pPr>
      <w:r>
        <w:rPr>
          <w:rFonts w:ascii="Arial" w:cs="Arial" w:eastAsia="Arial" w:hAnsi="Arial"/>
          <w:sz w:val="14"/>
          <w:szCs w:val="14"/>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ind w:left="1260" w:hanging="496"/>
        <w:spacing w:after="0"/>
        <w:tabs>
          <w:tab w:leader="none" w:pos="12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Set-Off</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77" w:lineRule="exact"/>
        <w:rPr>
          <w:sz w:val="20"/>
          <w:szCs w:val="20"/>
          <w:color w:val="auto"/>
        </w:rPr>
      </w:pPr>
    </w:p>
    <w:p>
      <w:pPr>
        <w:ind w:left="760" w:hanging="752"/>
        <w:spacing w:after="0"/>
        <w:tabs>
          <w:tab w:leader="none" w:pos="7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Notices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Communications in writing</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Any communication to be made under or in connection with the Finance Documents shall be made in writing and, unless otherwise stated, may be made by letter.</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color w:val="auto"/>
        </w:rPr>
        <w:t>Addresses</w:t>
      </w:r>
    </w:p>
    <w:p>
      <w:pPr>
        <w:spacing w:after="0" w:line="245"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185" w:lineRule="exact"/>
        <w:rPr>
          <w:sz w:val="20"/>
          <w:szCs w:val="20"/>
          <w:color w:val="auto"/>
        </w:rPr>
      </w:pPr>
    </w:p>
    <w:p>
      <w:pPr>
        <w:ind w:left="1260" w:hanging="496"/>
        <w:spacing w:after="0"/>
        <w:tabs>
          <w:tab w:leader="none" w:pos="1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the case of the Company or the Subsidiary Borrower, that identified with its name below;</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the case of each Lender, that notified in writing to the Agent on or prior to the date on which it becomes a Party;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24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or any substitute address or department or officer as the Party may notify to the Agent (or the Agent may notify to the other Parties, if a change is made by the Agent) by not less than five Business Days' notice.</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7"/>
          <w:szCs w:val="17"/>
          <w:color w:val="auto"/>
        </w:rPr>
        <w:t>Delivery</w:t>
      </w:r>
    </w:p>
    <w:p>
      <w:pPr>
        <w:spacing w:after="0" w:line="252" w:lineRule="exact"/>
        <w:rPr>
          <w:sz w:val="20"/>
          <w:szCs w:val="20"/>
          <w:color w:val="auto"/>
        </w:rPr>
      </w:pPr>
    </w:p>
    <w:p>
      <w:pPr>
        <w:jc w:val="both"/>
        <w:ind w:left="1260" w:hanging="496"/>
        <w:spacing w:after="0" w:line="259" w:lineRule="auto"/>
        <w:tabs>
          <w:tab w:leader="none" w:pos="12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30.2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13"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8"/>
        <w:spacing w:after="0"/>
        <w:tabs>
          <w:tab w:leader="none" w:pos="5520" w:val="left"/>
        </w:tabs>
        <w:numPr>
          <w:ilvl w:val="1"/>
          <w:numId w:val="283"/>
        </w:numPr>
        <w:rPr>
          <w:rFonts w:ascii="Arial" w:cs="Arial" w:eastAsia="Arial" w:hAnsi="Arial"/>
          <w:sz w:val="14"/>
          <w:szCs w:val="14"/>
          <w:color w:val="auto"/>
        </w:rPr>
      </w:pPr>
      <w:r>
        <w:rPr>
          <w:rFonts w:ascii="Arial" w:cs="Arial" w:eastAsia="Arial" w:hAnsi="Arial"/>
          <w:sz w:val="14"/>
          <w:szCs w:val="14"/>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ind w:left="1260" w:hanging="496"/>
        <w:spacing w:after="0" w:line="277" w:lineRule="auto"/>
        <w:tabs>
          <w:tab w:leader="none" w:pos="12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Company in accordance with this Clause will be deemed to have been made or delivered to each of the Obligors.</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Notification of address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Promptly upon changing its address, the Agent shall notify the other Parties.</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Communication when Agent is Impaired Agent</w:t>
      </w:r>
    </w:p>
    <w:p>
      <w:pPr>
        <w:spacing w:after="0" w:line="24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color w:val="auto"/>
        </w:rPr>
        <w:t>Electronic communication</w:t>
      </w:r>
    </w:p>
    <w:p>
      <w:pPr>
        <w:spacing w:after="0" w:line="252" w:lineRule="exact"/>
        <w:rPr>
          <w:sz w:val="20"/>
          <w:szCs w:val="20"/>
          <w:color w:val="auto"/>
        </w:rPr>
      </w:pPr>
    </w:p>
    <w:p>
      <w:pPr>
        <w:ind w:left="1260" w:hanging="496"/>
        <w:spacing w:after="0" w:line="308" w:lineRule="auto"/>
        <w:tabs>
          <w:tab w:leader="none" w:pos="12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173"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97"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210"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30.6.</w:t>
      </w:r>
    </w:p>
    <w:p>
      <w:pPr>
        <w:spacing w:after="0" w:line="368" w:lineRule="exact"/>
        <w:rPr>
          <w:rFonts w:ascii="Arial" w:cs="Arial" w:eastAsia="Arial" w:hAnsi="Arial"/>
          <w:sz w:val="18"/>
          <w:szCs w:val="18"/>
          <w:color w:val="auto"/>
        </w:rPr>
      </w:pPr>
    </w:p>
    <w:p>
      <w:pPr>
        <w:ind w:left="5520" w:hanging="88"/>
        <w:spacing w:after="0"/>
        <w:tabs>
          <w:tab w:leader="none" w:pos="5520" w:val="left"/>
        </w:tabs>
        <w:numPr>
          <w:ilvl w:val="2"/>
          <w:numId w:val="285"/>
        </w:numPr>
        <w:rPr>
          <w:rFonts w:ascii="Arial" w:cs="Arial" w:eastAsia="Arial" w:hAnsi="Arial"/>
          <w:sz w:val="14"/>
          <w:szCs w:val="14"/>
          <w:color w:val="auto"/>
        </w:rPr>
      </w:pPr>
      <w:r>
        <w:rPr>
          <w:rFonts w:ascii="Arial" w:cs="Arial" w:eastAsia="Arial" w:hAnsi="Arial"/>
          <w:sz w:val="14"/>
          <w:szCs w:val="14"/>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tabs>
          <w:tab w:leader="none" w:pos="74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color w:val="auto"/>
        </w:rPr>
        <w:t>English language</w:t>
      </w:r>
    </w:p>
    <w:p>
      <w:pPr>
        <w:spacing w:after="0" w:line="252" w:lineRule="exact"/>
        <w:rPr>
          <w:sz w:val="20"/>
          <w:szCs w:val="20"/>
          <w:color w:val="auto"/>
        </w:rPr>
      </w:pPr>
    </w:p>
    <w:p>
      <w:pPr>
        <w:ind w:left="1260" w:hanging="496"/>
        <w:spacing w:after="0"/>
        <w:tabs>
          <w:tab w:leader="none" w:pos="1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52" w:lineRule="exact"/>
        <w:rPr>
          <w:sz w:val="20"/>
          <w:szCs w:val="20"/>
          <w:color w:val="auto"/>
        </w:rPr>
      </w:pPr>
    </w:p>
    <w:p>
      <w:pPr>
        <w:ind w:left="1940" w:hanging="663"/>
        <w:spacing w:after="0" w:line="277" w:lineRule="auto"/>
        <w:tabs>
          <w:tab w:leader="none" w:pos="19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97" w:lineRule="exact"/>
        <w:rPr>
          <w:rFonts w:ascii="Arial" w:cs="Arial" w:eastAsia="Arial" w:hAnsi="Arial"/>
          <w:sz w:val="18"/>
          <w:szCs w:val="18"/>
          <w:color w:val="auto"/>
        </w:rPr>
      </w:pPr>
    </w:p>
    <w:p>
      <w:pPr>
        <w:ind w:left="760" w:hanging="752"/>
        <w:spacing w:after="0"/>
        <w:tabs>
          <w:tab w:leader="none" w:pos="7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Calculations and Certificates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Accounts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Certificates and Determinations</w:t>
      </w:r>
    </w:p>
    <w:p>
      <w:pPr>
        <w:spacing w:after="0" w:line="24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Any certification or determination by a Finance Party of a rate or amount under any Finance Document is, in the absence of manifest error, conclusive evidence of the matters to which it relates.</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Day count convention</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Save where expressly provided otherwise, any interest, commission or fee accruing under a Finance Document will accrue from day to day and is calculated on the basis of the actual number of days elapsed and a year of 360 days.</w:t>
      </w:r>
    </w:p>
    <w:p>
      <w:pPr>
        <w:spacing w:after="0" w:line="209" w:lineRule="exact"/>
        <w:rPr>
          <w:sz w:val="20"/>
          <w:szCs w:val="20"/>
          <w:color w:val="auto"/>
        </w:rPr>
      </w:pPr>
    </w:p>
    <w:p>
      <w:pPr>
        <w:ind w:left="760" w:hanging="752"/>
        <w:spacing w:after="0"/>
        <w:tabs>
          <w:tab w:leader="none" w:pos="7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Partial Invalidity</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203" w:lineRule="exact"/>
        <w:rPr>
          <w:sz w:val="20"/>
          <w:szCs w:val="20"/>
          <w:color w:val="auto"/>
        </w:rPr>
      </w:pPr>
    </w:p>
    <w:p>
      <w:pPr>
        <w:ind w:left="760" w:hanging="752"/>
        <w:spacing w:after="0"/>
        <w:tabs>
          <w:tab w:leader="none" w:pos="7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Remedies, Waivers and hardship</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33.1</w:t>
      </w:r>
      <w:r>
        <w:rPr>
          <w:rFonts w:ascii="Arial" w:cs="Arial" w:eastAsia="Arial" w:hAnsi="Arial"/>
          <w:sz w:val="16"/>
          <w:szCs w:val="16"/>
          <w:color w:val="auto"/>
        </w:rPr>
        <w:t>Remedies and waivers</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subject to Clause 33.2 (</w:t>
      </w:r>
      <w:r>
        <w:rPr>
          <w:rFonts w:ascii="Arial" w:cs="Arial" w:eastAsia="Arial" w:hAnsi="Arial"/>
          <w:sz w:val="22"/>
          <w:szCs w:val="22"/>
          <w:i w:val="1"/>
          <w:iCs w:val="1"/>
          <w:color w:val="auto"/>
        </w:rPr>
        <w:t>No hardship</w:t>
      </w:r>
      <w:r>
        <w:rPr>
          <w:rFonts w:ascii="Arial" w:cs="Arial" w:eastAsia="Arial" w:hAnsi="Arial"/>
          <w:sz w:val="22"/>
          <w:szCs w:val="22"/>
          <w:color w:val="auto"/>
        </w:rPr>
        <w:t>) not exclusive of any rights or remedies provided by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tabs>
          <w:tab w:leader="none" w:pos="7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No hardship</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Each Party hereby acknowledges that the provisions of article 1195 of the French Code </w:t>
      </w:r>
      <w:r>
        <w:rPr>
          <w:rFonts w:ascii="Arial" w:cs="Arial" w:eastAsia="Arial" w:hAnsi="Arial"/>
          <w:sz w:val="22"/>
          <w:szCs w:val="22"/>
          <w:i w:val="1"/>
          <w:iCs w:val="1"/>
          <w:color w:val="auto"/>
        </w:rPr>
        <w:t>civil</w:t>
      </w:r>
      <w:r>
        <w:rPr>
          <w:rFonts w:ascii="Arial" w:cs="Arial" w:eastAsia="Arial" w:hAnsi="Arial"/>
          <w:sz w:val="22"/>
          <w:szCs w:val="22"/>
          <w:color w:val="auto"/>
        </w:rPr>
        <w:t xml:space="preserve"> shall not apply to it with respect to its obligations under the Finance Documents and that it shall not be entitled to make any claim under article 1195 of the French </w:t>
      </w:r>
      <w:r>
        <w:rPr>
          <w:rFonts w:ascii="Arial" w:cs="Arial" w:eastAsia="Arial" w:hAnsi="Arial"/>
          <w:sz w:val="22"/>
          <w:szCs w:val="22"/>
          <w:i w:val="1"/>
          <w:iCs w:val="1"/>
          <w:color w:val="auto"/>
        </w:rPr>
        <w:t>Code civil</w:t>
      </w:r>
      <w:r>
        <w:rPr>
          <w:rFonts w:ascii="Arial" w:cs="Arial" w:eastAsia="Arial" w:hAnsi="Arial"/>
          <w:sz w:val="22"/>
          <w:szCs w:val="22"/>
          <w:color w:val="auto"/>
        </w:rPr>
        <w:t>.</w:t>
      </w:r>
    </w:p>
    <w:p>
      <w:pPr>
        <w:spacing w:after="0" w:line="220" w:lineRule="exact"/>
        <w:rPr>
          <w:sz w:val="20"/>
          <w:szCs w:val="20"/>
          <w:color w:val="auto"/>
        </w:rPr>
      </w:pPr>
    </w:p>
    <w:p>
      <w:pPr>
        <w:ind w:left="760" w:hanging="752"/>
        <w:spacing w:after="0"/>
        <w:tabs>
          <w:tab w:leader="none" w:pos="7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Amendments and Waivers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34.1</w:t>
      </w:r>
      <w:r>
        <w:rPr>
          <w:rFonts w:ascii="Arial" w:cs="Arial" w:eastAsia="Arial" w:hAnsi="Arial"/>
          <w:sz w:val="15"/>
          <w:szCs w:val="15"/>
          <w:color w:val="auto"/>
        </w:rPr>
        <w:t>Required consents</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Subject to Clause 34.2 (</w:t>
      </w:r>
      <w:r>
        <w:rPr>
          <w:rFonts w:ascii="Arial" w:cs="Arial" w:eastAsia="Arial" w:hAnsi="Arial"/>
          <w:sz w:val="18"/>
          <w:szCs w:val="18"/>
          <w:i w:val="1"/>
          <w:iCs w:val="1"/>
          <w:color w:val="auto"/>
        </w:rPr>
        <w:t>All Lender matters</w:t>
      </w:r>
      <w:r>
        <w:rPr>
          <w:rFonts w:ascii="Arial" w:cs="Arial" w:eastAsia="Arial" w:hAnsi="Arial"/>
          <w:sz w:val="18"/>
          <w:szCs w:val="18"/>
          <w:color w:val="auto"/>
        </w:rPr>
        <w:t>), Clause 34.3 (</w:t>
      </w:r>
      <w:r>
        <w:rPr>
          <w:rFonts w:ascii="Arial" w:cs="Arial" w:eastAsia="Arial" w:hAnsi="Arial"/>
          <w:sz w:val="18"/>
          <w:szCs w:val="18"/>
          <w:i w:val="1"/>
          <w:iCs w:val="1"/>
          <w:color w:val="auto"/>
        </w:rPr>
        <w:t>Affected Lender Matters</w:t>
      </w:r>
      <w:r>
        <w:rPr>
          <w:rFonts w:ascii="Arial" w:cs="Arial" w:eastAsia="Arial" w:hAnsi="Arial"/>
          <w:sz w:val="18"/>
          <w:szCs w:val="18"/>
          <w:color w:val="auto"/>
        </w:rPr>
        <w:t>) and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the Company. Any such amendment or waiver will be binding on all Parties.</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34.</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All Lender matters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Subject to Clause 34.4 (</w:t>
      </w:r>
      <w:r>
        <w:rPr>
          <w:rFonts w:ascii="Arial" w:cs="Arial" w:eastAsia="Arial" w:hAnsi="Arial"/>
          <w:sz w:val="22"/>
          <w:szCs w:val="22"/>
          <w:i w:val="1"/>
          <w:iCs w:val="1"/>
          <w:color w:val="auto"/>
        </w:rPr>
        <w:t>Other exceptions</w:t>
      </w:r>
      <w:r>
        <w:rPr>
          <w:rFonts w:ascii="Arial" w:cs="Arial" w:eastAsia="Arial" w:hAnsi="Arial"/>
          <w:sz w:val="22"/>
          <w:szCs w:val="22"/>
          <w:color w:val="auto"/>
        </w:rPr>
        <w:t>), an amendment or waiver of any term of any Finance Document that has the effect of changing or which relates to:</w:t>
      </w:r>
    </w:p>
    <w:p>
      <w:pPr>
        <w:spacing w:after="0" w:line="209" w:lineRule="exact"/>
        <w:rPr>
          <w:sz w:val="20"/>
          <w:szCs w:val="20"/>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reduction in the amount of any payment of principal, interest, fees or commission payable or a reduction in the Margin;</w:t>
      </w:r>
    </w:p>
    <w:p>
      <w:pPr>
        <w:spacing w:after="0" w:line="252" w:lineRule="exact"/>
        <w:rPr>
          <w:rFonts w:ascii="Arial" w:cs="Arial" w:eastAsia="Arial" w:hAnsi="Arial"/>
          <w:sz w:val="18"/>
          <w:szCs w:val="18"/>
          <w:color w:val="auto"/>
        </w:rPr>
      </w:pPr>
    </w:p>
    <w:p>
      <w:pPr>
        <w:ind w:left="1260" w:right="20" w:hanging="496"/>
        <w:spacing w:after="0" w:line="342" w:lineRule="auto"/>
        <w:tabs>
          <w:tab w:leader="none" w:pos="12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 increase in the Total Commitments, an extension of the Availability Period beyond the date contemplated in Clause 34.9 (</w:t>
      </w:r>
      <w:r>
        <w:rPr>
          <w:rFonts w:ascii="Arial" w:cs="Arial" w:eastAsia="Arial" w:hAnsi="Arial"/>
          <w:sz w:val="16"/>
          <w:szCs w:val="16"/>
          <w:i w:val="1"/>
          <w:iCs w:val="1"/>
          <w:color w:val="auto"/>
        </w:rPr>
        <w:t>Extension</w:t>
      </w:r>
      <w:r>
        <w:rPr>
          <w:rFonts w:ascii="Arial" w:cs="Arial" w:eastAsia="Arial" w:hAnsi="Arial"/>
          <w:sz w:val="16"/>
          <w:szCs w:val="16"/>
          <w:color w:val="auto"/>
        </w:rPr>
        <w:t xml:space="preserve"> </w:t>
      </w:r>
      <w:r>
        <w:rPr>
          <w:rFonts w:ascii="Arial" w:cs="Arial" w:eastAsia="Arial" w:hAnsi="Arial"/>
          <w:sz w:val="16"/>
          <w:szCs w:val="16"/>
          <w:i w:val="1"/>
          <w:iCs w:val="1"/>
          <w:color w:val="auto"/>
        </w:rPr>
        <w:t>Option</w:t>
      </w:r>
      <w:r>
        <w:rPr>
          <w:rFonts w:ascii="Arial" w:cs="Arial" w:eastAsia="Arial" w:hAnsi="Arial"/>
          <w:sz w:val="16"/>
          <w:szCs w:val="16"/>
          <w:color w:val="auto"/>
        </w:rPr>
        <w:t>) or any requirement that a cancellation of Commitments reduces the Commitments of the Lenders rateably under the Facility;</w:t>
      </w:r>
    </w:p>
    <w:p>
      <w:pPr>
        <w:spacing w:after="0" w:line="150" w:lineRule="exact"/>
        <w:rPr>
          <w:rFonts w:ascii="Arial" w:cs="Arial" w:eastAsia="Arial" w:hAnsi="Arial"/>
          <w:sz w:val="16"/>
          <w:szCs w:val="16"/>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change to the Obligors;</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252" w:lineRule="exact"/>
        <w:rPr>
          <w:rFonts w:ascii="Arial" w:cs="Arial" w:eastAsia="Arial" w:hAnsi="Arial"/>
          <w:sz w:val="18"/>
          <w:szCs w:val="18"/>
          <w:color w:val="auto"/>
        </w:rPr>
      </w:pPr>
    </w:p>
    <w:p>
      <w:pPr>
        <w:jc w:val="both"/>
        <w:ind w:left="1260" w:right="20" w:hanging="496"/>
        <w:spacing w:after="0" w:line="263" w:lineRule="auto"/>
        <w:tabs>
          <w:tab w:leader="none" w:pos="12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 Clause 7.3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7.8 (</w:t>
      </w:r>
      <w:r>
        <w:rPr>
          <w:rFonts w:ascii="Arial" w:cs="Arial" w:eastAsia="Arial" w:hAnsi="Arial"/>
          <w:sz w:val="18"/>
          <w:szCs w:val="18"/>
          <w:i w:val="1"/>
          <w:iCs w:val="1"/>
          <w:color w:val="auto"/>
        </w:rPr>
        <w:t>Application of prepayments</w:t>
      </w:r>
      <w:r>
        <w:rPr>
          <w:rFonts w:ascii="Arial" w:cs="Arial" w:eastAsia="Arial" w:hAnsi="Arial"/>
          <w:sz w:val="18"/>
          <w:szCs w:val="18"/>
          <w:color w:val="auto"/>
        </w:rPr>
        <w:t>), Clause 23 (</w:t>
      </w:r>
      <w:r>
        <w:rPr>
          <w:rFonts w:ascii="Arial" w:cs="Arial" w:eastAsia="Arial" w:hAnsi="Arial"/>
          <w:sz w:val="18"/>
          <w:szCs w:val="18"/>
          <w:i w:val="1"/>
          <w:iCs w:val="1"/>
          <w:color w:val="auto"/>
        </w:rPr>
        <w:t>Changes to the Lenders</w:t>
      </w:r>
      <w:r>
        <w:rPr>
          <w:rFonts w:ascii="Arial" w:cs="Arial" w:eastAsia="Arial" w:hAnsi="Arial"/>
          <w:sz w:val="18"/>
          <w:szCs w:val="18"/>
          <w:color w:val="auto"/>
        </w:rPr>
        <w:t>), Clause 27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 this Clause 34.2, Clause 39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40.1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shall not be made without the prior consent of all the Lenders.</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color w:val="auto"/>
        </w:rPr>
        <w:t>Affected Lender Matters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Subject to Clause 34.4 (</w:t>
      </w:r>
      <w:r>
        <w:rPr>
          <w:rFonts w:ascii="Arial" w:cs="Arial" w:eastAsia="Arial" w:hAnsi="Arial"/>
          <w:sz w:val="22"/>
          <w:szCs w:val="22"/>
          <w:i w:val="1"/>
          <w:iCs w:val="1"/>
          <w:color w:val="auto"/>
        </w:rPr>
        <w:t>Other exceptions</w:t>
      </w:r>
      <w:r>
        <w:rPr>
          <w:rFonts w:ascii="Arial" w:cs="Arial" w:eastAsia="Arial" w:hAnsi="Arial"/>
          <w:sz w:val="22"/>
          <w:szCs w:val="22"/>
          <w:color w:val="auto"/>
        </w:rPr>
        <w:t>), an amendment or waiver of any term of any Finance Document that has the effect of changing or which relates 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ind w:left="1260" w:hanging="496"/>
        <w:spacing w:after="0"/>
        <w:tabs>
          <w:tab w:leader="none" w:pos="12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reductions in the amount or extensions of the scheduled date of final maturity of any Loan;</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reductions in the rate of interest or any fee or extensions of any due date thereof; or</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increases in the amount or extensions of the expiry date of any Lender's Commitment;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shall not be made without the prior consent of the affected Lender.</w:t>
      </w: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color w:val="auto"/>
        </w:rPr>
        <w:t>Other exceptions</w:t>
      </w:r>
    </w:p>
    <w:p>
      <w:pPr>
        <w:spacing w:after="0" w:line="245"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An amendment or waiver which relates to the rights or obligations of the Agent or a Reference Bank (each in their capacity as such) may not be effected without the consent of the Agent or such Reference Bank, as the case may be.</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5"/>
          <w:szCs w:val="15"/>
          <w:color w:val="auto"/>
        </w:rPr>
        <w:t>Replacement of Screen Rate</w:t>
      </w:r>
    </w:p>
    <w:p>
      <w:pPr>
        <w:spacing w:after="0" w:line="252" w:lineRule="exact"/>
        <w:rPr>
          <w:sz w:val="20"/>
          <w:szCs w:val="20"/>
          <w:color w:val="auto"/>
        </w:rPr>
      </w:pPr>
    </w:p>
    <w:p>
      <w:pPr>
        <w:ind w:left="1280" w:hanging="624"/>
        <w:spacing w:after="0" w:line="277" w:lineRule="auto"/>
        <w:tabs>
          <w:tab w:leader="none" w:pos="12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Subject to Clause 34.4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any Screen Rate, any amendment or waiver which relates to:</w:t>
      </w:r>
    </w:p>
    <w:p>
      <w:pPr>
        <w:spacing w:after="0" w:line="197" w:lineRule="exact"/>
        <w:rPr>
          <w:sz w:val="20"/>
          <w:szCs w:val="20"/>
          <w:color w:val="auto"/>
        </w:rPr>
      </w:pPr>
    </w:p>
    <w:p>
      <w:pPr>
        <w:ind w:left="1280" w:hanging="624"/>
        <w:spacing w:after="0"/>
        <w:tabs>
          <w:tab w:leader="none" w:pos="12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providing for the use of a Replacement Benchmark in relation to that currency in place of that Screen Rate ; and</w:t>
      </w:r>
    </w:p>
    <w:p>
      <w:pPr>
        <w:spacing w:after="0" w:line="252" w:lineRule="exact"/>
        <w:rPr>
          <w:rFonts w:ascii="Arial" w:cs="Arial" w:eastAsia="Arial" w:hAnsi="Arial"/>
          <w:sz w:val="18"/>
          <w:szCs w:val="18"/>
          <w:color w:val="auto"/>
        </w:rPr>
      </w:pPr>
    </w:p>
    <w:p>
      <w:pPr>
        <w:spacing w:after="0"/>
        <w:tabs>
          <w:tab w:leader="none" w:pos="0" w:val="left"/>
        </w:tabs>
        <w:numPr>
          <w:ilvl w:val="0"/>
          <w:numId w:val="295"/>
        </w:numPr>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940" w:hanging="663"/>
        <w:spacing w:after="0"/>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52" w:lineRule="exact"/>
        <w:rPr>
          <w:rFonts w:ascii="Arial" w:cs="Arial" w:eastAsia="Arial" w:hAnsi="Arial"/>
          <w:sz w:val="18"/>
          <w:szCs w:val="18"/>
          <w:color w:val="auto"/>
        </w:rPr>
      </w:pPr>
    </w:p>
    <w:p>
      <w:pPr>
        <w:jc w:val="both"/>
        <w:ind w:left="1940" w:hanging="663"/>
        <w:spacing w:after="0" w:line="263" w:lineRule="auto"/>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210" w:lineRule="exact"/>
        <w:rPr>
          <w:rFonts w:ascii="Arial" w:cs="Arial" w:eastAsia="Arial" w:hAnsi="Arial"/>
          <w:sz w:val="18"/>
          <w:szCs w:val="18"/>
          <w:color w:val="auto"/>
        </w:rPr>
      </w:pPr>
    </w:p>
    <w:p>
      <w:pPr>
        <w:ind w:left="1940" w:hanging="663"/>
        <w:spacing w:after="0"/>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52" w:lineRule="exact"/>
        <w:rPr>
          <w:rFonts w:ascii="Arial" w:cs="Arial" w:eastAsia="Arial" w:hAnsi="Arial"/>
          <w:sz w:val="18"/>
          <w:szCs w:val="18"/>
          <w:color w:val="auto"/>
        </w:rPr>
      </w:pPr>
    </w:p>
    <w:p>
      <w:pPr>
        <w:ind w:left="1940" w:hanging="663"/>
        <w:spacing w:after="0"/>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52" w:lineRule="exact"/>
        <w:rPr>
          <w:rFonts w:ascii="Arial" w:cs="Arial" w:eastAsia="Arial" w:hAnsi="Arial"/>
          <w:sz w:val="18"/>
          <w:szCs w:val="18"/>
          <w:color w:val="auto"/>
        </w:rPr>
      </w:pPr>
    </w:p>
    <w:p>
      <w:pPr>
        <w:jc w:val="both"/>
        <w:ind w:left="1940" w:hanging="663"/>
        <w:spacing w:after="0" w:line="301" w:lineRule="auto"/>
        <w:tabs>
          <w:tab w:leader="none" w:pos="19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or method for calculating any adjustment has been formally designated, nominated or recommended by the Relevant Nominating Body, the adjustment shall be determined on the basis of that designation, nomination or recommendation) .</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may be made with the consent of the Agent (acting on the instructions of the Majority Lenders) and the Obligors.</w:t>
      </w:r>
    </w:p>
    <w:p>
      <w:pPr>
        <w:spacing w:after="0" w:line="275" w:lineRule="exact"/>
        <w:rPr>
          <w:sz w:val="20"/>
          <w:szCs w:val="20"/>
          <w:color w:val="auto"/>
        </w:rPr>
      </w:pPr>
    </w:p>
    <w:p>
      <w:pPr>
        <w:ind w:left="1280" w:hanging="624"/>
        <w:spacing w:after="0" w:line="342" w:lineRule="auto"/>
        <w:tabs>
          <w:tab w:leader="none" w:pos="12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If any Lender fails to respond to a request for an amendment or waiver described in paragraph (a) above within ten (10) Business Days (or such longer time period in relation to any request which the Borrower and the Agent may agree) of that request being made:</w:t>
      </w:r>
    </w:p>
    <w:p>
      <w:pPr>
        <w:spacing w:after="0" w:line="150" w:lineRule="exact"/>
        <w:rPr>
          <w:rFonts w:ascii="Arial" w:cs="Arial" w:eastAsia="Arial" w:hAnsi="Arial"/>
          <w:sz w:val="16"/>
          <w:szCs w:val="16"/>
          <w:color w:val="auto"/>
        </w:rPr>
      </w:pPr>
    </w:p>
    <w:p>
      <w:pPr>
        <w:ind w:left="1940" w:hanging="663"/>
        <w:spacing w:after="0" w:line="308" w:lineRule="auto"/>
        <w:tabs>
          <w:tab w:leader="none" w:pos="194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its Commitment(s) shall not be included for the purpose of calculating the Total Commitments under the relevant Facility/ies when ascertaining whether any relevant percentage of Total Commitments has been obtained to approve that request; and</w:t>
      </w:r>
    </w:p>
    <w:p>
      <w:pPr>
        <w:spacing w:after="0" w:line="344" w:lineRule="exact"/>
        <w:rPr>
          <w:rFonts w:ascii="Arial" w:cs="Arial" w:eastAsia="Arial" w:hAnsi="Arial"/>
          <w:sz w:val="17"/>
          <w:szCs w:val="17"/>
          <w:color w:val="auto"/>
        </w:rPr>
      </w:pPr>
    </w:p>
    <w:p>
      <w:pPr>
        <w:ind w:left="5520" w:hanging="82"/>
        <w:spacing w:after="0"/>
        <w:tabs>
          <w:tab w:leader="none" w:pos="5520" w:val="left"/>
        </w:tabs>
        <w:numPr>
          <w:ilvl w:val="2"/>
          <w:numId w:val="296"/>
        </w:numPr>
        <w:rPr>
          <w:rFonts w:ascii="Arial" w:cs="Arial" w:eastAsia="Arial" w:hAnsi="Arial"/>
          <w:sz w:val="14"/>
          <w:szCs w:val="14"/>
          <w:color w:val="auto"/>
        </w:rPr>
      </w:pPr>
      <w:r>
        <w:rPr>
          <w:rFonts w:ascii="Arial" w:cs="Arial" w:eastAsia="Arial" w:hAnsi="Arial"/>
          <w:sz w:val="14"/>
          <w:szCs w:val="14"/>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ind w:left="1284" w:right="20" w:hanging="663"/>
        <w:spacing w:after="0" w:line="277" w:lineRule="auto"/>
        <w:tabs>
          <w:tab w:leader="none" w:pos="128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97" w:lineRule="exact"/>
        <w:rPr>
          <w:rFonts w:ascii="Arial" w:cs="Arial" w:eastAsia="Arial" w:hAnsi="Arial"/>
          <w:sz w:val="18"/>
          <w:szCs w:val="18"/>
          <w:color w:val="auto"/>
        </w:rPr>
      </w:pPr>
    </w:p>
    <w:p>
      <w:pPr>
        <w:ind w:left="624" w:hanging="624"/>
        <w:spacing w:after="0"/>
        <w:tabs>
          <w:tab w:leader="none" w:pos="6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this Clause 33.5:</w:t>
      </w:r>
    </w:p>
    <w:p>
      <w:pPr>
        <w:spacing w:after="0" w:line="239" w:lineRule="exact"/>
        <w:rPr>
          <w:sz w:val="20"/>
          <w:szCs w:val="20"/>
          <w:color w:val="auto"/>
        </w:rPr>
      </w:pPr>
    </w:p>
    <w:p>
      <w:pPr>
        <w:jc w:val="both"/>
        <w:ind w:left="62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Nominating Body</w:t>
      </w:r>
      <w:r>
        <w:rPr>
          <w:rFonts w:ascii="Arial" w:cs="Arial" w:eastAsia="Arial" w:hAnsi="Arial"/>
          <w:sz w:val="22"/>
          <w:szCs w:val="2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204" w:lineRule="exact"/>
        <w:rPr>
          <w:sz w:val="20"/>
          <w:szCs w:val="20"/>
          <w:color w:val="auto"/>
        </w:rPr>
      </w:pPr>
    </w:p>
    <w:p>
      <w:pPr>
        <w:ind w:left="6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 Benchmark</w:t>
      </w:r>
      <w:r>
        <w:rPr>
          <w:rFonts w:ascii="Arial" w:cs="Arial" w:eastAsia="Arial" w:hAnsi="Arial"/>
          <w:sz w:val="22"/>
          <w:szCs w:val="22"/>
          <w:color w:val="auto"/>
        </w:rPr>
        <w:t>" means a benchmark rate which is:</w:t>
      </w:r>
    </w:p>
    <w:p>
      <w:pPr>
        <w:spacing w:after="0" w:line="246" w:lineRule="exact"/>
        <w:rPr>
          <w:sz w:val="20"/>
          <w:szCs w:val="20"/>
          <w:color w:val="auto"/>
        </w:rPr>
      </w:pPr>
    </w:p>
    <w:p>
      <w:pPr>
        <w:ind w:left="1384" w:hanging="763"/>
        <w:spacing w:after="0"/>
        <w:tabs>
          <w:tab w:leader="none" w:pos="138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244" w:lineRule="exact"/>
        <w:rPr>
          <w:rFonts w:ascii="Arial" w:cs="Arial" w:eastAsia="Arial" w:hAnsi="Arial"/>
          <w:sz w:val="18"/>
          <w:szCs w:val="18"/>
          <w:color w:val="auto"/>
        </w:rPr>
      </w:pPr>
    </w:p>
    <w:p>
      <w:pPr>
        <w:ind w:left="1384" w:right="20" w:firstLine="9"/>
        <w:spacing w:after="0" w:line="250" w:lineRule="auto"/>
        <w:tabs>
          <w:tab w:leader="none" w:pos="2319" w:val="left"/>
        </w:tabs>
        <w:numPr>
          <w:ilvl w:val="1"/>
          <w:numId w:val="299"/>
        </w:numPr>
        <w:rPr>
          <w:rFonts w:ascii="Arial" w:cs="Arial" w:eastAsia="Arial" w:hAnsi="Arial"/>
          <w:sz w:val="22"/>
          <w:szCs w:val="22"/>
          <w:color w:val="auto"/>
        </w:rPr>
      </w:pPr>
      <w:r>
        <w:rPr>
          <w:rFonts w:ascii="Arial" w:cs="Arial" w:eastAsia="Arial" w:hAnsi="Arial"/>
          <w:sz w:val="22"/>
          <w:szCs w:val="22"/>
          <w:color w:val="auto"/>
        </w:rPr>
        <w:t>the administrator of that Screen Rate (provided that the market or economic reality that such benchmark rate measures is the same as that measured by that Screen Rate); or</w:t>
      </w:r>
    </w:p>
    <w:p>
      <w:pPr>
        <w:spacing w:after="0" w:line="201" w:lineRule="exact"/>
        <w:rPr>
          <w:rFonts w:ascii="Arial" w:cs="Arial" w:eastAsia="Arial" w:hAnsi="Arial"/>
          <w:sz w:val="22"/>
          <w:szCs w:val="22"/>
          <w:color w:val="auto"/>
        </w:rPr>
      </w:pPr>
    </w:p>
    <w:p>
      <w:pPr>
        <w:ind w:left="2204" w:hanging="811"/>
        <w:spacing w:after="0"/>
        <w:tabs>
          <w:tab w:leader="none" w:pos="2204" w:val="left"/>
        </w:tabs>
        <w:numPr>
          <w:ilvl w:val="1"/>
          <w:numId w:val="299"/>
        </w:numPr>
        <w:rPr>
          <w:rFonts w:ascii="Arial" w:cs="Arial" w:eastAsia="Arial" w:hAnsi="Arial"/>
          <w:sz w:val="22"/>
          <w:szCs w:val="22"/>
          <w:color w:val="auto"/>
        </w:rPr>
      </w:pPr>
      <w:r>
        <w:rPr>
          <w:rFonts w:ascii="Arial" w:cs="Arial" w:eastAsia="Arial" w:hAnsi="Arial"/>
          <w:sz w:val="22"/>
          <w:szCs w:val="22"/>
          <w:color w:val="auto"/>
        </w:rPr>
        <w:t>any Relevant Nominating Body,</w:t>
      </w:r>
    </w:p>
    <w:p>
      <w:pPr>
        <w:spacing w:after="0" w:line="233" w:lineRule="exact"/>
        <w:rPr>
          <w:sz w:val="20"/>
          <w:szCs w:val="20"/>
          <w:color w:val="auto"/>
        </w:rPr>
      </w:pPr>
    </w:p>
    <w:p>
      <w:pPr>
        <w:jc w:val="both"/>
        <w:ind w:left="1384"/>
        <w:spacing w:after="0"/>
        <w:rPr>
          <w:sz w:val="20"/>
          <w:szCs w:val="20"/>
          <w:color w:val="auto"/>
        </w:rPr>
      </w:pPr>
      <w:r>
        <w:rPr>
          <w:rFonts w:ascii="Arial" w:cs="Arial" w:eastAsia="Arial" w:hAnsi="Arial"/>
          <w:sz w:val="22"/>
          <w:szCs w:val="22"/>
          <w:color w:val="auto"/>
        </w:rPr>
        <w:t>and if replacements have, at the relevant time, been formally designated, nominated or recommended under both paragraphs, the "Replacement Benchmark" will be the replacement under paragraph (ii) above;</w:t>
      </w:r>
    </w:p>
    <w:p>
      <w:pPr>
        <w:spacing w:after="0" w:line="220" w:lineRule="exact"/>
        <w:rPr>
          <w:sz w:val="20"/>
          <w:szCs w:val="20"/>
          <w:color w:val="auto"/>
        </w:rPr>
      </w:pPr>
    </w:p>
    <w:p>
      <w:pPr>
        <w:ind w:left="1384" w:hanging="763"/>
        <w:spacing w:after="0" w:line="277" w:lineRule="auto"/>
        <w:tabs>
          <w:tab w:leader="none" w:pos="13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197" w:lineRule="exact"/>
        <w:rPr>
          <w:rFonts w:ascii="Arial" w:cs="Arial" w:eastAsia="Arial" w:hAnsi="Arial"/>
          <w:sz w:val="18"/>
          <w:szCs w:val="18"/>
          <w:color w:val="auto"/>
        </w:rPr>
      </w:pPr>
    </w:p>
    <w:p>
      <w:pPr>
        <w:ind w:left="1384" w:hanging="763"/>
        <w:spacing w:after="0"/>
        <w:tabs>
          <w:tab w:leader="none" w:pos="13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a Screen Rate.</w:t>
      </w:r>
    </w:p>
    <w:p>
      <w:pPr>
        <w:spacing w:after="0" w:line="23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Screen Rate Replacement Event</w:t>
      </w:r>
      <w:r>
        <w:rPr>
          <w:rFonts w:ascii="Arial" w:cs="Arial" w:eastAsia="Arial" w:hAnsi="Arial"/>
          <w:sz w:val="22"/>
          <w:szCs w:val="22"/>
          <w:color w:val="auto"/>
        </w:rPr>
        <w:t>" means, in relation to a Screen Rate:</w:t>
      </w:r>
    </w:p>
    <w:p>
      <w:pPr>
        <w:spacing w:after="0" w:line="246" w:lineRule="exact"/>
        <w:rPr>
          <w:sz w:val="20"/>
          <w:szCs w:val="20"/>
          <w:color w:val="auto"/>
        </w:rPr>
      </w:pPr>
    </w:p>
    <w:p>
      <w:pPr>
        <w:ind w:left="1384" w:hanging="763"/>
        <w:spacing w:after="0" w:line="277" w:lineRule="auto"/>
        <w:tabs>
          <w:tab w:leader="none" w:pos="138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 materially changed;</w:t>
      </w:r>
    </w:p>
    <w:p>
      <w:pPr>
        <w:spacing w:after="0" w:line="197" w:lineRule="exact"/>
        <w:rPr>
          <w:sz w:val="20"/>
          <w:szCs w:val="20"/>
          <w:color w:val="auto"/>
        </w:rPr>
      </w:pPr>
    </w:p>
    <w:p>
      <w:pPr>
        <w:ind w:left="624"/>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(i)</w:t>
      </w:r>
    </w:p>
    <w:p>
      <w:pPr>
        <w:spacing w:after="0" w:line="252" w:lineRule="exact"/>
        <w:rPr>
          <w:sz w:val="20"/>
          <w:szCs w:val="20"/>
          <w:color w:val="auto"/>
        </w:rPr>
      </w:pPr>
    </w:p>
    <w:p>
      <w:pPr>
        <w:ind w:left="2744" w:hanging="557"/>
        <w:spacing w:after="0" w:line="277" w:lineRule="auto"/>
        <w:tabs>
          <w:tab w:leader="none" w:pos="274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197" w:lineRule="exact"/>
        <w:rPr>
          <w:rFonts w:ascii="Arial" w:cs="Arial" w:eastAsia="Arial" w:hAnsi="Arial"/>
          <w:sz w:val="18"/>
          <w:szCs w:val="18"/>
          <w:color w:val="auto"/>
        </w:rPr>
      </w:pPr>
    </w:p>
    <w:p>
      <w:pPr>
        <w:jc w:val="both"/>
        <w:ind w:left="2744" w:hanging="557"/>
        <w:spacing w:after="0" w:line="263" w:lineRule="auto"/>
        <w:tabs>
          <w:tab w:leader="none" w:pos="274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203" w:lineRule="exact"/>
        <w:rPr>
          <w:sz w:val="20"/>
          <w:szCs w:val="20"/>
          <w:color w:val="auto"/>
        </w:rPr>
      </w:pPr>
    </w:p>
    <w:p>
      <w:pPr>
        <w:ind w:left="1384"/>
        <w:spacing w:after="0" w:line="250" w:lineRule="auto"/>
        <w:rPr>
          <w:sz w:val="20"/>
          <w:szCs w:val="20"/>
          <w:color w:val="auto"/>
        </w:rPr>
      </w:pPr>
      <w:r>
        <w:rPr>
          <w:rFonts w:ascii="Arial" w:cs="Arial" w:eastAsia="Arial" w:hAnsi="Arial"/>
          <w:sz w:val="22"/>
          <w:szCs w:val="22"/>
          <w:color w:val="auto"/>
        </w:rPr>
        <w:t>provided that, in each case, at that time, there is no successor administrator to continue to provide that Screen Rate;</w:t>
      </w:r>
    </w:p>
    <w:p>
      <w:pPr>
        <w:spacing w:after="0" w:line="209" w:lineRule="exact"/>
        <w:rPr>
          <w:sz w:val="20"/>
          <w:szCs w:val="20"/>
          <w:color w:val="auto"/>
        </w:rPr>
      </w:pPr>
    </w:p>
    <w:p>
      <w:pPr>
        <w:jc w:val="both"/>
        <w:ind w:left="2084" w:hanging="532"/>
        <w:spacing w:after="0" w:line="263" w:lineRule="auto"/>
        <w:tabs>
          <w:tab w:leader="none" w:pos="208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381" w:lineRule="exact"/>
        <w:rPr>
          <w:rFonts w:ascii="Arial" w:cs="Arial" w:eastAsia="Arial" w:hAnsi="Arial"/>
          <w:sz w:val="18"/>
          <w:szCs w:val="18"/>
          <w:color w:val="auto"/>
        </w:rPr>
      </w:pPr>
    </w:p>
    <w:p>
      <w:pPr>
        <w:ind w:left="4864" w:hanging="85"/>
        <w:spacing w:after="0"/>
        <w:tabs>
          <w:tab w:leader="none" w:pos="4864" w:val="left"/>
        </w:tabs>
        <w:numPr>
          <w:ilvl w:val="1"/>
          <w:numId w:val="303"/>
        </w:numPr>
        <w:rPr>
          <w:rFonts w:ascii="Arial" w:cs="Arial" w:eastAsia="Arial" w:hAnsi="Arial"/>
          <w:sz w:val="14"/>
          <w:szCs w:val="14"/>
          <w:color w:val="auto"/>
        </w:rPr>
      </w:pPr>
      <w:r>
        <w:rPr>
          <w:rFonts w:ascii="Arial" w:cs="Arial" w:eastAsia="Arial" w:hAnsi="Arial"/>
          <w:sz w:val="14"/>
          <w:szCs w:val="14"/>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5" w:name="page146"/>
    <w:bookmarkEnd w:id="145"/>
    <w:p>
      <w:pPr>
        <w:ind w:left="2740" w:hanging="532"/>
        <w:spacing w:after="0" w:line="277" w:lineRule="auto"/>
        <w:tabs>
          <w:tab w:leader="none" w:pos="27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197" w:lineRule="exact"/>
        <w:rPr>
          <w:rFonts w:ascii="Arial" w:cs="Arial" w:eastAsia="Arial" w:hAnsi="Arial"/>
          <w:sz w:val="18"/>
          <w:szCs w:val="18"/>
          <w:color w:val="auto"/>
        </w:rPr>
      </w:pPr>
    </w:p>
    <w:p>
      <w:pPr>
        <w:ind w:left="2740" w:hanging="532"/>
        <w:spacing w:after="0"/>
        <w:tabs>
          <w:tab w:leader="none" w:pos="27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administrator of that Screen Rate or its supervisor announces that that Screen Rate may no longer be used; or</w:t>
      </w:r>
    </w:p>
    <w:p>
      <w:pPr>
        <w:spacing w:after="0" w:line="275" w:lineRule="exact"/>
        <w:rPr>
          <w:sz w:val="20"/>
          <w:szCs w:val="20"/>
          <w:color w:val="auto"/>
        </w:rPr>
      </w:pPr>
    </w:p>
    <w:p>
      <w:pPr>
        <w:ind w:left="2040" w:hanging="763"/>
        <w:spacing w:after="0" w:line="277" w:lineRule="auto"/>
        <w:tabs>
          <w:tab w:leader="none" w:pos="20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the opinion of the Majority Lenders and the Obligor, that Screen Rate is otherwise no longer appropriate for the purposes of calculating interest under this Agreement.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6"/>
          <w:szCs w:val="16"/>
          <w:color w:val="auto"/>
        </w:rPr>
        <w:t>Disenfranchisement of Defaulting Lenders</w:t>
      </w:r>
    </w:p>
    <w:p>
      <w:pPr>
        <w:spacing w:after="0" w:line="252" w:lineRule="exact"/>
        <w:rPr>
          <w:sz w:val="20"/>
          <w:szCs w:val="20"/>
          <w:color w:val="auto"/>
        </w:rPr>
      </w:pPr>
    </w:p>
    <w:p>
      <w:pPr>
        <w:ind w:left="1260" w:hanging="496"/>
        <w:spacing w:after="0"/>
        <w:tabs>
          <w:tab w:leader="none" w:pos="12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Commitment, in ascertaining:</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whether:</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or</w:t>
      </w:r>
    </w:p>
    <w:p>
      <w:pPr>
        <w:spacing w:after="0" w:line="252" w:lineRule="exact"/>
        <w:rPr>
          <w:rFonts w:ascii="Arial" w:cs="Arial" w:eastAsia="Arial" w:hAnsi="Arial"/>
          <w:sz w:val="18"/>
          <w:szCs w:val="18"/>
          <w:color w:val="auto"/>
        </w:rPr>
      </w:pPr>
    </w:p>
    <w:p>
      <w:pPr>
        <w:jc w:val="both"/>
        <w:ind w:left="2280" w:hanging="490"/>
        <w:spacing w:after="0" w:line="301" w:lineRule="auto"/>
        <w:tabs>
          <w:tab w:leader="none" w:pos="2280" w:val="left"/>
        </w:tabs>
        <w:numPr>
          <w:ilvl w:val="2"/>
          <w:numId w:val="306"/>
        </w:numPr>
        <w:rPr>
          <w:rFonts w:ascii="Arial" w:cs="Arial" w:eastAsia="Arial" w:hAnsi="Arial"/>
          <w:sz w:val="16"/>
          <w:szCs w:val="16"/>
          <w:color w:val="auto"/>
        </w:rPr>
      </w:pPr>
      <w:r>
        <w:rPr>
          <w:rFonts w:ascii="Arial" w:cs="Arial" w:eastAsia="Arial" w:hAnsi="Arial"/>
          <w:sz w:val="16"/>
          <w:szCs w:val="16"/>
          <w:color w:val="auto"/>
        </w:rPr>
        <w:t>the agreement of any specified group of Lenders has been obtained to approve any request for a consent, waiver, amendment or other vote under the Finance Documents, that Defaulting Lender's Commitment will be reduced by the amount of its Available Commitment and to the extent that that reduction results in that Defaulting Lender's Commitment being zero, that Defaulting Lender shall be deemed not to be a Lender for the purposes of paragraphs (i) and (ii)(A) above.</w:t>
      </w:r>
    </w:p>
    <w:p>
      <w:pPr>
        <w:spacing w:after="0" w:line="184" w:lineRule="exact"/>
        <w:rPr>
          <w:rFonts w:ascii="Arial" w:cs="Arial" w:eastAsia="Arial" w:hAnsi="Arial"/>
          <w:sz w:val="16"/>
          <w:szCs w:val="16"/>
          <w:color w:val="auto"/>
        </w:rPr>
      </w:pPr>
    </w:p>
    <w:p>
      <w:pPr>
        <w:ind w:left="1260" w:hanging="496"/>
        <w:spacing w:after="0"/>
        <w:tabs>
          <w:tab w:leader="none" w:pos="12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purposes of this Clause 34.6, the Agent may assume that the following Lenders are Defaulting Lenders: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252"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 (c) of the definition of "Defaulting Lender"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Excluded Commitments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any Defaulting Lender fails to respond to a request for a consent, waiver, amendment of or in relation to any term of any Finance Document or any other vote of Lenders under the terms of this Agreement within 10 Business Days (unless the Company and the Agent agree to a longer time period in relation to any request) of that request being made:</w:t>
      </w:r>
    </w:p>
    <w:p>
      <w:pPr>
        <w:spacing w:after="0" w:line="203" w:lineRule="exact"/>
        <w:rPr>
          <w:sz w:val="20"/>
          <w:szCs w:val="20"/>
          <w:color w:val="auto"/>
        </w:rPr>
      </w:pPr>
    </w:p>
    <w:p>
      <w:pPr>
        <w:jc w:val="both"/>
        <w:ind w:left="1260" w:hanging="496"/>
        <w:spacing w:after="0" w:line="263" w:lineRule="auto"/>
        <w:tabs>
          <w:tab w:leader="none" w:pos="12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under the Facility when ascertaining whether any relevant percentage (including, for the avoidance of doubt, unanimity) of Total Commitments has been obtained to approve that request; and</w:t>
      </w:r>
    </w:p>
    <w:p>
      <w:pPr>
        <w:spacing w:after="0" w:line="381" w:lineRule="exact"/>
        <w:rPr>
          <w:rFonts w:ascii="Arial" w:cs="Arial" w:eastAsia="Arial" w:hAnsi="Arial"/>
          <w:sz w:val="18"/>
          <w:szCs w:val="18"/>
          <w:color w:val="auto"/>
        </w:rPr>
      </w:pPr>
    </w:p>
    <w:p>
      <w:pPr>
        <w:ind w:left="5520" w:hanging="85"/>
        <w:spacing w:after="0"/>
        <w:tabs>
          <w:tab w:leader="none" w:pos="552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ind w:left="1260" w:hanging="496"/>
        <w:spacing w:after="0" w:line="277" w:lineRule="auto"/>
        <w:tabs>
          <w:tab w:leader="none" w:pos="12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6"/>
          <w:szCs w:val="16"/>
          <w:color w:val="auto"/>
        </w:rPr>
        <w:t>Replacement of a Defaulting Lender</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may, at any time a Lender has become and continues to be a Defaulting Lender, cancel that Lender's Commitment(s) or replace such Lender in accordance with Clause 7.6 (</w:t>
      </w:r>
      <w:r>
        <w:rPr>
          <w:rFonts w:ascii="Arial" w:cs="Arial" w:eastAsia="Arial" w:hAnsi="Arial"/>
          <w:sz w:val="22"/>
          <w:szCs w:val="22"/>
          <w:i w:val="1"/>
          <w:iCs w:val="1"/>
          <w:color w:val="auto"/>
        </w:rPr>
        <w:t>Right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of prepayment and cancellation or replacement in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relation to a single Lender</w:t>
      </w:r>
      <w:r>
        <w:rPr>
          <w:rFonts w:ascii="Arial" w:cs="Arial" w:eastAsia="Arial" w:hAnsi="Arial"/>
          <w:sz w:val="22"/>
          <w:szCs w:val="22"/>
          <w:color w:val="auto"/>
        </w:rPr>
        <w:t>).</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color w:val="auto"/>
        </w:rPr>
        <w:t>Extension Option</w:t>
      </w:r>
    </w:p>
    <w:p>
      <w:pPr>
        <w:spacing w:after="0" w:line="252" w:lineRule="exact"/>
        <w:rPr>
          <w:sz w:val="20"/>
          <w:szCs w:val="20"/>
          <w:color w:val="auto"/>
        </w:rPr>
      </w:pPr>
    </w:p>
    <w:p>
      <w:pPr>
        <w:jc w:val="both"/>
        <w:ind w:left="1260" w:hanging="496"/>
        <w:spacing w:after="0" w:line="263" w:lineRule="auto"/>
        <w:tabs>
          <w:tab w:leader="none" w:pos="12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may notify to the Agent an extension of the Initial Maturity Date of the Facility to the First Extended Maturity Date of the Facility, by delivering to the Agent, not less than ten (10) days prior to the Initial Maturity Date of the Facility an extension signed by the Company's authorised signatory and the French Borrower's legal representative (</w:t>
      </w:r>
      <w:r>
        <w:rPr>
          <w:rFonts w:ascii="Arial" w:cs="Arial" w:eastAsia="Arial" w:hAnsi="Arial"/>
          <w:sz w:val="18"/>
          <w:szCs w:val="18"/>
          <w:i w:val="1"/>
          <w:iCs w:val="1"/>
          <w:color w:val="auto"/>
        </w:rPr>
        <w:t>gérant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Company may notify an extension of the First Extended Maturity Date of the Facility to the date falling on the Second Extended Maturity Date of the Facility, by delivering to the Agent, not less than ten (10) days prior to the First Extended Maturity Date, an extension notice signed by the Company's authorised signatory and the French Borrower's legal representative (</w:t>
      </w:r>
      <w:r>
        <w:rPr>
          <w:rFonts w:ascii="Arial" w:cs="Arial" w:eastAsia="Arial" w:hAnsi="Arial"/>
          <w:sz w:val="17"/>
          <w:szCs w:val="17"/>
          <w:i w:val="1"/>
          <w:iCs w:val="1"/>
          <w:color w:val="auto"/>
        </w:rPr>
        <w:t>gérant</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260" w:hanging="496"/>
        <w:spacing w:after="0"/>
        <w:tabs>
          <w:tab w:leader="none" w:pos="12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Agent shall promptly upon receipt of the same inform each Lender of receipt of the relevant extension request.</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Subject to the provisions of paragraph (e) below, upon receipt by the Agent of the relevant extension notice from the Agent, the Initial Maturity Date of the Facility shall be extended to the First Extended Maturity Date or to the Second Extended Maturity Date of the Facility (as the case may be).</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No extension of the Initial Maturity Date or of the First Extended Maturity Date of the Facility shall occur under this 34.9 unless:</w:t>
      </w:r>
    </w:p>
    <w:p>
      <w:pPr>
        <w:spacing w:after="0" w:line="263" w:lineRule="exact"/>
        <w:rPr>
          <w:rFonts w:ascii="Arial" w:cs="Arial" w:eastAsia="Arial" w:hAnsi="Arial"/>
          <w:sz w:val="17"/>
          <w:szCs w:val="17"/>
          <w:color w:val="auto"/>
        </w:rPr>
      </w:pPr>
    </w:p>
    <w:p>
      <w:pPr>
        <w:ind w:left="1780" w:hanging="503"/>
        <w:spacing w:after="0" w:line="308" w:lineRule="auto"/>
        <w:tabs>
          <w:tab w:leader="none" w:pos="178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no Event of Default is continuing or would result from the extension of the Initial Maturity Date or the First Extended Maturity Date of the Facility (as the case may be) at the date of the extension request and at the date the extension becomes effective;</w:t>
      </w:r>
    </w:p>
    <w:p>
      <w:pPr>
        <w:spacing w:after="0" w:line="173" w:lineRule="exact"/>
        <w:rPr>
          <w:rFonts w:ascii="Arial" w:cs="Arial" w:eastAsia="Arial" w:hAnsi="Arial"/>
          <w:sz w:val="17"/>
          <w:szCs w:val="17"/>
          <w:color w:val="auto"/>
        </w:rPr>
      </w:pPr>
    </w:p>
    <w:p>
      <w:pPr>
        <w:ind w:left="1780" w:hanging="503"/>
        <w:spacing w:after="0" w:line="277" w:lineRule="auto"/>
        <w:tabs>
          <w:tab w:leader="none" w:pos="17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Repeating Representations set forth in this Agreement are true and correct in all material respects on and as of the date of the extension request and the date on which the extension becomes effective;</w:t>
      </w:r>
    </w:p>
    <w:p>
      <w:pPr>
        <w:spacing w:after="0" w:line="197"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Agent shall have received a certificate dated as of the extension request signed by the Responsible Officer of the Company (A) certifying the accuracy of clauses (i) and (ii) above and (B), in case of change of the French Borrower's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certifying and attaching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relating to the French Borrower dated not earlier than 10 days prior to the extension notice and the decision of the partners (</w:t>
      </w:r>
      <w:r>
        <w:rPr>
          <w:rFonts w:ascii="Arial" w:cs="Arial" w:eastAsia="Arial" w:hAnsi="Arial"/>
          <w:sz w:val="18"/>
          <w:szCs w:val="18"/>
          <w:i w:val="1"/>
          <w:iCs w:val="1"/>
          <w:color w:val="auto"/>
        </w:rPr>
        <w:t>associés</w:t>
      </w:r>
      <w:r>
        <w:rPr>
          <w:rFonts w:ascii="Arial" w:cs="Arial" w:eastAsia="Arial" w:hAnsi="Arial"/>
          <w:sz w:val="18"/>
          <w:szCs w:val="18"/>
          <w:color w:val="auto"/>
        </w:rPr>
        <w:t>) of the French Borrower whereby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 and</w:t>
      </w:r>
    </w:p>
    <w:p>
      <w:pPr>
        <w:spacing w:after="0" w:line="385" w:lineRule="exact"/>
        <w:rPr>
          <w:rFonts w:ascii="Arial" w:cs="Arial" w:eastAsia="Arial" w:hAnsi="Arial"/>
          <w:sz w:val="18"/>
          <w:szCs w:val="18"/>
          <w:color w:val="auto"/>
        </w:rPr>
      </w:pPr>
    </w:p>
    <w:p>
      <w:pPr>
        <w:ind w:left="5520" w:hanging="85"/>
        <w:spacing w:after="0"/>
        <w:tabs>
          <w:tab w:leader="none" w:pos="5520" w:val="left"/>
        </w:tabs>
        <w:numPr>
          <w:ilvl w:val="2"/>
          <w:numId w:val="309"/>
        </w:numPr>
        <w:rPr>
          <w:rFonts w:ascii="Arial" w:cs="Arial" w:eastAsia="Arial" w:hAnsi="Arial"/>
          <w:sz w:val="14"/>
          <w:szCs w:val="14"/>
          <w:color w:val="auto"/>
        </w:rPr>
      </w:pPr>
      <w:r>
        <w:rPr>
          <w:rFonts w:ascii="Arial" w:cs="Arial" w:eastAsia="Arial" w:hAnsi="Arial"/>
          <w:sz w:val="14"/>
          <w:szCs w:val="14"/>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jc w:val="both"/>
        <w:ind w:left="1780" w:hanging="503"/>
        <w:spacing w:after="0" w:line="259" w:lineRule="auto"/>
        <w:tabs>
          <w:tab w:leader="none" w:pos="17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on behalf of the Borrowers has paid to the Agent (for the account of each Lender), (x) on the Initial Maturity Date of the Facility, an extension fee equal to 0.05 per cent of the amount of each Lender's Commitments under the Facility on such date, or (as the case may be) (y) on the First Extended Maturity Date of the Facility, an extension fee equal to 0.10 per cent of the amount of each Lender's Commitments under the Facility on such date.</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34.10</w:t>
      </w:r>
      <w:r>
        <w:rPr>
          <w:sz w:val="20"/>
          <w:szCs w:val="20"/>
          <w:color w:val="auto"/>
        </w:rPr>
        <w:tab/>
      </w:r>
      <w:r>
        <w:rPr>
          <w:rFonts w:ascii="Arial" w:cs="Arial" w:eastAsia="Arial" w:hAnsi="Arial"/>
          <w:sz w:val="16"/>
          <w:szCs w:val="16"/>
          <w:color w:val="auto"/>
        </w:rPr>
        <w:t>Amendments and Waivers of Sanctions Provisions</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any amendment, waiver, determination or direction relating to any Sanctions Provision with respect to which a Restricted Lender does not have the benefit pursuant to Clause 37 (</w:t>
      </w:r>
      <w:r>
        <w:rPr>
          <w:rFonts w:ascii="Arial" w:cs="Arial" w:eastAsia="Arial" w:hAnsi="Arial"/>
          <w:sz w:val="22"/>
          <w:szCs w:val="22"/>
          <w:i w:val="1"/>
          <w:iCs w:val="1"/>
          <w:color w:val="auto"/>
        </w:rPr>
        <w:t>Anti-Boycott Regulations</w:t>
      </w:r>
      <w:r>
        <w:rPr>
          <w:rFonts w:ascii="Arial" w:cs="Arial" w:eastAsia="Arial" w:hAnsi="Arial"/>
          <w:sz w:val="22"/>
          <w:szCs w:val="22"/>
          <w:color w:val="auto"/>
        </w:rPr>
        <w:t>), the Commitment of that Restricted Lender and the Loans of that Restricted Lender will be excluded for the purpose of determining whether the consent of the Majority Lenders to such amendment or waiver has been obtained or whether the determination or direction by the Majority Lenders has been made.</w:t>
      </w:r>
    </w:p>
    <w:p>
      <w:pPr>
        <w:spacing w:after="0" w:line="221" w:lineRule="exact"/>
        <w:rPr>
          <w:sz w:val="20"/>
          <w:szCs w:val="20"/>
          <w:color w:val="auto"/>
        </w:rPr>
      </w:pPr>
    </w:p>
    <w:p>
      <w:pPr>
        <w:ind w:left="760" w:hanging="752"/>
        <w:spacing w:after="0"/>
        <w:tabs>
          <w:tab w:leader="none" w:pos="7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35.1</w:t>
      </w:r>
      <w:r>
        <w:rPr>
          <w:rFonts w:ascii="Arial" w:cs="Arial" w:eastAsia="Arial" w:hAnsi="Arial"/>
          <w:sz w:val="17"/>
          <w:szCs w:val="17"/>
          <w:color w:val="auto"/>
        </w:rPr>
        <w:t>Confidentiality</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Finance Party agrees to keep all Confidential Information confidential and not to disclose it to anyone, save to the extent permitted by Clause 35.2 (</w:t>
      </w:r>
      <w:r>
        <w:rPr>
          <w:rFonts w:ascii="Arial" w:cs="Arial" w:eastAsia="Arial" w:hAnsi="Arial"/>
          <w:sz w:val="22"/>
          <w:szCs w:val="22"/>
          <w:i w:val="1"/>
          <w:iCs w:val="1"/>
          <w:color w:val="auto"/>
        </w:rPr>
        <w:t>Disclosure of Confidential Information</w:t>
      </w:r>
      <w:r>
        <w:rPr>
          <w:rFonts w:ascii="Arial" w:cs="Arial" w:eastAsia="Arial" w:hAnsi="Arial"/>
          <w:sz w:val="22"/>
          <w:szCs w:val="22"/>
          <w:color w:val="auto"/>
        </w:rPr>
        <w:t>) and Clause 35.3 (</w:t>
      </w:r>
      <w:r>
        <w:rPr>
          <w:rFonts w:ascii="Arial" w:cs="Arial" w:eastAsia="Arial" w:hAnsi="Arial"/>
          <w:sz w:val="22"/>
          <w:szCs w:val="22"/>
          <w:i w:val="1"/>
          <w:iCs w:val="1"/>
          <w:color w:val="auto"/>
        </w:rPr>
        <w:t>Disclosure to numbering service providers</w:t>
      </w:r>
      <w:r>
        <w:rPr>
          <w:rFonts w:ascii="Arial" w:cs="Arial" w:eastAsia="Arial" w:hAnsi="Arial"/>
          <w:sz w:val="22"/>
          <w:szCs w:val="22"/>
          <w:color w:val="auto"/>
        </w:rPr>
        <w:t>), and to ensure that all Confidential Information is protected with security measures and a degree of care that would apply to its own confidential information.</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Disclosure of Confidential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Any Finance Party may disclose:</w:t>
      </w:r>
    </w:p>
    <w:p>
      <w:pPr>
        <w:spacing w:after="0" w:line="240" w:lineRule="exact"/>
        <w:rPr>
          <w:sz w:val="20"/>
          <w:szCs w:val="20"/>
          <w:color w:val="auto"/>
        </w:rPr>
      </w:pPr>
    </w:p>
    <w:p>
      <w:pPr>
        <w:jc w:val="both"/>
        <w:ind w:left="1260" w:hanging="496"/>
        <w:spacing w:after="0" w:line="273" w:lineRule="auto"/>
        <w:tabs>
          <w:tab w:leader="none" w:pos="12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auditors, insurers, reinsurers,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204" w:lineRule="exact"/>
        <w:rPr>
          <w:rFonts w:ascii="Arial" w:cs="Arial" w:eastAsia="Arial" w:hAnsi="Arial"/>
          <w:sz w:val="17"/>
          <w:szCs w:val="17"/>
          <w:color w:val="auto"/>
        </w:rPr>
      </w:pPr>
    </w:p>
    <w:p>
      <w:pPr>
        <w:ind w:left="1260" w:hanging="496"/>
        <w:spacing w:after="0"/>
        <w:tabs>
          <w:tab w:leader="none" w:pos="12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52"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210" w:lineRule="exact"/>
        <w:rPr>
          <w:rFonts w:ascii="Arial" w:cs="Arial" w:eastAsia="Arial" w:hAnsi="Arial"/>
          <w:sz w:val="18"/>
          <w:szCs w:val="18"/>
          <w:color w:val="auto"/>
        </w:rPr>
      </w:pPr>
    </w:p>
    <w:p>
      <w:pPr>
        <w:jc w:val="both"/>
        <w:ind w:left="1780" w:hanging="503"/>
        <w:spacing w:after="0" w:line="259" w:lineRule="auto"/>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384" w:lineRule="exact"/>
        <w:rPr>
          <w:rFonts w:ascii="Arial" w:cs="Arial" w:eastAsia="Arial" w:hAnsi="Arial"/>
          <w:sz w:val="18"/>
          <w:szCs w:val="18"/>
          <w:color w:val="auto"/>
        </w:rPr>
      </w:pPr>
    </w:p>
    <w:p>
      <w:pPr>
        <w:ind w:left="5520" w:hanging="85"/>
        <w:spacing w:after="0"/>
        <w:tabs>
          <w:tab w:leader="none" w:pos="5520" w:val="left"/>
        </w:tabs>
        <w:numPr>
          <w:ilvl w:val="2"/>
          <w:numId w:val="312"/>
        </w:numPr>
        <w:rPr>
          <w:rFonts w:ascii="Arial" w:cs="Arial" w:eastAsia="Arial" w:hAnsi="Arial"/>
          <w:sz w:val="14"/>
          <w:szCs w:val="14"/>
          <w:color w:val="auto"/>
        </w:rPr>
      </w:pPr>
      <w:r>
        <w:rPr>
          <w:rFonts w:ascii="Arial" w:cs="Arial" w:eastAsia="Arial" w:hAnsi="Arial"/>
          <w:sz w:val="14"/>
          <w:szCs w:val="14"/>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jc w:val="both"/>
        <w:ind w:left="660" w:hanging="503"/>
        <w:spacing w:after="0" w:line="286" w:lineRule="auto"/>
        <w:tabs>
          <w:tab w:leader="none" w:pos="6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25.14 (</w:t>
      </w:r>
      <w:r>
        <w:rPr>
          <w:rFonts w:ascii="Arial" w:cs="Arial" w:eastAsia="Arial" w:hAnsi="Arial"/>
          <w:sz w:val="17"/>
          <w:szCs w:val="17"/>
          <w:i w:val="1"/>
          <w:iCs w:val="1"/>
          <w:color w:val="auto"/>
        </w:rPr>
        <w:t>Relationship with the Lenders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660" w:hanging="503"/>
        <w:spacing w:after="0" w:line="277" w:lineRule="auto"/>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197" w:lineRule="exact"/>
        <w:rPr>
          <w:rFonts w:ascii="Arial" w:cs="Arial" w:eastAsia="Arial" w:hAnsi="Arial"/>
          <w:sz w:val="18"/>
          <w:szCs w:val="18"/>
          <w:color w:val="auto"/>
        </w:rPr>
      </w:pPr>
    </w:p>
    <w:p>
      <w:pPr>
        <w:jc w:val="both"/>
        <w:ind w:left="660" w:hanging="503"/>
        <w:spacing w:after="0" w:line="263" w:lineRule="auto"/>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210" w:lineRule="exact"/>
        <w:rPr>
          <w:rFonts w:ascii="Arial" w:cs="Arial" w:eastAsia="Arial" w:hAnsi="Arial"/>
          <w:sz w:val="18"/>
          <w:szCs w:val="18"/>
          <w:color w:val="auto"/>
        </w:rPr>
      </w:pPr>
    </w:p>
    <w:p>
      <w:pPr>
        <w:ind w:left="660" w:hanging="503"/>
        <w:spacing w:after="0" w:line="277" w:lineRule="auto"/>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97" w:lineRule="exact"/>
        <w:rPr>
          <w:rFonts w:ascii="Arial" w:cs="Arial" w:eastAsia="Arial" w:hAnsi="Arial"/>
          <w:sz w:val="18"/>
          <w:szCs w:val="18"/>
          <w:color w:val="auto"/>
        </w:rPr>
      </w:pPr>
    </w:p>
    <w:p>
      <w:pPr>
        <w:jc w:val="both"/>
        <w:ind w:left="660" w:hanging="503"/>
        <w:spacing w:after="0" w:line="273" w:lineRule="auto"/>
        <w:tabs>
          <w:tab w:leader="none" w:pos="6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whom or for whose benefit that Finance Party charges, assigns or otherwise creates a Security (or may do so) pursuant to Clause 23.8 (</w:t>
      </w:r>
      <w:r>
        <w:rPr>
          <w:rFonts w:ascii="Arial" w:cs="Arial" w:eastAsia="Arial" w:hAnsi="Arial"/>
          <w:sz w:val="17"/>
          <w:szCs w:val="17"/>
          <w:i w:val="1"/>
          <w:iCs w:val="1"/>
          <w:color w:val="auto"/>
        </w:rPr>
        <w:t>Pro rata interest settlement</w:t>
      </w:r>
      <w:r>
        <w:rPr>
          <w:rFonts w:ascii="Arial" w:cs="Arial" w:eastAsia="Arial" w:hAnsi="Arial"/>
          <w:sz w:val="17"/>
          <w:szCs w:val="17"/>
          <w:color w:val="auto"/>
        </w:rPr>
        <w:t>) including to a federal reserve or central bank (including, for the avoidance of doubt, the European Central Bank) to (or through) whom it creates Security pursuant to Clause 23.7 (</w:t>
      </w:r>
      <w:r>
        <w:rPr>
          <w:rFonts w:ascii="Arial" w:cs="Arial" w:eastAsia="Arial" w:hAnsi="Arial"/>
          <w:sz w:val="17"/>
          <w:szCs w:val="17"/>
          <w:i w:val="1"/>
          <w:iCs w:val="1"/>
          <w:color w:val="auto"/>
        </w:rPr>
        <w:t>Security over Lenders' rights</w:t>
      </w:r>
      <w:r>
        <w:rPr>
          <w:rFonts w:ascii="Arial" w:cs="Arial" w:eastAsia="Arial" w:hAnsi="Arial"/>
          <w:sz w:val="17"/>
          <w:szCs w:val="17"/>
          <w:color w:val="auto"/>
        </w:rPr>
        <w:t>) and any federal reserve or central bank (including, for the avoidance of doubt, the European Central Bank) may disclose such Confidential Information to a third party to whom it transfers (or may potentially transfer) rights under the Finance Documents or the securities issued by the special purpose vehicle in connection with the enforcement of such Security;</w:t>
      </w:r>
    </w:p>
    <w:p>
      <w:pPr>
        <w:spacing w:after="0" w:line="204" w:lineRule="exact"/>
        <w:rPr>
          <w:rFonts w:ascii="Arial" w:cs="Arial" w:eastAsia="Arial" w:hAnsi="Arial"/>
          <w:sz w:val="17"/>
          <w:szCs w:val="17"/>
          <w:color w:val="auto"/>
        </w:rPr>
      </w:pPr>
    </w:p>
    <w:p>
      <w:pPr>
        <w:ind w:left="660" w:hanging="503"/>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52" w:lineRule="exact"/>
        <w:rPr>
          <w:rFonts w:ascii="Arial" w:cs="Arial" w:eastAsia="Arial" w:hAnsi="Arial"/>
          <w:sz w:val="18"/>
          <w:szCs w:val="18"/>
          <w:color w:val="auto"/>
        </w:rPr>
      </w:pPr>
    </w:p>
    <w:p>
      <w:pPr>
        <w:ind w:left="660" w:hanging="503"/>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 the consent of the Company;</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in each case, such Confidential Information as that Finance Party shall consider appropriate if:</w:t>
      </w:r>
    </w:p>
    <w:p>
      <w:pPr>
        <w:spacing w:after="0" w:line="240" w:lineRule="exact"/>
        <w:rPr>
          <w:sz w:val="20"/>
          <w:szCs w:val="20"/>
          <w:color w:val="auto"/>
        </w:rPr>
      </w:pPr>
    </w:p>
    <w:p>
      <w:pPr>
        <w:jc w:val="both"/>
        <w:ind w:left="1160" w:hanging="490"/>
        <w:spacing w:after="0" w:line="259" w:lineRule="auto"/>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213" w:lineRule="exact"/>
        <w:rPr>
          <w:rFonts w:ascii="Arial" w:cs="Arial" w:eastAsia="Arial" w:hAnsi="Arial"/>
          <w:sz w:val="18"/>
          <w:szCs w:val="18"/>
          <w:color w:val="auto"/>
        </w:rPr>
      </w:pPr>
    </w:p>
    <w:p>
      <w:pPr>
        <w:jc w:val="both"/>
        <w:ind w:left="1160" w:hanging="490"/>
        <w:spacing w:after="0" w:line="259" w:lineRule="auto"/>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213" w:lineRule="exact"/>
        <w:rPr>
          <w:rFonts w:ascii="Arial" w:cs="Arial" w:eastAsia="Arial" w:hAnsi="Arial"/>
          <w:sz w:val="18"/>
          <w:szCs w:val="18"/>
          <w:color w:val="auto"/>
        </w:rPr>
      </w:pPr>
    </w:p>
    <w:p>
      <w:pPr>
        <w:jc w:val="both"/>
        <w:ind w:left="1160" w:hanging="490"/>
        <w:spacing w:after="0" w:line="259" w:lineRule="auto"/>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384" w:lineRule="exact"/>
        <w:rPr>
          <w:rFonts w:ascii="Arial" w:cs="Arial" w:eastAsia="Arial" w:hAnsi="Arial"/>
          <w:sz w:val="18"/>
          <w:szCs w:val="18"/>
          <w:color w:val="auto"/>
        </w:rPr>
      </w:pPr>
    </w:p>
    <w:p>
      <w:pPr>
        <w:ind w:left="4400" w:hanging="85"/>
        <w:spacing w:after="0"/>
        <w:tabs>
          <w:tab w:leader="none" w:pos="4400" w:val="left"/>
        </w:tabs>
        <w:numPr>
          <w:ilvl w:val="1"/>
          <w:numId w:val="314"/>
        </w:numPr>
        <w:rPr>
          <w:rFonts w:ascii="Arial" w:cs="Arial" w:eastAsia="Arial" w:hAnsi="Arial"/>
          <w:sz w:val="14"/>
          <w:szCs w:val="14"/>
          <w:color w:val="auto"/>
        </w:rPr>
      </w:pPr>
      <w:r>
        <w:rPr>
          <w:rFonts w:ascii="Arial" w:cs="Arial" w:eastAsia="Arial" w:hAnsi="Arial"/>
          <w:sz w:val="14"/>
          <w:szCs w:val="14"/>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49" w:name="page150"/>
    <w:bookmarkEnd w:id="149"/>
    <w:p>
      <w:pPr>
        <w:jc w:val="both"/>
        <w:ind w:left="1260" w:hanging="496"/>
        <w:spacing w:after="0" w:line="254" w:lineRule="auto"/>
        <w:tabs>
          <w:tab w:leader="none" w:pos="12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spacing w:after="0" w:line="221" w:lineRule="exact"/>
        <w:rPr>
          <w:rFonts w:ascii="Arial" w:cs="Arial" w:eastAsia="Arial" w:hAnsi="Arial"/>
          <w:sz w:val="18"/>
          <w:szCs w:val="18"/>
          <w:color w:val="auto"/>
        </w:rPr>
      </w:pPr>
    </w:p>
    <w:p>
      <w:pPr>
        <w:jc w:val="both"/>
        <w:ind w:left="1260" w:hanging="496"/>
        <w:spacing w:after="0" w:line="259" w:lineRule="auto"/>
        <w:tabs>
          <w:tab w:leader="none" w:pos="12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Disclosure to numbering service providers</w:t>
      </w:r>
    </w:p>
    <w:p>
      <w:pPr>
        <w:spacing w:after="0" w:line="252" w:lineRule="exact"/>
        <w:rPr>
          <w:sz w:val="20"/>
          <w:szCs w:val="20"/>
          <w:color w:val="auto"/>
        </w:rPr>
      </w:pPr>
    </w:p>
    <w:p>
      <w:pPr>
        <w:ind w:left="1260" w:hanging="496"/>
        <w:spacing w:after="0" w:line="342" w:lineRule="auto"/>
        <w:tabs>
          <w:tab w:leader="none" w:pos="12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50" w:lineRule="exact"/>
        <w:rPr>
          <w:rFonts w:ascii="Arial" w:cs="Arial" w:eastAsia="Arial" w:hAnsi="Arial"/>
          <w:sz w:val="16"/>
          <w:szCs w:val="16"/>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country of domicile of the Obligors;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place of incorporation of the Obligors;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Clause 39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names of the Agent;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amounts of, and names of, the Facility;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currencies of the Facility;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5"/>
        <w:spacing w:after="0"/>
        <w:tabs>
          <w:tab w:leader="none" w:pos="5520" w:val="left"/>
        </w:tabs>
        <w:numPr>
          <w:ilvl w:val="2"/>
          <w:numId w:val="316"/>
        </w:numPr>
        <w:rPr>
          <w:rFonts w:ascii="Arial" w:cs="Arial" w:eastAsia="Arial" w:hAnsi="Arial"/>
          <w:sz w:val="14"/>
          <w:szCs w:val="14"/>
          <w:color w:val="auto"/>
        </w:rPr>
      </w:pPr>
      <w:r>
        <w:rPr>
          <w:rFonts w:ascii="Arial" w:cs="Arial" w:eastAsia="Arial" w:hAnsi="Arial"/>
          <w:sz w:val="14"/>
          <w:szCs w:val="14"/>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ind w:left="1780" w:hanging="503"/>
        <w:spacing w:after="0"/>
        <w:tabs>
          <w:tab w:leader="none" w:pos="1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52" w:lineRule="exact"/>
        <w:rPr>
          <w:rFonts w:ascii="Arial" w:cs="Arial" w:eastAsia="Arial" w:hAnsi="Arial"/>
          <w:sz w:val="18"/>
          <w:szCs w:val="18"/>
          <w:color w:val="auto"/>
        </w:rPr>
      </w:pPr>
    </w:p>
    <w:p>
      <w:pPr>
        <w:ind w:left="1780" w:hanging="503"/>
        <w:spacing w:after="0"/>
        <w:tabs>
          <w:tab w:leader="none" w:pos="1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Company,</w:t>
      </w: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to enable such numbering service provider to provide its usual syndicated loan numbering identification services.</w:t>
      </w:r>
    </w:p>
    <w:p>
      <w:pPr>
        <w:spacing w:after="0" w:line="275" w:lineRule="exact"/>
        <w:rPr>
          <w:sz w:val="20"/>
          <w:szCs w:val="20"/>
          <w:color w:val="auto"/>
        </w:rPr>
      </w:pPr>
    </w:p>
    <w:p>
      <w:pPr>
        <w:jc w:val="both"/>
        <w:ind w:left="1260" w:hanging="496"/>
        <w:spacing w:after="0" w:line="263" w:lineRule="auto"/>
        <w:tabs>
          <w:tab w:leader="none" w:pos="12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(i) to (xv) of paragraph (a) above is, nor will at any time be, unpublished price-sensitive information.</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Agent shall notify the Company and the other Finance Parties of:</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7" w:lineRule="exact"/>
        <w:rPr>
          <w:rFonts w:ascii="Arial" w:cs="Arial" w:eastAsia="Arial" w:hAnsi="Arial"/>
          <w:sz w:val="18"/>
          <w:szCs w:val="18"/>
          <w:color w:val="auto"/>
        </w:rPr>
      </w:pPr>
    </w:p>
    <w:p>
      <w:pPr>
        <w:ind w:left="1780" w:right="20" w:hanging="503"/>
        <w:spacing w:after="0" w:line="277" w:lineRule="auto"/>
        <w:tabs>
          <w:tab w:leader="none" w:pos="17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Entire agreement</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Clause 35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Inside information</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6"/>
          <w:szCs w:val="16"/>
          <w:color w:val="auto"/>
        </w:rPr>
        <w:t>Notification of disclosure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Each of the Finance Parties agrees (to the extent permitted by law and regulation) to inform the Company:</w:t>
      </w:r>
    </w:p>
    <w:p>
      <w:pPr>
        <w:spacing w:after="0" w:line="240" w:lineRule="exact"/>
        <w:rPr>
          <w:sz w:val="20"/>
          <w:szCs w:val="20"/>
          <w:color w:val="auto"/>
        </w:rPr>
      </w:pPr>
    </w:p>
    <w:p>
      <w:pPr>
        <w:jc w:val="both"/>
        <w:ind w:left="1260" w:hanging="496"/>
        <w:spacing w:after="0" w:line="263" w:lineRule="auto"/>
        <w:tabs>
          <w:tab w:leader="none" w:pos="12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35.2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35.</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5"/>
        <w:spacing w:after="0"/>
        <w:tabs>
          <w:tab w:leader="none" w:pos="552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tabs>
          <w:tab w:leader="none" w:pos="740" w:val="left"/>
        </w:tabs>
        <w:rPr>
          <w:sz w:val="20"/>
          <w:szCs w:val="20"/>
          <w:color w:val="auto"/>
        </w:rPr>
      </w:pPr>
      <w:r>
        <w:rPr>
          <w:rFonts w:ascii="Arial" w:cs="Arial" w:eastAsia="Arial" w:hAnsi="Arial"/>
          <w:sz w:val="18"/>
          <w:szCs w:val="18"/>
          <w:color w:val="auto"/>
        </w:rPr>
        <w:t>35.7</w:t>
      </w:r>
      <w:r>
        <w:rPr>
          <w:sz w:val="20"/>
          <w:szCs w:val="20"/>
          <w:color w:val="auto"/>
        </w:rPr>
        <w:tab/>
      </w:r>
      <w:r>
        <w:rPr>
          <w:rFonts w:ascii="Arial" w:cs="Arial" w:eastAsia="Arial" w:hAnsi="Arial"/>
          <w:sz w:val="16"/>
          <w:szCs w:val="16"/>
          <w:color w:val="auto"/>
        </w:rPr>
        <w:t>Continuing obligations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obligations in this Clause 35 are continuing and, in particular, shall survive and remain binding on each Finance Party for a period of twelve months from the earlier of:</w:t>
      </w:r>
    </w:p>
    <w:p>
      <w:pPr>
        <w:spacing w:after="0" w:line="209" w:lineRule="exact"/>
        <w:rPr>
          <w:sz w:val="20"/>
          <w:szCs w:val="20"/>
          <w:color w:val="auto"/>
        </w:rPr>
      </w:pPr>
    </w:p>
    <w:p>
      <w:pPr>
        <w:ind w:left="1260" w:hanging="496"/>
        <w:spacing w:after="0" w:line="277" w:lineRule="auto"/>
        <w:tabs>
          <w:tab w:leader="none" w:pos="12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Confidentiality of Funding Rates and Reference Bank Quotations</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Confidentiality and disclosure</w:t>
      </w:r>
    </w:p>
    <w:p>
      <w:pPr>
        <w:spacing w:after="0" w:line="252" w:lineRule="exact"/>
        <w:rPr>
          <w:sz w:val="20"/>
          <w:szCs w:val="20"/>
          <w:color w:val="auto"/>
        </w:rPr>
      </w:pPr>
    </w:p>
    <w:p>
      <w:pPr>
        <w:ind w:left="1260" w:right="20" w:hanging="496"/>
        <w:spacing w:after="0" w:line="277" w:lineRule="auto"/>
        <w:tabs>
          <w:tab w:leader="none" w:pos="12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(and, in the case of the Agent, each Reference Bank Quotation) confidential and not to disclose it to anyone, save to the extent permitted by paragraphs (b) and (c) below.</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The Agent may, without prejudice to the provisions of article L.511-33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disclose:</w:t>
      </w:r>
    </w:p>
    <w:p>
      <w:pPr>
        <w:spacing w:after="0" w:line="252" w:lineRule="exact"/>
        <w:rPr>
          <w:rFonts w:ascii="Arial" w:cs="Arial" w:eastAsia="Arial" w:hAnsi="Arial"/>
          <w:sz w:val="18"/>
          <w:szCs w:val="18"/>
          <w:color w:val="auto"/>
        </w:rPr>
      </w:pPr>
    </w:p>
    <w:p>
      <w:pPr>
        <w:ind w:left="1780" w:hanging="503"/>
        <w:spacing w:after="0" w:line="277" w:lineRule="auto"/>
        <w:tabs>
          <w:tab w:leader="none" w:pos="17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Funding Rate (but not, for the avoidance of doubt, any Reference Bank Quotation) to the Borrower pursuant to Clause 8.4 (</w:t>
      </w:r>
      <w:r>
        <w:rPr>
          <w:rFonts w:ascii="Arial" w:cs="Arial" w:eastAsia="Arial" w:hAnsi="Arial"/>
          <w:sz w:val="18"/>
          <w:szCs w:val="18"/>
          <w:i w:val="1"/>
          <w:iCs w:val="1"/>
          <w:color w:val="auto"/>
        </w:rPr>
        <w:t>Default interest</w:t>
      </w:r>
      <w:r>
        <w:rPr>
          <w:rFonts w:ascii="Arial" w:cs="Arial" w:eastAsia="Arial" w:hAnsi="Arial"/>
          <w:sz w:val="18"/>
          <w:szCs w:val="18"/>
          <w:color w:val="auto"/>
        </w:rPr>
        <w:t>) or Clause 8 (</w:t>
      </w:r>
      <w:r>
        <w:rPr>
          <w:rFonts w:ascii="Arial" w:cs="Arial" w:eastAsia="Arial" w:hAnsi="Arial"/>
          <w:sz w:val="18"/>
          <w:szCs w:val="18"/>
          <w:i w:val="1"/>
          <w:iCs w:val="1"/>
          <w:color w:val="auto"/>
        </w:rPr>
        <w:t>Interest</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jc w:val="both"/>
        <w:ind w:left="1780" w:hanging="503"/>
        <w:spacing w:after="0" w:line="296" w:lineRule="auto"/>
        <w:tabs>
          <w:tab w:leader="none" w:pos="178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or the Reference Bank, as the case may be.</w:t>
      </w:r>
    </w:p>
    <w:p>
      <w:pPr>
        <w:spacing w:after="0" w:line="188" w:lineRule="exact"/>
        <w:rPr>
          <w:rFonts w:ascii="Arial" w:cs="Arial" w:eastAsia="Arial" w:hAnsi="Arial"/>
          <w:sz w:val="16"/>
          <w:szCs w:val="16"/>
          <w:color w:val="auto"/>
        </w:rPr>
      </w:pPr>
    </w:p>
    <w:p>
      <w:pPr>
        <w:ind w:left="1260" w:right="20" w:hanging="496"/>
        <w:spacing w:after="0" w:line="277" w:lineRule="auto"/>
        <w:tabs>
          <w:tab w:leader="none" w:pos="12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may, without prejudice to the provisions of article L.511-33 of the French Code monétaire et financier, disclose any Funding Rate (or any Reference Bank Quotation) and each Obligor may disclose any Funding Rate, to:</w:t>
      </w:r>
    </w:p>
    <w:p>
      <w:pPr>
        <w:spacing w:after="0" w:line="197" w:lineRule="exact"/>
        <w:rPr>
          <w:rFonts w:ascii="Arial" w:cs="Arial" w:eastAsia="Arial" w:hAnsi="Arial"/>
          <w:sz w:val="18"/>
          <w:szCs w:val="18"/>
          <w:color w:val="auto"/>
        </w:rPr>
      </w:pPr>
    </w:p>
    <w:p>
      <w:pPr>
        <w:jc w:val="both"/>
        <w:ind w:left="1780" w:hanging="503"/>
        <w:spacing w:after="0" w:line="275" w:lineRule="auto"/>
        <w:tabs>
          <w:tab w:leader="none" w:pos="17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any of its Affiliates and any of its or their officers, directors, employees, professional advisers, auditors,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374" w:lineRule="exact"/>
        <w:rPr>
          <w:rFonts w:ascii="Arial" w:cs="Arial" w:eastAsia="Arial" w:hAnsi="Arial"/>
          <w:sz w:val="17"/>
          <w:szCs w:val="17"/>
          <w:color w:val="auto"/>
        </w:rPr>
      </w:pPr>
    </w:p>
    <w:p>
      <w:pPr>
        <w:ind w:left="5520" w:hanging="85"/>
        <w:spacing w:after="0"/>
        <w:tabs>
          <w:tab w:leader="none" w:pos="5520" w:val="left"/>
        </w:tabs>
        <w:numPr>
          <w:ilvl w:val="2"/>
          <w:numId w:val="322"/>
        </w:numPr>
        <w:rPr>
          <w:rFonts w:ascii="Arial" w:cs="Arial" w:eastAsia="Arial" w:hAnsi="Arial"/>
          <w:sz w:val="14"/>
          <w:szCs w:val="14"/>
          <w:color w:val="auto"/>
        </w:rPr>
      </w:pPr>
      <w:r>
        <w:rPr>
          <w:rFonts w:ascii="Arial" w:cs="Arial" w:eastAsia="Arial" w:hAnsi="Arial"/>
          <w:sz w:val="14"/>
          <w:szCs w:val="14"/>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2" w:name="page153"/>
    <w:bookmarkEnd w:id="152"/>
    <w:p>
      <w:pPr>
        <w:jc w:val="both"/>
        <w:ind w:left="1780" w:hanging="503"/>
        <w:spacing w:after="0" w:line="255" w:lineRule="auto"/>
        <w:tabs>
          <w:tab w:leader="none" w:pos="17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219" w:lineRule="exact"/>
        <w:rPr>
          <w:rFonts w:ascii="Arial" w:cs="Arial" w:eastAsia="Arial" w:hAnsi="Arial"/>
          <w:sz w:val="18"/>
          <w:szCs w:val="18"/>
          <w:color w:val="auto"/>
        </w:rPr>
      </w:pPr>
    </w:p>
    <w:p>
      <w:pPr>
        <w:jc w:val="both"/>
        <w:ind w:left="1780" w:hanging="503"/>
        <w:spacing w:after="0" w:line="257" w:lineRule="auto"/>
        <w:tabs>
          <w:tab w:leader="none" w:pos="17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214" w:lineRule="exact"/>
        <w:rPr>
          <w:rFonts w:ascii="Arial" w:cs="Arial" w:eastAsia="Arial" w:hAnsi="Arial"/>
          <w:sz w:val="18"/>
          <w:szCs w:val="18"/>
          <w:color w:val="auto"/>
        </w:rPr>
      </w:pPr>
    </w:p>
    <w:p>
      <w:pPr>
        <w:ind w:left="1780" w:hanging="503"/>
        <w:spacing w:after="0"/>
        <w:tabs>
          <w:tab w:leader="none" w:pos="17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 or the Reference Bank, as the case may be.</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Agent's obligations in this Clause 36 relating to Reference Bank Quotations are without prejudice to its obligations to make notifications under Clause 8.4 (</w:t>
      </w:r>
      <w:r>
        <w:rPr>
          <w:rFonts w:ascii="Arial" w:cs="Arial" w:eastAsia="Arial" w:hAnsi="Arial"/>
          <w:sz w:val="19"/>
          <w:szCs w:val="19"/>
          <w:i w:val="1"/>
          <w:iCs w:val="1"/>
          <w:color w:val="auto"/>
        </w:rPr>
        <w:t>Notification of rates of interest</w:t>
      </w:r>
      <w:r>
        <w:rPr>
          <w:rFonts w:ascii="Arial" w:cs="Arial" w:eastAsia="Arial" w:hAnsi="Arial"/>
          <w:sz w:val="19"/>
          <w:szCs w:val="19"/>
          <w:color w:val="auto"/>
        </w:rPr>
        <w:t>) provided that (other than pursuant to paragraph (b)(i) above) the Agent shall not include the details of any individual Reference Bank Quotation as part of any such notification.</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Related obligations</w:t>
      </w:r>
    </w:p>
    <w:p>
      <w:pPr>
        <w:spacing w:after="0" w:line="252" w:lineRule="exact"/>
        <w:rPr>
          <w:sz w:val="20"/>
          <w:szCs w:val="20"/>
          <w:color w:val="auto"/>
        </w:rPr>
      </w:pPr>
    </w:p>
    <w:p>
      <w:pPr>
        <w:jc w:val="both"/>
        <w:ind w:left="1260" w:hanging="496"/>
        <w:spacing w:after="0" w:line="259" w:lineRule="auto"/>
        <w:tabs>
          <w:tab w:leader="none" w:pos="12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(and, in the case of the Agent, each Reference Bank Quotation) is or may be price sensitive information and that its use may be regulated or prohibited by applicable legislation including securities law relating to insider dealing and market abuse and the Agent and each Obligor undertake not to use any Funding Rate or, in the case of the Agent, any Reference Bank Quotation for any unlawful purpose.</w:t>
      </w:r>
    </w:p>
    <w:p>
      <w:pPr>
        <w:spacing w:after="0" w:line="213"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 or the Reference Bank, as the case may be:</w:t>
      </w:r>
    </w:p>
    <w:p>
      <w:pPr>
        <w:spacing w:after="0" w:line="197"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36.1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210" w:lineRule="exact"/>
        <w:rPr>
          <w:rFonts w:ascii="Arial" w:cs="Arial" w:eastAsia="Arial" w:hAnsi="Arial"/>
          <w:sz w:val="18"/>
          <w:szCs w:val="18"/>
          <w:color w:val="auto"/>
        </w:rPr>
      </w:pPr>
    </w:p>
    <w:p>
      <w:pPr>
        <w:ind w:left="1780" w:hanging="503"/>
        <w:spacing w:after="0"/>
        <w:tabs>
          <w:tab w:leader="none" w:pos="17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36.</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No Event of Default</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 Event of Default will occur under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 by reason only of an Obligor's failure to comply with this Clause 36.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p>
      <w:pPr>
        <w:ind w:left="760" w:hanging="752"/>
        <w:spacing w:after="0"/>
        <w:tabs>
          <w:tab w:leader="none" w:pos="7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Anti-Boycott Regulations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respect to each Restricted Lender, the Sanctions Provisions shall only apply for the benefit of such Restricted Lender to the extent that such application would not result in any violation by such Restricted Lender of any Anti-Boycott Regulations specified in its Restricted Lender Notice.</w:t>
      </w:r>
    </w:p>
    <w:p>
      <w:pPr>
        <w:spacing w:after="0" w:line="220" w:lineRule="exact"/>
        <w:rPr>
          <w:sz w:val="20"/>
          <w:szCs w:val="20"/>
          <w:color w:val="auto"/>
        </w:rPr>
      </w:pPr>
    </w:p>
    <w:p>
      <w:pPr>
        <w:ind w:left="760" w:hanging="752"/>
        <w:spacing w:after="0"/>
        <w:tabs>
          <w:tab w:leader="none" w:pos="7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Waiver of Subject Ordinance</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To the extent they can legally do so and so far these provisions would become applicable to this Agreement, the parties hereto expressly agree to waive the application of, and any remedies under, the provisions of French Ordinance n° 2020-306 of 25 March 2020 (as supplemented by Ordinance n° 2020-427 of 15 April 2020, and as may be further supplemented from time to time) (the “</w:t>
      </w:r>
      <w:r>
        <w:rPr>
          <w:rFonts w:ascii="Arial" w:cs="Arial" w:eastAsia="Arial" w:hAnsi="Arial"/>
          <w:sz w:val="19"/>
          <w:szCs w:val="19"/>
          <w:b w:val="1"/>
          <w:bCs w:val="1"/>
          <w:color w:val="auto"/>
        </w:rPr>
        <w:t>Subject Ordinance</w:t>
      </w:r>
      <w:r>
        <w:rPr>
          <w:rFonts w:ascii="Arial" w:cs="Arial" w:eastAsia="Arial" w:hAnsi="Arial"/>
          <w:sz w:val="19"/>
          <w:szCs w:val="19"/>
          <w:color w:val="auto"/>
        </w:rPr>
        <w:t>”) suspending the legal effect of any penalty clause, termination clause or suspension of right clause during the COVID-19 sanitary period (including any extension thereof), pursuant to Article 4 of the Subject Ordinance.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GOVERNING LAW AND ENFORCEMENT</w:t>
      </w:r>
    </w:p>
    <w:p>
      <w:pPr>
        <w:spacing w:after="0" w:line="222" w:lineRule="exact"/>
        <w:rPr>
          <w:sz w:val="20"/>
          <w:szCs w:val="20"/>
          <w:color w:val="auto"/>
        </w:rPr>
      </w:pPr>
    </w:p>
    <w:p>
      <w:pPr>
        <w:ind w:left="760" w:hanging="752"/>
        <w:spacing w:after="0"/>
        <w:tabs>
          <w:tab w:leader="none" w:pos="7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This Agreement and any non-contractual obligations arising out of or in connection with it are governed by French law.</w:t>
      </w:r>
    </w:p>
    <w:p>
      <w:pPr>
        <w:spacing w:after="0" w:line="252" w:lineRule="exact"/>
        <w:rPr>
          <w:sz w:val="20"/>
          <w:szCs w:val="20"/>
          <w:color w:val="auto"/>
        </w:rPr>
      </w:pPr>
    </w:p>
    <w:p>
      <w:pPr>
        <w:ind w:left="760" w:hanging="752"/>
        <w:spacing w:after="0"/>
        <w:tabs>
          <w:tab w:leader="none" w:pos="7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Enforcement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40.1</w:t>
      </w:r>
      <w:r>
        <w:rPr>
          <w:rFonts w:ascii="Arial" w:cs="Arial" w:eastAsia="Arial" w:hAnsi="Arial"/>
          <w:sz w:val="16"/>
          <w:szCs w:val="16"/>
          <w:color w:val="auto"/>
        </w:rPr>
        <w:t>Jurisdiction</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Tribunal de Commerce de Paris has exclusive jurisdiction to settle any dispute arising out of or in connection with this Agreement (including a dispute relating to the existence, validity or termination of this Agreement or any non-contractual obligation arising out or in connection with this Agreement).</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Evidence of Agreement</w:t>
      </w:r>
    </w:p>
    <w:p>
      <w:pPr>
        <w:spacing w:after="0" w:line="252" w:lineRule="exact"/>
        <w:rPr>
          <w:sz w:val="20"/>
          <w:szCs w:val="20"/>
          <w:color w:val="auto"/>
        </w:rPr>
      </w:pPr>
    </w:p>
    <w:p>
      <w:pPr>
        <w:jc w:val="both"/>
        <w:ind w:left="1260" w:hanging="496"/>
        <w:spacing w:after="0" w:line="259" w:lineRule="auto"/>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Each Party acknowledges having the knowledge of the use of the electronic signature solution offered by DocuSign France who will ensure the security and integrity of the digital copies of this Agreement in accordance with the Electronic Signature Laws and Regulations and that the route offered by or DocuSign France implements an electronic signature within the meaning of the provisions of article 1367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of the Parties recognises and accepts that the conservation by DocuSign France of this Agreement and of all the information relating thereto stored and/or signed electronically, makes it possible to satisfy the requirement of durability within the meaning of the provisions of article 1379 of the French Code civil.</w:t>
      </w:r>
    </w:p>
    <w:p>
      <w:pPr>
        <w:spacing w:after="0" w:line="210" w:lineRule="exact"/>
        <w:rPr>
          <w:rFonts w:ascii="Arial" w:cs="Arial" w:eastAsia="Arial" w:hAnsi="Arial"/>
          <w:sz w:val="18"/>
          <w:szCs w:val="18"/>
          <w:color w:val="auto"/>
        </w:rPr>
      </w:pPr>
    </w:p>
    <w:p>
      <w:pPr>
        <w:ind w:left="1260" w:right="20" w:hanging="496"/>
        <w:spacing w:after="0" w:line="277" w:lineRule="auto"/>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of the Parties recognizes and accepts that the date and time stamp of this Agreement and electronic signatures is enforceable (opposable) against it and that it will prevail between the Parties.</w:t>
      </w:r>
    </w:p>
    <w:p>
      <w:pPr>
        <w:spacing w:after="0" w:line="197"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of the Parties recognizes and accepts that the electronic signature according to the solution offered by DocuSign France of this Agreement corresponds to a degree of reliability sufficient to identify its signatory and guarantees its link with this Agreement to which its signature is attached.</w:t>
      </w:r>
    </w:p>
    <w:p>
      <w:pPr>
        <w:spacing w:after="0" w:line="210"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Thus, each of the Parties expressly acknowledges and accepts that the electronic signature of this Agreement thus produced will be valid and enforceable against it and against the other Parties.</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For the purpose of this Clause 39.2 (Evidence of Agreement):</w:t>
      </w:r>
    </w:p>
    <w:p>
      <w:pPr>
        <w:spacing w:after="0" w:line="239" w:lineRule="exact"/>
        <w:rPr>
          <w:sz w:val="20"/>
          <w:szCs w:val="20"/>
          <w:color w:val="auto"/>
        </w:rPr>
      </w:pPr>
    </w:p>
    <w:p>
      <w:pPr>
        <w:ind w:left="128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EIDAS Regulation</w:t>
      </w:r>
      <w:r>
        <w:rPr>
          <w:rFonts w:ascii="Arial" w:cs="Arial" w:eastAsia="Arial" w:hAnsi="Arial"/>
          <w:sz w:val="19"/>
          <w:szCs w:val="19"/>
          <w:color w:val="auto"/>
        </w:rPr>
        <w:t>" means the Regulation (UE) N°910/2014 of the European Parliament and of the Council dated 23 July 2014 on electronic identification and trust services for electronic transactions in the internal market.</w:t>
      </w:r>
    </w:p>
    <w:p>
      <w:pPr>
        <w:spacing w:after="0" w:line="121" w:lineRule="exact"/>
        <w:rPr>
          <w:sz w:val="20"/>
          <w:szCs w:val="20"/>
          <w:color w:val="auto"/>
        </w:rPr>
      </w:pPr>
    </w:p>
    <w:p>
      <w:pPr>
        <w:ind w:left="12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Electronic Signature Laws and Regulations</w:t>
      </w:r>
      <w:r>
        <w:rPr>
          <w:rFonts w:ascii="Arial" w:cs="Arial" w:eastAsia="Arial" w:hAnsi="Arial"/>
          <w:sz w:val="21"/>
          <w:szCs w:val="21"/>
          <w:color w:val="auto"/>
        </w:rPr>
        <w:t>" means articles 1366 and 1367 of the French Civil Code, the decree n°2017-1416 dated 28 September 2017 on the electronic signature and the EIDAS Regulation.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5" w:name="page156"/>
    <w:bookmarkEnd w:id="155"/>
    <w:p>
      <w:pPr>
        <w:spacing w:after="0"/>
        <w:tabs>
          <w:tab w:leader="none" w:pos="7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Personal Data Protection</w:t>
      </w:r>
    </w:p>
    <w:p>
      <w:pPr>
        <w:spacing w:after="0" w:line="252" w:lineRule="exact"/>
        <w:rPr>
          <w:sz w:val="20"/>
          <w:szCs w:val="20"/>
          <w:color w:val="auto"/>
        </w:rPr>
      </w:pPr>
    </w:p>
    <w:p>
      <w:pPr>
        <w:jc w:val="both"/>
        <w:ind w:left="1260" w:hanging="496"/>
        <w:spacing w:after="0" w:line="296" w:lineRule="auto"/>
        <w:tabs>
          <w:tab w:leader="none" w:pos="12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Pursuant to the General Data Protection Regulation 2016/679 of April 27, 2016 (the "GDPR") and the French law no. 78-17 dated 6 January 1978, each Finance Party may process personal data relating to each Borrower and its Subsidiaries including their respective beneficial owners, officers and personnel for purposes solely related to the execution and administration of this Agreement. Each party undertakes to comply with the applicable data protection laws and regulations, including Law No. 78-17 of 6 January 1978 and the GDPR and other applicable data protection laws, in each case, as may be amended and updated (the "Data Protection Rules").</w:t>
      </w:r>
    </w:p>
    <w:p>
      <w:pPr>
        <w:spacing w:after="0" w:line="188" w:lineRule="exact"/>
        <w:rPr>
          <w:rFonts w:ascii="Arial" w:cs="Arial" w:eastAsia="Arial" w:hAnsi="Arial"/>
          <w:sz w:val="16"/>
          <w:szCs w:val="16"/>
          <w:color w:val="auto"/>
        </w:rPr>
      </w:pPr>
    </w:p>
    <w:p>
      <w:pPr>
        <w:jc w:val="both"/>
        <w:ind w:left="1260" w:hanging="496"/>
        <w:spacing w:after="0" w:line="259" w:lineRule="auto"/>
        <w:tabs>
          <w:tab w:leader="none" w:pos="1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Personal data may be transferred by the Finance Parties to any Affiliate or third parties, including regulators and supervisory authorities, transferees, subcontractors, partners and companies involved in brokerage activities with each Finance Party in France or abroad, including in non-EEA. The personal data may be retained for the duration of the Agreement, the applicable limitation period and/or the documented retention period of any Finance Party.</w:t>
      </w:r>
    </w:p>
    <w:p>
      <w:pPr>
        <w:spacing w:after="0" w:line="213" w:lineRule="exact"/>
        <w:rPr>
          <w:rFonts w:ascii="Arial" w:cs="Arial" w:eastAsia="Arial" w:hAnsi="Arial"/>
          <w:sz w:val="18"/>
          <w:szCs w:val="18"/>
          <w:color w:val="auto"/>
        </w:rPr>
      </w:pPr>
    </w:p>
    <w:p>
      <w:pPr>
        <w:ind w:left="1260" w:hanging="496"/>
        <w:spacing w:after="0" w:line="308" w:lineRule="auto"/>
        <w:tabs>
          <w:tab w:leader="none" w:pos="126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Subject to provisions of Clause 35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the signatories of this Agreement acknowledge that personal data may be transferred, upon the request of official agencies and local administrative or judicial authorities, to EEA and non EEA countries.</w:t>
      </w:r>
    </w:p>
    <w:p>
      <w:pPr>
        <w:spacing w:after="0" w:line="173" w:lineRule="exact"/>
        <w:rPr>
          <w:rFonts w:ascii="Arial" w:cs="Arial" w:eastAsia="Arial" w:hAnsi="Arial"/>
          <w:sz w:val="17"/>
          <w:szCs w:val="17"/>
          <w:color w:val="auto"/>
        </w:rPr>
      </w:pPr>
    </w:p>
    <w:p>
      <w:pPr>
        <w:jc w:val="both"/>
        <w:ind w:left="1260" w:hanging="496"/>
        <w:spacing w:after="0" w:line="259" w:lineRule="auto"/>
        <w:tabs>
          <w:tab w:leader="none" w:pos="1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Data subjects have certain rights under the Data Protection Rules which include the right to access and to request a copy of their personal data, the restriction on the processing of their personal data and/or the rectification or erasure of their personal data. Data subjects may also communicate instructions on the fate of their personal data in case of death. These rights may be exercised by sending a request by mail or e-mail to the address indicated on the following website:</w:t>
      </w:r>
    </w:p>
    <w:p>
      <w:pPr>
        <w:spacing w:after="0" w:line="213" w:lineRule="exact"/>
        <w:rPr>
          <w:rFonts w:ascii="Arial" w:cs="Arial" w:eastAsia="Arial" w:hAnsi="Arial"/>
          <w:sz w:val="18"/>
          <w:szCs w:val="18"/>
          <w:color w:val="auto"/>
        </w:rPr>
      </w:pPr>
    </w:p>
    <w:p>
      <w:pPr>
        <w:ind w:left="1960" w:hanging="332"/>
        <w:spacing w:after="0"/>
        <w:tabs>
          <w:tab w:leader="none" w:pos="19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relation to Societe Generale: https://entreprises.societegenerale.fr/rgpd-charte-donnees/;</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relation to BNP Paribas: https://cib.bnpparibas.com/about/privacy-policy_a-38-60.html;</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relation to Standard Chartered Bank: https://www.sc.com/en/privacy-policy/;</w:t>
      </w:r>
    </w:p>
    <w:p>
      <w:pPr>
        <w:spacing w:after="0" w:line="252" w:lineRule="exact"/>
        <w:rPr>
          <w:rFonts w:ascii="Arial" w:cs="Arial" w:eastAsia="Arial" w:hAnsi="Arial"/>
          <w:sz w:val="18"/>
          <w:szCs w:val="18"/>
          <w:color w:val="auto"/>
        </w:rPr>
      </w:pPr>
    </w:p>
    <w:p>
      <w:pPr>
        <w:ind w:left="2600" w:hanging="972"/>
        <w:spacing w:after="0"/>
        <w:tabs>
          <w:tab w:leader="none" w:pos="26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in relation to HSBC France: https://www.hsbc.fr/1/2/hsbc-france/charte-de-protection-des-donnees</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addition to the rights referred to in Clause 39.3 (d) above, the data subjects are also entitled to lodge a complaint with their respective supervisory authority.</w:t>
      </w:r>
    </w:p>
    <w:p>
      <w:pPr>
        <w:spacing w:after="0" w:line="197" w:lineRule="exact"/>
        <w:rPr>
          <w:rFonts w:ascii="Arial" w:cs="Arial" w:eastAsia="Arial" w:hAnsi="Arial"/>
          <w:sz w:val="18"/>
          <w:szCs w:val="18"/>
          <w:color w:val="auto"/>
        </w:rPr>
      </w:pPr>
    </w:p>
    <w:p>
      <w:pPr>
        <w:ind w:left="1260" w:hanging="496"/>
        <w:spacing w:after="0"/>
        <w:tabs>
          <w:tab w:leader="none" w:pos="126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Where used in this clause the terms: "personal data" and "data subject" shall have the meaning ascribed to such terms in the GDPR.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ind w:left="4960"/>
        <w:spacing w:after="0"/>
        <w:rPr>
          <w:sz w:val="20"/>
          <w:szCs w:val="20"/>
          <w:color w:val="auto"/>
        </w:rPr>
      </w:pPr>
      <w:r>
        <w:rPr>
          <w:rFonts w:ascii="Arial" w:cs="Arial" w:eastAsia="Arial" w:hAnsi="Arial"/>
          <w:sz w:val="22"/>
          <w:szCs w:val="22"/>
          <w:b w:val="1"/>
          <w:bCs w:val="1"/>
          <w:color w:val="auto"/>
        </w:rPr>
        <w:t>SCHEDULE 1.</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THE ORIGINAL LENDERS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Name of Original Lender</w:t>
            </w:r>
          </w:p>
        </w:tc>
        <w:tc>
          <w:tcPr>
            <w:tcW w:w="6080" w:type="dxa"/>
            <w:vAlign w:val="bottom"/>
          </w:tcPr>
          <w:p>
            <w:pPr>
              <w:ind w:left="120"/>
              <w:spacing w:after="0"/>
              <w:rPr>
                <w:sz w:val="20"/>
                <w:szCs w:val="20"/>
                <w:color w:val="auto"/>
              </w:rPr>
            </w:pPr>
            <w:r>
              <w:rPr>
                <w:rFonts w:ascii="Arial" w:cs="Arial" w:eastAsia="Arial" w:hAnsi="Arial"/>
                <w:sz w:val="18"/>
                <w:szCs w:val="18"/>
                <w:color w:val="auto"/>
              </w:rPr>
              <w:t>Commitment</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w w:val="97"/>
              </w:rPr>
              <w:t>BNP PARIBAS (a société anonyme incorporated under the laws of</w:t>
            </w:r>
          </w:p>
        </w:tc>
        <w:tc>
          <w:tcPr>
            <w:tcW w:w="608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France, having its registered office at 16 boulevard des Italiens,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75009 Paris, registered under number 662 042 449 RCS Paris)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Deutsche  Bank  Luxembourg  S.A.,  a  société  anonyme  with  a</w:t>
            </w:r>
          </w:p>
        </w:tc>
        <w:tc>
          <w:tcPr>
            <w:tcW w:w="608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registered  address  at  2,  boulevard  Konrad  Adenauer,  L-1115</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Luxembourg, registered under the Commercial Register (R.C.S.)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Luxembourg No. B 9164.</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HSBC France, a société anonyme incorporated under the laws of</w:t>
            </w:r>
          </w:p>
        </w:tc>
        <w:tc>
          <w:tcPr>
            <w:tcW w:w="608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France, having its registered office at 103, avenue des Champs-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Elysées, 75008 Paris, registered under number 775 670 284 RCS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Paris.</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SOCIETE GENERALE, a société anonyme with a share capital of</w:t>
            </w:r>
          </w:p>
        </w:tc>
        <w:tc>
          <w:tcPr>
            <w:tcW w:w="608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5"/>
              </w:rPr>
              <w:t>€1,009,897,173.75 having the unique identification number 552 120</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222 RCS Paris, having its registered office at PARIS (75009), 29</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5"/>
              </w:rPr>
              <w:t>Boulevard Haussmann, and duly represented by Mr Patrick Blas on</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behalf  of  the  Centre  d’Affaires  La  Défense  Entreprises,  Tour</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Manhattan, 5-6 Place de l'Iris 92040 COURBEVOIE</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6"/>
              </w:rPr>
              <w:t>Standard Chartered Bank, a company incorporated in England with</w:t>
            </w:r>
          </w:p>
        </w:tc>
        <w:tc>
          <w:tcPr>
            <w:tcW w:w="6080" w:type="dxa"/>
            <w:vAlign w:val="bottom"/>
          </w:tcPr>
          <w:p>
            <w:pPr>
              <w:ind w:left="120"/>
              <w:spacing w:after="0"/>
              <w:rPr>
                <w:sz w:val="20"/>
                <w:szCs w:val="20"/>
                <w:color w:val="auto"/>
              </w:rPr>
            </w:pPr>
            <w:r>
              <w:rPr>
                <w:rFonts w:ascii="Arial" w:cs="Arial" w:eastAsia="Arial" w:hAnsi="Arial"/>
                <w:sz w:val="18"/>
                <w:szCs w:val="18"/>
                <w:color w:val="auto"/>
              </w:rPr>
              <w:t>€100,000,000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6"/>
              </w:rPr>
              <w:t>limited liability by Royal Charter 1853 with reference number ZC18,</w:t>
            </w:r>
          </w:p>
        </w:tc>
        <w:tc>
          <w:tcPr>
            <w:tcW w:w="608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8"/>
              </w:rPr>
              <w:t>having its registered office at 1 Basinghall Avenue, London EC2V</w:t>
            </w:r>
          </w:p>
        </w:tc>
        <w:tc>
          <w:tcPr>
            <w:tcW w:w="608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5DD</w:t>
            </w:r>
          </w:p>
        </w:tc>
        <w:tc>
          <w:tcPr>
            <w:tcW w:w="6080" w:type="dxa"/>
            <w:vAlign w:val="bottom"/>
          </w:tcPr>
          <w:p>
            <w:pPr>
              <w:spacing w:after="0"/>
              <w:rPr>
                <w:sz w:val="20"/>
                <w:szCs w:val="20"/>
                <w:color w:val="auto"/>
              </w:rPr>
            </w:pPr>
          </w:p>
        </w:tc>
      </w:tr>
      <w:tr>
        <w:trPr>
          <w:trHeight w:val="582"/>
        </w:trPr>
        <w:tc>
          <w:tcPr>
            <w:tcW w:w="5160" w:type="dxa"/>
            <w:vAlign w:val="bottom"/>
          </w:tcPr>
          <w:p>
            <w:pPr>
              <w:spacing w:after="0"/>
              <w:rPr>
                <w:sz w:val="24"/>
                <w:szCs w:val="24"/>
                <w:color w:val="auto"/>
              </w:rPr>
            </w:pPr>
          </w:p>
        </w:tc>
        <w:tc>
          <w:tcPr>
            <w:tcW w:w="6080" w:type="dxa"/>
            <w:vAlign w:val="bottom"/>
          </w:tcPr>
          <w:p>
            <w:pPr>
              <w:ind w:left="280"/>
              <w:spacing w:after="0"/>
              <w:rPr>
                <w:sz w:val="20"/>
                <w:szCs w:val="20"/>
                <w:color w:val="auto"/>
              </w:rPr>
            </w:pPr>
            <w:r>
              <w:rPr>
                <w:rFonts w:ascii="Arial" w:cs="Arial" w:eastAsia="Arial" w:hAnsi="Arial"/>
                <w:sz w:val="14"/>
                <w:szCs w:val="14"/>
                <w:color w:val="auto"/>
              </w:rPr>
              <w:t>-124-</w:t>
            </w:r>
          </w:p>
        </w:tc>
      </w:tr>
      <w:tr>
        <w:trPr>
          <w:trHeight w:val="46"/>
        </w:trPr>
        <w:tc>
          <w:tcPr>
            <w:tcW w:w="516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157" w:name="page158"/>
    <w:bookmarkEnd w:id="157"/>
    <w:p>
      <w:pPr>
        <w:ind w:left="4960"/>
        <w:spacing w:after="0"/>
        <w:rPr>
          <w:sz w:val="20"/>
          <w:szCs w:val="20"/>
          <w:color w:val="auto"/>
        </w:rPr>
      </w:pPr>
      <w:r>
        <w:rPr>
          <w:rFonts w:ascii="Arial" w:cs="Arial" w:eastAsia="Arial" w:hAnsi="Arial"/>
          <w:sz w:val="22"/>
          <w:szCs w:val="22"/>
          <w:b w:val="1"/>
          <w:bCs w:val="1"/>
          <w:color w:val="auto"/>
        </w:rPr>
        <w:t>SCHEDULE 2.</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CONDITIONS PRECEDENT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Signing Date</w:t>
      </w:r>
    </w:p>
    <w:p>
      <w:pPr>
        <w:spacing w:after="0" w:line="242" w:lineRule="exact"/>
        <w:rPr>
          <w:sz w:val="20"/>
          <w:szCs w:val="20"/>
          <w:color w:val="auto"/>
        </w:rPr>
      </w:pPr>
    </w:p>
    <w:p>
      <w:pPr>
        <w:ind w:left="760" w:hanging="752"/>
        <w:spacing w:after="0"/>
        <w:tabs>
          <w:tab w:leader="none" w:pos="7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OBLIGORS</w:t>
      </w:r>
    </w:p>
    <w:p>
      <w:pPr>
        <w:spacing w:after="0" w:line="256" w:lineRule="exact"/>
        <w:rPr>
          <w:rFonts w:ascii="Arial" w:cs="Arial" w:eastAsia="Arial" w:hAnsi="Arial"/>
          <w:sz w:val="18"/>
          <w:szCs w:val="18"/>
          <w:b w:val="1"/>
          <w:bCs w:val="1"/>
          <w:color w:val="auto"/>
        </w:rPr>
      </w:pPr>
    </w:p>
    <w:p>
      <w:pPr>
        <w:ind w:left="1260" w:hanging="496"/>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respect of the Company, a copy of its constitutional documents.</w:t>
      </w:r>
    </w:p>
    <w:p>
      <w:pPr>
        <w:spacing w:after="0" w:line="252" w:lineRule="exact"/>
        <w:rPr>
          <w:rFonts w:ascii="Arial" w:cs="Arial" w:eastAsia="Arial" w:hAnsi="Arial"/>
          <w:sz w:val="18"/>
          <w:szCs w:val="18"/>
          <w:color w:val="auto"/>
        </w:rPr>
      </w:pPr>
    </w:p>
    <w:p>
      <w:pPr>
        <w:jc w:val="both"/>
        <w:ind w:left="1260" w:hanging="496"/>
        <w:spacing w:after="0" w:line="263" w:lineRule="auto"/>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respect of the Subsidiary Borrower, (1) a copy of its articles of association, (ii) an electronic copy of a non-bankruptcy certificate (</w:t>
      </w:r>
      <w:r>
        <w:rPr>
          <w:rFonts w:ascii="Arial" w:cs="Arial" w:eastAsia="Arial" w:hAnsi="Arial"/>
          <w:sz w:val="18"/>
          <w:szCs w:val="18"/>
          <w:i w:val="1"/>
          <w:iCs w:val="1"/>
          <w:color w:val="auto"/>
        </w:rPr>
        <w:t>certificat de non faillite</w:t>
      </w:r>
      <w:r>
        <w:rPr>
          <w:rFonts w:ascii="Arial" w:cs="Arial" w:eastAsia="Arial" w:hAnsi="Arial"/>
          <w:sz w:val="18"/>
          <w:szCs w:val="18"/>
          <w:color w:val="auto"/>
        </w:rPr>
        <w:t>) relating to it, (iii) an electronic copy of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relating to it, and (iv) the decision of the partners (</w:t>
      </w:r>
      <w:r>
        <w:rPr>
          <w:rFonts w:ascii="Arial" w:cs="Arial" w:eastAsia="Arial" w:hAnsi="Arial"/>
          <w:sz w:val="18"/>
          <w:szCs w:val="18"/>
          <w:i w:val="1"/>
          <w:iCs w:val="1"/>
          <w:color w:val="auto"/>
        </w:rPr>
        <w:t>associés</w:t>
      </w:r>
      <w:r>
        <w:rPr>
          <w:rFonts w:ascii="Arial" w:cs="Arial" w:eastAsia="Arial" w:hAnsi="Arial"/>
          <w:sz w:val="18"/>
          <w:szCs w:val="18"/>
          <w:color w:val="auto"/>
        </w:rPr>
        <w:t>) of the Subsidiary Borrower whereby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has been appointed.</w:t>
      </w:r>
    </w:p>
    <w:p>
      <w:pPr>
        <w:spacing w:after="0" w:line="210" w:lineRule="exact"/>
        <w:rPr>
          <w:rFonts w:ascii="Arial" w:cs="Arial" w:eastAsia="Arial" w:hAnsi="Arial"/>
          <w:sz w:val="18"/>
          <w:szCs w:val="18"/>
          <w:color w:val="auto"/>
        </w:rPr>
      </w:pPr>
    </w:p>
    <w:p>
      <w:pPr>
        <w:ind w:left="1260" w:hanging="496"/>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copy of a resolution (or an extract of the minutes) of the board of directors or equivalent body of the Company :</w:t>
      </w:r>
    </w:p>
    <w:p>
      <w:pPr>
        <w:spacing w:after="0" w:line="252" w:lineRule="exact"/>
        <w:rPr>
          <w:rFonts w:ascii="Arial" w:cs="Arial" w:eastAsia="Arial" w:hAnsi="Arial"/>
          <w:sz w:val="18"/>
          <w:szCs w:val="18"/>
          <w:color w:val="auto"/>
        </w:rPr>
      </w:pPr>
    </w:p>
    <w:p>
      <w:pPr>
        <w:ind w:left="1780" w:right="20" w:hanging="503"/>
        <w:spacing w:after="0" w:line="277" w:lineRule="auto"/>
        <w:tabs>
          <w:tab w:leader="none" w:pos="178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197" w:lineRule="exact"/>
        <w:rPr>
          <w:rFonts w:ascii="Arial" w:cs="Arial" w:eastAsia="Arial" w:hAnsi="Arial"/>
          <w:sz w:val="18"/>
          <w:szCs w:val="18"/>
          <w:color w:val="auto"/>
        </w:rPr>
      </w:pPr>
    </w:p>
    <w:p>
      <w:pPr>
        <w:ind w:left="1780" w:hanging="503"/>
        <w:spacing w:after="0"/>
        <w:tabs>
          <w:tab w:leader="none" w:pos="178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w:t>
      </w:r>
    </w:p>
    <w:p>
      <w:pPr>
        <w:spacing w:after="0" w:line="252" w:lineRule="exact"/>
        <w:rPr>
          <w:rFonts w:ascii="Arial" w:cs="Arial" w:eastAsia="Arial" w:hAnsi="Arial"/>
          <w:sz w:val="18"/>
          <w:szCs w:val="18"/>
          <w:color w:val="auto"/>
        </w:rPr>
      </w:pPr>
    </w:p>
    <w:p>
      <w:pPr>
        <w:jc w:val="both"/>
        <w:ind w:left="1780" w:hanging="503"/>
        <w:spacing w:after="0" w:line="263" w:lineRule="auto"/>
        <w:tabs>
          <w:tab w:leader="none" w:pos="178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or other notice to be signed and/or dispatched by it under or in connection with the Finance Documents to which it is a party; and</w:t>
      </w:r>
    </w:p>
    <w:p>
      <w:pPr>
        <w:spacing w:after="0" w:line="210" w:lineRule="exact"/>
        <w:rPr>
          <w:rFonts w:ascii="Arial" w:cs="Arial" w:eastAsia="Arial" w:hAnsi="Arial"/>
          <w:sz w:val="18"/>
          <w:szCs w:val="18"/>
          <w:color w:val="auto"/>
        </w:rPr>
      </w:pPr>
    </w:p>
    <w:p>
      <w:pPr>
        <w:ind w:left="1780" w:hanging="503"/>
        <w:spacing w:after="0"/>
        <w:tabs>
          <w:tab w:leader="none" w:pos="178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resolving that the entry into this Agreement is in the best interests of the Company.</w:t>
      </w:r>
    </w:p>
    <w:p>
      <w:pPr>
        <w:spacing w:after="0" w:line="252"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(i) in respect of the Company, the resolution referred to in (c) above or (ii) in respect of the Subsidiary Borrower, the managing director (</w:t>
      </w:r>
      <w:r>
        <w:rPr>
          <w:rFonts w:ascii="Arial" w:cs="Arial" w:eastAsia="Arial" w:hAnsi="Arial"/>
          <w:sz w:val="18"/>
          <w:szCs w:val="18"/>
          <w:i w:val="1"/>
          <w:iCs w:val="1"/>
          <w:color w:val="auto"/>
        </w:rPr>
        <w:t>gérant</w:t>
      </w:r>
      <w:r>
        <w:rPr>
          <w:rFonts w:ascii="Arial" w:cs="Arial" w:eastAsia="Arial" w:hAnsi="Arial"/>
          <w:sz w:val="18"/>
          <w:szCs w:val="18"/>
          <w:color w:val="auto"/>
        </w:rPr>
        <w:t>) of Technip Eurocash.</w:t>
      </w:r>
    </w:p>
    <w:p>
      <w:pPr>
        <w:spacing w:after="0" w:line="197" w:lineRule="exact"/>
        <w:rPr>
          <w:rFonts w:ascii="Arial" w:cs="Arial" w:eastAsia="Arial" w:hAnsi="Arial"/>
          <w:sz w:val="18"/>
          <w:szCs w:val="18"/>
          <w:color w:val="auto"/>
        </w:rPr>
      </w:pPr>
    </w:p>
    <w:p>
      <w:pPr>
        <w:ind w:left="1260" w:right="20" w:hanging="496"/>
        <w:spacing w:after="0" w:line="277" w:lineRule="auto"/>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certificate of each Obligor (signed by an authorised signatory) confirming that borrowing or guaranteeing, as appropriate, the Total Commitments would not cause any borrowing, guarantee or similar limitation binding on it to be exceeded.</w:t>
      </w:r>
    </w:p>
    <w:p>
      <w:pPr>
        <w:spacing w:after="0" w:line="197"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 certificate of an authorised signatory of the Company dated the Signing Date and certifying that each copy document relating to it specified in paragraphs (a), (c), (d) and (e) of this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is correct, complete and (to the extent executed) in full force and effect and has not been amended or superseded as at a date no earlier than the Signing Date.</w:t>
      </w:r>
    </w:p>
    <w:p>
      <w:pPr>
        <w:spacing w:after="0" w:line="192" w:lineRule="exact"/>
        <w:rPr>
          <w:rFonts w:ascii="Arial" w:cs="Arial" w:eastAsia="Arial" w:hAnsi="Arial"/>
          <w:sz w:val="17"/>
          <w:szCs w:val="17"/>
          <w:color w:val="auto"/>
        </w:rPr>
      </w:pPr>
    </w:p>
    <w:p>
      <w:pPr>
        <w:jc w:val="both"/>
        <w:ind w:left="1260" w:hanging="496"/>
        <w:spacing w:after="0" w:line="286" w:lineRule="auto"/>
        <w:tabs>
          <w:tab w:leader="none" w:pos="126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 certificate of an authorised signatory of the Subsidiary Borrower dated the Signing Date and certifying that each copy document relating to it specified in paragraphs (b) and (d) of this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is correct, complete and (to the extent executed) in full force and effect and has not been amended or superseded as at a date no earlier than the Signing Date.</w:t>
      </w:r>
    </w:p>
    <w:p>
      <w:pPr>
        <w:spacing w:after="0" w:line="363" w:lineRule="exact"/>
        <w:rPr>
          <w:rFonts w:ascii="Arial" w:cs="Arial" w:eastAsia="Arial" w:hAnsi="Arial"/>
          <w:sz w:val="17"/>
          <w:szCs w:val="17"/>
          <w:color w:val="auto"/>
        </w:rPr>
      </w:pPr>
    </w:p>
    <w:p>
      <w:pPr>
        <w:ind w:left="5520" w:hanging="88"/>
        <w:spacing w:after="0"/>
        <w:tabs>
          <w:tab w:leader="none" w:pos="5520" w:val="left"/>
        </w:tabs>
        <w:numPr>
          <w:ilvl w:val="3"/>
          <w:numId w:val="331"/>
        </w:numPr>
        <w:rPr>
          <w:rFonts w:ascii="Arial" w:cs="Arial" w:eastAsia="Arial" w:hAnsi="Arial"/>
          <w:sz w:val="14"/>
          <w:szCs w:val="14"/>
          <w:color w:val="auto"/>
        </w:rPr>
      </w:pPr>
      <w:r>
        <w:rPr>
          <w:rFonts w:ascii="Arial" w:cs="Arial" w:eastAsia="Arial" w:hAnsi="Arial"/>
          <w:sz w:val="14"/>
          <w:szCs w:val="14"/>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jc w:val="both"/>
        <w:ind w:left="1260" w:hanging="496"/>
        <w:spacing w:after="0" w:line="263" w:lineRule="auto"/>
        <w:tabs>
          <w:tab w:leader="none" w:pos="12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Evidence satisfactory to the Agent that at least five Business Days prior to the Signing Date each Lender has carried out and is satisfied with the results of all "know your client", anti-money laundering and other similar checks required by each Finance Party in relation to each Obligor.</w:t>
      </w:r>
    </w:p>
    <w:p>
      <w:pPr>
        <w:spacing w:after="0" w:line="206" w:lineRule="exact"/>
        <w:rPr>
          <w:rFonts w:ascii="Arial" w:cs="Arial" w:eastAsia="Arial" w:hAnsi="Arial"/>
          <w:sz w:val="18"/>
          <w:szCs w:val="18"/>
          <w:color w:val="auto"/>
        </w:rPr>
      </w:pPr>
    </w:p>
    <w:p>
      <w:pPr>
        <w:ind w:left="760" w:hanging="752"/>
        <w:spacing w:after="0"/>
        <w:tabs>
          <w:tab w:leader="none" w:pos="7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A copy of each of the following documents in the agreed form, each duly executed and delivered by each party thereto:</w:t>
      </w:r>
    </w:p>
    <w:p>
      <w:pPr>
        <w:spacing w:after="0" w:line="252" w:lineRule="exact"/>
        <w:rPr>
          <w:sz w:val="20"/>
          <w:szCs w:val="20"/>
          <w:color w:val="auto"/>
        </w:rPr>
      </w:pPr>
    </w:p>
    <w:p>
      <w:pPr>
        <w:ind w:left="1260" w:hanging="496"/>
        <w:spacing w:after="0"/>
        <w:tabs>
          <w:tab w:leader="none" w:pos="12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252" w:lineRule="exact"/>
        <w:rPr>
          <w:rFonts w:ascii="Arial" w:cs="Arial" w:eastAsia="Arial" w:hAnsi="Arial"/>
          <w:sz w:val="18"/>
          <w:szCs w:val="18"/>
          <w:color w:val="auto"/>
        </w:rPr>
      </w:pPr>
    </w:p>
    <w:p>
      <w:pPr>
        <w:ind w:left="1260" w:hanging="496"/>
        <w:spacing w:after="0"/>
        <w:tabs>
          <w:tab w:leader="none" w:pos="12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TEG Letter.</w:t>
      </w:r>
    </w:p>
    <w:p>
      <w:pPr>
        <w:spacing w:after="0" w:line="248" w:lineRule="exact"/>
        <w:rPr>
          <w:rFonts w:ascii="Arial" w:cs="Arial" w:eastAsia="Arial" w:hAnsi="Arial"/>
          <w:sz w:val="18"/>
          <w:szCs w:val="18"/>
          <w:color w:val="auto"/>
        </w:rPr>
      </w:pPr>
    </w:p>
    <w:p>
      <w:pPr>
        <w:ind w:left="760" w:hanging="752"/>
        <w:spacing w:after="0"/>
        <w:tabs>
          <w:tab w:leader="none" w:pos="7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not made available before, a copy of the audited financial statements of the Company in respect of the financial year ended 31 December 2019, together with a Compliance Certificate.</w:t>
      </w:r>
    </w:p>
    <w:p>
      <w:pPr>
        <w:spacing w:after="0" w:line="205" w:lineRule="exact"/>
        <w:rPr>
          <w:sz w:val="20"/>
          <w:szCs w:val="20"/>
          <w:color w:val="auto"/>
        </w:rPr>
      </w:pPr>
    </w:p>
    <w:p>
      <w:pPr>
        <w:ind w:left="760" w:hanging="752"/>
        <w:spacing w:after="0"/>
        <w:tabs>
          <w:tab w:leader="none" w:pos="7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Confirmation that the Finance Parties shall have received all fees required to be paid on or before the Signing Date, and all expenses required to be reimbursed by the Borrower for which invoices have been presented at least two Business Days prior to the Signing Date.</w:t>
      </w:r>
    </w:p>
    <w:p>
      <w:pPr>
        <w:spacing w:after="0" w:line="216" w:lineRule="exact"/>
        <w:rPr>
          <w:sz w:val="20"/>
          <w:szCs w:val="20"/>
          <w:color w:val="auto"/>
        </w:rPr>
      </w:pPr>
    </w:p>
    <w:p>
      <w:pPr>
        <w:ind w:left="760" w:hanging="752"/>
        <w:spacing w:after="0"/>
        <w:tabs>
          <w:tab w:leader="none" w:pos="7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56" w:lineRule="exact"/>
        <w:rPr>
          <w:rFonts w:ascii="Arial" w:cs="Arial" w:eastAsia="Arial" w:hAnsi="Arial"/>
          <w:sz w:val="18"/>
          <w:szCs w:val="18"/>
          <w:b w:val="1"/>
          <w:bCs w:val="1"/>
          <w:color w:val="auto"/>
        </w:rPr>
      </w:pPr>
    </w:p>
    <w:p>
      <w:pPr>
        <w:ind w:left="1260" w:right="20" w:hanging="496"/>
        <w:spacing w:after="0" w:line="277" w:lineRule="auto"/>
        <w:tabs>
          <w:tab w:leader="none" w:pos="1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 legal opinion from Gide, French legal adviser to the Agent and the Lenders, in respect of the legality, validity and binding nature of the Finance Documents, in form and substance satisfactory to the Agent;</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 legal opinion from Gide, English legal adviser to the Agent and the Lenders, in respect of the due incorporation, capacity and due authorisation of the Company, in form and substance satisfactory to the Agent; and</w:t>
      </w:r>
    </w:p>
    <w:p>
      <w:pPr>
        <w:spacing w:after="0" w:line="197" w:lineRule="exact"/>
        <w:rPr>
          <w:rFonts w:ascii="Arial" w:cs="Arial" w:eastAsia="Arial" w:hAnsi="Arial"/>
          <w:sz w:val="18"/>
          <w:szCs w:val="18"/>
          <w:color w:val="auto"/>
        </w:rPr>
      </w:pPr>
    </w:p>
    <w:p>
      <w:pPr>
        <w:ind w:left="1260" w:hanging="496"/>
        <w:spacing w:after="0" w:line="277" w:lineRule="auto"/>
        <w:tabs>
          <w:tab w:leader="none" w:pos="1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 legal opinion from Clifford Chance Europe LLP, French legal adviser to the Subsidiary Borrower, in respect of the due incorporation, capacity and due authorisation of the Subsidiary Borrower, in form and substance satisfactory to the Agent.</w:t>
      </w:r>
    </w:p>
    <w:p>
      <w:pPr>
        <w:spacing w:after="0" w:line="368" w:lineRule="exact"/>
        <w:rPr>
          <w:rFonts w:ascii="Arial" w:cs="Arial" w:eastAsia="Arial" w:hAnsi="Arial"/>
          <w:sz w:val="18"/>
          <w:szCs w:val="18"/>
          <w:color w:val="auto"/>
        </w:rPr>
      </w:pPr>
    </w:p>
    <w:p>
      <w:pPr>
        <w:ind w:left="5520" w:hanging="88"/>
        <w:spacing w:after="0"/>
        <w:tabs>
          <w:tab w:leader="none" w:pos="5520" w:val="left"/>
        </w:tabs>
        <w:numPr>
          <w:ilvl w:val="2"/>
          <w:numId w:val="337"/>
        </w:numPr>
        <w:rPr>
          <w:rFonts w:ascii="Arial" w:cs="Arial" w:eastAsia="Arial" w:hAnsi="Arial"/>
          <w:sz w:val="14"/>
          <w:szCs w:val="14"/>
          <w:color w:val="auto"/>
        </w:rPr>
      </w:pPr>
      <w:r>
        <w:rPr>
          <w:rFonts w:ascii="Arial" w:cs="Arial" w:eastAsia="Arial" w:hAnsi="Arial"/>
          <w:sz w:val="14"/>
          <w:szCs w:val="14"/>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ind w:left="4960"/>
        <w:spacing w:after="0"/>
        <w:rPr>
          <w:sz w:val="20"/>
          <w:szCs w:val="20"/>
          <w:color w:val="auto"/>
        </w:rPr>
      </w:pPr>
      <w:r>
        <w:rPr>
          <w:rFonts w:ascii="Arial" w:cs="Arial" w:eastAsia="Arial" w:hAnsi="Arial"/>
          <w:sz w:val="22"/>
          <w:szCs w:val="22"/>
          <w:b w:val="1"/>
          <w:bCs w:val="1"/>
          <w:color w:val="auto"/>
        </w:rPr>
        <w:t>SCHEDULE 3.</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UTILISATION REQUEST</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Borrower</w:t>
      </w:r>
      <w:r>
        <w:rPr>
          <w:rFonts w:ascii="Arial" w:cs="Arial" w:eastAsia="Arial" w:hAnsi="Arial"/>
          <w:sz w:val="19"/>
          <w:szCs w:val="19"/>
          <w:color w:val="auto"/>
        </w:rPr>
        <w:t>]</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 as Agent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Dated: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jc w:val="center"/>
        <w:ind w:left="340" w:right="720"/>
        <w:spacing w:after="0" w:line="256" w:lineRule="auto"/>
        <w:rPr>
          <w:sz w:val="20"/>
          <w:szCs w:val="20"/>
          <w:color w:val="auto"/>
        </w:rPr>
      </w:pPr>
      <w:r>
        <w:rPr>
          <w:rFonts w:ascii="Arial" w:cs="Arial" w:eastAsia="Arial" w:hAnsi="Arial"/>
          <w:sz w:val="22"/>
          <w:szCs w:val="22"/>
          <w:b w:val="1"/>
          <w:bCs w:val="1"/>
          <w:color w:val="auto"/>
        </w:rPr>
        <w:t>TechnipFMC plc – €500,000,000 Facility Agreement dated 19 May 2020 and as amended from time to time (the "Agreement")</w:t>
      </w:r>
    </w:p>
    <w:p>
      <w:pPr>
        <w:spacing w:after="0" w:line="202" w:lineRule="exact"/>
        <w:rPr>
          <w:sz w:val="20"/>
          <w:szCs w:val="20"/>
          <w:color w:val="auto"/>
        </w:rPr>
      </w:pPr>
    </w:p>
    <w:p>
      <w:pPr>
        <w:ind w:left="660" w:hanging="652"/>
        <w:spacing w:after="0" w:line="277"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pacing w:after="0" w:line="252"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6"/>
          <w:szCs w:val="16"/>
          <w:color w:val="auto"/>
        </w:rPr>
        <w:t>[●] (or, if that is not a Business Day, the next Business Day)</w:t>
      </w:r>
    </w:p>
    <w:p>
      <w:pPr>
        <w:spacing w:after="0" w:line="22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Currency of Loan:</w:t>
      </w:r>
      <w:r>
        <w:rPr>
          <w:sz w:val="20"/>
          <w:szCs w:val="20"/>
          <w:color w:val="auto"/>
        </w:rPr>
        <w:tab/>
      </w:r>
      <w:r>
        <w:rPr>
          <w:rFonts w:ascii="Arial" w:cs="Arial" w:eastAsia="Arial" w:hAnsi="Arial"/>
          <w:sz w:val="16"/>
          <w:szCs w:val="16"/>
          <w:color w:val="auto"/>
        </w:rPr>
        <w:t>Euro</w:t>
      </w:r>
    </w:p>
    <w:p>
      <w:pPr>
        <w:spacing w:after="0" w:line="22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 or, if less, the Available Facility</w:t>
      </w:r>
    </w:p>
    <w:p>
      <w:pPr>
        <w:spacing w:after="0" w:line="22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Interest Period:</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We confirm that each condition specified in Clause 4.2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 is satisfied on the date of this Utilisation Request.</w:t>
      </w:r>
    </w:p>
    <w:p>
      <w:pPr>
        <w:spacing w:after="0" w:line="259" w:lineRule="exact"/>
        <w:rPr>
          <w:rFonts w:ascii="Arial" w:cs="Arial" w:eastAsia="Arial" w:hAnsi="Arial"/>
          <w:sz w:val="17"/>
          <w:szCs w:val="17"/>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Loan is to be made in [whole]/[part] for the purpose of refinancing [</w:t>
      </w:r>
      <w:r>
        <w:rPr>
          <w:rFonts w:ascii="Arial" w:cs="Arial" w:eastAsia="Arial" w:hAnsi="Arial"/>
          <w:sz w:val="18"/>
          <w:szCs w:val="18"/>
          <w:i w:val="1"/>
          <w:iCs w:val="1"/>
          <w:color w:val="auto"/>
        </w:rPr>
        <w:t>identity of maturing Loan</w:t>
      </w:r>
      <w:r>
        <w:rPr>
          <w:rFonts w:ascii="Arial" w:cs="Arial" w:eastAsia="Arial" w:hAnsi="Arial"/>
          <w:sz w:val="18"/>
          <w:szCs w:val="18"/>
          <w:color w:val="auto"/>
        </w:rPr>
        <w:t>] (the "</w:t>
      </w:r>
      <w:r>
        <w:rPr>
          <w:rFonts w:ascii="Arial" w:cs="Arial" w:eastAsia="Arial" w:hAnsi="Arial"/>
          <w:sz w:val="18"/>
          <w:szCs w:val="18"/>
          <w:b w:val="1"/>
          <w:bCs w:val="1"/>
          <w:color w:val="auto"/>
        </w:rPr>
        <w:t>Maturing Loan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]]/[should be made available by way of set-off with the Maturing Loan].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8"/>
        <w:spacing w:after="0"/>
        <w:tabs>
          <w:tab w:leader="none" w:pos="552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2"/>
          <w:szCs w:val="22"/>
          <w:color w:val="auto"/>
        </w:rPr>
        <w:t>Yours faithfully</w:t>
      </w:r>
    </w:p>
    <w:p>
      <w:pPr>
        <w:spacing w:after="0" w:line="234" w:lineRule="exact"/>
        <w:rPr>
          <w:sz w:val="20"/>
          <w:szCs w:val="20"/>
          <w:color w:val="auto"/>
        </w:rPr>
      </w:pPr>
    </w:p>
    <w:p>
      <w:pPr>
        <w:ind w:left="3100"/>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authorised signatory for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relevant Borrower</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1" w:name="page162"/>
    <w:bookmarkEnd w:id="161"/>
    <w:p>
      <w:pPr>
        <w:jc w:val="center"/>
        <w:ind w:right="-79"/>
        <w:spacing w:after="0"/>
        <w:rPr>
          <w:sz w:val="20"/>
          <w:szCs w:val="20"/>
          <w:color w:val="auto"/>
        </w:rPr>
      </w:pPr>
      <w:r>
        <w:rPr>
          <w:rFonts w:ascii="Arial" w:cs="Arial" w:eastAsia="Arial" w:hAnsi="Arial"/>
          <w:sz w:val="22"/>
          <w:szCs w:val="22"/>
          <w:b w:val="1"/>
          <w:bCs w:val="1"/>
          <w:color w:val="auto"/>
        </w:rPr>
        <w:t>SCHEDULE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TRANSFER CERTIFICATE</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Existing Lender</w:t>
      </w:r>
      <w:r>
        <w:rPr>
          <w:rFonts w:ascii="Arial" w:cs="Arial" w:eastAsia="Arial" w:hAnsi="Arial"/>
          <w:sz w:val="18"/>
          <w:szCs w:val="18"/>
          <w:color w:val="auto"/>
        </w:rPr>
        <w:t>]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TechnipFMC plc – €500,000,000 Facility Agreement dated 19 May 2020 and as amended from time to time (the "Agreement")</w:t>
      </w:r>
    </w:p>
    <w:p>
      <w:pPr>
        <w:spacing w:after="0" w:line="202" w:lineRule="exact"/>
        <w:rPr>
          <w:sz w:val="20"/>
          <w:szCs w:val="20"/>
          <w:color w:val="auto"/>
        </w:rPr>
      </w:pPr>
    </w:p>
    <w:p>
      <w:pPr>
        <w:ind w:left="660" w:hanging="652"/>
        <w:spacing w:after="0" w:line="277"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We refer to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23.5 (</w:t>
      </w:r>
      <w:r>
        <w:rPr>
          <w:rFonts w:ascii="Arial" w:cs="Arial" w:eastAsia="Arial" w:hAnsi="Arial"/>
          <w:sz w:val="18"/>
          <w:szCs w:val="18"/>
          <w:i w:val="1"/>
          <w:iCs w:val="1"/>
          <w:color w:val="auto"/>
        </w:rPr>
        <w:t>Procedure for transfer</w:t>
      </w:r>
      <w:r>
        <w:rPr>
          <w:rFonts w:ascii="Arial" w:cs="Arial" w:eastAsia="Arial" w:hAnsi="Arial"/>
          <w:sz w:val="18"/>
          <w:szCs w:val="18"/>
          <w:color w:val="auto"/>
        </w:rPr>
        <w:t>), all of the Existing Lender's rights and obligations under the Agreement and the other Finance Documents which relate to that portion of the Existing Lender's Commitment(s) and participations in Utilisations under the Agreement as specified in the Schedule.</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30.2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23.4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New Lender confirms, for the benefit of the Agent and without liability to any Obligor, that it is, in respect of the Subsidiary Borrower:</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that it is [not] incorporated or acting through a Facility Office situated in a Non-Cooperative Jurisdiction.</w:t>
      </w:r>
    </w:p>
    <w:p>
      <w:pPr>
        <w:spacing w:after="0" w:line="240"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 in respect of the Company: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368" w:lineRule="exact"/>
        <w:rPr>
          <w:rFonts w:ascii="Arial" w:cs="Arial" w:eastAsia="Arial" w:hAnsi="Arial"/>
          <w:sz w:val="18"/>
          <w:szCs w:val="18"/>
          <w:color w:val="auto"/>
        </w:rPr>
      </w:pPr>
    </w:p>
    <w:p>
      <w:pPr>
        <w:ind w:left="5520" w:hanging="88"/>
        <w:spacing w:after="0"/>
        <w:tabs>
          <w:tab w:leader="none" w:pos="5520" w:val="left"/>
        </w:tabs>
        <w:numPr>
          <w:ilvl w:val="2"/>
          <w:numId w:val="341"/>
        </w:numPr>
        <w:rPr>
          <w:rFonts w:ascii="Arial" w:cs="Arial" w:eastAsia="Arial" w:hAnsi="Arial"/>
          <w:sz w:val="14"/>
          <w:szCs w:val="14"/>
          <w:color w:val="auto"/>
        </w:rPr>
      </w:pPr>
      <w:r>
        <w:rPr>
          <w:rFonts w:ascii="Arial" w:cs="Arial" w:eastAsia="Arial" w:hAnsi="Arial"/>
          <w:sz w:val="14"/>
          <w:szCs w:val="14"/>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ind w:left="1300" w:hanging="644"/>
        <w:spacing w:after="0"/>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company resident in the UK for UK tax purposes;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 company so resident in the UK; or (ii)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75"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the chargeable profits (within the meaning of section 19 of the CTA) of that company.]</w:t>
      </w:r>
    </w:p>
    <w:p>
      <w:pPr>
        <w:spacing w:after="0" w:line="211" w:lineRule="exact"/>
        <w:rPr>
          <w:sz w:val="20"/>
          <w:szCs w:val="20"/>
          <w:color w:val="auto"/>
        </w:rPr>
      </w:pPr>
    </w:p>
    <w:p>
      <w:pPr>
        <w:spacing w:after="0"/>
        <w:tabs>
          <w:tab w:leader="none" w:pos="640" w:val="left"/>
          <w:tab w:leader="none" w:pos="95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[The New Lender confirms that it holds a passport under the HMRC DT Treaty Passport scheme (reference number [</w:t>
      </w:r>
      <w:r>
        <w:rPr>
          <w:sz w:val="20"/>
          <w:szCs w:val="20"/>
          <w:color w:val="auto"/>
        </w:rPr>
        <w:tab/>
      </w:r>
      <w:r>
        <w:rPr>
          <w:rFonts w:ascii="Arial" w:cs="Arial" w:eastAsia="Arial" w:hAnsi="Arial"/>
          <w:sz w:val="17"/>
          <w:szCs w:val="17"/>
          <w:color w:val="auto"/>
        </w:rPr>
        <w:t>]) and is tax resident in</w:t>
      </w:r>
    </w:p>
    <w:p>
      <w:pPr>
        <w:spacing w:after="0" w:line="23" w:lineRule="exact"/>
        <w:rPr>
          <w:sz w:val="20"/>
          <w:szCs w:val="20"/>
          <w:color w:val="auto"/>
        </w:rPr>
      </w:pPr>
    </w:p>
    <w:p>
      <w:pPr>
        <w:ind w:left="660" w:hanging="4"/>
        <w:spacing w:after="0" w:line="323" w:lineRule="auto"/>
        <w:tabs>
          <w:tab w:leader="none" w:pos="94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so that interest payable to it by borrowers is generally subject to full exemption from UK withholding tax, and requests that the Company notify each Borrower which is a Party as a Borrower as at the Transfer Date and that it wishes that scheme to apply to the Agreement.]</w:t>
      </w:r>
    </w:p>
    <w:p>
      <w:pPr>
        <w:spacing w:after="0" w:line="15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[7/8.] This Transfer Certificate may be executed in any number of counterparts and this has the same effect as if the signatures on the counterparts were on a single copy of this Transfer Certificate.</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8"/>
          <w:szCs w:val="18"/>
          <w:color w:val="auto"/>
        </w:rPr>
        <w:t>This Transfer Certificate and any non-contractual obligations arising out of or in connection with it governed by French law.</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[10/11.] This Transfer Certificate has been entered into on the date stated at the beginning of this Transfer Certificate.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SCHEDULE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Commitment/rights and obligations to be transferred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relevant details</w:t>
      </w:r>
      <w:r>
        <w:rPr>
          <w:rFonts w:ascii="Arial" w:cs="Arial" w:eastAsia="Arial" w:hAnsi="Arial"/>
          <w:sz w:val="22"/>
          <w:szCs w:val="22"/>
          <w:color w:val="auto"/>
        </w:rPr>
        <w: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Facility Office address, fax number and attention details for notices and account details for payments,</w:t>
      </w:r>
      <w:r>
        <w:rPr>
          <w:rFonts w:ascii="Arial" w:cs="Arial" w:eastAsia="Arial" w:hAnsi="Arial"/>
          <w:sz w:val="22"/>
          <w:szCs w:val="22"/>
          <w:color w:val="auto"/>
        </w:rPr>
        <w:t>]</w:t>
      </w:r>
    </w:p>
    <w:p>
      <w:pPr>
        <w:sectPr>
          <w:pgSz w:w="11900" w:h="16838" w:orient="portrait"/>
          <w:cols w:equalWidth="0" w:num="1">
            <w:col w:w="11240"/>
          </w:cols>
          <w:pgMar w:left="320" w:top="125" w:right="339" w:bottom="1440" w:gutter="0" w:footer="0" w:header="0"/>
        </w:sect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[New Lender]</w:t>
      </w:r>
    </w:p>
    <w:p>
      <w:pPr>
        <w:spacing w:after="0" w:line="200" w:lineRule="exact"/>
        <w:rPr>
          <w:sz w:val="20"/>
          <w:szCs w:val="20"/>
          <w:color w:val="auto"/>
        </w:rPr>
      </w:pPr>
    </w:p>
    <w:p>
      <w:pPr>
        <w:sectPr>
          <w:pgSz w:w="11900" w:h="16838" w:orient="portrait"/>
          <w:cols w:equalWidth="0" w:num="2">
            <w:col w:w="2180" w:space="540"/>
            <w:col w:w="8520"/>
          </w:cols>
          <w:pgMar w:left="320" w:top="125" w:right="339" w:bottom="1440" w:gutter="0" w:footer="0" w:header="0"/>
          <w:type w:val="continuous"/>
        </w:sectPr>
      </w:pPr>
    </w:p>
    <w:p>
      <w:pPr>
        <w:spacing w:after="0" w:line="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ectPr>
          <w:pgSz w:w="11900" w:h="16838" w:orient="portrait"/>
          <w:cols w:equalWidth="0" w:num="2">
            <w:col w:w="960" w:space="540"/>
            <w:col w:w="9740"/>
          </w:cols>
          <w:pgMar w:left="320" w:top="125" w:right="339" w:bottom="1440" w:gutter="0" w:footer="0" w:header="0"/>
          <w:type w:val="continuous"/>
        </w:sectPr>
      </w:pPr>
    </w:p>
    <w:p>
      <w:pPr>
        <w:spacing w:after="0" w:line="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Transfer Certificate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380" w:space="320"/>
            <w:col w:w="2540"/>
          </w:cols>
          <w:pgMar w:left="320" w:top="125" w:right="339" w:bottom="1440" w:gutter="0" w:footer="0" w:header="0"/>
          <w:type w:val="continuous"/>
        </w:sectPr>
      </w:pP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as Agent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3" w:name="page164"/>
    <w:bookmarkEnd w:id="163"/>
    <w:p>
      <w:pPr>
        <w:jc w:val="center"/>
        <w:ind w:right="-79"/>
        <w:spacing w:after="0"/>
        <w:rPr>
          <w:sz w:val="20"/>
          <w:szCs w:val="20"/>
          <w:color w:val="auto"/>
        </w:rPr>
      </w:pPr>
      <w:r>
        <w:rPr>
          <w:rFonts w:ascii="Arial" w:cs="Arial" w:eastAsia="Arial" w:hAnsi="Arial"/>
          <w:sz w:val="22"/>
          <w:szCs w:val="22"/>
          <w:b w:val="1"/>
          <w:bCs w:val="1"/>
          <w:color w:val="auto"/>
        </w:rPr>
        <w:t>SCHEDULE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COMPLIANCE CERTIFICATE</w:t>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 as Agent</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From:</w:t>
        <w:tab/>
        <w:t>TechnipFMC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TechnipFMC plc – €500,000,000 Facility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19 May 2020 and as amended from time to time (the "Agreement")</w:t>
      </w:r>
    </w:p>
    <w:p>
      <w:pPr>
        <w:spacing w:after="0" w:line="246" w:lineRule="exact"/>
        <w:rPr>
          <w:sz w:val="20"/>
          <w:szCs w:val="20"/>
          <w:color w:val="auto"/>
        </w:rPr>
      </w:pPr>
    </w:p>
    <w:p>
      <w:pPr>
        <w:ind w:left="660" w:hanging="652"/>
        <w:spacing w:after="0" w:line="277" w:lineRule="auto"/>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We confirm that the Total Capitalisation Ratio as of the financial quarter ended __________ was: ______, as demonstrated by the calculations attached hereto.</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We confirm that we are in compliance with Clause 21.3 (</w:t>
      </w:r>
      <w:r>
        <w:rPr>
          <w:rFonts w:ascii="Arial" w:cs="Arial" w:eastAsia="Arial" w:hAnsi="Arial"/>
          <w:sz w:val="16"/>
          <w:szCs w:val="16"/>
          <w:i w:val="1"/>
          <w:iCs w:val="1"/>
          <w:color w:val="auto"/>
        </w:rPr>
        <w:t>Indebtedness</w:t>
      </w:r>
      <w:r>
        <w:rPr>
          <w:rFonts w:ascii="Arial" w:cs="Arial" w:eastAsia="Arial" w:hAnsi="Arial"/>
          <w:sz w:val="16"/>
          <w:szCs w:val="16"/>
          <w:color w:val="auto"/>
        </w:rPr>
        <w:t>) of the Agreement, as demonstrated by the calculations attached hereto.</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[We confirm that no Default is continuing.]</w:t>
      </w:r>
    </w:p>
    <w:p>
      <w:pPr>
        <w:spacing w:after="0" w:line="242" w:lineRule="exact"/>
        <w:rPr>
          <w:rFonts w:ascii="Arial" w:cs="Arial" w:eastAsia="Arial" w:hAnsi="Arial"/>
          <w:sz w:val="18"/>
          <w:szCs w:val="18"/>
          <w:color w:val="auto"/>
        </w:rPr>
      </w:pPr>
    </w:p>
    <w:p>
      <w:pPr>
        <w:ind w:left="660" w:hanging="652"/>
        <w:spacing w:after="0"/>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[Attached hereto is an updated list of all Material Subsidiaries.]</w:t>
      </w:r>
      <w:r>
        <w:rPr>
          <w:rFonts w:ascii="Arial" w:cs="Arial" w:eastAsia="Arial" w:hAnsi="Arial"/>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606044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Chief Financial Officer CFO</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TechnipFMC plc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applicable certification language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for and on behalf of</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name of auditors of the Company</w:t>
      </w:r>
      <w:r>
        <w:rPr>
          <w:rFonts w:ascii="Arial" w:cs="Arial" w:eastAsia="Arial" w:hAnsi="Arial"/>
          <w:sz w:val="22"/>
          <w:szCs w:val="22"/>
          <w:color w:val="auto"/>
        </w:rPr>
        <w:t>]]</w:t>
      </w:r>
    </w:p>
    <w:p>
      <w:pPr>
        <w:spacing w:after="0" w:line="242" w:lineRule="exact"/>
        <w:rPr>
          <w:sz w:val="20"/>
          <w:szCs w:val="20"/>
          <w:color w:val="auto"/>
        </w:rPr>
      </w:pPr>
    </w:p>
    <w:p>
      <w:pPr>
        <w:ind w:left="320" w:right="20" w:hanging="312"/>
        <w:spacing w:after="0" w:line="186" w:lineRule="auto"/>
        <w:tabs>
          <w:tab w:leader="none" w:pos="172" w:val="left"/>
        </w:tabs>
        <w:numPr>
          <w:ilvl w:val="0"/>
          <w:numId w:val="345"/>
        </w:numPr>
        <w:rPr>
          <w:rFonts w:ascii="Arial" w:cs="Arial" w:eastAsia="Arial" w:hAnsi="Arial"/>
          <w:sz w:val="36"/>
          <w:szCs w:val="36"/>
          <w:color w:val="auto"/>
          <w:vertAlign w:val="superscript"/>
        </w:rPr>
      </w:pPr>
      <w:r>
        <w:rPr>
          <w:rFonts w:ascii="Arial" w:cs="Arial" w:eastAsia="Arial" w:hAnsi="Arial"/>
          <w:sz w:val="22"/>
          <w:szCs w:val="22"/>
          <w:b w:val="1"/>
          <w:bCs w:val="1"/>
          <w:i w:val="1"/>
          <w:iCs w:val="1"/>
          <w:color w:val="auto"/>
        </w:rPr>
        <w:t>To be inserted only in the Compliance Certificate relating to the Financial Statements to be delivered with respect to the financial year ending 31 December 2020.</w:t>
      </w:r>
    </w:p>
    <w:p>
      <w:pPr>
        <w:spacing w:after="0" w:line="390" w:lineRule="exact"/>
        <w:rPr>
          <w:rFonts w:ascii="Arial" w:cs="Arial" w:eastAsia="Arial" w:hAnsi="Arial"/>
          <w:sz w:val="36"/>
          <w:szCs w:val="36"/>
          <w:color w:val="auto"/>
          <w:vertAlign w:val="superscript"/>
        </w:rPr>
      </w:pPr>
    </w:p>
    <w:p>
      <w:pPr>
        <w:ind w:left="5520" w:hanging="88"/>
        <w:spacing w:after="0"/>
        <w:tabs>
          <w:tab w:leader="none" w:pos="5520" w:val="left"/>
        </w:tabs>
        <w:numPr>
          <w:ilvl w:val="1"/>
          <w:numId w:val="345"/>
        </w:numPr>
        <w:rPr>
          <w:rFonts w:ascii="Arial" w:cs="Arial" w:eastAsia="Arial" w:hAnsi="Arial"/>
          <w:sz w:val="14"/>
          <w:szCs w:val="14"/>
          <w:color w:val="auto"/>
        </w:rPr>
      </w:pPr>
      <w:r>
        <w:rPr>
          <w:rFonts w:ascii="Arial" w:cs="Arial" w:eastAsia="Arial" w:hAnsi="Arial"/>
          <w:sz w:val="14"/>
          <w:szCs w:val="14"/>
          <w:color w:val="auto"/>
        </w:rPr>
        <w:t>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15684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684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SCHEDULE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EXISTING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5" w:name="page166"/>
    <w:bookmarkEnd w:id="165"/>
    <w:p>
      <w:pPr>
        <w:jc w:val="center"/>
        <w:ind w:right="-79"/>
        <w:spacing w:after="0"/>
        <w:rPr>
          <w:sz w:val="20"/>
          <w:szCs w:val="20"/>
          <w:color w:val="auto"/>
        </w:rPr>
      </w:pPr>
      <w:r>
        <w:rPr>
          <w:rFonts w:ascii="Arial" w:cs="Arial" w:eastAsia="Arial" w:hAnsi="Arial"/>
          <w:sz w:val="22"/>
          <w:szCs w:val="22"/>
          <w:b w:val="1"/>
          <w:bCs w:val="1"/>
          <w:color w:val="auto"/>
        </w:rPr>
        <w:t>SCHEDULE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LMA FORM OF CONFIDENTIALITY UNDERTAKING</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THIS CONFIDENTIALITY UNDERTAKING is dated [•] and made between:</w:t>
      </w:r>
    </w:p>
    <w:p>
      <w:pPr>
        <w:spacing w:after="0" w:line="240" w:lineRule="exact"/>
        <w:rPr>
          <w:sz w:val="20"/>
          <w:szCs w:val="20"/>
          <w:color w:val="auto"/>
        </w:rPr>
      </w:pPr>
    </w:p>
    <w:p>
      <w:pPr>
        <w:ind w:left="760" w:hanging="752"/>
        <w:spacing w:after="0"/>
        <w:tabs>
          <w:tab w:leader="none" w:pos="7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Either party (in this capacity the "</w:t>
      </w:r>
      <w:r>
        <w:rPr>
          <w:rFonts w:ascii="Arial" w:cs="Arial" w:eastAsia="Arial" w:hAnsi="Arial"/>
          <w:sz w:val="21"/>
          <w:szCs w:val="21"/>
          <w:b w:val="1"/>
          <w:bCs w:val="1"/>
          <w:color w:val="auto"/>
        </w:rPr>
        <w:t>Purchaser</w:t>
      </w:r>
      <w:r>
        <w:rPr>
          <w:rFonts w:ascii="Arial" w:cs="Arial" w:eastAsia="Arial" w:hAnsi="Arial"/>
          <w:sz w:val="21"/>
          <w:szCs w:val="21"/>
          <w:color w:val="auto"/>
        </w:rPr>
        <w:t>") may from time to time consider acquiring an interest from the other party (in this capacity the "</w:t>
      </w:r>
      <w:r>
        <w:rPr>
          <w:rFonts w:ascii="Arial" w:cs="Arial" w:eastAsia="Arial" w:hAnsi="Arial"/>
          <w:sz w:val="21"/>
          <w:szCs w:val="21"/>
          <w:b w:val="1"/>
          <w:bCs w:val="1"/>
          <w:color w:val="auto"/>
        </w:rPr>
        <w:t>Seller</w:t>
      </w:r>
      <w:r>
        <w:rPr>
          <w:rFonts w:ascii="Arial" w:cs="Arial" w:eastAsia="Arial" w:hAnsi="Arial"/>
          <w:sz w:val="21"/>
          <w:szCs w:val="21"/>
          <w:color w:val="auto"/>
        </w:rPr>
        <w:t>") in €500,000,000 Facility Agreement for TechnipFMC plc (the "</w:t>
      </w:r>
      <w:r>
        <w:rPr>
          <w:rFonts w:ascii="Arial" w:cs="Arial" w:eastAsia="Arial" w:hAnsi="Arial"/>
          <w:sz w:val="21"/>
          <w:szCs w:val="21"/>
          <w:b w:val="1"/>
          <w:bCs w:val="1"/>
          <w:color w:val="auto"/>
        </w:rPr>
        <w:t>Facility Agreement</w:t>
      </w:r>
      <w:r>
        <w:rPr>
          <w:rFonts w:ascii="Arial" w:cs="Arial" w:eastAsia="Arial" w:hAnsi="Arial"/>
          <w:sz w:val="21"/>
          <w:szCs w:val="21"/>
          <w:color w:val="auto"/>
        </w:rPr>
        <w:t>") and/or any of the other Finance Documents Agreements which, subject to the terms of the relevant Finance Document, may be by way of transfer, the entering into, whether directly or indirectly, of a sub-participation or any other transaction under which payments are to be made or may be made by reference to one or more relevant Finance Documents and/or one or more relevant Obligors or by way of investing in or otherwise financing, directly or indirectly, any such transfer, sub-participation or other transaction (each an "</w:t>
      </w:r>
      <w:r>
        <w:rPr>
          <w:rFonts w:ascii="Arial" w:cs="Arial" w:eastAsia="Arial" w:hAnsi="Arial"/>
          <w:sz w:val="21"/>
          <w:szCs w:val="21"/>
          <w:b w:val="1"/>
          <w:bCs w:val="1"/>
          <w:color w:val="auto"/>
        </w:rPr>
        <w:t>Acquisition</w:t>
      </w:r>
      <w:r>
        <w:rPr>
          <w:rFonts w:ascii="Arial" w:cs="Arial" w:eastAsia="Arial" w:hAnsi="Arial"/>
          <w:sz w:val="21"/>
          <w:szCs w:val="21"/>
          <w:color w:val="auto"/>
        </w:rPr>
        <w:t>"). In consideration of the Seller agreeing to make available to the Purchaser certain information in relation to each Acquisition it is agreed as follows:</w:t>
      </w:r>
    </w:p>
    <w:p>
      <w:pPr>
        <w:spacing w:after="0" w:line="208" w:lineRule="exact"/>
        <w:rPr>
          <w:sz w:val="20"/>
          <w:szCs w:val="20"/>
          <w:color w:val="auto"/>
        </w:rPr>
      </w:pPr>
    </w:p>
    <w:p>
      <w:pPr>
        <w:ind w:left="760" w:hanging="752"/>
        <w:spacing w:after="0"/>
        <w:tabs>
          <w:tab w:leader="none" w:pos="7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UNDERTAKING</w:t>
      </w:r>
    </w:p>
    <w:p>
      <w:pPr>
        <w:spacing w:after="0" w:line="256" w:lineRule="exact"/>
        <w:rPr>
          <w:sz w:val="20"/>
          <w:szCs w:val="20"/>
          <w:color w:val="auto"/>
        </w:rPr>
      </w:pPr>
    </w:p>
    <w:p>
      <w:pPr>
        <w:jc w:val="both"/>
        <w:ind w:left="760" w:hanging="755"/>
        <w:spacing w:after="0" w:line="255"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Purchaser undertakes in relation to each Acquisition made or which may be made by it (a) to keep all Confidential Information which the Seller supplies to the Purchaser in relation to that Acquisition confidential and not to disclose it to anyone, save to the extent permitted by paragraph 2 below and to ensure that all Confidential Information which the Seller supplies to the Purchaser in relation to that Acquisition is protected with security measures and a degree of care that would apply to the Purchaser's own confidential information and (b) until that Acquisition is completed, to use the Confidential Information which the Seller supplies to the Purchaser in relation to that Acquisition only for the Permitted Purpose.</w:t>
      </w:r>
    </w:p>
    <w:p>
      <w:pPr>
        <w:spacing w:after="0" w:line="215" w:lineRule="exact"/>
        <w:rPr>
          <w:sz w:val="20"/>
          <w:szCs w:val="20"/>
          <w:color w:val="auto"/>
        </w:rPr>
      </w:pPr>
    </w:p>
    <w:p>
      <w:pPr>
        <w:ind w:left="760" w:hanging="752"/>
        <w:spacing w:after="0"/>
        <w:tabs>
          <w:tab w:leader="none" w:pos="7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Purchaser may disclose in relation to each Acquisition made or which may be made by it:</w:t>
      </w:r>
    </w:p>
    <w:p>
      <w:pPr>
        <w:spacing w:after="0" w:line="240" w:lineRule="exact"/>
        <w:rPr>
          <w:sz w:val="20"/>
          <w:szCs w:val="20"/>
          <w:color w:val="auto"/>
        </w:rPr>
      </w:pPr>
    </w:p>
    <w:p>
      <w:pPr>
        <w:jc w:val="both"/>
        <w:ind w:left="760" w:hanging="755"/>
        <w:spacing w:after="0" w:line="275"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to any of its Affiliates and any of its or their officers, directors, employees, professional advisers and auditors such Confidential Information as the Purchaser shall consider appropriate if any person to whom such Confidential Information is to be given pursuant to this paragraph 2.1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such Confidential Information;</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subject to the requirements of the relevant Agreement, to any person:</w:t>
      </w:r>
    </w:p>
    <w:p>
      <w:pPr>
        <w:spacing w:after="0" w:line="252" w:lineRule="exact"/>
        <w:rPr>
          <w:sz w:val="20"/>
          <w:szCs w:val="20"/>
          <w:color w:val="auto"/>
        </w:rPr>
      </w:pPr>
    </w:p>
    <w:p>
      <w:pPr>
        <w:jc w:val="both"/>
        <w:ind w:left="1260" w:hanging="496"/>
        <w:spacing w:after="0" w:line="301" w:lineRule="auto"/>
        <w:tabs>
          <w:tab w:leader="none" w:pos="12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to (or through) whom the Purchaser assigns or transfers (or may potentially assign or transfer) all or any of its rights and/or obligations which it may acquire under that Agreement such Confidential Information which the Seller supplies to the Purchaser in relation to that Acquisition as the Purchaser shall consider appropriate if the person to whom such Confidential Information is to be given pursuant to this sub-paragraph (a) of paragraph 2.2 has delivered a letter to the Purchaser in equivalent form to this undertaking;</w:t>
      </w:r>
    </w:p>
    <w:p>
      <w:pPr>
        <w:spacing w:after="0" w:line="355" w:lineRule="exact"/>
        <w:rPr>
          <w:rFonts w:ascii="Arial" w:cs="Arial" w:eastAsia="Arial" w:hAnsi="Arial"/>
          <w:sz w:val="16"/>
          <w:szCs w:val="16"/>
          <w:color w:val="auto"/>
        </w:rPr>
      </w:pPr>
    </w:p>
    <w:p>
      <w:pPr>
        <w:ind w:left="5520" w:hanging="88"/>
        <w:spacing w:after="0"/>
        <w:tabs>
          <w:tab w:leader="none" w:pos="5520" w:val="left"/>
        </w:tabs>
        <w:numPr>
          <w:ilvl w:val="1"/>
          <w:numId w:val="349"/>
        </w:numPr>
        <w:rPr>
          <w:rFonts w:ascii="Arial" w:cs="Arial" w:eastAsia="Arial" w:hAnsi="Arial"/>
          <w:sz w:val="14"/>
          <w:szCs w:val="14"/>
          <w:color w:val="auto"/>
        </w:rPr>
      </w:pPr>
      <w:r>
        <w:rPr>
          <w:rFonts w:ascii="Arial" w:cs="Arial" w:eastAsia="Arial" w:hAnsi="Arial"/>
          <w:sz w:val="14"/>
          <w:szCs w:val="14"/>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jc w:val="both"/>
        <w:ind w:left="1260" w:hanging="496"/>
        <w:spacing w:after="0" w:line="257" w:lineRule="auto"/>
        <w:tabs>
          <w:tab w:leader="none" w:pos="1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 (or through) whom the Purchaser enters into (or may potentially enter into) any sub-participation in relation to, or any other transaction under which payments are to be made or may be made by reference to that Agreement or any relevant Obligor such Confidential Information which the Seller supplies to the Purchaser in relation to that Acquisition as the Purchaser shall consider appropriate if the person to whom such Confidential Information is to be given pursuant to this sub-paragraph (a) of paragraph 2.2 has delivered a letter to the Purchaser in equivalent form to this undertaking;</w:t>
      </w:r>
    </w:p>
    <w:p>
      <w:pPr>
        <w:spacing w:after="0" w:line="214" w:lineRule="exact"/>
        <w:rPr>
          <w:rFonts w:ascii="Arial" w:cs="Arial" w:eastAsia="Arial" w:hAnsi="Arial"/>
          <w:sz w:val="18"/>
          <w:szCs w:val="18"/>
          <w:color w:val="auto"/>
        </w:rPr>
      </w:pPr>
    </w:p>
    <w:p>
      <w:pPr>
        <w:jc w:val="both"/>
        <w:ind w:left="1260" w:hanging="496"/>
        <w:spacing w:after="0" w:line="286" w:lineRule="auto"/>
        <w:tabs>
          <w:tab w:leader="none" w:pos="12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to whom information is required or requested to be disclosed by any governmental, banking, taxation or other regulatory authority or similar body, the rules of any relevant stock exchange or pursuant to any applicable law or regulation such Confidential Information which the Seller supplies to the Purchaser in relation to that Acquisition as the Purchaser shall consider appropriate; and</w:t>
      </w:r>
    </w:p>
    <w:p>
      <w:pPr>
        <w:spacing w:after="0" w:line="192" w:lineRule="exact"/>
        <w:rPr>
          <w:sz w:val="20"/>
          <w:szCs w:val="20"/>
          <w:color w:val="auto"/>
        </w:rPr>
      </w:pPr>
    </w:p>
    <w:p>
      <w:pPr>
        <w:jc w:val="both"/>
        <w:ind w:left="760" w:hanging="755"/>
        <w:spacing w:after="0" w:line="259"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notwithstanding paragraphs 2.1 and 2.2 above, Confidential Information to such persons to whom, and on the same terms as, a Finance Party is permitted to disclose such Confidential Information under the Agreement to which that Acquisition relates, as if such permissions were set out in full in this undertaking for the purposes of that Acquisition and as if references in those permissions to Finance Party were references to the Purchaser for the purposes of that Acquisition.</w:t>
      </w:r>
    </w:p>
    <w:p>
      <w:pPr>
        <w:spacing w:after="0" w:line="210" w:lineRule="exact"/>
        <w:rPr>
          <w:sz w:val="20"/>
          <w:szCs w:val="20"/>
          <w:color w:val="auto"/>
        </w:rPr>
      </w:pPr>
    </w:p>
    <w:p>
      <w:pPr>
        <w:ind w:left="760" w:hanging="752"/>
        <w:spacing w:after="0"/>
        <w:tabs>
          <w:tab w:leader="none" w:pos="7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DISCLOSURE</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Purchaser agrees in relation to each Acquisition made or which may be made by it (to the extent permitted by law and regulation) to inform the Seller:</w:t>
      </w:r>
    </w:p>
    <w:p>
      <w:pPr>
        <w:spacing w:after="0" w:line="209" w:lineRule="exact"/>
        <w:rPr>
          <w:sz w:val="20"/>
          <w:szCs w:val="20"/>
          <w:color w:val="auto"/>
        </w:rPr>
      </w:pPr>
    </w:p>
    <w:p>
      <w:pPr>
        <w:jc w:val="both"/>
        <w:ind w:left="760" w:hanging="755"/>
        <w:spacing w:after="0" w:line="263"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of the circumstances of any disclosure of Confidential Information made pursuant to sub-paragraph (c) of paragraph 2.2 above except where such disclosure is made to any of the persons referred to in that paragraph during the ordinary course of its supervisory or regulatory function; and</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upon becoming aware that Confidential Information relating to that Acquisition has been disclosed in breach of this undertaking.</w:t>
      </w:r>
    </w:p>
    <w:p>
      <w:pPr>
        <w:spacing w:after="0" w:line="248" w:lineRule="exact"/>
        <w:rPr>
          <w:sz w:val="20"/>
          <w:szCs w:val="20"/>
          <w:color w:val="auto"/>
        </w:rPr>
      </w:pPr>
    </w:p>
    <w:p>
      <w:pPr>
        <w:ind w:left="760" w:hanging="752"/>
        <w:spacing w:after="0"/>
        <w:tabs>
          <w:tab w:leader="none" w:pos="7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COPIES</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the Purchaser does not enter into an Acquisition and the Seller so requests in writing, the Purchaser shall return or destroy all Confidential Information supplied to the Purchaser by the Seller in relation to that Acquisition and destroy or permanently erase (to the extent technically practicable) all copies of such Confidential Information made by the Purchaser and use its reasonable endeavours to ensure that anyone to whom the Purchaser has supplied any such Confidential Information destroys or permanently erases (to the extent technically practicable) such Confidential Information and any copies made by them, in each case save to the extent that the Purchaser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 (c) of paragraph 2.2 above.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p>
      <w:pPr>
        <w:ind w:left="760" w:hanging="752"/>
        <w:spacing w:after="0"/>
        <w:tabs>
          <w:tab w:leader="none" w:pos="7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obligations in this undertaking are continuing and, in particular, shall survive and remain binding on the Purchaser in relation to each Acquisition made or which may be made by it until (a) if the Purchaser becomes a party to the Agreement to which that Acquisition relates as a lender of record, the date on which the Purchaser becomes such a party to such Agreement; (b) if the Purchaser enters into that Acquisition but it does not result in the Purchaser becoming a party to the Agreement to which that Acquisition relates as a lender of record, the date falling twelve months after the date on which all of the Purchaser's rights and obligations contained in the documentation entered into to implement that Acquisition have terminated; or (c) in any other case the date falling [twelve] months after the date of the Purchaser's final receipt (in whatever manner) of any Confidential Information in relation to that Acquisition.</w:t>
      </w:r>
    </w:p>
    <w:p>
      <w:pPr>
        <w:spacing w:after="0" w:line="210" w:lineRule="exact"/>
        <w:rPr>
          <w:sz w:val="20"/>
          <w:szCs w:val="20"/>
          <w:color w:val="auto"/>
        </w:rPr>
      </w:pPr>
    </w:p>
    <w:p>
      <w:pPr>
        <w:ind w:left="760" w:hanging="752"/>
        <w:spacing w:after="0"/>
        <w:tabs>
          <w:tab w:leader="none" w:pos="7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NO REPRESENTATION; CONSEQUENCES OF BREACH, ETC</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Purchaser acknowledges and agrees that, in relation to each Acquisition made or which may be made by it:</w:t>
      </w:r>
    </w:p>
    <w:p>
      <w:pPr>
        <w:spacing w:after="0" w:line="240" w:lineRule="exact"/>
        <w:rPr>
          <w:sz w:val="20"/>
          <w:szCs w:val="20"/>
          <w:color w:val="auto"/>
        </w:rPr>
      </w:pPr>
    </w:p>
    <w:p>
      <w:pPr>
        <w:jc w:val="both"/>
        <w:ind w:left="760" w:hanging="755"/>
        <w:spacing w:after="0" w:line="254"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neither the Seller, nor any member of the relevant Group nor any of the Seller's or the relevant Group's respective officers, employees or advisers (each a "</w:t>
      </w:r>
      <w:r>
        <w:rPr>
          <w:rFonts w:ascii="Arial" w:cs="Arial" w:eastAsia="Arial" w:hAnsi="Arial"/>
          <w:sz w:val="18"/>
          <w:szCs w:val="18"/>
          <w:b w:val="1"/>
          <w:bCs w:val="1"/>
          <w:color w:val="auto"/>
        </w:rPr>
        <w:t>Relevant Person</w:t>
      </w:r>
      <w:r>
        <w:rPr>
          <w:rFonts w:ascii="Arial" w:cs="Arial" w:eastAsia="Arial" w:hAnsi="Arial"/>
          <w:sz w:val="18"/>
          <w:szCs w:val="18"/>
          <w:color w:val="auto"/>
        </w:rPr>
        <w:t>") (i) make any representation or warranty, express or implied, as to, or assume any responsibility for, the accuracy, reliability or completeness of any of the Confidential Information supplied by the Seller to the Purchaser in relation to that Acquisition or any other information supplied by the Seller to the Purchaser in relation to that Acquisition or the assumptions on which it is based or (ii) shall be under any obligation to update or correct any inaccuracy in the Confidential Information supplied by the Seller to the Purchaser in relation to that Acquisition or any other information supplied by the Seller to the Purchaser in relation to that Acquisition or be otherwise liable to the Purchaser or any other person in respect of the Confidential Information supplied by the Seller to the Purchaser in relation to that Acquisition or any such information; and</w:t>
      </w:r>
    </w:p>
    <w:p>
      <w:pPr>
        <w:spacing w:after="0" w:line="219" w:lineRule="exact"/>
        <w:rPr>
          <w:sz w:val="20"/>
          <w:szCs w:val="20"/>
          <w:color w:val="auto"/>
        </w:rPr>
      </w:pPr>
    </w:p>
    <w:p>
      <w:pPr>
        <w:jc w:val="both"/>
        <w:ind w:left="760" w:hanging="755"/>
        <w:spacing w:after="0" w:line="263" w:lineRule="auto"/>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Seller or members of the relevant Group may be irreparably harmed by the breach of the terms of this undertaking and damages may not be an adequate remedy; each Relevant Person may be granted an injunction or specific performance for any threatened or actual breach of the provisions of this undertaking by the Purchaser.</w:t>
      </w:r>
    </w:p>
    <w:p>
      <w:pPr>
        <w:spacing w:after="0" w:line="207" w:lineRule="exact"/>
        <w:rPr>
          <w:sz w:val="20"/>
          <w:szCs w:val="20"/>
          <w:color w:val="auto"/>
        </w:rPr>
      </w:pPr>
    </w:p>
    <w:p>
      <w:pPr>
        <w:ind w:left="760" w:hanging="752"/>
        <w:spacing w:after="0"/>
        <w:tabs>
          <w:tab w:leader="none" w:pos="7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NO WAIVER; AMENDMENTS, ETC</w:t>
      </w:r>
    </w:p>
    <w:p>
      <w:pPr>
        <w:spacing w:after="0" w:line="256" w:lineRule="exact"/>
        <w:rPr>
          <w:sz w:val="20"/>
          <w:szCs w:val="20"/>
          <w:color w:val="auto"/>
        </w:rPr>
      </w:pPr>
    </w:p>
    <w:p>
      <w:pPr>
        <w:jc w:val="both"/>
        <w:ind w:left="760" w:hanging="755"/>
        <w:spacing w:after="0" w:line="308"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This undertaking constitutes the entire agreement between the Seller and the Purchaser in relation to the Purchaser's obligations regarding Confidential Information and supersedes any previous agreement, whether express or implied, regarding Confidential Information.</w:t>
      </w:r>
    </w:p>
    <w:p>
      <w:pPr>
        <w:spacing w:after="0" w:line="173" w:lineRule="exact"/>
        <w:rPr>
          <w:sz w:val="20"/>
          <w:szCs w:val="20"/>
          <w:color w:val="auto"/>
        </w:rPr>
      </w:pPr>
    </w:p>
    <w:p>
      <w:pPr>
        <w:jc w:val="both"/>
        <w:ind w:left="760" w:hanging="755"/>
        <w:spacing w:after="0" w:line="286"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 failure to exercise, nor any delay in exercising any right or remedy under this undertaking will operate as a waiver of any such right or remedy or constitute an election to affirm this letter. No election to affirm this letter will be effective unless it is in writing. No single or partial exercise of any right or remedy will prevent any further or other exercise or the exercise of any other right or remedy under this undertaking.</w:t>
      </w:r>
    </w:p>
    <w:p>
      <w:pPr>
        <w:spacing w:after="0" w:line="192" w:lineRule="exact"/>
        <w:rPr>
          <w:sz w:val="20"/>
          <w:szCs w:val="20"/>
          <w:color w:val="auto"/>
        </w:rPr>
      </w:pPr>
    </w:p>
    <w:p>
      <w:pPr>
        <w:jc w:val="both"/>
        <w:ind w:left="760" w:hanging="755"/>
        <w:spacing w:after="0" w:line="277" w:lineRule="auto"/>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terms of this undertaking and the Purchaser's obligations under this undertaking may only be amended or modified by written agreement between the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ind w:left="760" w:hanging="752"/>
        <w:spacing w:after="0"/>
        <w:tabs>
          <w:tab w:leader="none" w:pos="7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Purchaser acknowledges that some or all of the Confidential Information is or may be price-sensitive information and that the use of such information may be regulated or prohibited by applicable legislation including securities law relating to insider dealing and market abuse and the Purchaser undertakes not to use any Confidential Information for any unlawful purpose.</w:t>
      </w:r>
    </w:p>
    <w:p>
      <w:pPr>
        <w:spacing w:after="0" w:line="164" w:lineRule="exact"/>
        <w:rPr>
          <w:sz w:val="20"/>
          <w:szCs w:val="20"/>
          <w:color w:val="auto"/>
        </w:rPr>
      </w:pPr>
    </w:p>
    <w:p>
      <w:pPr>
        <w:ind w:left="760" w:hanging="752"/>
        <w:spacing w:after="0"/>
        <w:tabs>
          <w:tab w:leader="none" w:pos="7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UNDERTAKINGS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undertakings given by the Purchaser in this undertaking are given to the Seller and are also given for the benefit of the relevant Company and each other member of the relevant Group.</w:t>
      </w:r>
    </w:p>
    <w:p>
      <w:pPr>
        <w:spacing w:after="0" w:line="205" w:lineRule="exact"/>
        <w:rPr>
          <w:sz w:val="20"/>
          <w:szCs w:val="20"/>
          <w:color w:val="auto"/>
        </w:rPr>
      </w:pPr>
    </w:p>
    <w:p>
      <w:pPr>
        <w:ind w:left="760" w:hanging="752"/>
        <w:spacing w:after="0"/>
        <w:tabs>
          <w:tab w:leader="none" w:pos="7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NO HARDSHIP</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 xml:space="preserve">Each Party hereby acknowledges that the provisions of article 1195 of the French </w:t>
      </w:r>
      <w:r>
        <w:rPr>
          <w:rFonts w:ascii="Arial" w:cs="Arial" w:eastAsia="Arial" w:hAnsi="Arial"/>
          <w:sz w:val="19"/>
          <w:szCs w:val="19"/>
          <w:i w:val="1"/>
          <w:iCs w:val="1"/>
          <w:color w:val="auto"/>
        </w:rPr>
        <w:t>Code civil</w:t>
      </w:r>
      <w:r>
        <w:rPr>
          <w:rFonts w:ascii="Arial" w:cs="Arial" w:eastAsia="Arial" w:hAnsi="Arial"/>
          <w:sz w:val="19"/>
          <w:szCs w:val="19"/>
          <w:color w:val="auto"/>
        </w:rPr>
        <w:t xml:space="preserve"> shall not apply to it with respect to its obligations under this agreement and that it shall not be entitled to make any claim under article 1195 of the French </w:t>
      </w:r>
      <w:r>
        <w:rPr>
          <w:rFonts w:ascii="Arial" w:cs="Arial" w:eastAsia="Arial" w:hAnsi="Arial"/>
          <w:sz w:val="19"/>
          <w:szCs w:val="19"/>
          <w:i w:val="1"/>
          <w:iCs w:val="1"/>
          <w:color w:val="auto"/>
        </w:rPr>
        <w:t>Code civil</w:t>
      </w:r>
      <w:r>
        <w:rPr>
          <w:rFonts w:ascii="Arial" w:cs="Arial" w:eastAsia="Arial" w:hAnsi="Arial"/>
          <w:sz w:val="19"/>
          <w:szCs w:val="19"/>
          <w:color w:val="auto"/>
        </w:rPr>
        <w:t>.</w:t>
      </w:r>
    </w:p>
    <w:p>
      <w:pPr>
        <w:spacing w:after="0" w:line="135" w:lineRule="exact"/>
        <w:rPr>
          <w:sz w:val="20"/>
          <w:szCs w:val="20"/>
          <w:color w:val="auto"/>
        </w:rPr>
      </w:pPr>
    </w:p>
    <w:p>
      <w:pPr>
        <w:ind w:left="760" w:hanging="752"/>
        <w:spacing w:after="0"/>
        <w:tabs>
          <w:tab w:leader="none" w:pos="7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56" w:lineRule="exact"/>
        <w:rPr>
          <w:sz w:val="20"/>
          <w:szCs w:val="20"/>
          <w:color w:val="auto"/>
        </w:rPr>
      </w:pPr>
    </w:p>
    <w:p>
      <w:pPr>
        <w:jc w:val="both"/>
        <w:ind w:left="760" w:hanging="755"/>
        <w:spacing w:after="0" w:line="277" w:lineRule="auto"/>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This undertaking and any non-contractual obligations arising out of or in connection with it (including any non-contractual obligations arising out of the negotiation of any Acquisition) are governed by French law.</w:t>
      </w:r>
    </w:p>
    <w:p>
      <w:pPr>
        <w:spacing w:after="0" w:line="197" w:lineRule="exact"/>
        <w:rPr>
          <w:sz w:val="20"/>
          <w:szCs w:val="20"/>
          <w:color w:val="auto"/>
        </w:rPr>
      </w:pPr>
    </w:p>
    <w:p>
      <w:pPr>
        <w:jc w:val="both"/>
        <w:ind w:left="760" w:hanging="755"/>
        <w:spacing w:after="0" w:line="263" w:lineRule="auto"/>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Tribunal de Commerce de Paris has exclusive jurisdiction to settle any dispute arising out of or in connection with this agreement (including a dispute relating to the existence, validity or termination of this Agreement or any non-contractual obligation arising out or in connection with this Agreement).</w:t>
      </w:r>
    </w:p>
    <w:p>
      <w:pPr>
        <w:spacing w:after="0" w:line="207" w:lineRule="exact"/>
        <w:rPr>
          <w:sz w:val="20"/>
          <w:szCs w:val="20"/>
          <w:color w:val="auto"/>
        </w:rPr>
      </w:pPr>
    </w:p>
    <w:p>
      <w:pPr>
        <w:ind w:left="760" w:hanging="752"/>
        <w:spacing w:after="0"/>
        <w:tabs>
          <w:tab w:leader="none" w:pos="7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this undertaking terms defined in the relevant Agreement (as defined below) shall, unless the context otherwise requires, have the same meaning and:</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any credit agreement in which the Seller has an interest and which requires the Seller to obtain from the Purchaser an undertaking in or substantially in the form of this undertaking as a condition to permitting disclosure by the Seller of certain information to the Purchaser.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in relation to each Acquisition, the principal company party to the relevant Agreement.</w:t>
      </w:r>
    </w:p>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 relation to each Acquisition, all information relating to the relevant Company, any relevant Obligor, the relevant Group, the relevant Finance Documents, the Facility and/or that Acquisition which is received by the Purchaser in relation to the relevant Finance Documents or the Facility from the Seller or any of its affiliates or advisers, in whatever form, and includes information given orally and any document, electronic file or any other way of representing or recording information which contains or is derived or copied from such information but excludes information that:</w:t>
      </w:r>
    </w:p>
    <w:p>
      <w:pPr>
        <w:spacing w:after="0" w:line="183" w:lineRule="exact"/>
        <w:rPr>
          <w:sz w:val="20"/>
          <w:szCs w:val="20"/>
          <w:color w:val="auto"/>
        </w:rPr>
      </w:pPr>
    </w:p>
    <w:p>
      <w:pPr>
        <w:ind w:left="1260" w:hanging="496"/>
        <w:spacing w:after="0"/>
        <w:tabs>
          <w:tab w:leader="none" w:pos="12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is or becomes public information other than as a direct or indirect result of any breach by the Purchaser of this undertaking; or</w:t>
      </w:r>
    </w:p>
    <w:p>
      <w:pPr>
        <w:spacing w:after="0" w:line="263" w:lineRule="exact"/>
        <w:rPr>
          <w:rFonts w:ascii="Arial" w:cs="Arial" w:eastAsia="Arial" w:hAnsi="Arial"/>
          <w:sz w:val="17"/>
          <w:szCs w:val="17"/>
          <w:color w:val="auto"/>
        </w:rPr>
      </w:pPr>
    </w:p>
    <w:p>
      <w:pPr>
        <w:ind w:left="1260" w:hanging="496"/>
        <w:spacing w:after="0"/>
        <w:tabs>
          <w:tab w:leader="none" w:pos="12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Seller or its advisers;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88"/>
        <w:spacing w:after="0"/>
        <w:tabs>
          <w:tab w:leader="none" w:pos="5520" w:val="left"/>
        </w:tabs>
        <w:numPr>
          <w:ilvl w:val="1"/>
          <w:numId w:val="361"/>
        </w:numPr>
        <w:rPr>
          <w:rFonts w:ascii="Arial" w:cs="Arial" w:eastAsia="Arial" w:hAnsi="Arial"/>
          <w:sz w:val="14"/>
          <w:szCs w:val="14"/>
          <w:color w:val="auto"/>
        </w:rPr>
      </w:pPr>
      <w:r>
        <w:rPr>
          <w:rFonts w:ascii="Arial" w:cs="Arial" w:eastAsia="Arial" w:hAnsi="Arial"/>
          <w:sz w:val="14"/>
          <w:szCs w:val="14"/>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left="1260" w:hanging="496"/>
        <w:spacing w:after="0" w:line="259" w:lineRule="auto"/>
        <w:tabs>
          <w:tab w:leader="none" w:pos="12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is known by the Purchaser before the date the information is disclosed to the Purchaser by the Seller or any of its affiliates or advisers or is lawfully obtained by the Purchaser after that date, from a source which is, as far as the Purchaser is aware, unconnected with the relevant Group and which, in either case, as far as the Purchaser is aware, has not been obtained in breach of, and is not otherwise subject to, any obligation of confidentiality.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in relation to each Acquisition, the relevant Company and its subsidiaries for the time being.</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Purpose</w:t>
      </w:r>
      <w:r>
        <w:rPr>
          <w:rFonts w:ascii="Arial" w:cs="Arial" w:eastAsia="Arial" w:hAnsi="Arial"/>
          <w:sz w:val="19"/>
          <w:szCs w:val="19"/>
          <w:color w:val="auto"/>
        </w:rPr>
        <w:t>" means, in relation to each Acquisition, considering and evaluating whether to enter into that Acquisition.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undertaking has been entered into on the date stated at the beginning of this undertaking.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left="300" w:hanging="292"/>
        <w:spacing w:after="0"/>
        <w:tabs>
          <w:tab w:leader="none" w:pos="3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233" w:lineRule="exact"/>
        <w:rPr>
          <w:rFonts w:ascii="Arial" w:cs="Arial" w:eastAsia="Arial" w:hAnsi="Arial"/>
          <w:sz w:val="22"/>
          <w:szCs w:val="22"/>
          <w:color w:val="auto"/>
        </w:rPr>
      </w:pPr>
    </w:p>
    <w:p>
      <w:pPr>
        <w:ind w:left="300" w:hanging="292"/>
        <w:spacing w:after="0"/>
        <w:tabs>
          <w:tab w:leader="none" w:pos="300" w:val="left"/>
        </w:tabs>
        <w:numPr>
          <w:ilvl w:val="0"/>
          <w:numId w:val="36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Delivery of a duly completed Utilisation Request (Clause 5.1 (</w:t>
      </w:r>
      <w:r>
        <w:rPr>
          <w:rFonts w:ascii="Arial" w:cs="Arial" w:eastAsia="Arial" w:hAnsi="Arial"/>
          <w:sz w:val="18"/>
          <w:szCs w:val="18"/>
          <w:i w:val="1"/>
          <w:iCs w:val="1"/>
          <w:color w:val="auto"/>
        </w:rPr>
        <w:t>Delivery of a</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4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Agent determines (in relation to a Utilisation) the amount of the Loan, if required under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and notifies the Lenders of the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EURIBOR is fixed</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21"/>
          <w:szCs w:val="21"/>
          <w:b w:val="1"/>
          <w:bCs w:val="1"/>
          <w:color w:val="auto"/>
        </w:rPr>
        <w:t>SCHEDULE 8.</w:t>
      </w:r>
    </w:p>
    <w:p>
      <w:pPr>
        <w:spacing w:after="0" w:line="26" w:lineRule="exact"/>
        <w:rPr>
          <w:sz w:val="20"/>
          <w:szCs w:val="20"/>
          <w:color w:val="auto"/>
        </w:rPr>
      </w:pPr>
    </w:p>
    <w:p>
      <w:pPr>
        <w:jc w:val="right"/>
        <w:ind w:right="3799"/>
        <w:spacing w:after="0"/>
        <w:rPr>
          <w:sz w:val="20"/>
          <w:szCs w:val="20"/>
          <w:color w:val="auto"/>
        </w:rPr>
      </w:pPr>
      <w:r>
        <w:rPr>
          <w:rFonts w:ascii="Arial" w:cs="Arial" w:eastAsia="Arial" w:hAnsi="Arial"/>
          <w:sz w:val="22"/>
          <w:szCs w:val="22"/>
          <w:b w:val="1"/>
          <w:bCs w:val="1"/>
          <w:color w:val="auto"/>
        </w:rPr>
        <w:t>TIMETABLES</w:t>
      </w:r>
    </w:p>
    <w:p>
      <w:pPr>
        <w:spacing w:after="0" w:line="218" w:lineRule="exact"/>
        <w:rPr>
          <w:sz w:val="20"/>
          <w:szCs w:val="20"/>
          <w:color w:val="auto"/>
        </w:rPr>
      </w:pPr>
    </w:p>
    <w:p>
      <w:pPr>
        <w:jc w:val="center"/>
        <w:ind w:right="4519"/>
        <w:spacing w:after="0"/>
        <w:rPr>
          <w:sz w:val="20"/>
          <w:szCs w:val="20"/>
          <w:color w:val="auto"/>
        </w:rPr>
      </w:pPr>
      <w:r>
        <w:rPr>
          <w:rFonts w:ascii="Arial" w:cs="Arial" w:eastAsia="Arial" w:hAnsi="Arial"/>
          <w:sz w:val="18"/>
          <w:szCs w:val="18"/>
          <w:b w:val="1"/>
          <w:bCs w:val="1"/>
          <w:color w:val="auto"/>
        </w:rPr>
        <w:t>Loans</w:t>
      </w:r>
    </w:p>
    <w:p>
      <w:pPr>
        <w:spacing w:after="0" w:line="27" w:lineRule="exact"/>
        <w:rPr>
          <w:sz w:val="20"/>
          <w:szCs w:val="20"/>
          <w:color w:val="auto"/>
        </w:rPr>
      </w:pPr>
    </w:p>
    <w:p>
      <w:pPr>
        <w:spacing w:after="0"/>
        <w:tabs>
          <w:tab w:leader="none" w:pos="540" w:val="left"/>
          <w:tab w:leader="none" w:pos="1000" w:val="left"/>
          <w:tab w:leader="none" w:pos="1600" w:val="left"/>
        </w:tabs>
        <w:rPr>
          <w:sz w:val="20"/>
          <w:szCs w:val="20"/>
          <w:color w:val="auto"/>
        </w:rPr>
      </w:pPr>
      <w:r>
        <w:rPr>
          <w:rFonts w:ascii="Arial" w:cs="Arial" w:eastAsia="Arial" w:hAnsi="Arial"/>
          <w:sz w:val="18"/>
          <w:szCs w:val="18"/>
          <w:color w:val="auto"/>
        </w:rPr>
        <w:t>11:00</w:t>
        <w:tab/>
        <w:t>a.m.</w:t>
        <w:tab/>
        <w:t>(Paris</w:t>
      </w:r>
      <w:r>
        <w:rPr>
          <w:sz w:val="20"/>
          <w:szCs w:val="20"/>
          <w:color w:val="auto"/>
        </w:rPr>
        <w:tab/>
      </w:r>
      <w:r>
        <w:rPr>
          <w:rFonts w:ascii="Arial" w:cs="Arial" w:eastAsia="Arial" w:hAnsi="Arial"/>
          <w:sz w:val="17"/>
          <w:szCs w:val="17"/>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Business Days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proposed Utilisation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5:00 p.m. (Paris time) three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Days prior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proposed Utilisation Date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Quotation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a.m. (Paris time)</w:t>
      </w:r>
    </w:p>
    <w:p>
      <w:pPr>
        <w:spacing w:after="0" w:line="200" w:lineRule="exact"/>
        <w:rPr>
          <w:sz w:val="20"/>
          <w:szCs w:val="20"/>
          <w:color w:val="auto"/>
        </w:rPr>
      </w:pPr>
    </w:p>
    <w:p>
      <w:pPr>
        <w:spacing w:after="0" w:line="209"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360" w:space="260"/>
            <w:col w:w="6519"/>
          </w:cols>
          <w:pgMar w:left="320" w:top="112"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9"/>
          <w:szCs w:val="19"/>
          <w:b w:val="1"/>
          <w:bCs w:val="1"/>
          <w:color w:val="auto"/>
        </w:rPr>
        <w:t>SIGNATURE PAGES</w:t>
      </w: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TECHNIP EUROCASH SNC</w:t>
      </w:r>
      <w:r>
        <w:rPr>
          <w:rFonts w:ascii="Arial" w:cs="Arial" w:eastAsia="Arial" w:hAnsi="Arial"/>
          <w:sz w:val="17"/>
          <w:szCs w:val="17"/>
          <w:color w:val="auto"/>
        </w:rPr>
        <w:t>, as Subsidiary Borrower</w:t>
      </w: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Agnès Brault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Treasury, Financing, Risk</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TECHNIPFMC PLC</w:t>
      </w:r>
      <w:r>
        <w:rPr>
          <w:rFonts w:ascii="Arial" w:cs="Arial" w:eastAsia="Arial" w:hAnsi="Arial"/>
          <w:sz w:val="18"/>
          <w:szCs w:val="18"/>
          <w:color w:val="auto"/>
        </w:rPr>
        <w:t>, as Company</w:t>
      </w: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Maryann Mannen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EVP and Chief Financial Officer</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Original Lender</w:t>
      </w: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Benjamin Binetter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2" w:name="page173"/>
    <w:bookmarkEnd w:id="172"/>
    <w:p>
      <w:pPr>
        <w:ind w:left="45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Original Lender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Jean Nunez</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DEUTSCHE BANK LUXEMBOURG S.A.</w:t>
      </w:r>
      <w:r>
        <w:rPr>
          <w:rFonts w:ascii="Arial" w:cs="Arial" w:eastAsia="Arial" w:hAnsi="Arial"/>
          <w:sz w:val="17"/>
          <w:szCs w:val="17"/>
          <w:color w:val="auto"/>
        </w:rPr>
        <w:t>, as Original Lender</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Isaure De-Vaumas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xml:space="preserve">HSBC FRANCE,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Matthieu Plateau</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40"/>
          </w:cols>
          <w:pgMar w:left="1440" w:top="121" w:right="1219" w:bottom="1440" w:gutter="0" w:footer="0" w:header="0"/>
        </w:sectPr>
      </w:pPr>
    </w:p>
    <w:bookmarkStart w:id="173" w:name="page174"/>
    <w:bookmarkEnd w:id="173"/>
    <w:p>
      <w:pPr>
        <w:ind w:left="4500"/>
        <w:spacing w:after="0"/>
        <w:rPr>
          <w:sz w:val="20"/>
          <w:szCs w:val="20"/>
          <w:color w:val="auto"/>
        </w:rPr>
      </w:pPr>
      <w:r>
        <w:rPr>
          <w:rFonts w:ascii="Arial" w:cs="Arial" w:eastAsia="Arial" w:hAnsi="Arial"/>
          <w:sz w:val="18"/>
          <w:szCs w:val="18"/>
          <w:b w:val="1"/>
          <w:bCs w:val="1"/>
          <w:color w:val="auto"/>
        </w:rPr>
        <w:t xml:space="preserve">HSBC FRANCE,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2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Nicolas David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xml:space="preserve">SOCIÉTÉ GÉNÉRALE,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2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Patrick BLAS</w:t>
      </w:r>
    </w:p>
    <w:p>
      <w:pPr>
        <w:spacing w:after="0" w:line="225" w:lineRule="exact"/>
        <w:rPr>
          <w:sz w:val="20"/>
          <w:szCs w:val="20"/>
          <w:color w:val="auto"/>
        </w:rPr>
      </w:pPr>
    </w:p>
    <w:p>
      <w:pPr>
        <w:ind w:left="4500"/>
        <w:spacing w:after="0" w:line="277" w:lineRule="auto"/>
        <w:rPr>
          <w:sz w:val="20"/>
          <w:szCs w:val="20"/>
          <w:color w:val="auto"/>
        </w:rPr>
      </w:pPr>
      <w:r>
        <w:rPr>
          <w:rFonts w:ascii="Arial" w:cs="Arial" w:eastAsia="Arial" w:hAnsi="Arial"/>
          <w:sz w:val="18"/>
          <w:szCs w:val="18"/>
          <w:color w:val="auto"/>
        </w:rPr>
        <w:t>Title: Directeur de l’Agence Grande Entreprise de La Défense au sein de Société Générale</w:t>
      </w:r>
    </w:p>
    <w:p>
      <w:pPr>
        <w:spacing w:after="0" w:line="16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xml:space="preserve">STANDARD CHARTERED BANK, </w:t>
      </w:r>
      <w:r>
        <w:rPr>
          <w:rFonts w:ascii="Arial" w:cs="Arial" w:eastAsia="Arial" w:hAnsi="Arial"/>
          <w:sz w:val="18"/>
          <w:szCs w:val="18"/>
          <w:color w:val="auto"/>
        </w:rPr>
        <w:t>as Original Lender</w:t>
      </w:r>
    </w:p>
    <w:p>
      <w:pPr>
        <w:spacing w:after="0" w:line="200" w:lineRule="exact"/>
        <w:rPr>
          <w:sz w:val="20"/>
          <w:szCs w:val="20"/>
          <w:color w:val="auto"/>
        </w:rPr>
      </w:pPr>
    </w:p>
    <w:p>
      <w:pPr>
        <w:spacing w:after="0" w:line="2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Simon Derrick</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Authorised Signatory</w:t>
      </w: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440" w:top="121" w:right="719" w:bottom="1440" w:gutter="0" w:footer="0" w:header="0"/>
        </w:sectPr>
      </w:pPr>
    </w:p>
    <w:bookmarkStart w:id="174" w:name="page175"/>
    <w:bookmarkEnd w:id="174"/>
    <w:p>
      <w:pPr>
        <w:ind w:left="4500"/>
        <w:spacing w:after="0"/>
        <w:rPr>
          <w:sz w:val="20"/>
          <w:szCs w:val="20"/>
          <w:color w:val="auto"/>
        </w:rPr>
      </w:pPr>
      <w:r>
        <w:rPr>
          <w:rFonts w:ascii="Arial" w:cs="Arial" w:eastAsia="Arial" w:hAnsi="Arial"/>
          <w:sz w:val="17"/>
          <w:szCs w:val="17"/>
          <w:b w:val="1"/>
          <w:bCs w:val="1"/>
          <w:color w:val="auto"/>
        </w:rPr>
        <w:t xml:space="preserve">HSBC FRANCE, </w:t>
      </w:r>
      <w:r>
        <w:rPr>
          <w:rFonts w:ascii="Arial" w:cs="Arial" w:eastAsia="Arial" w:hAnsi="Arial"/>
          <w:sz w:val="17"/>
          <w:szCs w:val="17"/>
          <w:color w:val="auto"/>
        </w:rPr>
        <w:t>as Agent</w:t>
      </w:r>
    </w:p>
    <w:p>
      <w:pPr>
        <w:spacing w:after="0" w:line="200" w:lineRule="exact"/>
        <w:rPr>
          <w:sz w:val="20"/>
          <w:szCs w:val="20"/>
          <w:color w:val="auto"/>
        </w:rPr>
      </w:pP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1342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Marisa Drei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Authorised Signatory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2"/>
          <w:szCs w:val="22"/>
          <w:b w:val="1"/>
          <w:bCs w:val="1"/>
          <w:color w:val="auto"/>
        </w:rPr>
        <w:t>EXECUTION PAGE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AND RESTATEMENT AGREEMENT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THE ORIGINAL FACILITY AGREEMENT</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Amendment and Restatement Agreement has been signed in electronic form using DocuSign, on the date set forth at the beginning of this Amendment and Restatement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TECHNIPFMC PLC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Maryann Mannen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Maryann Mannen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Authorised signatory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TECHNIP EUROCASH SNC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Agnès Brault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Agnès Brault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w:t>
      </w:r>
      <w:r>
        <w:rPr>
          <w:rFonts w:ascii="Arial" w:cs="Arial" w:eastAsia="Arial" w:hAnsi="Arial"/>
          <w:sz w:val="22"/>
          <w:szCs w:val="22"/>
          <w:i w:val="1"/>
          <w:iCs w:val="1"/>
          <w:color w:val="auto"/>
        </w:rPr>
        <w:t>gérant</w:t>
      </w:r>
      <w:r>
        <w:rPr>
          <w:rFonts w:ascii="Arial" w:cs="Arial" w:eastAsia="Arial" w:hAnsi="Arial"/>
          <w:sz w:val="22"/>
          <w:szCs w:val="22"/>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Agent </w:t>
      </w:r>
      <w:r>
        <w:rPr>
          <w:rFonts w:ascii="Arial" w:cs="Arial" w:eastAsia="Arial" w:hAnsi="Arial"/>
          <w:sz w:val="18"/>
          <w:szCs w:val="18"/>
          <w:color w:val="auto"/>
        </w:rPr>
        <w:t>(acting for itself and for and on behalf of the Finance Parties)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HSBC FRANCE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Marisa Drei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Marisa Drei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Authorised signatory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517E"/>
    <w:multiLevelType w:val="hybridMultilevel"/>
    <w:lvl w:ilvl="0">
      <w:lvlJc w:val="left"/>
      <w:lvlText w:val="☐"/>
      <w:numFmt w:val="bullet"/>
      <w:start w:val="1"/>
    </w:lvl>
  </w:abstractNum>
  <w:abstractNum w:abstractNumId="1">
    <w:nsid w:val="1F461B51"/>
    <w:multiLevelType w:val="hybridMultilevel"/>
    <w:lvl w:ilvl="0">
      <w:lvlJc w:val="left"/>
      <w:lvlText w:val="(%1)"/>
      <w:numFmt w:val="lowerLetter"/>
      <w:start w:val="4"/>
    </w:lvl>
  </w:abstractNum>
  <w:abstractNum w:abstractNumId="2">
    <w:nsid w:val="29BACF25"/>
    <w:multiLevelType w:val="hybridMultilevel"/>
    <w:lvl w:ilvl="0">
      <w:lvlJc w:val="left"/>
      <w:lvlText w:val="(%1)"/>
      <w:numFmt w:val="lowerLetter"/>
      <w:start w:val="1"/>
    </w:lvl>
  </w:abstractNum>
  <w:abstractNum w:abstractNumId="3">
    <w:nsid w:val="5D5BABB3"/>
    <w:multiLevelType w:val="hybridMultilevel"/>
    <w:lvl w:ilvl="0">
      <w:lvlJc w:val="left"/>
      <w:lvlText w:val="(%1)"/>
      <w:numFmt w:val="lowerLetter"/>
      <w:start w:val="2"/>
    </w:lvl>
    <w:lvl w:ilvl="1">
      <w:lvlJc w:val="left"/>
      <w:lvlText w:val="(%2)"/>
      <w:numFmt w:val="lowerLetter"/>
      <w:start w:val="1"/>
    </w:lvl>
  </w:abstractNum>
  <w:abstractNum w:abstractNumId="4">
    <w:nsid w:val="51BF6B48"/>
    <w:multiLevelType w:val="hybridMultilevel"/>
    <w:lvl w:ilvl="0">
      <w:lvlJc w:val="left"/>
      <w:lvlText w:val="(%1)"/>
      <w:numFmt w:val="lowerLetter"/>
      <w:start w:val="1"/>
    </w:lvl>
    <w:lvl w:ilvl="1">
      <w:lvlJc w:val="left"/>
      <w:lvlText w:val="(%2)"/>
      <w:numFmt w:val="lowerRoman"/>
      <w:start w:val="1"/>
    </w:lvl>
  </w:abstractNum>
  <w:abstractNum w:abstractNumId="5">
    <w:nsid w:val="7E0F6384"/>
    <w:multiLevelType w:val="hybridMultilevel"/>
    <w:lvl w:ilvl="0">
      <w:lvlJc w:val="left"/>
      <w:lvlText w:val="(%1)"/>
      <w:numFmt w:val="lowerLetter"/>
      <w:start w:val="2"/>
    </w:lvl>
  </w:abstractNum>
  <w:abstractNum w:abstractNumId="6">
    <w:nsid w:val="2B4B8B53"/>
    <w:multiLevelType w:val="hybridMultilevel"/>
    <w:lvl w:ilvl="0">
      <w:lvlJc w:val="left"/>
      <w:lvlText w:val="(%1)"/>
      <w:numFmt w:val="lowerLetter"/>
      <w:start w:val="1"/>
    </w:lvl>
  </w:abstractNum>
  <w:abstractNum w:abstractNumId="7">
    <w:nsid w:val="72E3413A"/>
    <w:multiLevelType w:val="hybridMultilevel"/>
    <w:lvl w:ilvl="0">
      <w:lvlJc w:val="left"/>
      <w:lvlText w:val="(%1)"/>
      <w:numFmt w:val="lowerLetter"/>
      <w:start w:val="1"/>
    </w:lvl>
  </w:abstractNum>
  <w:abstractNum w:abstractNumId="8">
    <w:nsid w:val="116AE494"/>
    <w:multiLevelType w:val="hybridMultilevel"/>
    <w:lvl w:ilvl="0">
      <w:lvlJc w:val="left"/>
      <w:lvlText w:val="(%1)"/>
      <w:numFmt w:val="upperLetter"/>
      <w:start w:val="1"/>
    </w:lvl>
  </w:abstractNum>
  <w:abstractNum w:abstractNumId="9">
    <w:nsid w:val="3494B2FB"/>
    <w:multiLevelType w:val="hybridMultilevel"/>
    <w:lvl w:ilvl="0">
      <w:lvlJc w:val="left"/>
      <w:lvlText w:val="(%1)"/>
      <w:numFmt w:val="lowerRoman"/>
      <w:start w:val="2"/>
    </w:lvl>
  </w:abstractNum>
  <w:abstractNum w:abstractNumId="10">
    <w:nsid w:val="B13A31"/>
    <w:multiLevelType w:val="hybridMultilevel"/>
    <w:lvl w:ilvl="0">
      <w:lvlJc w:val="left"/>
      <w:lvlText w:val="(%1)"/>
      <w:numFmt w:val="lowerLetter"/>
      <w:start w:val="3"/>
    </w:lvl>
  </w:abstractNum>
  <w:abstractNum w:abstractNumId="11">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
    <w:nsid w:val="631F1690"/>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3">
    <w:nsid w:val="25973E32"/>
    <w:multiLevelType w:val="hybridMultilevel"/>
    <w:lvl w:ilvl="0">
      <w:lvlJc w:val="left"/>
      <w:lvlText w:val="(%1)"/>
      <w:numFmt w:val="lowerLetter"/>
      <w:start w:val="4"/>
    </w:lvl>
    <w:lvl w:ilvl="1">
      <w:lvlJc w:val="left"/>
      <w:lvlText w:val="(%2)"/>
      <w:numFmt w:val="lowerLetter"/>
      <w:start w:val="1"/>
    </w:lvl>
  </w:abstractNum>
  <w:abstractNum w:abstractNumId="14">
    <w:nsid w:val="EAD6F57"/>
    <w:multiLevelType w:val="hybridMultilevel"/>
    <w:lvl w:ilvl="0">
      <w:lvlJc w:val="left"/>
      <w:lvlText w:val="(%1)"/>
      <w:numFmt w:val="lowerLetter"/>
      <w:start w:val="6"/>
    </w:lvl>
  </w:abstractNum>
  <w:abstractNum w:abstractNumId="15">
    <w:nsid w:val="6EC9D844"/>
    <w:multiLevelType w:val="hybridMultilevel"/>
    <w:lvl w:ilvl="0">
      <w:lvlJc w:val="left"/>
      <w:lvlText w:val="(%1)"/>
      <w:numFmt w:val="lowerLetter"/>
      <w:start w:val="6"/>
    </w:lvl>
  </w:abstractNum>
  <w:abstractNum w:abstractNumId="16">
    <w:nsid w:val="5C49EAE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
    <w:nsid w:val="64AF49B"/>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18">
    <w:nsid w:val="397C46BC"/>
    <w:multiLevelType w:val="hybridMultilevel"/>
    <w:lvl w:ilvl="0">
      <w:lvlJc w:val="left"/>
      <w:lvlText w:val="(%1)"/>
      <w:numFmt w:val="lowerLetter"/>
      <w:start w:val="1"/>
    </w:lvl>
  </w:abstractNum>
  <w:abstractNum w:abstractNumId="19">
    <w:nsid w:val="7E448DE9"/>
    <w:multiLevelType w:val="hybridMultilevel"/>
    <w:lvl w:ilvl="0">
      <w:lvlJc w:val="left"/>
      <w:lvlText w:val="(%1)"/>
      <w:numFmt w:val="lowerLetter"/>
      <w:start w:val="2"/>
    </w:lvl>
  </w:abstractNum>
  <w:abstractNum w:abstractNumId="20">
    <w:nsid w:val="5A9CC3E5"/>
    <w:multiLevelType w:val="hybridMultilevel"/>
    <w:lvl w:ilvl="0">
      <w:lvlJc w:val="left"/>
      <w:lvlText w:val="(%1)"/>
      <w:numFmt w:val="lowerLetter"/>
      <w:start w:val="1"/>
    </w:lvl>
  </w:abstractNum>
  <w:abstractNum w:abstractNumId="21">
    <w:nsid w:val="1AFE3625"/>
    <w:multiLevelType w:val="hybridMultilevel"/>
    <w:lvl w:ilvl="0">
      <w:lvlJc w:val="left"/>
      <w:lvlText w:val="(%1)"/>
      <w:numFmt w:val="lowerLetter"/>
      <w:start w:val="1"/>
    </w:lvl>
  </w:abstractNum>
  <w:abstractNum w:abstractNumId="22">
    <w:nsid w:val="3CA88ECF"/>
    <w:multiLevelType w:val="hybridMultilevel"/>
    <w:lvl w:ilvl="0">
      <w:lvlJc w:val="left"/>
      <w:lvlText w:val="(%1)"/>
      <w:numFmt w:val="lowerLetter"/>
      <w:start w:val="3"/>
    </w:lvl>
  </w:abstractNum>
  <w:abstractNum w:abstractNumId="23">
    <w:nsid w:val="6EBE4208"/>
    <w:multiLevelType w:val="hybridMultilevel"/>
    <w:lvl w:ilvl="0">
      <w:lvlJc w:val="left"/>
      <w:lvlText w:val="(%1)"/>
      <w:numFmt w:val="lowerLetter"/>
      <w:start w:val="1"/>
    </w:lvl>
  </w:abstractNum>
  <w:abstractNum w:abstractNumId="24">
    <w:nsid w:val="C058DF5"/>
    <w:multiLevelType w:val="hybridMultilevel"/>
    <w:lvl w:ilvl="0">
      <w:lvlJc w:val="left"/>
      <w:lvlText w:val="(%1)"/>
      <w:numFmt w:val="decimal"/>
      <w:start w:val="1"/>
    </w:lvl>
  </w:abstractNum>
  <w:abstractNum w:abstractNumId="25">
    <w:nsid w:val="CBE5BE9"/>
    <w:multiLevelType w:val="hybridMultilevel"/>
    <w:lvl w:ilvl="0">
      <w:lvlJc w:val="left"/>
      <w:lvlText w:val="(%1)"/>
      <w:numFmt w:val="upperLetter"/>
      <w:start w:val="1"/>
    </w:lvl>
  </w:abstractNum>
  <w:abstractNum w:abstractNumId="26">
    <w:nsid w:val="3102BBE2"/>
    <w:multiLevelType w:val="hybridMultilevel"/>
    <w:lvl w:ilvl="0">
      <w:lvlJc w:val="left"/>
      <w:lvlText w:val="%1."/>
      <w:numFmt w:val="decimal"/>
      <w:start w:val="1"/>
    </w:lvl>
  </w:abstractNum>
  <w:abstractNum w:abstractNumId="27">
    <w:nsid w:val="26A02C5E"/>
    <w:multiLevelType w:val="hybridMultilevel"/>
    <w:lvl w:ilvl="0">
      <w:lvlJc w:val="left"/>
      <w:lvlText w:val="%1."/>
      <w:numFmt w:val="decimal"/>
      <w:start w:val="2"/>
    </w:lvl>
  </w:abstractNum>
  <w:abstractNum w:abstractNumId="28">
    <w:nsid w:val="541C8153"/>
    <w:multiLevelType w:val="hybridMultilevel"/>
    <w:lvl w:ilvl="0">
      <w:lvlJc w:val="left"/>
      <w:lvlText w:val="%1."/>
      <w:numFmt w:val="decimal"/>
      <w:start w:val="3"/>
    </w:lvl>
  </w:abstractNum>
  <w:abstractNum w:abstractNumId="29">
    <w:nsid w:val="67906F60"/>
    <w:multiLevelType w:val="hybridMultilevel"/>
    <w:lvl w:ilvl="0">
      <w:lvlJc w:val="left"/>
      <w:lvlText w:val="%1"/>
      <w:numFmt w:val="decimal"/>
      <w:start w:val="1"/>
    </w:lvl>
    <w:lvl w:ilvl="1">
      <w:lvlJc w:val="left"/>
      <w:lvlText w:val="(%2)"/>
      <w:numFmt w:val="lowerLetter"/>
      <w:start w:val="1"/>
    </w:lvl>
  </w:abstractNum>
  <w:abstractNum w:abstractNumId="30">
    <w:nsid w:val="10DB9DAA"/>
    <w:multiLevelType w:val="hybridMultilevel"/>
    <w:lvl w:ilvl="0">
      <w:lvlJc w:val="left"/>
      <w:lvlText w:val="%1."/>
      <w:numFmt w:val="decimal"/>
      <w:start w:val="4"/>
    </w:lvl>
    <w:lvl w:ilvl="1">
      <w:lvlJc w:val="left"/>
      <w:lvlText w:val="%2"/>
      <w:numFmt w:val="lowerLetter"/>
      <w:start w:val="1"/>
    </w:lvl>
  </w:abstractNum>
  <w:abstractNum w:abstractNumId="31">
    <w:nsid w:val="697D2D2"/>
    <w:multiLevelType w:val="hybridMultilevel"/>
    <w:lvl w:ilvl="0">
      <w:lvlJc w:val="left"/>
      <w:lvlText w:val="%1."/>
      <w:numFmt w:val="decimal"/>
      <w:start w:val="5"/>
    </w:lvl>
  </w:abstractNum>
  <w:abstractNum w:abstractNumId="32">
    <w:nsid w:val="6D68AB2"/>
    <w:multiLevelType w:val="hybridMultilevel"/>
    <w:lvl w:ilvl="0">
      <w:lvlJc w:val="left"/>
      <w:lvlText w:val="%1."/>
      <w:numFmt w:val="decimal"/>
      <w:start w:val="6"/>
    </w:lvl>
  </w:abstractNum>
  <w:abstractNum w:abstractNumId="33">
    <w:nsid w:val="3A966CD0"/>
    <w:multiLevelType w:val="hybridMultilevel"/>
    <w:lvl w:ilvl="0">
      <w:lvlJc w:val="left"/>
      <w:lvlText w:val="(%1)"/>
      <w:numFmt w:val="decimal"/>
      <w:start w:val="1"/>
    </w:lvl>
  </w:abstractNum>
  <w:abstractNum w:abstractNumId="34">
    <w:nsid w:val="63F37E85"/>
    <w:multiLevelType w:val="hybridMultilevel"/>
    <w:lvl w:ilvl="0">
      <w:lvlJc w:val="left"/>
      <w:lvlText w:val="%1."/>
      <w:numFmt w:val="decimal"/>
      <w:start w:val="1"/>
    </w:lvl>
  </w:abstractNum>
  <w:abstractNum w:abstractNumId="35">
    <w:nsid w:val="5895F5FA"/>
    <w:multiLevelType w:val="hybridMultilevel"/>
    <w:lvl w:ilvl="0">
      <w:lvlJc w:val="left"/>
      <w:lvlText w:val="(%1)"/>
      <w:numFmt w:val="lowerLetter"/>
      <w:start w:val="1"/>
    </w:lvl>
  </w:abstractNum>
  <w:abstractNum w:abstractNumId="36">
    <w:nsid w:val="38A5D054"/>
    <w:multiLevelType w:val="hybridMultilevel"/>
    <w:lvl w:ilvl="0">
      <w:lvlJc w:val="left"/>
      <w:lvlText w:val="(%1)"/>
      <w:numFmt w:val="lowerLetter"/>
      <w:start w:val="1"/>
    </w:lvl>
  </w:abstractNum>
  <w:abstractNum w:abstractNumId="37">
    <w:nsid w:val="F3F09D8"/>
    <w:multiLevelType w:val="hybridMultilevel"/>
    <w:lvl w:ilvl="0">
      <w:lvlJc w:val="left"/>
      <w:lvlText w:val="(%1)"/>
      <w:numFmt w:val="lowerLetter"/>
      <w:start w:val="1"/>
    </w:lvl>
    <w:lvl w:ilvl="1">
      <w:lvlJc w:val="left"/>
      <w:lvlText w:val="-"/>
      <w:numFmt w:val="bullet"/>
      <w:start w:val="1"/>
    </w:lvl>
  </w:abstractNum>
  <w:abstractNum w:abstractNumId="38">
    <w:nsid w:val="4B793735"/>
    <w:multiLevelType w:val="hybridMultilevel"/>
    <w:lvl w:ilvl="0">
      <w:lvlJc w:val="left"/>
      <w:lvlText w:val="(%1)"/>
      <w:numFmt w:val="lowerLetter"/>
      <w:start w:val="1"/>
    </w:lvl>
  </w:abstractNum>
  <w:abstractNum w:abstractNumId="39">
    <w:nsid w:val="4A10B4E8"/>
    <w:multiLevelType w:val="hybridMultilevel"/>
    <w:lvl w:ilvl="0">
      <w:lvlJc w:val="left"/>
      <w:lvlText w:val="(%1)"/>
      <w:numFmt w:val="lowerLetter"/>
      <w:start w:val="1"/>
    </w:lvl>
  </w:abstractNum>
  <w:abstractNum w:abstractNumId="40">
    <w:nsid w:val="43D3BCD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41">
    <w:nsid w:val="4C2A7166"/>
    <w:multiLevelType w:val="hybridMultilevel"/>
    <w:lvl w:ilvl="0">
      <w:lvlJc w:val="left"/>
      <w:lvlText w:val="%1"/>
      <w:numFmt w:val="lowerRoman"/>
      <w:start w:val="1"/>
    </w:lvl>
    <w:lvl w:ilvl="1">
      <w:lvlJc w:val="left"/>
      <w:lvlText w:val="(%2)"/>
      <w:numFmt w:val="upperLetter"/>
      <w:start w:val="4"/>
    </w:lvl>
  </w:abstractNum>
  <w:abstractNum w:abstractNumId="42">
    <w:nsid w:val="2E534A82"/>
    <w:multiLevelType w:val="hybridMultilevel"/>
    <w:lvl w:ilvl="0">
      <w:lvlJc w:val="left"/>
      <w:lvlText w:val="(%1)"/>
      <w:numFmt w:val="lowerRoman"/>
      <w:start w:val="2"/>
    </w:lvl>
    <w:lvl w:ilvl="1">
      <w:lvlJc w:val="left"/>
      <w:lvlText w:val="%2"/>
      <w:numFmt w:val="upperLetter"/>
      <w:start w:val="1"/>
    </w:lvl>
  </w:abstractNum>
  <w:abstractNum w:abstractNumId="43">
    <w:nsid w:val="26F2D364"/>
    <w:multiLevelType w:val="hybridMultilevel"/>
    <w:lvl w:ilvl="0">
      <w:lvlJc w:val="left"/>
      <w:lvlText w:val="(%1)"/>
      <w:numFmt w:val="lowerLetter"/>
      <w:start w:val="1"/>
    </w:lvl>
  </w:abstractNum>
  <w:abstractNum w:abstractNumId="44">
    <w:nsid w:val="71C1AF98"/>
    <w:multiLevelType w:val="hybridMultilevel"/>
    <w:lvl w:ilvl="0">
      <w:lvlJc w:val="left"/>
      <w:lvlText w:val="(%1)"/>
      <w:numFmt w:val="lowerLetter"/>
      <w:start w:val="1"/>
    </w:lvl>
  </w:abstractNum>
  <w:abstractNum w:abstractNumId="45">
    <w:nsid w:val="3D00B9D9"/>
    <w:multiLevelType w:val="hybridMultilevel"/>
    <w:lvl w:ilvl="0">
      <w:lvlJc w:val="left"/>
      <w:lvlText w:val="(%1)"/>
      <w:numFmt w:val="lowerRoman"/>
      <w:start w:val="1"/>
    </w:lvl>
    <w:lvl w:ilvl="1">
      <w:lvlJc w:val="left"/>
      <w:lvlText w:val="(%2)"/>
      <w:numFmt w:val="upperLetter"/>
      <w:start w:val="1"/>
    </w:lvl>
  </w:abstractNum>
  <w:abstractNum w:abstractNumId="46">
    <w:nsid w:val="15BCABA8"/>
    <w:multiLevelType w:val="hybridMultilevel"/>
    <w:lvl w:ilvl="0">
      <w:lvlJc w:val="left"/>
      <w:lvlText w:val="(%1)"/>
      <w:numFmt w:val="lowerRoman"/>
      <w:start w:val="2"/>
    </w:lvl>
  </w:abstractNum>
  <w:abstractNum w:abstractNumId="47">
    <w:nsid w:val="4E0B9A87"/>
    <w:multiLevelType w:val="hybridMultilevel"/>
    <w:lvl w:ilvl="0">
      <w:lvlJc w:val="left"/>
      <w:lvlText w:val="(%1)"/>
      <w:numFmt w:val="lowerLetter"/>
      <w:start w:val="1"/>
    </w:lvl>
    <w:lvl w:ilvl="1">
      <w:lvlJc w:val="left"/>
      <w:lvlText w:val="(%2)"/>
      <w:numFmt w:val="lowerRoman"/>
      <w:start w:val="1"/>
    </w:lvl>
  </w:abstractNum>
  <w:abstractNum w:abstractNumId="48">
    <w:nsid w:val="434BAE75"/>
    <w:multiLevelType w:val="hybridMultilevel"/>
    <w:lvl w:ilvl="0">
      <w:lvlJc w:val="left"/>
      <w:lvlText w:val="(%1)"/>
      <w:numFmt w:val="lowerLetter"/>
      <w:start w:val="1"/>
    </w:lvl>
  </w:abstractNum>
  <w:abstractNum w:abstractNumId="49">
    <w:nsid w:val="4F38F265"/>
    <w:multiLevelType w:val="hybridMultilevel"/>
    <w:lvl w:ilvl="0">
      <w:lvlJc w:val="left"/>
      <w:lvlText w:val="(%1)"/>
      <w:numFmt w:val="lowerLetter"/>
      <w:start w:val="1"/>
    </w:lvl>
  </w:abstractNum>
  <w:abstractNum w:abstractNumId="50">
    <w:nsid w:val="4C502870"/>
    <w:multiLevelType w:val="hybridMultilevel"/>
    <w:lvl w:ilvl="0">
      <w:lvlJc w:val="left"/>
      <w:lvlText w:val="(%1)"/>
      <w:numFmt w:val="lowerLetter"/>
      <w:start w:val="1"/>
    </w:lvl>
    <w:lvl w:ilvl="1">
      <w:lvlJc w:val="left"/>
      <w:lvlText w:val="-"/>
      <w:numFmt w:val="bullet"/>
      <w:start w:val="1"/>
    </w:lvl>
  </w:abstractNum>
  <w:abstractNum w:abstractNumId="51">
    <w:nsid w:val="1DE8725A"/>
    <w:multiLevelType w:val="hybridMultilevel"/>
    <w:lvl w:ilvl="0">
      <w:lvlJc w:val="left"/>
      <w:lvlText w:val="(%1)"/>
      <w:numFmt w:val="lowerLetter"/>
      <w:start w:val="1"/>
    </w:lvl>
    <w:lvl w:ilvl="1">
      <w:lvlJc w:val="left"/>
      <w:lvlText w:val="-"/>
      <w:numFmt w:val="bullet"/>
      <w:start w:val="1"/>
    </w:lvl>
  </w:abstractNum>
  <w:abstractNum w:abstractNumId="52">
    <w:nsid w:val="6A37288A"/>
    <w:multiLevelType w:val="hybridMultilevel"/>
    <w:lvl w:ilvl="0">
      <w:lvlJc w:val="left"/>
      <w:lvlText w:val="(%1)"/>
      <w:numFmt w:val="lowerRoman"/>
      <w:start w:val="1"/>
    </w:lvl>
  </w:abstractNum>
  <w:abstractNum w:abstractNumId="53">
    <w:nsid w:val="8F8B73F"/>
    <w:multiLevelType w:val="hybridMultilevel"/>
    <w:lvl w:ilvl="0">
      <w:lvlJc w:val="left"/>
      <w:lvlText w:val="(%1)"/>
      <w:numFmt w:val="lowerLetter"/>
      <w:start w:val="1"/>
    </w:lvl>
  </w:abstractNum>
  <w:abstractNum w:abstractNumId="54">
    <w:nsid w:val="CA6B462"/>
    <w:multiLevelType w:val="hybridMultilevel"/>
    <w:lvl w:ilvl="0">
      <w:lvlJc w:val="left"/>
      <w:lvlText w:val="(%1)"/>
      <w:numFmt w:val="lowerLetter"/>
      <w:start w:val="1"/>
    </w:lvl>
    <w:lvl w:ilvl="1">
      <w:lvlJc w:val="left"/>
      <w:lvlText w:val="-"/>
      <w:numFmt w:val="bullet"/>
      <w:start w:val="1"/>
    </w:lvl>
  </w:abstractNum>
  <w:abstractNum w:abstractNumId="55">
    <w:nsid w:val="763CB680"/>
    <w:multiLevelType w:val="hybridMultilevel"/>
    <w:lvl w:ilvl="0">
      <w:lvlJc w:val="left"/>
      <w:lvlText w:val="(%1)"/>
      <w:numFmt w:val="lowerLetter"/>
      <w:start w:val="5"/>
    </w:lvl>
    <w:lvl w:ilvl="1">
      <w:lvlJc w:val="left"/>
      <w:lvlText w:val="(%2)"/>
      <w:numFmt w:val="lowerRoman"/>
      <w:start w:val="1"/>
    </w:lvl>
  </w:abstractNum>
  <w:abstractNum w:abstractNumId="56">
    <w:nsid w:val="15B71329"/>
    <w:multiLevelType w:val="hybridMultilevel"/>
    <w:lvl w:ilvl="0">
      <w:lvlJc w:val="left"/>
      <w:lvlText w:val="(%1)"/>
      <w:numFmt w:val="lowerLetter"/>
      <w:start w:val="1"/>
    </w:lvl>
    <w:lvl w:ilvl="1">
      <w:lvlJc w:val="left"/>
      <w:lvlText w:val="-"/>
      <w:numFmt w:val="bullet"/>
      <w:start w:val="1"/>
    </w:lvl>
  </w:abstractNum>
  <w:abstractNum w:abstractNumId="57">
    <w:nsid w:val="3DA97044"/>
    <w:multiLevelType w:val="hybridMultilevel"/>
    <w:lvl w:ilvl="0">
      <w:lvlJc w:val="left"/>
      <w:lvlText w:val="(%1)"/>
      <w:numFmt w:val="lowerLetter"/>
      <w:start w:val="1"/>
    </w:lvl>
  </w:abstractNum>
  <w:abstractNum w:abstractNumId="58">
    <w:nsid w:val="1CDCE2DE"/>
    <w:multiLevelType w:val="hybridMultilevel"/>
    <w:lvl w:ilvl="0">
      <w:lvlJc w:val="left"/>
      <w:lvlText w:val="(%1)"/>
      <w:numFmt w:val="lowerLetter"/>
      <w:start w:val="1"/>
    </w:lvl>
  </w:abstractNum>
  <w:abstractNum w:abstractNumId="59">
    <w:nsid w:val="69D3947C"/>
    <w:multiLevelType w:val="hybridMultilevel"/>
    <w:lvl w:ilvl="0">
      <w:lvlJc w:val="left"/>
      <w:lvlText w:val="(%1)"/>
      <w:numFmt w:val="lowerLetter"/>
      <w:start w:val="1"/>
    </w:lvl>
  </w:abstractNum>
  <w:abstractNum w:abstractNumId="60">
    <w:nsid w:val="2539DFA5"/>
    <w:multiLevelType w:val="hybridMultilevel"/>
    <w:lvl w:ilvl="0">
      <w:lvlJc w:val="left"/>
      <w:lvlText w:val="(%1)"/>
      <w:numFmt w:val="lowerLetter"/>
      <w:start w:val="1"/>
    </w:lvl>
    <w:lvl w:ilvl="1">
      <w:lvlJc w:val="left"/>
      <w:lvlText w:val="-"/>
      <w:numFmt w:val="bullet"/>
      <w:start w:val="1"/>
    </w:lvl>
  </w:abstractNum>
  <w:abstractNum w:abstractNumId="61">
    <w:nsid w:val="2DB88089"/>
    <w:multiLevelType w:val="hybridMultilevel"/>
    <w:lvl w:ilvl="0">
      <w:lvlJc w:val="left"/>
      <w:lvlText w:val="(%1)"/>
      <w:numFmt w:val="lowerLetter"/>
      <w:start w:val="2"/>
    </w:lvl>
  </w:abstractNum>
  <w:abstractNum w:abstractNumId="62">
    <w:nsid w:val="706B674E"/>
    <w:multiLevelType w:val="hybridMultilevel"/>
    <w:lvl w:ilvl="0">
      <w:lvlJc w:val="left"/>
      <w:lvlText w:val="(%1)"/>
      <w:numFmt w:val="lowerLetter"/>
      <w:start w:val="1"/>
    </w:lvl>
  </w:abstractNum>
  <w:abstractNum w:abstractNumId="63">
    <w:nsid w:val="2C106A57"/>
    <w:multiLevelType w:val="hybridMultilevel"/>
    <w:lvl w:ilvl="0">
      <w:lvlJc w:val="left"/>
      <w:lvlText w:val="(%1)"/>
      <w:numFmt w:val="lowerLetter"/>
      <w:start w:val="1"/>
    </w:lvl>
  </w:abstractNum>
  <w:abstractNum w:abstractNumId="64">
    <w:nsid w:val="684EED59"/>
    <w:multiLevelType w:val="hybridMultilevel"/>
    <w:lvl w:ilvl="0">
      <w:lvlJc w:val="left"/>
      <w:lvlText w:val="(%1)"/>
      <w:numFmt w:val="lowerRoman"/>
      <w:start w:val="1"/>
    </w:lvl>
    <w:lvl w:ilvl="1">
      <w:lvlJc w:val="left"/>
      <w:lvlText w:val="-"/>
      <w:numFmt w:val="bullet"/>
      <w:start w:val="1"/>
    </w:lvl>
  </w:abstractNum>
  <w:abstractNum w:abstractNumId="65">
    <w:nsid w:val="545EE5D3"/>
    <w:multiLevelType w:val="hybridMultilevel"/>
    <w:lvl w:ilvl="0">
      <w:lvlJc w:val="left"/>
      <w:lvlText w:val="(%1)"/>
      <w:numFmt w:val="lowerRoman"/>
      <w:start w:val="2"/>
    </w:lvl>
  </w:abstractNum>
  <w:abstractNum w:abstractNumId="66">
    <w:nsid w:val="4A66051"/>
    <w:multiLevelType w:val="hybridMultilevel"/>
    <w:lvl w:ilvl="0">
      <w:lvlJc w:val="left"/>
      <w:lvlText w:val="(%1)"/>
      <w:numFmt w:val="lowerLetter"/>
      <w:start w:val="1"/>
    </w:lvl>
    <w:lvl w:ilvl="1">
      <w:lvlJc w:val="left"/>
      <w:lvlText w:val="-"/>
      <w:numFmt w:val="bullet"/>
      <w:start w:val="1"/>
    </w:lvl>
  </w:abstractNum>
  <w:abstractNum w:abstractNumId="67">
    <w:nsid w:val="20F4BDAD"/>
    <w:multiLevelType w:val="hybridMultilevel"/>
    <w:lvl w:ilvl="0">
      <w:lvlJc w:val="left"/>
      <w:lvlText w:val="(%1)"/>
      <w:numFmt w:val="lowerLetter"/>
      <w:start w:val="1"/>
    </w:lvl>
    <w:lvl w:ilvl="1">
      <w:lvlJc w:val="left"/>
      <w:lvlText w:val="(%2)"/>
      <w:numFmt w:val="lowerLetter"/>
      <w:start w:val="24"/>
    </w:lvl>
  </w:abstractNum>
  <w:abstractNum w:abstractNumId="68">
    <w:nsid w:val="639DEFAC"/>
    <w:multiLevelType w:val="hybridMultilevel"/>
    <w:lvl w:ilvl="0">
      <w:lvlJc w:val="left"/>
      <w:lvlText w:val="(%1)"/>
      <w:numFmt w:val="lowerLetter"/>
      <w:start w:val="1"/>
    </w:lvl>
    <w:lvl w:ilvl="1">
      <w:lvlJc w:val="left"/>
      <w:lvlText w:val="-"/>
      <w:numFmt w:val="bullet"/>
      <w:start w:val="1"/>
    </w:lvl>
  </w:abstractNum>
  <w:abstractNum w:abstractNumId="69">
    <w:nsid w:val="501F9786"/>
    <w:multiLevelType w:val="hybridMultilevel"/>
    <w:lvl w:ilvl="0">
      <w:lvlJc w:val="left"/>
      <w:lvlText w:val="(%1)"/>
      <w:numFmt w:val="lowerLetter"/>
      <w:start w:val="2"/>
    </w:lvl>
  </w:abstractNum>
  <w:abstractNum w:abstractNumId="70">
    <w:nsid w:val="6B057295"/>
    <w:multiLevelType w:val="hybridMultilevel"/>
    <w:lvl w:ilvl="0">
      <w:lvlJc w:val="left"/>
      <w:lvlText w:val="(%1)"/>
      <w:numFmt w:val="lowerLetter"/>
      <w:start w:val="1"/>
    </w:lvl>
  </w:abstractNum>
  <w:abstractNum w:abstractNumId="71">
    <w:nsid w:val="2771AC80"/>
    <w:multiLevelType w:val="hybridMultilevel"/>
    <w:lvl w:ilvl="0">
      <w:lvlJc w:val="left"/>
      <w:lvlText w:val="(%1)"/>
      <w:numFmt w:val="lowerLetter"/>
      <w:start w:val="1"/>
    </w:lvl>
  </w:abstractNum>
  <w:abstractNum w:abstractNumId="72">
    <w:nsid w:val="1C4A08EC"/>
    <w:multiLevelType w:val="hybridMultilevel"/>
    <w:lvl w:ilvl="0">
      <w:lvlJc w:val="left"/>
      <w:lvlText w:val="(%1)"/>
      <w:numFmt w:val="lowerLetter"/>
      <w:start w:val="1"/>
    </w:lvl>
  </w:abstractNum>
  <w:abstractNum w:abstractNumId="73">
    <w:nsid w:val="1958BD17"/>
    <w:multiLevelType w:val="hybridMultilevel"/>
    <w:lvl w:ilvl="0">
      <w:lvlJc w:val="left"/>
      <w:lvlText w:val="(%1)"/>
      <w:numFmt w:val="lowerLetter"/>
      <w:start w:val="1"/>
    </w:lvl>
  </w:abstractNum>
  <w:abstractNum w:abstractNumId="74">
    <w:nsid w:val="4E647FE4"/>
    <w:multiLevelType w:val="hybridMultilevel"/>
    <w:lvl w:ilvl="0">
      <w:lvlJc w:val="left"/>
      <w:lvlText w:val="(%1)"/>
      <w:numFmt w:val="lowerLetter"/>
      <w:start w:val="1"/>
    </w:lvl>
  </w:abstractNum>
  <w:abstractNum w:abstractNumId="75">
    <w:nsid w:val="E0BB885"/>
    <w:multiLevelType w:val="hybridMultilevel"/>
    <w:lvl w:ilvl="0">
      <w:lvlJc w:val="left"/>
      <w:lvlText w:val="(%1)"/>
      <w:numFmt w:val="lowerLetter"/>
      <w:start w:val="1"/>
    </w:lvl>
    <w:lvl w:ilvl="1">
      <w:lvlJc w:val="left"/>
      <w:lvlText w:val="-"/>
      <w:numFmt w:val="bullet"/>
      <w:start w:val="1"/>
    </w:lvl>
  </w:abstractNum>
  <w:abstractNum w:abstractNumId="76">
    <w:nsid w:val="565976F1"/>
    <w:multiLevelType w:val="hybridMultilevel"/>
    <w:lvl w:ilvl="0">
      <w:lvlJc w:val="left"/>
      <w:lvlText w:val="(%1)"/>
      <w:numFmt w:val="lowerLetter"/>
      <w:start w:val="2"/>
    </w:lvl>
  </w:abstractNum>
  <w:abstractNum w:abstractNumId="77">
    <w:nsid w:val="64212B8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8">
    <w:nsid w:val="5C17530C"/>
    <w:multiLevelType w:val="hybridMultilevel"/>
    <w:lvl w:ilvl="0">
      <w:lvlJc w:val="left"/>
      <w:lvlText w:val="(%1)"/>
      <w:numFmt w:val="lowerLetter"/>
      <w:start w:val="4"/>
    </w:lvl>
  </w:abstractNum>
  <w:abstractNum w:abstractNumId="79">
    <w:nsid w:val="19A52566"/>
    <w:multiLevelType w:val="hybridMultilevel"/>
    <w:lvl w:ilvl="0">
      <w:lvlJc w:val="left"/>
      <w:lvlText w:val="%1."/>
      <w:numFmt w:val="decimal"/>
      <w:start w:val="2"/>
    </w:lvl>
  </w:abstractNum>
  <w:abstractNum w:abstractNumId="80">
    <w:nsid w:val="335A1DF1"/>
    <w:multiLevelType w:val="hybridMultilevel"/>
    <w:lvl w:ilvl="0">
      <w:lvlJc w:val="left"/>
      <w:lvlText w:val="%1"/>
      <w:numFmt w:val="decimal"/>
      <w:start w:val="1"/>
    </w:lvl>
    <w:lvl w:ilvl="1">
      <w:lvlJc w:val="left"/>
      <w:lvlText w:val="(%2)"/>
      <w:numFmt w:val="lowerLetter"/>
      <w:start w:val="1"/>
    </w:lvl>
  </w:abstractNum>
  <w:abstractNum w:abstractNumId="81">
    <w:nsid w:val="28677B7C"/>
    <w:multiLevelType w:val="hybridMultilevel"/>
    <w:lvl w:ilvl="0">
      <w:lvlJc w:val="left"/>
      <w:lvlText w:val="%1."/>
      <w:numFmt w:val="decimal"/>
      <w:start w:val="3"/>
    </w:lvl>
    <w:lvl w:ilvl="1">
      <w:lvlJc w:val="left"/>
      <w:lvlText w:val="%2"/>
      <w:numFmt w:val="lowerLetter"/>
      <w:start w:val="1"/>
    </w:lvl>
  </w:abstractNum>
  <w:abstractNum w:abstractNumId="82">
    <w:nsid w:val="378D97C0"/>
    <w:multiLevelType w:val="hybridMultilevel"/>
    <w:lvl w:ilvl="0">
      <w:lvlJc w:val="left"/>
      <w:lvlText w:val="(%1)"/>
      <w:numFmt w:val="lowerLetter"/>
      <w:start w:val="1"/>
    </w:lvl>
    <w:lvl w:ilvl="1">
      <w:lvlJc w:val="left"/>
      <w:lvlText w:val="-"/>
      <w:numFmt w:val="bullet"/>
      <w:start w:val="1"/>
    </w:lvl>
  </w:abstractNum>
  <w:abstractNum w:abstractNumId="83">
    <w:nsid w:val="1D91467C"/>
    <w:multiLevelType w:val="hybridMultilevel"/>
    <w:lvl w:ilvl="0">
      <w:lvlJc w:val="left"/>
      <w:lvlText w:val="(%1)"/>
      <w:numFmt w:val="lowerLetter"/>
      <w:start w:val="2"/>
    </w:lvl>
  </w:abstractNum>
  <w:abstractNum w:abstractNumId="84">
    <w:nsid w:val="316032BB"/>
    <w:multiLevelType w:val="hybridMultilevel"/>
    <w:lvl w:ilvl="0">
      <w:lvlJc w:val="left"/>
      <w:lvlText w:val="%1."/>
      <w:numFmt w:val="decimal"/>
      <w:start w:val="4"/>
    </w:lvl>
    <w:lvl w:ilvl="1">
      <w:lvlJc w:val="left"/>
      <w:lvlText w:val="(%2)"/>
      <w:numFmt w:val="lowerLetter"/>
      <w:start w:val="1"/>
    </w:lvl>
  </w:abstractNum>
  <w:abstractNum w:abstractNumId="85">
    <w:nsid w:val="44344C22"/>
    <w:multiLevelType w:val="hybridMultilevel"/>
    <w:lvl w:ilvl="0">
      <w:lvlJc w:val="left"/>
      <w:lvlText w:val="(%1)"/>
      <w:numFmt w:val="lowerLetter"/>
      <w:start w:val="1"/>
    </w:lvl>
    <w:lvl w:ilvl="1">
      <w:lvlJc w:val="left"/>
      <w:lvlText w:val="(%2)"/>
      <w:numFmt w:val="lowerRoman"/>
      <w:start w:val="1"/>
    </w:lvl>
  </w:abstractNum>
  <w:abstractNum w:abstractNumId="86">
    <w:nsid w:val="13CDFCFC"/>
    <w:multiLevelType w:val="hybridMultilevel"/>
    <w:lvl w:ilvl="0">
      <w:lvlJc w:val="left"/>
      <w:lvlText w:val="%1."/>
      <w:numFmt w:val="decimal"/>
      <w:start w:val="5"/>
    </w:lvl>
  </w:abstractNum>
  <w:abstractNum w:abstractNumId="87">
    <w:nsid w:val="471745E4"/>
    <w:multiLevelType w:val="hybridMultilevel"/>
    <w:lvl w:ilvl="0">
      <w:lvlJc w:val="left"/>
      <w:lvlText w:val="(%1)"/>
      <w:numFmt w:val="lowerLetter"/>
      <w:start w:val="1"/>
    </w:lvl>
    <w:lvl w:ilvl="1">
      <w:lvlJc w:val="left"/>
      <w:lvlText w:val="(%2)"/>
      <w:numFmt w:val="lowerRoman"/>
      <w:start w:val="1"/>
    </w:lvl>
  </w:abstractNum>
  <w:abstractNum w:abstractNumId="88">
    <w:nsid w:val="1DDBC66"/>
    <w:multiLevelType w:val="hybridMultilevel"/>
    <w:lvl w:ilvl="0">
      <w:lvlJc w:val="left"/>
      <w:lvlText w:val="(%1)"/>
      <w:numFmt w:val="lowerLetter"/>
      <w:start w:val="1"/>
    </w:lvl>
  </w:abstractNum>
  <w:abstractNum w:abstractNumId="89">
    <w:nsid w:val="30AADFDA"/>
    <w:multiLevelType w:val="hybridMultilevel"/>
    <w:lvl w:ilvl="0">
      <w:lvlJc w:val="left"/>
      <w:lvlText w:val="(%1)"/>
      <w:numFmt w:val="lowerLetter"/>
      <w:start w:val="1"/>
    </w:lvl>
    <w:lvl w:ilvl="1">
      <w:lvlJc w:val="left"/>
      <w:lvlText w:val="-"/>
      <w:numFmt w:val="bullet"/>
      <w:start w:val="1"/>
    </w:lvl>
  </w:abstractNum>
  <w:abstractNum w:abstractNumId="90">
    <w:nsid w:val="30EADA61"/>
    <w:multiLevelType w:val="hybridMultilevel"/>
    <w:lvl w:ilvl="0">
      <w:lvlJc w:val="left"/>
      <w:lvlText w:val="(%1)"/>
      <w:numFmt w:val="lowerLetter"/>
      <w:start w:val="4"/>
    </w:lvl>
  </w:abstractNum>
  <w:abstractNum w:abstractNumId="91">
    <w:nsid w:val="27179C0B"/>
    <w:multiLevelType w:val="hybridMultilevel"/>
    <w:lvl w:ilvl="0">
      <w:lvlJc w:val="left"/>
      <w:lvlText w:val="%1."/>
      <w:numFmt w:val="decimal"/>
      <w:start w:val="6"/>
    </w:lvl>
  </w:abstractNum>
  <w:abstractNum w:abstractNumId="92">
    <w:nsid w:val="5E636063"/>
    <w:multiLevelType w:val="hybridMultilevel"/>
    <w:lvl w:ilvl="0">
      <w:lvlJc w:val="left"/>
      <w:lvlText w:val="%1."/>
      <w:numFmt w:val="decimal"/>
      <w:start w:val="7"/>
    </w:lvl>
  </w:abstractNum>
  <w:abstractNum w:abstractNumId="93">
    <w:nsid w:val="215641AF"/>
    <w:multiLevelType w:val="hybridMultilevel"/>
    <w:lvl w:ilvl="0">
      <w:lvlJc w:val="left"/>
      <w:lvlText w:val="(%1)"/>
      <w:numFmt w:val="lowerLetter"/>
      <w:start w:val="1"/>
    </w:lvl>
  </w:abstractNum>
  <w:abstractNum w:abstractNumId="94">
    <w:nsid w:val="53280662"/>
    <w:multiLevelType w:val="hybridMultilevel"/>
    <w:lvl w:ilvl="0">
      <w:lvlJc w:val="left"/>
      <w:lvlText w:val="(%1)"/>
      <w:numFmt w:val="lowerLetter"/>
      <w:start w:val="1"/>
    </w:lvl>
  </w:abstractNum>
  <w:abstractNum w:abstractNumId="95">
    <w:nsid w:val="46B24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75B5278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97">
    <w:nsid w:val="57CE66B4"/>
    <w:multiLevelType w:val="hybridMultilevel"/>
    <w:lvl w:ilvl="0">
      <w:lvlJc w:val="left"/>
      <w:lvlText w:val="(%1)"/>
      <w:numFmt w:val="lowerLetter"/>
      <w:start w:val="3"/>
    </w:lvl>
    <w:lvl w:ilvl="1">
      <w:lvlJc w:val="left"/>
      <w:lvlText w:val="(%2)"/>
      <w:numFmt w:val="lowerRoman"/>
      <w:start w:val="1"/>
    </w:lvl>
  </w:abstractNum>
  <w:abstractNum w:abstractNumId="98">
    <w:nsid w:val="67A70B69"/>
    <w:multiLevelType w:val="hybridMultilevel"/>
    <w:lvl w:ilvl="0">
      <w:lvlJc w:val="left"/>
      <w:lvlText w:val="(%1)"/>
      <w:numFmt w:val="lowerLetter"/>
      <w:start w:val="1"/>
    </w:lvl>
    <w:lvl w:ilvl="1">
      <w:lvlJc w:val="left"/>
      <w:lvlText w:val="-"/>
      <w:numFmt w:val="bullet"/>
      <w:start w:val="1"/>
    </w:lvl>
  </w:abstractNum>
  <w:abstractNum w:abstractNumId="99">
    <w:nsid w:val="5953172F"/>
    <w:multiLevelType w:val="hybridMultilevel"/>
    <w:lvl w:ilvl="0">
      <w:lvlJc w:val="left"/>
      <w:lvlText w:val="(%1)"/>
      <w:numFmt w:val="lowerLetter"/>
      <w:start w:val="7"/>
    </w:lvl>
  </w:abstractNum>
  <w:abstractNum w:abstractNumId="100">
    <w:nsid w:val="27EDFE3A"/>
    <w:multiLevelType w:val="hybridMultilevel"/>
    <w:lvl w:ilvl="0">
      <w:lvlJc w:val="left"/>
      <w:lvlText w:val="%1."/>
      <w:numFmt w:val="decimal"/>
      <w:start w:val="8"/>
    </w:lvl>
  </w:abstractNum>
  <w:abstractNum w:abstractNumId="101">
    <w:nsid w:val="52AC7DFF"/>
    <w:multiLevelType w:val="hybridMultilevel"/>
    <w:lvl w:ilvl="0">
      <w:lvlJc w:val="left"/>
      <w:lvlText w:val="(%1)"/>
      <w:numFmt w:val="lowerLetter"/>
      <w:start w:val="1"/>
    </w:lvl>
  </w:abstractNum>
  <w:abstractNum w:abstractNumId="102">
    <w:nsid w:val="C4C3AF"/>
    <w:multiLevelType w:val="hybridMultilevel"/>
    <w:lvl w:ilvl="0">
      <w:lvlJc w:val="left"/>
      <w:lvlText w:val="(%1)"/>
      <w:numFmt w:val="lowerLetter"/>
      <w:start w:val="1"/>
    </w:lvl>
  </w:abstractNum>
  <w:abstractNum w:abstractNumId="103">
    <w:nsid w:val="44380727"/>
    <w:multiLevelType w:val="hybridMultilevel"/>
    <w:lvl w:ilvl="0">
      <w:lvlJc w:val="left"/>
      <w:lvlText w:val="(%1)"/>
      <w:numFmt w:val="lowerLetter"/>
      <w:start w:val="2"/>
    </w:lvl>
    <w:lvl w:ilvl="1">
      <w:lvlJc w:val="left"/>
      <w:lvlText w:val="(%2)"/>
      <w:numFmt w:val="lowerRoman"/>
      <w:start w:val="1"/>
    </w:lvl>
  </w:abstractNum>
  <w:abstractNum w:abstractNumId="104">
    <w:nsid w:val="6C053B16"/>
    <w:multiLevelType w:val="hybridMultilevel"/>
    <w:lvl w:ilvl="0">
      <w:lvlJc w:val="left"/>
      <w:lvlText w:val="(%1)"/>
      <w:numFmt w:val="lowerLetter"/>
      <w:start w:val="1"/>
    </w:lvl>
    <w:lvl w:ilvl="1">
      <w:lvlJc w:val="left"/>
      <w:lvlText w:val="-"/>
      <w:numFmt w:val="bullet"/>
      <w:start w:val="1"/>
    </w:lvl>
  </w:abstractNum>
  <w:abstractNum w:abstractNumId="105">
    <w:nsid w:val="4F294393"/>
    <w:multiLevelType w:val="hybridMultilevel"/>
    <w:lvl w:ilvl="0">
      <w:lvlJc w:val="left"/>
      <w:lvlText w:val="(%1)"/>
      <w:numFmt w:val="lowerLetter"/>
      <w:start w:val="2"/>
    </w:lvl>
  </w:abstractNum>
  <w:abstractNum w:abstractNumId="106">
    <w:nsid w:val="5243BFAC"/>
    <w:multiLevelType w:val="hybridMultilevel"/>
    <w:lvl w:ilvl="0">
      <w:lvlJc w:val="left"/>
      <w:lvlText w:val="%1."/>
      <w:numFmt w:val="decimal"/>
      <w:start w:val="9"/>
    </w:lvl>
  </w:abstractNum>
  <w:abstractNum w:abstractNumId="107">
    <w:nsid w:val="425EB207"/>
    <w:multiLevelType w:val="hybridMultilevel"/>
    <w:lvl w:ilvl="0">
      <w:lvlJc w:val="left"/>
      <w:lvlText w:val="(%1)"/>
      <w:numFmt w:val="lowerLetter"/>
      <w:start w:val="1"/>
    </w:lvl>
  </w:abstractNum>
  <w:abstractNum w:abstractNumId="108">
    <w:nsid w:val="334A6F1F"/>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09">
    <w:nsid w:val="2E5B12B8"/>
    <w:multiLevelType w:val="hybridMultilevel"/>
    <w:lvl w:ilvl="0">
      <w:lvlJc w:val="left"/>
      <w:lvlText w:val="(%1)"/>
      <w:numFmt w:val="lowerLetter"/>
      <w:start w:val="4"/>
    </w:lvl>
  </w:abstractNum>
  <w:abstractNum w:abstractNumId="110">
    <w:nsid w:val="5C03D76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1">
    <w:nsid w:val="66A48D11"/>
    <w:multiLevelType w:val="hybridMultilevel"/>
    <w:lvl w:ilvl="0">
      <w:lvlJc w:val="left"/>
      <w:lvlText w:val="(%1)"/>
      <w:numFmt w:val="lowerLetter"/>
      <w:start w:val="4"/>
    </w:lvl>
  </w:abstractNum>
  <w:abstractNum w:abstractNumId="112">
    <w:nsid w:val="56C28E34"/>
    <w:multiLevelType w:val="hybridMultilevel"/>
    <w:lvl w:ilvl="0">
      <w:lvlJc w:val="left"/>
      <w:lvlText w:val="%1"/>
      <w:numFmt w:val="decimal"/>
      <w:start w:val="1"/>
    </w:lvl>
    <w:lvl w:ilvl="1">
      <w:lvlJc w:val="left"/>
      <w:lvlText w:val="(%2)"/>
      <w:numFmt w:val="lowerLetter"/>
      <w:start w:val="1"/>
    </w:lvl>
  </w:abstractNum>
  <w:abstractNum w:abstractNumId="113">
    <w:nsid w:val="13916F2D"/>
    <w:multiLevelType w:val="hybridMultilevel"/>
    <w:lvl w:ilvl="0">
      <w:lvlJc w:val="left"/>
      <w:lvlText w:val="%1."/>
      <w:numFmt w:val="decimal"/>
      <w:start w:val="11"/>
    </w:lvl>
    <w:lvl w:ilvl="1">
      <w:lvlJc w:val="left"/>
      <w:lvlText w:val="%2"/>
      <w:numFmt w:val="lowerLetter"/>
      <w:start w:val="1"/>
    </w:lvl>
  </w:abstractNum>
  <w:abstractNum w:abstractNumId="114">
    <w:nsid w:val="435D38D"/>
    <w:multiLevelType w:val="hybridMultilevel"/>
    <w:lvl w:ilvl="0">
      <w:lvlJc w:val="left"/>
      <w:lvlText w:val="(%1)"/>
      <w:numFmt w:val="lowerLetter"/>
      <w:start w:val="1"/>
    </w:lvl>
  </w:abstractNum>
  <w:abstractNum w:abstractNumId="115">
    <w:nsid w:val="822C0E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6">
    <w:nsid w:val="57C5BB4F"/>
    <w:multiLevelType w:val="hybridMultilevel"/>
    <w:lvl w:ilvl="0">
      <w:lvlJc w:val="left"/>
      <w:lvlText w:val="%1."/>
      <w:numFmt w:val="decimal"/>
      <w:start w:val="12"/>
    </w:lvl>
    <w:lvl w:ilvl="1">
      <w:lvlJc w:val="left"/>
      <w:lvlText w:val="(%2)"/>
      <w:numFmt w:val="lowerLetter"/>
      <w:start w:val="1"/>
    </w:lvl>
  </w:abstractNum>
  <w:abstractNum w:abstractNumId="117">
    <w:nsid w:val="1803D089"/>
    <w:multiLevelType w:val="hybridMultilevel"/>
    <w:lvl w:ilvl="0">
      <w:lvlJc w:val="left"/>
      <w:lvlText w:val="(%1)"/>
      <w:numFmt w:val="lowerRoman"/>
      <w:start w:val="1"/>
    </w:lvl>
  </w:abstractNum>
  <w:abstractNum w:abstractNumId="118">
    <w:nsid w:val="4F3A06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119">
    <w:nsid w:val="59A377B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lvl w:ilvl="4">
      <w:lvlJc w:val="left"/>
      <w:lvlText w:val="(%5)"/>
      <w:numFmt w:val="lowerRoman"/>
      <w:start w:val="1"/>
    </w:lvl>
  </w:abstractNum>
  <w:abstractNum w:abstractNumId="120">
    <w:nsid w:val="48AEB06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lvl w:ilvl="4">
      <w:lvlJc w:val="left"/>
      <w:lvlText w:val="%5"/>
      <w:numFmt w:val="lowerRoman"/>
      <w:start w:val="1"/>
    </w:lvl>
  </w:abstractNum>
  <w:abstractNum w:abstractNumId="121">
    <w:nsid w:val="24E135"/>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decimal"/>
      <w:start w:val="1"/>
    </w:lvl>
    <w:lvl w:ilvl="4">
      <w:lvlJc w:val="left"/>
      <w:lvlText w:val="%5"/>
      <w:numFmt w:val="lowerRoman"/>
      <w:start w:val="1"/>
    </w:lvl>
  </w:abstractNum>
  <w:abstractNum w:abstractNumId="122">
    <w:nsid w:val="BB13C1"/>
    <w:multiLevelType w:val="hybridMultilevel"/>
    <w:lvl w:ilvl="0">
      <w:lvlJc w:val="left"/>
      <w:lvlText w:val="(%1)"/>
      <w:numFmt w:val="lowerRoman"/>
      <w:start w:val="2"/>
    </w:lvl>
  </w:abstractNum>
  <w:abstractNum w:abstractNumId="123">
    <w:nsid w:val="271210C7"/>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24">
    <w:nsid w:val="217B22E4"/>
    <w:multiLevelType w:val="hybridMultilevel"/>
    <w:lvl w:ilvl="0">
      <w:lvlJc w:val="left"/>
      <w:lvlText w:val="(%1)"/>
      <w:numFmt w:val="lowerRoman"/>
      <w:start w:val="3"/>
    </w:lvl>
  </w:abstractNum>
  <w:abstractNum w:abstractNumId="125">
    <w:nsid w:val="53E31A24"/>
    <w:multiLevelType w:val="hybridMultilevel"/>
    <w:lvl w:ilvl="0">
      <w:lvlJc w:val="left"/>
      <w:lvlText w:val="(%1)"/>
      <w:numFmt w:val="lowerLetter"/>
      <w:start w:val="1"/>
    </w:lvl>
  </w:abstractNum>
  <w:abstractNum w:abstractNumId="126">
    <w:nsid w:val="6DC45E83"/>
    <w:multiLevelType w:val="hybridMultilevel"/>
    <w:lvl w:ilvl="0">
      <w:lvlJc w:val="left"/>
      <w:lvlText w:val="(%1)"/>
      <w:numFmt w:val="lowerLetter"/>
      <w:start w:val="2"/>
    </w:lvl>
  </w:abstractNum>
  <w:abstractNum w:abstractNumId="127">
    <w:nsid w:val="17304A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28">
    <w:nsid w:val="2BB180D8"/>
    <w:multiLevelType w:val="hybridMultilevel"/>
    <w:lvl w:ilvl="0">
      <w:lvlJc w:val="left"/>
      <w:lvlText w:val="(%1)"/>
      <w:numFmt w:val="lowerRoman"/>
      <w:start w:val="4"/>
    </w:lvl>
  </w:abstractNum>
  <w:abstractNum w:abstractNumId="129">
    <w:nsid w:val="556B69ED"/>
    <w:multiLevelType w:val="hybridMultilevel"/>
    <w:lvl w:ilvl="0">
      <w:lvlJc w:val="left"/>
      <w:lvlText w:val="%1"/>
      <w:numFmt w:val="lowerLetter"/>
      <w:start w:val="1"/>
    </w:lvl>
    <w:lvl w:ilvl="1">
      <w:lvlJc w:val="left"/>
      <w:lvlText w:val="(%2)"/>
      <w:numFmt w:val="lowerLetter"/>
      <w:start w:val="9"/>
    </w:lvl>
  </w:abstractNum>
  <w:abstractNum w:abstractNumId="130">
    <w:nsid w:val="70836196"/>
    <w:multiLevelType w:val="hybridMultilevel"/>
    <w:lvl w:ilvl="0">
      <w:lvlJc w:val="left"/>
      <w:lvlText w:val="(%1)"/>
      <w:numFmt w:val="lowerLetter"/>
      <w:start w:val="5"/>
    </w:lvl>
    <w:lvl w:ilvl="1">
      <w:lvlJc w:val="left"/>
      <w:lvlText w:val="%2"/>
      <w:numFmt w:val="lowerLetter"/>
      <w:start w:val="1"/>
    </w:lvl>
  </w:abstractNum>
  <w:abstractNum w:abstractNumId="131">
    <w:nsid w:val="539F7F12"/>
    <w:multiLevelType w:val="hybridMultilevel"/>
    <w:lvl w:ilvl="0">
      <w:lvlJc w:val="left"/>
      <w:lvlText w:val="(%1)"/>
      <w:numFmt w:val="lowerRoman"/>
      <w:start w:val="1"/>
    </w:lvl>
  </w:abstractNum>
  <w:abstractNum w:abstractNumId="132">
    <w:nsid w:val="2817E7EC"/>
    <w:multiLevelType w:val="hybridMultilevel"/>
    <w:lvl w:ilvl="0">
      <w:lvlJc w:val="left"/>
      <w:lvlText w:val="(%1)"/>
      <w:numFmt w:val="upperLetter"/>
      <w:start w:val="1"/>
    </w:lvl>
  </w:abstractNum>
  <w:abstractNum w:abstractNumId="133">
    <w:nsid w:val="71482545"/>
    <w:multiLevelType w:val="hybridMultilevel"/>
    <w:lvl w:ilvl="0">
      <w:lvlJc w:val="left"/>
      <w:lvlText w:val="(%1)"/>
      <w:numFmt w:val="lowerLetter"/>
      <w:start w:val="8"/>
    </w:lvl>
    <w:lvl w:ilvl="1">
      <w:lvlJc w:val="left"/>
      <w:lvlText w:val="-"/>
      <w:numFmt w:val="bullet"/>
      <w:start w:val="1"/>
    </w:lvl>
  </w:abstractNum>
  <w:abstractNum w:abstractNumId="134">
    <w:nsid w:val="17D78639"/>
    <w:multiLevelType w:val="hybridMultilevel"/>
    <w:lvl w:ilvl="0">
      <w:lvlJc w:val="left"/>
      <w:lvlText w:val="(%1)"/>
      <w:numFmt w:val="lowerRoman"/>
      <w:start w:val="1"/>
    </w:lvl>
    <w:lvl w:ilvl="1">
      <w:lvlJc w:val="left"/>
      <w:lvlText w:val="(%2)"/>
      <w:numFmt w:val="upperLetter"/>
      <w:start w:val="1"/>
    </w:lvl>
  </w:abstractNum>
  <w:abstractNum w:abstractNumId="135">
    <w:nsid w:val="141D2302"/>
    <w:multiLevelType w:val="hybridMultilevel"/>
    <w:lvl w:ilvl="0">
      <w:lvlJc w:val="left"/>
      <w:lvlText w:val="(%1)"/>
      <w:numFmt w:val="lowerLetter"/>
      <w:start w:val="9"/>
    </w:lvl>
  </w:abstractNum>
  <w:abstractNum w:abstractNumId="136">
    <w:nsid w:val="407168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7">
    <w:nsid w:val="6A1B45E5"/>
    <w:multiLevelType w:val="hybridMultilevel"/>
    <w:lvl w:ilvl="0">
      <w:lvlJc w:val="left"/>
      <w:lvlText w:val="(%1)"/>
      <w:numFmt w:val="upperLetter"/>
      <w:start w:val="1"/>
    </w:lvl>
  </w:abstractNum>
  <w:abstractNum w:abstractNumId="138">
    <w:nsid w:val="567BD50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9">
    <w:nsid w:val="73BBD7F8"/>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40">
    <w:nsid w:val="1876589D"/>
    <w:multiLevelType w:val="hybridMultilevel"/>
    <w:lvl w:ilvl="0">
      <w:lvlJc w:val="left"/>
      <w:lvlText w:val="(%1)"/>
      <w:numFmt w:val="lowerLetter"/>
      <w:start w:val="1"/>
    </w:lvl>
  </w:abstractNum>
  <w:abstractNum w:abstractNumId="141">
    <w:nsid w:val="327FAC77"/>
    <w:multiLevelType w:val="hybridMultilevel"/>
    <w:lvl w:ilvl="0">
      <w:lvlJc w:val="left"/>
      <w:lvlText w:val="(%1)"/>
      <w:numFmt w:val="lowerLetter"/>
      <w:start w:val="1"/>
    </w:lvl>
    <w:lvl w:ilvl="1">
      <w:lvlJc w:val="left"/>
      <w:lvlText w:val="-"/>
      <w:numFmt w:val="bullet"/>
      <w:start w:val="1"/>
    </w:lvl>
  </w:abstractNum>
  <w:abstractNum w:abstractNumId="142">
    <w:nsid w:val="5A606509"/>
    <w:multiLevelType w:val="hybridMultilevel"/>
    <w:lvl w:ilvl="0">
      <w:lvlJc w:val="left"/>
      <w:lvlText w:val="%1"/>
      <w:numFmt w:val="lowerLetter"/>
      <w:start w:val="1"/>
    </w:lvl>
    <w:lvl w:ilvl="1">
      <w:lvlJc w:val="left"/>
      <w:lvlText w:val="(%2)"/>
      <w:numFmt w:val="lowerRoman"/>
      <w:start w:val="1"/>
    </w:lvl>
  </w:abstractNum>
  <w:abstractNum w:abstractNumId="143">
    <w:nsid w:val="6F38E6D1"/>
    <w:multiLevelType w:val="hybridMultilevel"/>
    <w:lvl w:ilvl="0">
      <w:lvlJc w:val="left"/>
      <w:lvlText w:val="(%1)"/>
      <w:numFmt w:val="lowerLetter"/>
      <w:start w:val="2"/>
    </w:lvl>
    <w:lvl w:ilvl="1">
      <w:lvlJc w:val="left"/>
      <w:lvlText w:val="%2"/>
      <w:numFmt w:val="lowerRoman"/>
      <w:start w:val="1"/>
    </w:lvl>
  </w:abstractNum>
  <w:abstractNum w:abstractNumId="144">
    <w:nsid w:val="46111BA5"/>
    <w:multiLevelType w:val="hybridMultilevel"/>
    <w:lvl w:ilvl="0">
      <w:lvlJc w:val="left"/>
      <w:lvlText w:val="(%1)"/>
      <w:numFmt w:val="lowerLetter"/>
      <w:start w:val="1"/>
    </w:lvl>
    <w:lvl w:ilvl="1">
      <w:lvlJc w:val="left"/>
      <w:lvlText w:val="-"/>
      <w:numFmt w:val="bullet"/>
      <w:start w:val="1"/>
    </w:lvl>
  </w:abstractNum>
  <w:abstractNum w:abstractNumId="145">
    <w:nsid w:val="5E963896"/>
    <w:multiLevelType w:val="hybridMultilevel"/>
    <w:lvl w:ilvl="0">
      <w:lvlJc w:val="left"/>
      <w:lvlText w:val="%1"/>
      <w:numFmt w:val="lowerLetter"/>
      <w:start w:val="1"/>
    </w:lvl>
    <w:lvl w:ilvl="1">
      <w:lvlJc w:val="left"/>
      <w:lvlText w:val="(%2)"/>
      <w:numFmt w:val="lowerRoman"/>
      <w:start w:val="1"/>
    </w:lvl>
  </w:abstractNum>
  <w:abstractNum w:abstractNumId="146">
    <w:nsid w:val="775BA7C1"/>
    <w:multiLevelType w:val="hybridMultilevel"/>
    <w:lvl w:ilvl="0">
      <w:lvlJc w:val="left"/>
      <w:lvlText w:val="(%1)"/>
      <w:numFmt w:val="lowerLetter"/>
      <w:start w:val="3"/>
    </w:lvl>
    <w:lvl w:ilvl="1">
      <w:lvlJc w:val="left"/>
      <w:lvlText w:val="%2"/>
      <w:numFmt w:val="lowerRoman"/>
      <w:start w:val="1"/>
    </w:lvl>
  </w:abstractNum>
  <w:abstractNum w:abstractNumId="147">
    <w:nsid w:val="1DD6D6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48">
    <w:nsid w:val="769A091F"/>
    <w:multiLevelType w:val="hybridMultilevel"/>
    <w:lvl w:ilvl="0">
      <w:lvlJc w:val="left"/>
      <w:lvlText w:val="%1"/>
      <w:numFmt w:val="lowerLetter"/>
      <w:start w:val="1"/>
    </w:lvl>
    <w:lvl w:ilvl="1">
      <w:lvlJc w:val="left"/>
      <w:lvlText w:val="(%2)"/>
      <w:numFmt w:val="lowerLetter"/>
      <w:start w:val="61"/>
    </w:lvl>
  </w:abstractNum>
  <w:abstractNum w:abstractNumId="149">
    <w:nsid w:val="4695AE95"/>
    <w:multiLevelType w:val="hybridMultilevel"/>
    <w:lvl w:ilvl="0">
      <w:lvlJc w:val="left"/>
      <w:lvlText w:val="(%1)"/>
      <w:numFmt w:val="lowerLetter"/>
      <w:start w:val="2"/>
    </w:lvl>
    <w:lvl w:ilvl="1">
      <w:lvlJc w:val="left"/>
      <w:lvlText w:val="(%2)"/>
      <w:numFmt w:val="lowerLetter"/>
      <w:start w:val="9"/>
    </w:lvl>
  </w:abstractNum>
  <w:abstractNum w:abstractNumId="150">
    <w:nsid w:val="777A4EAA"/>
    <w:multiLevelType w:val="hybridMultilevel"/>
    <w:lvl w:ilvl="0">
      <w:lvlJc w:val="left"/>
      <w:lvlText w:val="%1"/>
      <w:numFmt w:val="lowerLetter"/>
      <w:start w:val="1"/>
    </w:lvl>
    <w:lvl w:ilvl="1">
      <w:lvlJc w:val="left"/>
      <w:lvlText w:val="(%2)"/>
      <w:numFmt w:val="lowerRoman"/>
      <w:start w:val="2"/>
    </w:lvl>
  </w:abstractNum>
  <w:abstractNum w:abstractNumId="151">
    <w:nsid w:val="3F48B982"/>
    <w:multiLevelType w:val="hybridMultilevel"/>
    <w:lvl w:ilvl="0">
      <w:lvlJc w:val="left"/>
      <w:lvlText w:val="(%1)"/>
      <w:numFmt w:val="lowerLetter"/>
      <w:start w:val="4"/>
    </w:lvl>
    <w:lvl w:ilvl="1">
      <w:lvlJc w:val="left"/>
      <w:lvlText w:val="%2"/>
      <w:numFmt w:val="lowerRoman"/>
      <w:start w:val="1"/>
    </w:lvl>
  </w:abstractNum>
  <w:abstractNum w:abstractNumId="152">
    <w:nsid w:val="46BA8FCA"/>
    <w:multiLevelType w:val="hybridMultilevel"/>
    <w:lvl w:ilvl="0">
      <w:lvlJc w:val="left"/>
      <w:lvlText w:val="%1"/>
      <w:numFmt w:val="decimal"/>
      <w:start w:val="1"/>
    </w:lvl>
    <w:lvl w:ilvl="1">
      <w:lvlJc w:val="left"/>
      <w:lvlText w:val="(%2)"/>
      <w:numFmt w:val="lowerLetter"/>
      <w:start w:val="1"/>
    </w:lvl>
  </w:abstractNum>
  <w:abstractNum w:abstractNumId="153">
    <w:nsid w:val="7835626C"/>
    <w:multiLevelType w:val="hybridMultilevel"/>
    <w:lvl w:ilvl="0">
      <w:lvlJc w:val="left"/>
      <w:lvlText w:val="%1."/>
      <w:numFmt w:val="decimal"/>
      <w:start w:val="13"/>
    </w:lvl>
    <w:lvl w:ilvl="1">
      <w:lvlJc w:val="left"/>
      <w:lvlText w:val="%2"/>
      <w:numFmt w:val="lowerLetter"/>
      <w:start w:val="1"/>
    </w:lvl>
  </w:abstractNum>
  <w:abstractNum w:abstractNumId="154">
    <w:nsid w:val="665ACA49"/>
    <w:multiLevelType w:val="hybridMultilevel"/>
    <w:lvl w:ilvl="0">
      <w:lvlJc w:val="left"/>
      <w:lvlText w:val="(%1)"/>
      <w:numFmt w:val="lowerLetter"/>
      <w:start w:val="1"/>
    </w:lvl>
    <w:lvl w:ilvl="1">
      <w:lvlJc w:val="left"/>
      <w:lvlText w:val="-"/>
      <w:numFmt w:val="bullet"/>
      <w:start w:val="1"/>
    </w:lvl>
  </w:abstractNum>
  <w:abstractNum w:abstractNumId="155">
    <w:nsid w:val="6835B2AE"/>
    <w:multiLevelType w:val="hybridMultilevel"/>
    <w:lvl w:ilvl="0">
      <w:lvlJc w:val="left"/>
      <w:lvlText w:val="(%1)"/>
      <w:numFmt w:val="lowerLetter"/>
      <w:start w:val="2"/>
    </w:lvl>
    <w:lvl w:ilvl="1">
      <w:lvlJc w:val="left"/>
      <w:lvlText w:val="(%2)"/>
      <w:numFmt w:val="lowerRoman"/>
      <w:start w:val="1"/>
    </w:lvl>
  </w:abstractNum>
  <w:abstractNum w:abstractNumId="156">
    <w:nsid w:val="4C187C90"/>
    <w:multiLevelType w:val="hybridMultilevel"/>
    <w:lvl w:ilvl="0">
      <w:lvlJc w:val="left"/>
      <w:lvlText w:val="(%1)"/>
      <w:numFmt w:val="lowerLetter"/>
      <w:start w:val="1"/>
    </w:lvl>
  </w:abstractNum>
  <w:abstractNum w:abstractNumId="157">
    <w:nsid w:val="541F28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8">
    <w:nsid w:val="7F65FD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9">
    <w:nsid w:val="77C9FD6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0">
    <w:nsid w:val="298A92B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61">
    <w:nsid w:val="6FE95EAC"/>
    <w:multiLevelType w:val="hybridMultilevel"/>
    <w:lvl w:ilvl="0">
      <w:lvlJc w:val="left"/>
      <w:lvlText w:val="(%1)"/>
      <w:numFmt w:val="lowerLetter"/>
      <w:start w:val="1"/>
    </w:lvl>
    <w:lvl w:ilvl="1">
      <w:lvlJc w:val="left"/>
      <w:lvlText w:val="(%2)"/>
      <w:numFmt w:val="lowerRoman"/>
      <w:start w:val="1"/>
    </w:lvl>
  </w:abstractNum>
  <w:abstractNum w:abstractNumId="162">
    <w:nsid w:val="4B697C7A"/>
    <w:multiLevelType w:val="hybridMultilevel"/>
    <w:lvl w:ilvl="0">
      <w:lvlJc w:val="left"/>
      <w:lvlText w:val="(%1)"/>
      <w:numFmt w:val="lowerLetter"/>
      <w:start w:val="2"/>
    </w:lvl>
  </w:abstractNum>
  <w:abstractNum w:abstractNumId="163">
    <w:nsid w:val="51A27AA6"/>
    <w:multiLevelType w:val="hybridMultilevel"/>
    <w:lvl w:ilvl="0">
      <w:lvlJc w:val="left"/>
      <w:lvlText w:val="(%1)"/>
      <w:numFmt w:val="lowerLetter"/>
      <w:start w:val="1"/>
    </w:lvl>
    <w:lvl w:ilvl="1">
      <w:lvlJc w:val="left"/>
      <w:lvlText w:val="-"/>
      <w:numFmt w:val="bullet"/>
      <w:start w:val="1"/>
    </w:lvl>
  </w:abstractNum>
  <w:abstractNum w:abstractNumId="164">
    <w:nsid w:val="613183F2"/>
    <w:multiLevelType w:val="hybridMultilevel"/>
    <w:lvl w:ilvl="0">
      <w:lvlJc w:val="left"/>
      <w:lvlText w:val="(%1)"/>
      <w:numFmt w:val="lowerLetter"/>
      <w:start w:val="3"/>
    </w:lvl>
  </w:abstractNum>
  <w:abstractNum w:abstractNumId="165">
    <w:nsid w:val="634102B4"/>
    <w:multiLevelType w:val="hybridMultilevel"/>
    <w:lvl w:ilvl="0">
      <w:lvlJc w:val="left"/>
      <w:lvlText w:val="%1"/>
      <w:numFmt w:val="decimal"/>
      <w:start w:val="1"/>
    </w:lvl>
    <w:lvl w:ilvl="1">
      <w:lvlJc w:val="left"/>
      <w:lvlText w:val="(%2)"/>
      <w:numFmt w:val="lowerLetter"/>
      <w:start w:val="1"/>
    </w:lvl>
  </w:abstractNum>
  <w:abstractNum w:abstractNumId="166">
    <w:nsid w:val="65BF9DA8"/>
    <w:multiLevelType w:val="hybridMultilevel"/>
    <w:lvl w:ilvl="0">
      <w:lvlJc w:val="left"/>
      <w:lvlText w:val="%1."/>
      <w:numFmt w:val="decimal"/>
      <w:start w:val="15"/>
    </w:lvl>
    <w:lvl w:ilvl="1">
      <w:lvlJc w:val="left"/>
      <w:lvlText w:val="%2"/>
      <w:numFmt w:val="lowerLetter"/>
      <w:start w:val="1"/>
    </w:lvl>
  </w:abstractNum>
  <w:abstractNum w:abstractNumId="167">
    <w:nsid w:val="21A2ECCA"/>
    <w:multiLevelType w:val="hybridMultilevel"/>
    <w:lvl w:ilvl="0">
      <w:lvlJc w:val="left"/>
      <w:lvlText w:val="%1"/>
      <w:numFmt w:val="decimal"/>
      <w:start w:val="1"/>
    </w:lvl>
    <w:lvl w:ilvl="1">
      <w:lvlJc w:val="left"/>
      <w:lvlText w:val="(%2)"/>
      <w:numFmt w:val="lowerLetter"/>
      <w:start w:val="1"/>
    </w:lvl>
  </w:abstractNum>
  <w:abstractNum w:abstractNumId="168">
    <w:nsid w:val="4D5C4899"/>
    <w:multiLevelType w:val="hybridMultilevel"/>
    <w:lvl w:ilvl="0">
      <w:lvlJc w:val="left"/>
      <w:lvlText w:val="%1."/>
      <w:numFmt w:val="decimal"/>
      <w:start w:val="16"/>
    </w:lvl>
    <w:lvl w:ilvl="1">
      <w:lvlJc w:val="left"/>
      <w:lvlText w:val="%2"/>
      <w:numFmt w:val="lowerLetter"/>
      <w:start w:val="1"/>
    </w:lvl>
  </w:abstractNum>
  <w:abstractNum w:abstractNumId="169">
    <w:nsid w:val="3C3B72B2"/>
    <w:multiLevelType w:val="hybridMultilevel"/>
    <w:lvl w:ilvl="0">
      <w:lvlJc w:val="left"/>
      <w:lvlText w:val="(%1)"/>
      <w:numFmt w:val="lowerLetter"/>
      <w:start w:val="1"/>
    </w:lvl>
  </w:abstractNum>
  <w:abstractNum w:abstractNumId="170">
    <w:nsid w:val="155EC4C2"/>
    <w:multiLevelType w:val="hybridMultilevel"/>
    <w:lvl w:ilvl="0">
      <w:lvlJc w:val="left"/>
      <w:lvlText w:val="(%1)"/>
      <w:numFmt w:val="lowerLetter"/>
      <w:start w:val="1"/>
    </w:lvl>
  </w:abstractNum>
  <w:abstractNum w:abstractNumId="171">
    <w:nsid w:val="65D2A137"/>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172">
    <w:nsid w:val="6EBB1F2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3">
    <w:nsid w:val="6FBF29CB"/>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74">
    <w:nsid w:val="550B8808"/>
    <w:multiLevelType w:val="hybridMultilevel"/>
    <w:lvl w:ilvl="0">
      <w:lvlJc w:val="left"/>
      <w:lvlText w:val="%1."/>
      <w:numFmt w:val="decimal"/>
      <w:start w:val="18"/>
    </w:lvl>
  </w:abstractNum>
  <w:abstractNum w:abstractNumId="175">
    <w:nsid w:val="34CC3ACF"/>
    <w:multiLevelType w:val="hybridMultilevel"/>
    <w:lvl w:ilvl="0">
      <w:lvlJc w:val="left"/>
      <w:lvlText w:val="(%1)"/>
      <w:numFmt w:val="lowerLetter"/>
      <w:start w:val="1"/>
    </w:lvl>
  </w:abstractNum>
  <w:abstractNum w:abstractNumId="176">
    <w:nsid w:val="4E556261"/>
    <w:multiLevelType w:val="hybridMultilevel"/>
    <w:lvl w:ilvl="0">
      <w:lvlJc w:val="left"/>
      <w:lvlText w:val="(%1)"/>
      <w:numFmt w:val="lowerLetter"/>
      <w:start w:val="1"/>
    </w:lvl>
  </w:abstractNum>
  <w:abstractNum w:abstractNumId="177">
    <w:nsid w:val="4C672FC9"/>
    <w:multiLevelType w:val="hybridMultilevel"/>
    <w:lvl w:ilvl="0">
      <w:lvlJc w:val="left"/>
      <w:lvlText w:val="(%1)"/>
      <w:numFmt w:val="lowerLetter"/>
      <w:start w:val="1"/>
    </w:lvl>
    <w:lvl w:ilvl="1">
      <w:lvlJc w:val="left"/>
      <w:lvlText w:val="(%2)"/>
      <w:numFmt w:val="lowerRoman"/>
      <w:start w:val="1"/>
    </w:lvl>
  </w:abstractNum>
  <w:abstractNum w:abstractNumId="178">
    <w:nsid w:val="52A311C3"/>
    <w:multiLevelType w:val="hybridMultilevel"/>
    <w:lvl w:ilvl="0">
      <w:lvlJc w:val="left"/>
      <w:lvlText w:val="(%1)"/>
      <w:numFmt w:val="lowerLetter"/>
      <w:start w:val="1"/>
    </w:lvl>
    <w:lvl w:ilvl="1">
      <w:lvlJc w:val="left"/>
      <w:lvlText w:val="(%2)"/>
      <w:numFmt w:val="lowerLetter"/>
      <w:start w:val="2"/>
    </w:lvl>
  </w:abstractNum>
  <w:abstractNum w:abstractNumId="179">
    <w:nsid w:val="44EF6B80"/>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80">
    <w:nsid w:val="12FCDE5E"/>
    <w:multiLevelType w:val="hybridMultilevel"/>
    <w:lvl w:ilvl="0">
      <w:lvlJc w:val="left"/>
      <w:lvlText w:val="(%1)"/>
      <w:numFmt w:val="lowerLetter"/>
      <w:start w:val="3"/>
    </w:lvl>
  </w:abstractNum>
  <w:abstractNum w:abstractNumId="181">
    <w:nsid w:val="4A1D606E"/>
    <w:multiLevelType w:val="hybridMultilevel"/>
    <w:lvl w:ilvl="0">
      <w:lvlJc w:val="left"/>
      <w:lvlText w:val="%1."/>
      <w:numFmt w:val="decimal"/>
      <w:start w:val="19"/>
    </w:lvl>
  </w:abstractNum>
  <w:abstractNum w:abstractNumId="182">
    <w:nsid w:val="43825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83">
    <w:nsid w:val="59B76E28"/>
    <w:multiLevelType w:val="hybridMultilevel"/>
    <w:lvl w:ilvl="0">
      <w:lvlJc w:val="left"/>
      <w:lvlText w:val="%1"/>
      <w:numFmt w:val="lowerLetter"/>
      <w:start w:val="1"/>
    </w:lvl>
    <w:lvl w:ilvl="1">
      <w:lvlJc w:val="left"/>
      <w:lvlText w:val="(%2)"/>
      <w:numFmt w:val="upperLetter"/>
      <w:start w:val="3"/>
    </w:lvl>
  </w:abstractNum>
  <w:abstractNum w:abstractNumId="184">
    <w:nsid w:val="4252C2DA"/>
    <w:multiLevelType w:val="hybridMultilevel"/>
    <w:lvl w:ilvl="0">
      <w:lvlJc w:val="left"/>
      <w:lvlText w:val="(%1)"/>
      <w:numFmt w:val="lowerLetter"/>
      <w:start w:val="5"/>
    </w:lvl>
    <w:lvl w:ilvl="1">
      <w:lvlJc w:val="left"/>
      <w:lvlText w:val="%2"/>
      <w:numFmt w:val="upperLetter"/>
      <w:start w:val="1"/>
    </w:lvl>
  </w:abstractNum>
  <w:abstractNum w:abstractNumId="185">
    <w:nsid w:val="6A92EF4C"/>
    <w:multiLevelType w:val="hybridMultilevel"/>
    <w:lvl w:ilvl="0">
      <w:lvlJc w:val="left"/>
      <w:lvlText w:val="(%1)"/>
      <w:numFmt w:val="lowerLetter"/>
      <w:start w:val="1"/>
    </w:lvl>
  </w:abstractNum>
  <w:abstractNum w:abstractNumId="186">
    <w:nsid w:val="41ED20D7"/>
    <w:multiLevelType w:val="hybridMultilevel"/>
    <w:lvl w:ilvl="0">
      <w:lvlJc w:val="left"/>
      <w:lvlText w:val="(%1)"/>
      <w:numFmt w:val="lowerLetter"/>
      <w:start w:val="1"/>
    </w:lvl>
    <w:lvl w:ilvl="1">
      <w:lvlJc w:val="left"/>
      <w:lvlText w:val="-"/>
      <w:numFmt w:val="bullet"/>
      <w:start w:val="1"/>
    </w:lvl>
  </w:abstractNum>
  <w:abstractNum w:abstractNumId="187">
    <w:nsid w:val="E6B3F6A"/>
    <w:multiLevelType w:val="hybridMultilevel"/>
    <w:lvl w:ilvl="0">
      <w:lvlJc w:val="left"/>
      <w:lvlText w:val="(%1)"/>
      <w:numFmt w:val="lowerLetter"/>
      <w:start w:val="6"/>
    </w:lvl>
    <w:lvl w:ilvl="1">
      <w:lvlJc w:val="left"/>
      <w:lvlText w:val="(%2)"/>
      <w:numFmt w:val="lowerRoman"/>
      <w:start w:val="1"/>
    </w:lvl>
  </w:abstractNum>
  <w:abstractNum w:abstractNumId="188">
    <w:nsid w:val="3EB218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9">
    <w:nsid w:val="41531DED"/>
    <w:multiLevelType w:val="hybridMultilevel"/>
    <w:lvl w:ilvl="0">
      <w:lvlJc w:val="left"/>
      <w:lvlText w:val="(%1)"/>
      <w:numFmt w:val="lowerRoman"/>
      <w:start w:val="2"/>
    </w:lvl>
  </w:abstractNum>
  <w:abstractNum w:abstractNumId="190">
    <w:nsid w:val="6353CD2"/>
    <w:multiLevelType w:val="hybridMultilevel"/>
    <w:lvl w:ilvl="0">
      <w:lvlJc w:val="left"/>
      <w:lvlText w:val="(%1)"/>
      <w:numFmt w:val="lowerLetter"/>
      <w:start w:val="2"/>
    </w:lvl>
    <w:lvl w:ilvl="1">
      <w:lvlJc w:val="left"/>
      <w:lvlText w:val="(%2)"/>
      <w:numFmt w:val="lowerRoman"/>
      <w:start w:val="1"/>
    </w:lvl>
  </w:abstractNum>
  <w:abstractNum w:abstractNumId="191">
    <w:nsid w:val="683CAAD3"/>
    <w:multiLevelType w:val="hybridMultilevel"/>
    <w:lvl w:ilvl="0">
      <w:lvlJc w:val="left"/>
      <w:lvlText w:val="(%1)"/>
      <w:numFmt w:val="lowerLetter"/>
      <w:start w:val="4"/>
    </w:lvl>
  </w:abstractNum>
  <w:abstractNum w:abstractNumId="192">
    <w:nsid w:val="313C7C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3">
    <w:nsid w:val="519EB94C"/>
    <w:multiLevelType w:val="hybridMultilevel"/>
    <w:lvl w:ilvl="0">
      <w:lvlJc w:val="left"/>
      <w:lvlText w:val="(%1)"/>
      <w:numFmt w:val="lowerRoman"/>
      <w:start w:val="3"/>
    </w:lvl>
  </w:abstractNum>
  <w:abstractNum w:abstractNumId="194">
    <w:nsid w:val="39DF2579"/>
    <w:multiLevelType w:val="hybridMultilevel"/>
    <w:lvl w:ilvl="0">
      <w:lvlJc w:val="left"/>
      <w:lvlText w:val="(%1)"/>
      <w:numFmt w:val="lowerLetter"/>
      <w:start w:val="2"/>
    </w:lvl>
  </w:abstractNum>
  <w:abstractNum w:abstractNumId="195">
    <w:nsid w:val="126E008B"/>
    <w:multiLevelType w:val="hybridMultilevel"/>
    <w:lvl w:ilvl="0">
      <w:lvlJc w:val="left"/>
      <w:lvlText w:val="%1."/>
      <w:numFmt w:val="decimal"/>
      <w:start w:val="20"/>
    </w:lvl>
  </w:abstractNum>
  <w:abstractNum w:abstractNumId="196">
    <w:nsid w:val="34DFBC00"/>
    <w:multiLevelType w:val="hybridMultilevel"/>
    <w:lvl w:ilvl="0">
      <w:lvlJc w:val="left"/>
      <w:lvlText w:val="(%1)"/>
      <w:numFmt w:val="lowerLetter"/>
      <w:start w:val="1"/>
    </w:lvl>
    <w:lvl w:ilvl="1">
      <w:lvlJc w:val="left"/>
      <w:lvlText w:val="-"/>
      <w:numFmt w:val="bullet"/>
      <w:start w:val="1"/>
    </w:lvl>
  </w:abstractNum>
  <w:abstractNum w:abstractNumId="197">
    <w:nsid w:val="1F9EC322"/>
    <w:multiLevelType w:val="hybridMultilevel"/>
    <w:lvl w:ilvl="0">
      <w:lvlJc w:val="left"/>
      <w:lvlText w:val="%1."/>
      <w:numFmt w:val="decimal"/>
      <w:start w:val="21"/>
    </w:lvl>
    <w:lvl w:ilvl="1">
      <w:lvlJc w:val="left"/>
      <w:lvlText w:val="(%2)"/>
      <w:numFmt w:val="lowerLetter"/>
      <w:start w:val="1"/>
    </w:lvl>
  </w:abstractNum>
  <w:abstractNum w:abstractNumId="198">
    <w:nsid w:val="3410ED56"/>
    <w:multiLevelType w:val="hybridMultilevel"/>
    <w:lvl w:ilvl="0">
      <w:lvlJc w:val="left"/>
      <w:lvlText w:val="(%1)"/>
      <w:numFmt w:val="lowerLetter"/>
      <w:start w:val="1"/>
    </w:lvl>
  </w:abstractNum>
  <w:abstractNum w:abstractNumId="199">
    <w:nsid w:val="23C049A"/>
    <w:multiLevelType w:val="hybridMultilevel"/>
    <w:lvl w:ilvl="0">
      <w:lvlJc w:val="left"/>
      <w:lvlText w:val="(%1)"/>
      <w:numFmt w:val="lowerRoman"/>
      <w:start w:val="2"/>
    </w:lvl>
    <w:lvl w:ilvl="1">
      <w:lvlJc w:val="left"/>
      <w:lvlText w:val="-"/>
      <w:numFmt w:val="bullet"/>
      <w:start w:val="1"/>
    </w:lvl>
  </w:abstractNum>
  <w:abstractNum w:abstractNumId="200">
    <w:nsid w:val="5BDA35D4"/>
    <w:multiLevelType w:val="hybridMultilevel"/>
    <w:lvl w:ilvl="0">
      <w:lvlJc w:val="left"/>
      <w:lvlText w:val="(%1)"/>
      <w:numFmt w:val="lowerLetter"/>
      <w:start w:val="1"/>
    </w:lvl>
    <w:lvl w:ilvl="1">
      <w:lvlJc w:val="left"/>
      <w:lvlText w:val="-"/>
      <w:numFmt w:val="bullet"/>
      <w:start w:val="1"/>
    </w:lvl>
  </w:abstractNum>
  <w:abstractNum w:abstractNumId="201">
    <w:nsid w:val="496FB218"/>
    <w:multiLevelType w:val="hybridMultilevel"/>
    <w:lvl w:ilvl="0">
      <w:lvlJc w:val="left"/>
      <w:lvlText w:val="(%1)"/>
      <w:numFmt w:val="lowerLetter"/>
      <w:start w:val="12"/>
    </w:lvl>
  </w:abstractNum>
  <w:abstractNum w:abstractNumId="202">
    <w:nsid w:val="680EA5D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3">
    <w:nsid w:val="4A9554FE"/>
    <w:multiLevelType w:val="hybridMultilevel"/>
    <w:lvl w:ilvl="0">
      <w:lvlJc w:val="left"/>
      <w:lvlText w:val="(%1)"/>
      <w:numFmt w:val="lowerRoman"/>
      <w:start w:val="3"/>
    </w:lvl>
  </w:abstractNum>
  <w:abstractNum w:abstractNumId="204">
    <w:nsid w:val="392EDBE4"/>
    <w:multiLevelType w:val="hybridMultilevel"/>
    <w:lvl w:ilvl="0">
      <w:lvlJc w:val="left"/>
      <w:lvlText w:val="(%1)"/>
      <w:numFmt w:val="lowerLetter"/>
      <w:start w:val="1"/>
    </w:lvl>
  </w:abstractNum>
  <w:abstractNum w:abstractNumId="205">
    <w:nsid w:val="3D1A2DD9"/>
    <w:multiLevelType w:val="hybridMultilevel"/>
    <w:lvl w:ilvl="0">
      <w:lvlJc w:val="left"/>
      <w:lvlText w:val="(%1)"/>
      <w:numFmt w:val="lowerLetter"/>
      <w:start w:val="1"/>
    </w:lvl>
  </w:abstractNum>
  <w:abstractNum w:abstractNumId="206">
    <w:nsid w:val="7F618FCD"/>
    <w:multiLevelType w:val="hybridMultilevel"/>
    <w:lvl w:ilvl="0">
      <w:lvlJc w:val="left"/>
      <w:lvlText w:val="(%1)"/>
      <w:numFmt w:val="lowerLetter"/>
      <w:start w:val="1"/>
    </w:lvl>
  </w:abstractNum>
  <w:abstractNum w:abstractNumId="207">
    <w:nsid w:val="7843E45"/>
    <w:multiLevelType w:val="hybridMultilevel"/>
    <w:lvl w:ilvl="0">
      <w:lvlJc w:val="left"/>
      <w:lvlText w:val="(%1)"/>
      <w:numFmt w:val="lowerLetter"/>
      <w:start w:val="1"/>
    </w:lvl>
  </w:abstractNum>
  <w:abstractNum w:abstractNumId="208">
    <w:nsid w:val="9815DA3"/>
    <w:multiLevelType w:val="hybridMultilevel"/>
    <w:lvl w:ilvl="0">
      <w:lvlJc w:val="left"/>
      <w:lvlText w:val="(%1)"/>
      <w:numFmt w:val="lowerLetter"/>
      <w:start w:val="1"/>
    </w:lvl>
  </w:abstractNum>
  <w:abstractNum w:abstractNumId="209">
    <w:nsid w:val="5204A191"/>
    <w:multiLevelType w:val="hybridMultilevel"/>
    <w:lvl w:ilvl="0">
      <w:lvlJc w:val="left"/>
      <w:lvlText w:val="(%1)"/>
      <w:numFmt w:val="lowerLetter"/>
      <w:start w:val="1"/>
    </w:lvl>
  </w:abstractNum>
  <w:abstractNum w:abstractNumId="210">
    <w:nsid w:val="4C73A9C6"/>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11">
    <w:nsid w:val="1C7E3C01"/>
    <w:multiLevelType w:val="hybridMultilevel"/>
    <w:lvl w:ilvl="0">
      <w:lvlJc w:val="left"/>
      <w:lvlText w:val="(%1)"/>
      <w:numFmt w:val="lowerLetter"/>
      <w:start w:val="5"/>
    </w:lvl>
  </w:abstractNum>
  <w:abstractNum w:abstractNumId="212">
    <w:nsid w:val="1C2201FF"/>
    <w:multiLevelType w:val="hybridMultilevel"/>
    <w:lvl w:ilvl="0">
      <w:lvlJc w:val="left"/>
      <w:lvlText w:val="%1."/>
      <w:numFmt w:val="decimal"/>
      <w:start w:val="22"/>
    </w:lvl>
  </w:abstractNum>
  <w:abstractNum w:abstractNumId="213">
    <w:nsid w:val="50ABCEC9"/>
    <w:multiLevelType w:val="hybridMultilevel"/>
    <w:lvl w:ilvl="0">
      <w:lvlJc w:val="left"/>
      <w:lvlText w:val="(%1)"/>
      <w:numFmt w:val="lowerLetter"/>
      <w:start w:val="1"/>
    </w:lvl>
    <w:lvl w:ilvl="1">
      <w:lvlJc w:val="left"/>
      <w:lvlText w:val="(%2)"/>
      <w:numFmt w:val="lowerRoman"/>
      <w:start w:val="1"/>
    </w:lvl>
  </w:abstractNum>
  <w:abstractNum w:abstractNumId="214">
    <w:nsid w:val="7635AA2A"/>
    <w:multiLevelType w:val="hybridMultilevel"/>
    <w:lvl w:ilvl="0">
      <w:lvlJc w:val="left"/>
      <w:lvlText w:val="(%1)"/>
      <w:numFmt w:val="lowerLetter"/>
      <w:start w:val="1"/>
    </w:lvl>
    <w:lvl w:ilvl="1">
      <w:lvlJc w:val="left"/>
      <w:lvlText w:val="-"/>
      <w:numFmt w:val="bullet"/>
      <w:start w:val="1"/>
    </w:lvl>
  </w:abstractNum>
  <w:abstractNum w:abstractNumId="215">
    <w:nsid w:val="5E74C4D9"/>
    <w:multiLevelType w:val="hybridMultilevel"/>
    <w:lvl w:ilvl="0">
      <w:lvlJc w:val="left"/>
      <w:lvlText w:val="(%1)"/>
      <w:numFmt w:val="lowerLetter"/>
      <w:start w:val="1"/>
    </w:lvl>
  </w:abstractNum>
  <w:abstractNum w:abstractNumId="216">
    <w:nsid w:val="3B3EBE15"/>
    <w:multiLevelType w:val="hybridMultilevel"/>
    <w:lvl w:ilvl="0">
      <w:lvlJc w:val="left"/>
      <w:lvlText w:val="(%1)"/>
      <w:numFmt w:val="lowerLetter"/>
      <w:start w:val="1"/>
    </w:lvl>
    <w:lvl w:ilvl="1">
      <w:lvlJc w:val="left"/>
      <w:lvlText w:val="(%2)"/>
      <w:numFmt w:val="lowerRoman"/>
      <w:start w:val="1"/>
    </w:lvl>
  </w:abstractNum>
  <w:abstractNum w:abstractNumId="217">
    <w:nsid w:val="3822CB01"/>
    <w:multiLevelType w:val="hybridMultilevel"/>
    <w:lvl w:ilvl="0">
      <w:lvlJc w:val="left"/>
      <w:lvlText w:val="(%1)"/>
      <w:numFmt w:val="lowerLetter"/>
      <w:start w:val="2"/>
    </w:lvl>
    <w:lvl w:ilvl="1">
      <w:lvlJc w:val="left"/>
      <w:lvlText w:val="(%2)"/>
      <w:numFmt w:val="lowerRoman"/>
      <w:start w:val="1"/>
    </w:lvl>
  </w:abstractNum>
  <w:abstractNum w:abstractNumId="218">
    <w:nsid w:val="6CE00443"/>
    <w:multiLevelType w:val="hybridMultilevel"/>
    <w:lvl w:ilvl="0">
      <w:lvlJc w:val="left"/>
      <w:lvlText w:val="%1"/>
      <w:numFmt w:val="lowerLetter"/>
      <w:start w:val="1"/>
    </w:lvl>
    <w:lvl w:ilvl="1">
      <w:lvlJc w:val="left"/>
      <w:lvlText w:val="(%2)"/>
      <w:numFmt w:val="lowerLetter"/>
      <w:start w:val="35"/>
    </w:lvl>
  </w:abstractNum>
  <w:abstractNum w:abstractNumId="219">
    <w:nsid w:val="79F0D62F"/>
    <w:multiLevelType w:val="hybridMultilevel"/>
    <w:lvl w:ilvl="0">
      <w:lvlJc w:val="left"/>
      <w:lvlText w:val="(%1)"/>
      <w:numFmt w:val="lowerLetter"/>
      <w:start w:val="3"/>
    </w:lvl>
    <w:lvl w:ilvl="1">
      <w:lvlJc w:val="left"/>
      <w:lvlText w:val="%2"/>
      <w:numFmt w:val="lowerLetter"/>
      <w:start w:val="1"/>
    </w:lvl>
  </w:abstractNum>
  <w:abstractNum w:abstractNumId="220">
    <w:nsid w:val="7975E8EE"/>
    <w:multiLevelType w:val="hybridMultilevel"/>
    <w:lvl w:ilvl="0">
      <w:lvlJc w:val="left"/>
      <w:lvlText w:val="(%1)"/>
      <w:numFmt w:val="lowerLetter"/>
      <w:start w:val="1"/>
    </w:lvl>
  </w:abstractNum>
  <w:abstractNum w:abstractNumId="221">
    <w:nsid w:val="73154115"/>
    <w:multiLevelType w:val="hybridMultilevel"/>
    <w:lvl w:ilvl="0">
      <w:lvlJc w:val="left"/>
      <w:lvlText w:val="(%1)"/>
      <w:numFmt w:val="lowerLetter"/>
      <w:start w:val="1"/>
    </w:lvl>
    <w:lvl w:ilvl="1">
      <w:lvlJc w:val="left"/>
      <w:lvlText w:val="-"/>
      <w:numFmt w:val="bullet"/>
      <w:start w:val="1"/>
    </w:lvl>
  </w:abstractNum>
  <w:abstractNum w:abstractNumId="222">
    <w:nsid w:val="622D8102"/>
    <w:multiLevelType w:val="hybridMultilevel"/>
    <w:lvl w:ilvl="0">
      <w:lvlJc w:val="left"/>
      <w:lvlText w:val="(%1)"/>
      <w:numFmt w:val="lowerLetter"/>
      <w:start w:val="1"/>
    </w:lvl>
  </w:abstractNum>
  <w:abstractNum w:abstractNumId="223">
    <w:nsid w:val="2AB26587"/>
    <w:multiLevelType w:val="hybridMultilevel"/>
    <w:lvl w:ilvl="0">
      <w:lvlJc w:val="left"/>
      <w:lvlText w:val="%1."/>
      <w:numFmt w:val="decimal"/>
      <w:start w:val="23"/>
    </w:lvl>
  </w:abstractNum>
  <w:abstractNum w:abstractNumId="224">
    <w:nsid w:val="44B3FA61"/>
    <w:multiLevelType w:val="hybridMultilevel"/>
    <w:lvl w:ilvl="0">
      <w:lvlJc w:val="left"/>
      <w:lvlText w:val="(%1)"/>
      <w:numFmt w:val="lowerLetter"/>
      <w:start w:val="1"/>
    </w:lvl>
    <w:lvl w:ilvl="1">
      <w:lvlJc w:val="left"/>
      <w:lvlText w:val="(%2)"/>
      <w:numFmt w:val="lowerRoman"/>
      <w:start w:val="1"/>
    </w:lvl>
  </w:abstractNum>
  <w:abstractNum w:abstractNumId="225">
    <w:nsid w:val="1C0CA67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26">
    <w:nsid w:val="3D206613"/>
    <w:multiLevelType w:val="hybridMultilevel"/>
    <w:lvl w:ilvl="0">
      <w:lvlJc w:val="left"/>
      <w:lvlText w:val="(%1)"/>
      <w:numFmt w:val="lowerLetter"/>
      <w:start w:val="6"/>
    </w:lvl>
    <w:lvl w:ilvl="1">
      <w:lvlJc w:val="left"/>
      <w:lvlText w:val="(%2)"/>
      <w:numFmt w:val="lowerRoman"/>
      <w:start w:val="1"/>
    </w:lvl>
  </w:abstractNum>
  <w:abstractNum w:abstractNumId="227">
    <w:nsid w:val="7993B66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8">
    <w:nsid w:val="3BAB699E"/>
    <w:multiLevelType w:val="hybridMultilevel"/>
    <w:lvl w:ilvl="0">
      <w:lvlJc w:val="left"/>
      <w:lvlText w:val="%1"/>
      <w:numFmt w:val="lowerLetter"/>
      <w:start w:val="1"/>
    </w:lvl>
    <w:lvl w:ilvl="1">
      <w:lvlJc w:val="left"/>
      <w:lvlText w:val="(%2)"/>
      <w:numFmt w:val="lowerRoman"/>
      <w:start w:val="1"/>
    </w:lvl>
  </w:abstractNum>
  <w:abstractNum w:abstractNumId="229">
    <w:nsid w:val="71315369"/>
    <w:multiLevelType w:val="hybridMultilevel"/>
    <w:lvl w:ilvl="0">
      <w:lvlJc w:val="left"/>
      <w:lvlText w:val="(%1)"/>
      <w:numFmt w:val="lowerLetter"/>
      <w:start w:val="3"/>
    </w:lvl>
    <w:lvl w:ilvl="1">
      <w:lvlJc w:val="left"/>
      <w:lvlText w:val="(%2)"/>
      <w:numFmt w:val="lowerRoman"/>
      <w:start w:val="1"/>
    </w:lvl>
  </w:abstractNum>
  <w:abstractNum w:abstractNumId="230">
    <w:nsid w:val="7BCFBAF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1">
    <w:nsid w:val="17859F72"/>
    <w:multiLevelType w:val="hybridMultilevel"/>
    <w:lvl w:ilvl="0">
      <w:lvlJc w:val="left"/>
      <w:lvlText w:val="(%1)"/>
      <w:numFmt w:val="lowerRoman"/>
      <w:start w:val="3"/>
    </w:lvl>
  </w:abstractNum>
  <w:abstractNum w:abstractNumId="232">
    <w:nsid w:val="3AA10581"/>
    <w:multiLevelType w:val="hybridMultilevel"/>
    <w:lvl w:ilvl="0">
      <w:lvlJc w:val="left"/>
      <w:lvlText w:val="(%1)"/>
      <w:numFmt w:val="lowerLetter"/>
      <w:start w:val="1"/>
    </w:lvl>
  </w:abstractNum>
  <w:abstractNum w:abstractNumId="233">
    <w:nsid w:val="63DE60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4">
    <w:nsid w:val="621AF47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35">
    <w:nsid w:val="73CFE1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6">
    <w:nsid w:val="20F88EA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7">
    <w:nsid w:val="617C843E"/>
    <w:multiLevelType w:val="hybridMultilevel"/>
    <w:lvl w:ilvl="0">
      <w:lvlJc w:val="left"/>
      <w:lvlText w:val="%1."/>
      <w:numFmt w:val="decimal"/>
      <w:start w:val="25"/>
    </w:lvl>
  </w:abstractNum>
  <w:abstractNum w:abstractNumId="238">
    <w:nsid w:val="7B541FAB"/>
    <w:multiLevelType w:val="hybridMultilevel"/>
    <w:lvl w:ilvl="0">
      <w:lvlJc w:val="left"/>
      <w:lvlText w:val="(%1)"/>
      <w:numFmt w:val="lowerLetter"/>
      <w:start w:val="1"/>
    </w:lvl>
  </w:abstractNum>
  <w:abstractNum w:abstractNumId="239">
    <w:nsid w:val="2A79EC4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0">
    <w:nsid w:val="338125CF"/>
    <w:multiLevelType w:val="hybridMultilevel"/>
    <w:lvl w:ilvl="0">
      <w:lvlJc w:val="left"/>
      <w:lvlText w:val="(%1)"/>
      <w:numFmt w:val="lowerLetter"/>
      <w:start w:val="6"/>
    </w:lvl>
  </w:abstractNum>
  <w:abstractNum w:abstractNumId="241">
    <w:nsid w:val="47C7C971"/>
    <w:multiLevelType w:val="hybridMultilevel"/>
    <w:lvl w:ilvl="0">
      <w:lvlJc w:val="left"/>
      <w:lvlText w:val="(%1)"/>
      <w:numFmt w:val="lowerLetter"/>
      <w:start w:val="1"/>
    </w:lvl>
  </w:abstractNum>
  <w:abstractNum w:abstractNumId="242">
    <w:nsid w:val="46F8284B"/>
    <w:multiLevelType w:val="hybridMultilevel"/>
    <w:lvl w:ilvl="0">
      <w:lvlJc w:val="left"/>
      <w:lvlText w:val="(%1)"/>
      <w:numFmt w:val="lowerLetter"/>
      <w:start w:val="1"/>
    </w:lvl>
    <w:lvl w:ilvl="1">
      <w:lvlJc w:val="left"/>
      <w:lvlText w:val="-"/>
      <w:numFmt w:val="bullet"/>
      <w:start w:val="1"/>
    </w:lvl>
  </w:abstractNum>
  <w:abstractNum w:abstractNumId="243">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4">
    <w:nsid w:val="1873983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5">
    <w:nsid w:val="3D2DD275"/>
    <w:multiLevelType w:val="hybridMultilevel"/>
    <w:lvl w:ilvl="0">
      <w:lvlJc w:val="left"/>
      <w:lvlText w:val="(%1)"/>
      <w:numFmt w:val="lowerLetter"/>
      <w:start w:val="5"/>
    </w:lvl>
    <w:lvl w:ilvl="1">
      <w:lvlJc w:val="left"/>
      <w:lvlText w:val="(%2)"/>
      <w:numFmt w:val="lowerRoman"/>
      <w:start w:val="1"/>
    </w:lvl>
  </w:abstractNum>
  <w:abstractNum w:abstractNumId="246">
    <w:nsid w:val="2E17ECA7"/>
    <w:multiLevelType w:val="hybridMultilevel"/>
    <w:lvl w:ilvl="0">
      <w:lvlJc w:val="left"/>
      <w:lvlText w:val="(%1)"/>
      <w:numFmt w:val="lowerLetter"/>
      <w:start w:val="1"/>
    </w:lvl>
    <w:lvl w:ilvl="1">
      <w:lvlJc w:val="left"/>
      <w:lvlText w:val="-"/>
      <w:numFmt w:val="bullet"/>
      <w:start w:val="1"/>
    </w:lvl>
  </w:abstractNum>
  <w:abstractNum w:abstractNumId="247">
    <w:nsid w:val="53B2564F"/>
    <w:multiLevelType w:val="hybridMultilevel"/>
    <w:lvl w:ilvl="0">
      <w:lvlJc w:val="left"/>
      <w:lvlText w:val="(%1)"/>
      <w:numFmt w:val="lowerLetter"/>
      <w:start w:val="1"/>
    </w:lvl>
  </w:abstractNum>
  <w:abstractNum w:abstractNumId="248">
    <w:nsid w:val="75509D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49">
    <w:nsid w:val="1AF7F0EA"/>
    <w:multiLevelType w:val="hybridMultilevel"/>
    <w:lvl w:ilvl="0">
      <w:lvlJc w:val="left"/>
      <w:lvlText w:val="(%1)"/>
      <w:numFmt w:val="lowerLetter"/>
      <w:start w:val="3"/>
    </w:lvl>
    <w:lvl w:ilvl="1">
      <w:lvlJc w:val="left"/>
      <w:lvlText w:val="(%2)"/>
      <w:numFmt w:val="lowerRoman"/>
      <w:start w:val="1"/>
    </w:lvl>
  </w:abstractNum>
  <w:abstractNum w:abstractNumId="250">
    <w:nsid w:val="4DA32C7E"/>
    <w:multiLevelType w:val="hybridMultilevel"/>
    <w:lvl w:ilvl="0">
      <w:lvlJc w:val="left"/>
      <w:lvlText w:val="(%1)"/>
      <w:numFmt w:val="lowerLetter"/>
      <w:start w:val="5"/>
    </w:lvl>
  </w:abstractNum>
  <w:abstractNum w:abstractNumId="251">
    <w:nsid w:val="6EC68664"/>
    <w:multiLevelType w:val="hybridMultilevel"/>
    <w:lvl w:ilvl="0">
      <w:lvlJc w:val="left"/>
      <w:lvlText w:val="(%1)"/>
      <w:numFmt w:val="lowerLetter"/>
      <w:start w:val="1"/>
    </w:lvl>
    <w:lvl w:ilvl="1">
      <w:lvlJc w:val="left"/>
      <w:lvlText w:val="-"/>
      <w:numFmt w:val="bullet"/>
      <w:start w:val="1"/>
    </w:lvl>
  </w:abstractNum>
  <w:abstractNum w:abstractNumId="252">
    <w:nsid w:val="E0D31FF"/>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53">
    <w:nsid w:val="2FD0AD81"/>
    <w:multiLevelType w:val="hybridMultilevel"/>
    <w:lvl w:ilvl="0">
      <w:lvlJc w:val="left"/>
      <w:lvlText w:val="(%1)"/>
      <w:numFmt w:val="lowerLetter"/>
      <w:start w:val="1"/>
    </w:lvl>
  </w:abstractNum>
  <w:abstractNum w:abstractNumId="254">
    <w:nsid w:val="1978EBEB"/>
    <w:multiLevelType w:val="hybridMultilevel"/>
    <w:lvl w:ilvl="0">
      <w:lvlJc w:val="left"/>
      <w:lvlText w:val="(%1)"/>
      <w:numFmt w:val="lowerLetter"/>
      <w:start w:val="1"/>
    </w:lvl>
    <w:lvl w:ilvl="1">
      <w:lvlJc w:val="left"/>
      <w:lvlText w:val="-"/>
      <w:numFmt w:val="bullet"/>
      <w:start w:val="1"/>
    </w:lvl>
  </w:abstractNum>
  <w:abstractNum w:abstractNumId="255">
    <w:nsid w:val="52C12C61"/>
    <w:multiLevelType w:val="hybridMultilevel"/>
    <w:lvl w:ilvl="0">
      <w:lvlJc w:val="left"/>
      <w:lvlText w:val="(%1)"/>
      <w:numFmt w:val="lowerLetter"/>
      <w:start w:val="1"/>
    </w:lvl>
    <w:lvl w:ilvl="1">
      <w:lvlJc w:val="left"/>
      <w:lvlText w:val="(%2)"/>
      <w:numFmt w:val="lowerRoman"/>
      <w:start w:val="1"/>
    </w:lvl>
  </w:abstractNum>
  <w:abstractNum w:abstractNumId="256">
    <w:nsid w:val="4BDD53FD"/>
    <w:multiLevelType w:val="hybridMultilevel"/>
    <w:lvl w:ilvl="0">
      <w:lvlJc w:val="left"/>
      <w:lvlText w:val="(%1)"/>
      <w:numFmt w:val="lowerLetter"/>
      <w:start w:val="2"/>
    </w:lvl>
  </w:abstractNum>
  <w:abstractNum w:abstractNumId="257">
    <w:nsid w:val="569951FE"/>
    <w:multiLevelType w:val="hybridMultilevel"/>
    <w:lvl w:ilvl="0">
      <w:lvlJc w:val="left"/>
      <w:lvlText w:val="(%1)"/>
      <w:numFmt w:val="lowerLetter"/>
      <w:start w:val="1"/>
    </w:lvl>
    <w:lvl w:ilvl="1">
      <w:lvlJc w:val="left"/>
      <w:lvlText w:val="-"/>
      <w:numFmt w:val="bullet"/>
      <w:start w:val="1"/>
    </w:lvl>
  </w:abstractNum>
  <w:abstractNum w:abstractNumId="258">
    <w:nsid w:val="4C54E2C3"/>
    <w:multiLevelType w:val="hybridMultilevel"/>
    <w:lvl w:ilvl="0">
      <w:lvlJc w:val="left"/>
      <w:lvlText w:val="(%1)"/>
      <w:numFmt w:val="lowerLetter"/>
      <w:start w:val="3"/>
    </w:lvl>
  </w:abstractNum>
  <w:abstractNum w:abstractNumId="259">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0">
    <w:nsid w:val="47CAA567"/>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1">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2">
    <w:nsid w:val="1F0E5D0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3">
    <w:nsid w:val="26BAAE9"/>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264">
    <w:nsid w:val="2C02FE8C"/>
    <w:multiLevelType w:val="hybridMultilevel"/>
    <w:lvl w:ilvl="0">
      <w:lvlJc w:val="left"/>
      <w:lvlText w:val="(%1)"/>
      <w:numFmt w:val="lowerLetter"/>
      <w:start w:val="1"/>
    </w:lvl>
  </w:abstractNum>
  <w:abstractNum w:abstractNumId="265">
    <w:nsid w:val="129517E"/>
    <w:multiLevelType w:val="hybridMultilevel"/>
    <w:lvl w:ilvl="0">
      <w:lvlJc w:val="left"/>
      <w:lvlText w:val="(%1)"/>
      <w:numFmt w:val="lowerLetter"/>
      <w:start w:val="1"/>
    </w:lvl>
  </w:abstractNum>
  <w:abstractNum w:abstractNumId="266">
    <w:nsid w:val="763B8C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7">
    <w:nsid w:val="4CFB8D32"/>
    <w:multiLevelType w:val="hybridMultilevel"/>
    <w:lvl w:ilvl="0">
      <w:lvlJc w:val="left"/>
      <w:lvlText w:val="%1."/>
      <w:numFmt w:val="decimal"/>
      <w:start w:val="28"/>
    </w:lvl>
    <w:lvl w:ilvl="1">
      <w:lvlJc w:val="left"/>
      <w:lvlText w:val="(%2)"/>
      <w:numFmt w:val="lowerLetter"/>
      <w:start w:val="1"/>
    </w:lvl>
  </w:abstractNum>
  <w:abstractNum w:abstractNumId="268">
    <w:nsid w:val="62A5D5BD"/>
    <w:multiLevelType w:val="hybridMultilevel"/>
    <w:lvl w:ilvl="0">
      <w:lvlJc w:val="left"/>
      <w:lvlText w:val="(%1)"/>
      <w:numFmt w:val="lowerLetter"/>
      <w:start w:val="1"/>
    </w:lvl>
    <w:lvl w:ilvl="1">
      <w:lvlJc w:val="left"/>
      <w:lvlText w:val="-"/>
      <w:numFmt w:val="bullet"/>
      <w:start w:val="1"/>
    </w:lvl>
  </w:abstractNum>
  <w:abstractNum w:abstractNumId="269">
    <w:nsid w:val="718FABF9"/>
    <w:multiLevelType w:val="hybridMultilevel"/>
    <w:lvl w:ilvl="0">
      <w:lvlJc w:val="left"/>
      <w:lvlText w:val="(%1)"/>
      <w:numFmt w:val="lowerRoman"/>
      <w:start w:val="1"/>
    </w:lvl>
  </w:abstractNum>
  <w:abstractNum w:abstractNumId="270">
    <w:nsid w:val="7775797C"/>
    <w:multiLevelType w:val="hybridMultilevel"/>
    <w:lvl w:ilvl="0">
      <w:lvlJc w:val="left"/>
      <w:lvlText w:val="(%1)"/>
      <w:numFmt w:val="lowerLetter"/>
      <w:start w:val="1"/>
    </w:lvl>
    <w:lvl w:ilvl="1">
      <w:lvlJc w:val="left"/>
      <w:lvlText w:val="(%2)"/>
      <w:numFmt w:val="lowerRoman"/>
      <w:start w:val="1"/>
    </w:lvl>
  </w:abstractNum>
  <w:abstractNum w:abstractNumId="271">
    <w:nsid w:val="1626FB8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72">
    <w:nsid w:val="3957756A"/>
    <w:multiLevelType w:val="hybridMultilevel"/>
    <w:lvl w:ilvl="0">
      <w:lvlJc w:val="left"/>
      <w:lvlText w:val="(%1)"/>
      <w:numFmt w:val="lowerLetter"/>
      <w:start w:val="1"/>
    </w:lvl>
    <w:lvl w:ilvl="1">
      <w:lvlJc w:val="left"/>
      <w:lvlText w:val="(%2)"/>
      <w:numFmt w:val="lowerRoman"/>
      <w:start w:val="1"/>
    </w:lvl>
  </w:abstractNum>
  <w:abstractNum w:abstractNumId="273">
    <w:nsid w:val="3E6DA1C7"/>
    <w:multiLevelType w:val="hybridMultilevel"/>
    <w:lvl w:ilvl="0">
      <w:lvlJc w:val="left"/>
      <w:lvlText w:val="(%1)"/>
      <w:numFmt w:val="lowerLetter"/>
      <w:start w:val="1"/>
    </w:lvl>
  </w:abstractNum>
  <w:abstractNum w:abstractNumId="274">
    <w:nsid w:val="65CA235B"/>
    <w:multiLevelType w:val="hybridMultilevel"/>
    <w:lvl w:ilvl="0">
      <w:lvlJc w:val="left"/>
      <w:lvlText w:val="(%1)"/>
      <w:numFmt w:val="lowerLetter"/>
      <w:start w:val="1"/>
    </w:lvl>
    <w:lvl w:ilvl="1">
      <w:lvlJc w:val="left"/>
      <w:lvlText w:val="-"/>
      <w:numFmt w:val="bullet"/>
      <w:start w:val="1"/>
    </w:lvl>
  </w:abstractNum>
  <w:abstractNum w:abstractNumId="275">
    <w:nsid w:val="51CB0DA4"/>
    <w:multiLevelType w:val="hybridMultilevel"/>
    <w:lvl w:ilvl="0">
      <w:lvlJc w:val="left"/>
      <w:lvlText w:val="(%1)"/>
      <w:numFmt w:val="lowerLetter"/>
      <w:start w:val="4"/>
    </w:lvl>
  </w:abstractNum>
  <w:abstractNum w:abstractNumId="276">
    <w:nsid w:val="7B9B743C"/>
    <w:multiLevelType w:val="hybridMultilevel"/>
    <w:lvl w:ilvl="0">
      <w:lvlJc w:val="left"/>
      <w:lvlText w:val="(%1)"/>
      <w:numFmt w:val="lowerLetter"/>
      <w:start w:val="1"/>
    </w:lvl>
    <w:lvl w:ilvl="1">
      <w:lvlJc w:val="left"/>
      <w:lvlText w:val="(%2)"/>
      <w:numFmt w:val="lowerRoman"/>
      <w:start w:val="1"/>
    </w:lvl>
  </w:abstractNum>
  <w:abstractNum w:abstractNumId="277">
    <w:nsid w:val="13E21002"/>
    <w:multiLevelType w:val="hybridMultilevel"/>
    <w:lvl w:ilvl="0">
      <w:lvlJc w:val="left"/>
      <w:lvlText w:val="(%1)"/>
      <w:numFmt w:val="lowerLetter"/>
      <w:start w:val="1"/>
    </w:lvl>
    <w:lvl w:ilvl="1">
      <w:lvlJc w:val="left"/>
      <w:lvlText w:val="-"/>
      <w:numFmt w:val="bullet"/>
      <w:start w:val="1"/>
    </w:lvl>
  </w:abstractNum>
  <w:abstractNum w:abstractNumId="278">
    <w:nsid w:val="257D63F4"/>
    <w:multiLevelType w:val="hybridMultilevel"/>
    <w:lvl w:ilvl="0">
      <w:lvlJc w:val="left"/>
      <w:lvlText w:val="%1"/>
      <w:numFmt w:val="decimal"/>
      <w:start w:val="1"/>
    </w:lvl>
    <w:lvl w:ilvl="1">
      <w:lvlJc w:val="left"/>
      <w:lvlText w:val="(%2)"/>
      <w:numFmt w:val="lowerLetter"/>
      <w:start w:val="6"/>
    </w:lvl>
  </w:abstractNum>
  <w:abstractNum w:abstractNumId="279">
    <w:nsid w:val="70EC11B2"/>
    <w:multiLevelType w:val="hybridMultilevel"/>
    <w:lvl w:ilvl="0">
      <w:lvlJc w:val="left"/>
      <w:lvlText w:val="%1."/>
      <w:numFmt w:val="decimal"/>
      <w:start w:val="29"/>
    </w:lvl>
    <w:lvl w:ilvl="1">
      <w:lvlJc w:val="left"/>
      <w:lvlText w:val="%2"/>
      <w:numFmt w:val="lowerLetter"/>
      <w:start w:val="1"/>
    </w:lvl>
  </w:abstractNum>
  <w:abstractNum w:abstractNumId="280">
    <w:nsid w:val="2EDA00ED"/>
    <w:multiLevelType w:val="hybridMultilevel"/>
    <w:lvl w:ilvl="0">
      <w:lvlJc w:val="left"/>
      <w:lvlText w:val="%1."/>
      <w:numFmt w:val="decimal"/>
      <w:start w:val="30"/>
    </w:lvl>
  </w:abstractNum>
  <w:abstractNum w:abstractNumId="281">
    <w:nsid w:val="73209072"/>
    <w:multiLevelType w:val="hybridMultilevel"/>
    <w:lvl w:ilvl="0">
      <w:lvlJc w:val="left"/>
      <w:lvlText w:val="(%1)"/>
      <w:numFmt w:val="lowerLetter"/>
      <w:start w:val="1"/>
    </w:lvl>
  </w:abstractNum>
  <w:abstractNum w:abstractNumId="282">
    <w:nsid w:val="5FB29816"/>
    <w:multiLevelType w:val="hybridMultilevel"/>
    <w:lvl w:ilvl="0">
      <w:lvlJc w:val="left"/>
      <w:lvlText w:val="(%1)"/>
      <w:numFmt w:val="lowerLetter"/>
      <w:start w:val="1"/>
    </w:lvl>
    <w:lvl w:ilvl="1">
      <w:lvlJc w:val="left"/>
      <w:lvlText w:val="-"/>
      <w:numFmt w:val="bullet"/>
      <w:start w:val="1"/>
    </w:lvl>
  </w:abstractNum>
  <w:abstractNum w:abstractNumId="283">
    <w:nsid w:val="3CE732EC"/>
    <w:multiLevelType w:val="hybridMultilevel"/>
    <w:lvl w:ilvl="0">
      <w:lvlJc w:val="left"/>
      <w:lvlText w:val="(%1)"/>
      <w:numFmt w:val="lowerLetter"/>
      <w:start w:val="4"/>
    </w:lvl>
  </w:abstractNum>
  <w:abstractNum w:abstractNumId="284">
    <w:nsid w:val="22F13DF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5">
    <w:nsid w:val="792B8401"/>
    <w:multiLevelType w:val="hybridMultilevel"/>
    <w:lvl w:ilvl="0">
      <w:lvlJc w:val="left"/>
      <w:lvlText w:val="(%1)"/>
      <w:numFmt w:val="lowerLetter"/>
      <w:start w:val="1"/>
    </w:lvl>
    <w:lvl w:ilvl="1">
      <w:lvlJc w:val="left"/>
      <w:lvlText w:val="(%2)"/>
      <w:numFmt w:val="lowerLetter"/>
      <w:start w:val="9"/>
    </w:lvl>
  </w:abstractNum>
  <w:abstractNum w:abstractNumId="286">
    <w:nsid w:val="FA85F4D"/>
    <w:multiLevelType w:val="hybridMultilevel"/>
    <w:lvl w:ilvl="0">
      <w:lvlJc w:val="left"/>
      <w:lvlText w:val="%1"/>
      <w:numFmt w:val="decimal"/>
      <w:start w:val="1"/>
    </w:lvl>
    <w:lvl w:ilvl="1">
      <w:lvlJc w:val="left"/>
      <w:lvlText w:val="(%2)"/>
      <w:numFmt w:val="lowerRoman"/>
      <w:start w:val="2"/>
    </w:lvl>
  </w:abstractNum>
  <w:abstractNum w:abstractNumId="287">
    <w:nsid w:val="6ECE91F0"/>
    <w:multiLevelType w:val="hybridMultilevel"/>
    <w:lvl w:ilvl="0">
      <w:lvlJc w:val="left"/>
      <w:lvlText w:val="%1."/>
      <w:numFmt w:val="decimal"/>
      <w:start w:val="31"/>
    </w:lvl>
    <w:lvl w:ilvl="1">
      <w:lvlJc w:val="left"/>
      <w:lvlText w:val="%2"/>
      <w:numFmt w:val="lowerRoman"/>
      <w:start w:val="1"/>
    </w:lvl>
  </w:abstractNum>
  <w:abstractNum w:abstractNumId="288">
    <w:nsid w:val="4FC4D600"/>
    <w:multiLevelType w:val="hybridMultilevel"/>
    <w:lvl w:ilvl="0">
      <w:lvlJc w:val="left"/>
      <w:lvlText w:val="%1."/>
      <w:numFmt w:val="decimal"/>
      <w:start w:val="32"/>
    </w:lvl>
  </w:abstractNum>
  <w:abstractNum w:abstractNumId="289">
    <w:nsid w:val="5BFD4210"/>
    <w:multiLevelType w:val="hybridMultilevel"/>
    <w:lvl w:ilvl="0">
      <w:lvlJc w:val="left"/>
      <w:lvlText w:val="%1."/>
      <w:numFmt w:val="decimal"/>
      <w:start w:val="33"/>
    </w:lvl>
  </w:abstractNum>
  <w:abstractNum w:abstractNumId="290">
    <w:nsid w:val="76574F8B"/>
    <w:multiLevelType w:val="hybridMultilevel"/>
    <w:lvl w:ilvl="0">
      <w:lvlJc w:val="left"/>
      <w:lvlText w:val="%1."/>
      <w:numFmt w:val="decimal"/>
      <w:start w:val="34"/>
    </w:lvl>
    <w:lvl w:ilvl="1">
      <w:lvlJc w:val="left"/>
      <w:lvlText w:val="(%2)"/>
      <w:numFmt w:val="lowerLetter"/>
      <w:start w:val="1"/>
    </w:lvl>
  </w:abstractNum>
  <w:abstractNum w:abstractNumId="291">
    <w:nsid w:val="178F7B67"/>
    <w:multiLevelType w:val="hybridMultilevel"/>
    <w:lvl w:ilvl="0">
      <w:lvlJc w:val="left"/>
      <w:lvlText w:val="(%1)"/>
      <w:numFmt w:val="lowerLetter"/>
      <w:start w:val="1"/>
    </w:lvl>
  </w:abstractNum>
  <w:abstractNum w:abstractNumId="292">
    <w:nsid w:val="2421DFCF"/>
    <w:multiLevelType w:val="hybridMultilevel"/>
    <w:lvl w:ilvl="0">
      <w:lvlJc w:val="left"/>
      <w:lvlText w:val="(%1)"/>
      <w:numFmt w:val="lowerLetter"/>
      <w:start w:val="1"/>
    </w:lvl>
  </w:abstractNum>
  <w:abstractNum w:abstractNumId="293">
    <w:nsid w:val="1565AC99"/>
    <w:multiLevelType w:val="hybridMultilevel"/>
    <w:lvl w:ilvl="0">
      <w:lvlJc w:val="left"/>
      <w:lvlText w:val="(%1)"/>
      <w:numFmt w:val="lowerLetter"/>
      <w:start w:val="1"/>
    </w:lvl>
  </w:abstractNum>
  <w:abstractNum w:abstractNumId="294">
    <w:nsid w:val="19FB2650"/>
    <w:multiLevelType w:val="hybridMultilevel"/>
    <w:lvl w:ilvl="0">
      <w:lvlJc w:val="left"/>
      <w:lvlText w:val="(%1)"/>
      <w:numFmt w:val="lowerRoman"/>
      <w:start w:val="1"/>
    </w:lvl>
    <w:lvl w:ilvl="1">
      <w:lvlJc w:val="left"/>
      <w:lvlText w:val="(%2)"/>
      <w:numFmt w:val="upperLetter"/>
      <w:start w:val="1"/>
    </w:lvl>
  </w:abstractNum>
  <w:abstractNum w:abstractNumId="295">
    <w:nsid w:val="5024DE5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96">
    <w:nsid w:val="168EFE17"/>
    <w:multiLevelType w:val="hybridMultilevel"/>
    <w:lvl w:ilvl="0">
      <w:lvlJc w:val="left"/>
      <w:lvlText w:val="%1"/>
      <w:numFmt w:val="lowerLetter"/>
      <w:start w:val="1"/>
    </w:lvl>
    <w:lvl w:ilvl="1">
      <w:lvlJc w:val="left"/>
      <w:lvlText w:val="(%2)"/>
      <w:numFmt w:val="lowerLetter"/>
      <w:start w:val="35"/>
    </w:lvl>
  </w:abstractNum>
  <w:abstractNum w:abstractNumId="297">
    <w:nsid w:val="1036B29F"/>
    <w:multiLevelType w:val="hybridMultilevel"/>
    <w:lvl w:ilvl="0">
      <w:lvlJc w:val="left"/>
      <w:lvlText w:val="(%1)"/>
      <w:numFmt w:val="lowerLetter"/>
      <w:start w:val="3"/>
    </w:lvl>
    <w:lvl w:ilvl="1">
      <w:lvlJc w:val="left"/>
      <w:lvlText w:val="%2"/>
      <w:numFmt w:val="lowerLetter"/>
      <w:start w:val="1"/>
    </w:lvl>
  </w:abstractNum>
  <w:abstractNum w:abstractNumId="298">
    <w:nsid w:val="1D206B8E"/>
    <w:multiLevelType w:val="hybridMultilevel"/>
    <w:lvl w:ilvl="0">
      <w:lvlJc w:val="left"/>
      <w:lvlText w:val="(%1)"/>
      <w:numFmt w:val="lowerLetter"/>
      <w:start w:val="1"/>
    </w:lvl>
    <w:lvl w:ilvl="1">
      <w:lvlJc w:val="left"/>
      <w:lvlText w:val="(%2)"/>
      <w:numFmt w:val="lowerRoman"/>
      <w:start w:val="1"/>
    </w:lvl>
  </w:abstractNum>
  <w:abstractNum w:abstractNumId="299">
    <w:nsid w:val="7934D3D4"/>
    <w:multiLevelType w:val="hybridMultilevel"/>
    <w:lvl w:ilvl="0">
      <w:lvlJc w:val="left"/>
      <w:lvlText w:val="(%1)"/>
      <w:numFmt w:val="lowerLetter"/>
      <w:start w:val="2"/>
    </w:lvl>
  </w:abstractNum>
  <w:abstractNum w:abstractNumId="300">
    <w:nsid w:val="1C65E98"/>
    <w:multiLevelType w:val="hybridMultilevel"/>
    <w:lvl w:ilvl="0">
      <w:lvlJc w:val="left"/>
      <w:lvlText w:val="(%1)"/>
      <w:numFmt w:val="lowerLetter"/>
      <w:start w:val="1"/>
    </w:lvl>
  </w:abstractNum>
  <w:abstractNum w:abstractNumId="301">
    <w:nsid w:val="1495E50A"/>
    <w:multiLevelType w:val="hybridMultilevel"/>
    <w:lvl w:ilvl="0">
      <w:lvlJc w:val="left"/>
      <w:lvlText w:val="(%1)"/>
      <w:numFmt w:val="upperLetter"/>
      <w:start w:val="1"/>
    </w:lvl>
  </w:abstractNum>
  <w:abstractNum w:abstractNumId="302">
    <w:nsid w:val="F5BCF61"/>
    <w:multiLevelType w:val="hybridMultilevel"/>
    <w:lvl w:ilvl="0">
      <w:lvlJc w:val="left"/>
      <w:lvlText w:val="(%1)"/>
      <w:numFmt w:val="lowerRoman"/>
      <w:start w:val="2"/>
    </w:lvl>
    <w:lvl w:ilvl="1">
      <w:lvlJc w:val="left"/>
      <w:lvlText w:val="-"/>
      <w:numFmt w:val="bullet"/>
      <w:start w:val="1"/>
    </w:lvl>
  </w:abstractNum>
  <w:abstractNum w:abstractNumId="303">
    <w:nsid w:val="3B1DD403"/>
    <w:multiLevelType w:val="hybridMultilevel"/>
    <w:lvl w:ilvl="0">
      <w:lvlJc w:val="left"/>
      <w:lvlText w:val="(%1)"/>
      <w:numFmt w:val="lowerRoman"/>
      <w:start w:val="3"/>
    </w:lvl>
  </w:abstractNum>
  <w:abstractNum w:abstractNumId="304">
    <w:nsid w:val="530386D1"/>
    <w:multiLevelType w:val="hybridMultilevel"/>
    <w:lvl w:ilvl="0">
      <w:lvlJc w:val="left"/>
      <w:lvlText w:val="(%1)"/>
      <w:numFmt w:val="lowerLetter"/>
      <w:start w:val="3"/>
    </w:lvl>
  </w:abstractNum>
  <w:abstractNum w:abstractNumId="305">
    <w:nsid w:val="7525F2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6">
    <w:nsid w:val="CE8E1A7"/>
    <w:multiLevelType w:val="hybridMultilevel"/>
    <w:lvl w:ilvl="0">
      <w:lvlJc w:val="left"/>
      <w:lvlText w:val="(%1)"/>
      <w:numFmt w:val="lowerLetter"/>
      <w:start w:val="1"/>
    </w:lvl>
    <w:lvl w:ilvl="1">
      <w:lvlJc w:val="left"/>
      <w:lvlText w:val="-"/>
      <w:numFmt w:val="bullet"/>
      <w:start w:val="1"/>
    </w:lvl>
  </w:abstractNum>
  <w:abstractNum w:abstractNumId="307">
    <w:nsid w:val="4E9EFB0D"/>
    <w:multiLevelType w:val="hybridMultilevel"/>
    <w:lvl w:ilvl="0">
      <w:lvlJc w:val="left"/>
      <w:lvlText w:val="(%1)"/>
      <w:numFmt w:val="lowerLetter"/>
      <w:start w:val="2"/>
    </w:lvl>
  </w:abstractNum>
  <w:abstractNum w:abstractNumId="308">
    <w:nsid w:val="90802B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9">
    <w:nsid w:val="3266459B"/>
    <w:multiLevelType w:val="hybridMultilevel"/>
    <w:lvl w:ilvl="0">
      <w:lvlJc w:val="left"/>
      <w:lvlText w:val="(%1)"/>
      <w:numFmt w:val="lowerRoman"/>
      <w:start w:val="4"/>
    </w:lvl>
  </w:abstractNum>
  <w:abstractNum w:abstractNumId="310">
    <w:nsid w:val="3F8B0CBF"/>
    <w:multiLevelType w:val="hybridMultilevel"/>
    <w:lvl w:ilvl="0">
      <w:lvlJc w:val="left"/>
      <w:lvlText w:val="%1."/>
      <w:numFmt w:val="decimal"/>
      <w:start w:val="35"/>
    </w:lvl>
  </w:abstractNum>
  <w:abstractNum w:abstractNumId="311">
    <w:nsid w:val="37E203A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2">
    <w:nsid w:val="2586D60E"/>
    <w:multiLevelType w:val="hybridMultilevel"/>
    <w:lvl w:ilvl="0">
      <w:lvlJc w:val="left"/>
      <w:lvlText w:val="(%1)"/>
      <w:numFmt w:val="lowerRoman"/>
      <w:start w:val="3"/>
    </w:lvl>
  </w:abstractNum>
  <w:abstractNum w:abstractNumId="313">
    <w:nsid w:val="1F3DA4D5"/>
    <w:multiLevelType w:val="hybridMultilevel"/>
    <w:lvl w:ilvl="0">
      <w:lvlJc w:val="left"/>
      <w:lvlText w:val="(%1)"/>
      <w:numFmt w:val="upperLetter"/>
      <w:start w:val="1"/>
    </w:lvl>
    <w:lvl w:ilvl="1">
      <w:lvlJc w:val="left"/>
      <w:lvlText w:val="-"/>
      <w:numFmt w:val="bullet"/>
      <w:start w:val="1"/>
    </w:lvl>
  </w:abstractNum>
  <w:abstractNum w:abstractNumId="314">
    <w:nsid w:val="74C93698"/>
    <w:multiLevelType w:val="hybridMultilevel"/>
    <w:lvl w:ilvl="0">
      <w:lvlJc w:val="left"/>
      <w:lvlText w:val="(%1)"/>
      <w:numFmt w:val="lowerLetter"/>
      <w:start w:val="3"/>
    </w:lvl>
  </w:abstractNum>
  <w:abstractNum w:abstractNumId="315">
    <w:nsid w:val="4878140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6">
    <w:nsid w:val="186928D6"/>
    <w:multiLevelType w:val="hybridMultilevel"/>
    <w:lvl w:ilvl="0">
      <w:lvlJc w:val="left"/>
      <w:lvlText w:val="(%1)"/>
      <w:numFmt w:val="lowerRoman"/>
      <w:start w:val="12"/>
    </w:lvl>
  </w:abstractNum>
  <w:abstractNum w:abstractNumId="317">
    <w:nsid w:val="47195E5"/>
    <w:multiLevelType w:val="hybridMultilevel"/>
    <w:lvl w:ilvl="0">
      <w:lvlJc w:val="left"/>
      <w:lvlText w:val="(%1)"/>
      <w:numFmt w:val="lowerLetter"/>
      <w:start w:val="2"/>
    </w:lvl>
    <w:lvl w:ilvl="1">
      <w:lvlJc w:val="left"/>
      <w:lvlText w:val="(%2)"/>
      <w:numFmt w:val="lowerRoman"/>
      <w:start w:val="1"/>
    </w:lvl>
  </w:abstractNum>
  <w:abstractNum w:abstractNumId="318">
    <w:nsid w:val="3746A5F2"/>
    <w:multiLevelType w:val="hybridMultilevel"/>
    <w:lvl w:ilvl="0">
      <w:lvlJc w:val="left"/>
      <w:lvlText w:val="(%1)"/>
      <w:numFmt w:val="lowerLetter"/>
      <w:start w:val="1"/>
    </w:lvl>
    <w:lvl w:ilvl="1">
      <w:lvlJc w:val="left"/>
      <w:lvlText w:val="-"/>
      <w:numFmt w:val="bullet"/>
      <w:start w:val="1"/>
    </w:lvl>
  </w:abstractNum>
  <w:abstractNum w:abstractNumId="319">
    <w:nsid w:val="682DFED6"/>
    <w:multiLevelType w:val="hybridMultilevel"/>
    <w:lvl w:ilvl="0">
      <w:lvlJc w:val="left"/>
      <w:lvlText w:val="%1"/>
      <w:numFmt w:val="decimal"/>
      <w:start w:val="1"/>
    </w:lvl>
    <w:lvl w:ilvl="1">
      <w:lvlJc w:val="left"/>
      <w:lvlText w:val="(%2)"/>
      <w:numFmt w:val="lowerLetter"/>
      <w:start w:val="1"/>
    </w:lvl>
  </w:abstractNum>
  <w:abstractNum w:abstractNumId="320">
    <w:nsid w:val="606ED7F6"/>
    <w:multiLevelType w:val="hybridMultilevel"/>
    <w:lvl w:ilvl="0">
      <w:lvlJc w:val="left"/>
      <w:lvlText w:val="%1."/>
      <w:numFmt w:val="decimal"/>
      <w:start w:val="36"/>
    </w:lvl>
    <w:lvl w:ilvl="1">
      <w:lvlJc w:val="left"/>
      <w:lvlText w:val="%2"/>
      <w:numFmt w:val="lowerLetter"/>
      <w:start w:val="1"/>
    </w:lvl>
  </w:abstractNum>
  <w:abstractNum w:abstractNumId="321">
    <w:nsid w:val="2D9DF57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2">
    <w:nsid w:val="7FBD7A3E"/>
    <w:multiLevelType w:val="hybridMultilevel"/>
    <w:lvl w:ilvl="0">
      <w:lvlJc w:val="left"/>
      <w:lvlText w:val="(%1)"/>
      <w:numFmt w:val="lowerRoman"/>
      <w:start w:val="2"/>
    </w:lvl>
  </w:abstractNum>
  <w:abstractNum w:abstractNumId="323">
    <w:nsid w:val="490B7C5"/>
    <w:multiLevelType w:val="hybridMultilevel"/>
    <w:lvl w:ilvl="0">
      <w:lvlJc w:val="left"/>
      <w:lvlText w:val="(%1)"/>
      <w:numFmt w:val="lowerLetter"/>
      <w:start w:val="1"/>
    </w:lvl>
    <w:lvl w:ilvl="1">
      <w:lvlJc w:val="left"/>
      <w:lvlText w:val="(%2)"/>
      <w:numFmt w:val="lowerRoman"/>
      <w:start w:val="1"/>
    </w:lvl>
  </w:abstractNum>
  <w:abstractNum w:abstractNumId="324">
    <w:nsid w:val="4303A216"/>
    <w:multiLevelType w:val="hybridMultilevel"/>
    <w:lvl w:ilvl="0">
      <w:lvlJc w:val="left"/>
      <w:lvlText w:val="%1."/>
      <w:numFmt w:val="decimal"/>
      <w:start w:val="37"/>
    </w:lvl>
  </w:abstractNum>
  <w:abstractNum w:abstractNumId="325">
    <w:nsid w:val="19B8A08E"/>
    <w:multiLevelType w:val="hybridMultilevel"/>
    <w:lvl w:ilvl="0">
      <w:lvlJc w:val="left"/>
      <w:lvlText w:val="%1."/>
      <w:numFmt w:val="decimal"/>
      <w:start w:val="38"/>
    </w:lvl>
  </w:abstractNum>
  <w:abstractNum w:abstractNumId="326">
    <w:nsid w:val="54B59621"/>
    <w:multiLevelType w:val="hybridMultilevel"/>
    <w:lvl w:ilvl="0">
      <w:lvlJc w:val="left"/>
      <w:lvlText w:val="%1."/>
      <w:numFmt w:val="decimal"/>
      <w:start w:val="39"/>
    </w:lvl>
  </w:abstractNum>
  <w:abstractNum w:abstractNumId="327">
    <w:nsid w:val="5992A02E"/>
    <w:multiLevelType w:val="hybridMultilevel"/>
    <w:lvl w:ilvl="0">
      <w:lvlJc w:val="left"/>
      <w:lvlText w:val="%1."/>
      <w:numFmt w:val="decimal"/>
      <w:start w:val="40"/>
    </w:lvl>
  </w:abstractNum>
  <w:abstractNum w:abstractNumId="328">
    <w:nsid w:val="29EF532D"/>
    <w:multiLevelType w:val="hybridMultilevel"/>
    <w:lvl w:ilvl="0">
      <w:lvlJc w:val="left"/>
      <w:lvlText w:val="(%1)"/>
      <w:numFmt w:val="lowerLetter"/>
      <w:start w:val="1"/>
    </w:lvl>
  </w:abstractNum>
  <w:abstractNum w:abstractNumId="329">
    <w:nsid w:val="71D601AF"/>
    <w:multiLevelType w:val="hybridMultilevel"/>
    <w:lvl w:ilvl="0">
      <w:lvlJc w:val="left"/>
      <w:lvlText w:val="(%1)"/>
      <w:numFmt w:val="lowerLetter"/>
      <w:start w:val="1"/>
    </w:lvl>
    <w:lvl w:ilvl="1">
      <w:lvlJc w:val="left"/>
      <w:lvlText w:val="(%2)"/>
      <w:numFmt w:val="lowerRoman"/>
      <w:start w:val="1"/>
    </w:lvl>
  </w:abstractNum>
  <w:abstractNum w:abstractNumId="330">
    <w:nsid w:val="52C774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31">
    <w:nsid w:val="2BB5B1C6"/>
    <w:multiLevelType w:val="hybridMultilevel"/>
    <w:lvl w:ilvl="0">
      <w:lvlJc w:val="left"/>
      <w:lvlText w:val="%1"/>
      <w:numFmt w:val="decimal"/>
      <w:start w:val="1"/>
    </w:lvl>
    <w:lvl w:ilvl="1">
      <w:lvlJc w:val="left"/>
      <w:lvlText w:val="(%2)"/>
      <w:numFmt w:val="lowerLetter"/>
      <w:start w:val="8"/>
    </w:lvl>
  </w:abstractNum>
  <w:abstractNum w:abstractNumId="332">
    <w:nsid w:val="66BE6B9"/>
    <w:multiLevelType w:val="hybridMultilevel"/>
    <w:lvl w:ilvl="0">
      <w:lvlJc w:val="left"/>
      <w:lvlText w:val="%1."/>
      <w:numFmt w:val="decimal"/>
      <w:start w:val="2"/>
    </w:lvl>
    <w:lvl w:ilvl="1">
      <w:lvlJc w:val="left"/>
      <w:lvlText w:val="%2"/>
      <w:numFmt w:val="lowerLetter"/>
      <w:start w:val="1"/>
    </w:lvl>
  </w:abstractNum>
  <w:abstractNum w:abstractNumId="333">
    <w:nsid w:val="62234363"/>
    <w:multiLevelType w:val="hybridMultilevel"/>
    <w:lvl w:ilvl="0">
      <w:lvlJc w:val="left"/>
      <w:lvlText w:val="%1"/>
      <w:numFmt w:val="decimal"/>
      <w:start w:val="1"/>
    </w:lvl>
    <w:lvl w:ilvl="1">
      <w:lvlJc w:val="left"/>
      <w:lvlText w:val="(%2)"/>
      <w:numFmt w:val="lowerLetter"/>
      <w:start w:val="1"/>
    </w:lvl>
  </w:abstractNum>
  <w:abstractNum w:abstractNumId="334">
    <w:nsid w:val="66D385C9"/>
    <w:multiLevelType w:val="hybridMultilevel"/>
    <w:lvl w:ilvl="0">
      <w:lvlJc w:val="left"/>
      <w:lvlText w:val="%1."/>
      <w:numFmt w:val="decimal"/>
      <w:start w:val="3"/>
    </w:lvl>
    <w:lvl w:ilvl="1">
      <w:lvlJc w:val="left"/>
      <w:lvlText w:val="%2"/>
      <w:numFmt w:val="lowerLetter"/>
      <w:start w:val="1"/>
    </w:lvl>
  </w:abstractNum>
  <w:abstractNum w:abstractNumId="335">
    <w:nsid w:val="596F6D8A"/>
    <w:multiLevelType w:val="hybridMultilevel"/>
    <w:lvl w:ilvl="0">
      <w:lvlJc w:val="left"/>
      <w:lvlText w:val="%1."/>
      <w:numFmt w:val="decimal"/>
      <w:start w:val="4"/>
    </w:lvl>
  </w:abstractNum>
  <w:abstractNum w:abstractNumId="336">
    <w:nsid w:val="5749361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37">
    <w:nsid w:val="73BC6770"/>
    <w:multiLevelType w:val="hybridMultilevel"/>
    <w:lvl w:ilvl="0">
      <w:lvlJc w:val="left"/>
      <w:lvlText w:val="%1."/>
      <w:numFmt w:val="decimal"/>
      <w:start w:val="1"/>
    </w:lvl>
  </w:abstractNum>
  <w:abstractNum w:abstractNumId="338">
    <w:nsid w:val="280E6897"/>
    <w:multiLevelType w:val="hybridMultilevel"/>
    <w:lvl w:ilvl="0">
      <w:lvlJc w:val="left"/>
      <w:lvlText w:val="%1."/>
      <w:numFmt w:val="decimal"/>
      <w:start w:val="3"/>
    </w:lvl>
    <w:lvl w:ilvl="1">
      <w:lvlJc w:val="left"/>
      <w:lvlText w:val="-"/>
      <w:numFmt w:val="bullet"/>
      <w:start w:val="1"/>
    </w:lvl>
  </w:abstractNum>
  <w:abstractNum w:abstractNumId="339">
    <w:nsid w:val="605138DE"/>
    <w:multiLevelType w:val="hybridMultilevel"/>
    <w:lvl w:ilvl="0">
      <w:lvlJc w:val="left"/>
      <w:lvlText w:val="%1."/>
      <w:numFmt w:val="decimal"/>
      <w:start w:val="1"/>
    </w:lvl>
    <w:lvl w:ilvl="1">
      <w:lvlJc w:val="left"/>
      <w:lvlText w:val="(%2)"/>
      <w:numFmt w:val="lowerLetter"/>
      <w:start w:val="1"/>
    </w:lvl>
  </w:abstractNum>
  <w:abstractNum w:abstractNumId="340">
    <w:nsid w:val="2622AD0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41">
    <w:nsid w:val="67997556"/>
    <w:multiLevelType w:val="hybridMultilevel"/>
    <w:lvl w:ilvl="0">
      <w:lvlJc w:val="left"/>
      <w:lvlText w:val="(%1)"/>
      <w:numFmt w:val="lowerLetter"/>
      <w:start w:val="1"/>
    </w:lvl>
    <w:lvl w:ilvl="1">
      <w:lvlJc w:val="left"/>
      <w:lvlText w:val="(%2)"/>
      <w:numFmt w:val="lowerRoman"/>
      <w:start w:val="1"/>
    </w:lvl>
  </w:abstractNum>
  <w:abstractNum w:abstractNumId="342">
    <w:nsid w:val="18333C89"/>
    <w:multiLevelType w:val="hybridMultilevel"/>
    <w:lvl w:ilvl="0">
      <w:lvlJc w:val="left"/>
      <w:lvlText w:val="["/>
      <w:numFmt w:val="bullet"/>
      <w:start w:val="1"/>
    </w:lvl>
  </w:abstractNum>
  <w:abstractNum w:abstractNumId="343">
    <w:nsid w:val="4BA9831A"/>
    <w:multiLevelType w:val="hybridMultilevel"/>
    <w:lvl w:ilvl="0">
      <w:lvlJc w:val="left"/>
      <w:lvlText w:val="%1."/>
      <w:numFmt w:val="decimal"/>
      <w:start w:val="1"/>
    </w:lvl>
  </w:abstractNum>
  <w:abstractNum w:abstractNumId="344">
    <w:nsid w:val="6D71A2B"/>
    <w:multiLevelType w:val="hybridMultilevel"/>
    <w:lvl w:ilvl="0">
      <w:lvlJc w:val="left"/>
      <w:lvlText w:val="1"/>
      <w:numFmt w:val="bullet"/>
      <w:start w:val="1"/>
    </w:lvl>
    <w:lvl w:ilvl="1">
      <w:lvlJc w:val="left"/>
      <w:lvlText w:val="-"/>
      <w:numFmt w:val="bullet"/>
      <w:start w:val="1"/>
    </w:lvl>
  </w:abstractNum>
  <w:abstractNum w:abstractNumId="345">
    <w:nsid w:val="CFC7321"/>
    <w:multiLevelType w:val="hybridMultilevel"/>
    <w:lvl w:ilvl="0">
      <w:lvlJc w:val="left"/>
      <w:lvlText w:val="(%1)"/>
      <w:numFmt w:val="decimal"/>
      <w:start w:val="1"/>
    </w:lvl>
  </w:abstractNum>
  <w:abstractNum w:abstractNumId="346">
    <w:nsid w:val="1421971B"/>
    <w:multiLevelType w:val="hybridMultilevel"/>
    <w:lvl w:ilvl="0">
      <w:lvlJc w:val="left"/>
      <w:lvlText w:val="%1."/>
      <w:numFmt w:val="decimal"/>
      <w:start w:val="1"/>
    </w:lvl>
  </w:abstractNum>
  <w:abstractNum w:abstractNumId="347">
    <w:nsid w:val="1F404301"/>
    <w:multiLevelType w:val="hybridMultilevel"/>
    <w:lvl w:ilvl="0">
      <w:lvlJc w:val="left"/>
      <w:lvlText w:val="%1."/>
      <w:numFmt w:val="decimal"/>
      <w:start w:val="2"/>
    </w:lvl>
  </w:abstractNum>
  <w:abstractNum w:abstractNumId="348">
    <w:nsid w:val="116E0907"/>
    <w:multiLevelType w:val="hybridMultilevel"/>
    <w:lvl w:ilvl="0">
      <w:lvlJc w:val="left"/>
      <w:lvlText w:val="(%1)"/>
      <w:numFmt w:val="lowerLetter"/>
      <w:start w:val="1"/>
    </w:lvl>
    <w:lvl w:ilvl="1">
      <w:lvlJc w:val="left"/>
      <w:lvlText w:val="-"/>
      <w:numFmt w:val="bullet"/>
      <w:start w:val="1"/>
    </w:lvl>
  </w:abstractNum>
  <w:abstractNum w:abstractNumId="349">
    <w:nsid w:val="4B683D0D"/>
    <w:multiLevelType w:val="hybridMultilevel"/>
    <w:lvl w:ilvl="0">
      <w:lvlJc w:val="left"/>
      <w:lvlText w:val="(%1)"/>
      <w:numFmt w:val="lowerLetter"/>
      <w:start w:val="2"/>
    </w:lvl>
  </w:abstractNum>
  <w:abstractNum w:abstractNumId="350">
    <w:nsid w:val="76E41D8"/>
    <w:multiLevelType w:val="hybridMultilevel"/>
    <w:lvl w:ilvl="0">
      <w:lvlJc w:val="left"/>
      <w:lvlText w:val="%1."/>
      <w:numFmt w:val="decimal"/>
      <w:start w:val="3"/>
    </w:lvl>
  </w:abstractNum>
  <w:abstractNum w:abstractNumId="351">
    <w:nsid w:val="71DCE0FD"/>
    <w:multiLevelType w:val="hybridMultilevel"/>
    <w:lvl w:ilvl="0">
      <w:lvlJc w:val="left"/>
      <w:lvlText w:val="%1."/>
      <w:numFmt w:val="decimal"/>
      <w:start w:val="4"/>
    </w:lvl>
  </w:abstractNum>
  <w:abstractNum w:abstractNumId="352">
    <w:nsid w:val="7906328B"/>
    <w:multiLevelType w:val="hybridMultilevel"/>
    <w:lvl w:ilvl="0">
      <w:lvlJc w:val="left"/>
      <w:lvlText w:val="%1."/>
      <w:numFmt w:val="decimal"/>
      <w:start w:val="5"/>
    </w:lvl>
  </w:abstractNum>
  <w:abstractNum w:abstractNumId="353">
    <w:nsid w:val="72BBC16"/>
    <w:multiLevelType w:val="hybridMultilevel"/>
    <w:lvl w:ilvl="0">
      <w:lvlJc w:val="left"/>
      <w:lvlText w:val="%1."/>
      <w:numFmt w:val="decimal"/>
      <w:start w:val="6"/>
    </w:lvl>
  </w:abstractNum>
  <w:abstractNum w:abstractNumId="354">
    <w:nsid w:val="766D98C2"/>
    <w:multiLevelType w:val="hybridMultilevel"/>
    <w:lvl w:ilvl="0">
      <w:lvlJc w:val="left"/>
      <w:lvlText w:val="%1."/>
      <w:numFmt w:val="decimal"/>
      <w:start w:val="7"/>
    </w:lvl>
  </w:abstractNum>
  <w:abstractNum w:abstractNumId="355">
    <w:nsid w:val="3C09D4A1"/>
    <w:multiLevelType w:val="hybridMultilevel"/>
    <w:lvl w:ilvl="0">
      <w:lvlJc w:val="left"/>
      <w:lvlText w:val="%1."/>
      <w:numFmt w:val="decimal"/>
      <w:start w:val="8"/>
    </w:lvl>
  </w:abstractNum>
  <w:abstractNum w:abstractNumId="356">
    <w:nsid w:val="20E45CA4"/>
    <w:multiLevelType w:val="hybridMultilevel"/>
    <w:lvl w:ilvl="0">
      <w:lvlJc w:val="left"/>
      <w:lvlText w:val="%1."/>
      <w:numFmt w:val="decimal"/>
      <w:start w:val="9"/>
    </w:lvl>
  </w:abstractNum>
  <w:abstractNum w:abstractNumId="357">
    <w:nsid w:val="4B232EE3"/>
    <w:multiLevelType w:val="hybridMultilevel"/>
    <w:lvl w:ilvl="0">
      <w:lvlJc w:val="left"/>
      <w:lvlText w:val="%1."/>
      <w:numFmt w:val="decimal"/>
      <w:start w:val="10"/>
    </w:lvl>
  </w:abstractNum>
  <w:abstractNum w:abstractNumId="358">
    <w:nsid w:val="159C74CF"/>
    <w:multiLevelType w:val="hybridMultilevel"/>
    <w:lvl w:ilvl="0">
      <w:lvlJc w:val="left"/>
      <w:lvlText w:val="%1."/>
      <w:numFmt w:val="decimal"/>
      <w:start w:val="11"/>
    </w:lvl>
  </w:abstractNum>
  <w:abstractNum w:abstractNumId="359">
    <w:nsid w:val="4AD3AFD2"/>
    <w:multiLevelType w:val="hybridMultilevel"/>
    <w:lvl w:ilvl="0">
      <w:lvlJc w:val="left"/>
      <w:lvlText w:val="%1."/>
      <w:numFmt w:val="decimal"/>
      <w:start w:val="12"/>
    </w:lvl>
  </w:abstractNum>
  <w:abstractNum w:abstractNumId="360">
    <w:nsid w:val="3CF93092"/>
    <w:multiLevelType w:val="hybridMultilevel"/>
    <w:lvl w:ilvl="0">
      <w:lvlJc w:val="left"/>
      <w:lvlText w:val="(%1)"/>
      <w:numFmt w:val="lowerLetter"/>
      <w:start w:val="1"/>
    </w:lvl>
    <w:lvl w:ilvl="1">
      <w:lvlJc w:val="left"/>
      <w:lvlText w:val="-"/>
      <w:numFmt w:val="bullet"/>
      <w:start w:val="1"/>
    </w:lvl>
  </w:abstractNum>
  <w:abstractNum w:abstractNumId="361">
    <w:nsid w:val="6863E8D2"/>
    <w:multiLevelType w:val="hybridMultilevel"/>
    <w:lvl w:ilvl="0">
      <w:lvlJc w:val="left"/>
      <w:lvlText w:val="(%1)"/>
      <w:numFmt w:val="lowerLetter"/>
      <w:start w:val="3"/>
    </w:lvl>
  </w:abstractNum>
  <w:abstractNum w:abstractNumId="362">
    <w:nsid w:val="768961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2020-06-15T16:19:12Z</dcterms:created>
  <dcterms:modified xsi:type="dcterms:W3CDTF">2020-06-15T16:19:12Z</dcterms:modified>
</cp:coreProperties>
</file>