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March 29, 2017</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001-37983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+44 2034293950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Offers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March 29, 2017, TechnipFMC plc (“TechnipFMC”) settled its previously announced exchange offers and consent solicitations (the “Exchange Offers”) for (i) any and all 2.00% Senior Notes due October 1, 2017 (the “Existing 2017 Notes”) issued by FMC Technologies, Inc. (“FMCTI”) for up to an aggregate principal amount of $300 million of new 2.00% Senior Notes due October 1, 2017 (the “New 2017 Notes”) issued by TechnipFMC and cash, and (ii) any and all 3.45% Senior Notes due October 1, 2022 (the “Existing 2022 Notes”) issued by FMCTI for up to an aggregate principal amount of $500 million in new 3.45% Senior Notes due October 1, 2022 (the “New 2022 Notes”) issued by TechnipFMC, with registration rights, and cash.</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Existing 2017 Notes and the Existing 2022 Notes are referred to herein collectively as the “Existing Notes.” The New 2017 Notes and the New 2022 Notes are referred to herein collectively as the “New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Notes</w:t>
      </w:r>
    </w:p>
    <w:p>
      <w:pPr>
        <w:spacing w:after="0" w:line="117"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color w:val="auto"/>
        </w:rPr>
        <w:t>Pursuant to the Exchange Offers, TechnipFMC issued approximately (i) $215.4 million in aggregate principal amount of New 2017 Notes and (ii) $459.8 million in aggregate principal amount of New 2022 Notes.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New 2017 Notes will mature on October 1, 2017, and bear interest at a rate per annum equal to 2.00%. The New 2022 Notes will mature on October 1, 2022, and bear interest at a rate per annum equal to 3.45%.</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New Notes are senior unsecured obligations of TechnipFMC, rank equally in right of payment with all of its other senior unsecured debt, effectively rank junior to any secured debt of TechnipFMC, to the extent of the value of the collateral securing that debt, and are structurally subordinated to the secured and unsecured debt of TechnipFMC’s subsidiaries, including any debt of FMCTI that remains outstanding. The New Notes have not been registered under the United States Securities Act of 1933 (the “Securities Act”), as amended, and may not be offered or sold in the United States absent registration or an applicable exemption from the registration requirements of the Securities Act.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terms of the New Notes are governed by an indenture, dated March 29, 2017 (the “New Base Indenture”), as supplemented with respect to the New 2017 Notes by the first supplemental indenture, dated March 29, 2017 (the “First Supplemental Indenture”), and as supplemented with respect to the New 2022 Notes by the second supplemental indenture, dated March 29, 2017 (the “Second Supplemental Indenture” and collectively with the New Base Indenture and the First Supplemental Indenture, the “New Indenture”), in each case by and between TechnipFMC and U.S. Bank National Association, as trustee.</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TechnipFMC may, at any time prior to their maturity, in the case of the New 2017 Notes, and at any time prior to July 1, 2022 (the date that is three months prior to the maturity date of the New 2022 Notes), in the case of the New 2022 Notes, redeem some or all of such New Notes at a redemption price equal to the greater of: (i) 100% of the principal amount of the notes being redeemed or (ii) the sum of the present values of the remaining scheduled payments of principal and interest in respect of the notes being redeemed (exclusive of interest accrued to the date of redemption), discounted to the redemption date on a semiannual basis (assuming a 360-day year consisting of twelve 30-day months) at the Treasury Rate (as defined in the New Indenture) plus 20 basis points in the case of the New 2017 Notes and 25 basis points in the case of the New 2022 Notes, plus, in either case, accrued and unpaid interest to, but not including, the redemption date.</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TechnipFMC may redeem the New 2022 Notes on or after July 1, 2022 (the date that is three months prior to the maturity date of the New 2022 Notes), at a redemption price equal to 100% of the principal amount of the New 2022 Notes redeemed, plus accrued and unpaid interest to, but not including, the redemption date.</w:t>
      </w:r>
    </w:p>
    <w:p>
      <w:pPr>
        <w:spacing w:after="0" w:line="18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certain circumstances, the New Indenture restricts TechnipFMC’s ability and the ability of its subsidiaries to: (i) place liens on TechnipFMC’s principal assets and those of its subsidiaries without securing the New Notes equally and ratably with the other indebtedness secured by such liens; (ii) engage in certain sale-leaseback transactions; and (iii) consolidate or merge with, or sell, convey, transfer or lease all or substantially all of TechnipFMC’s assets to, another entity. These covenants are subject to a number of important exceptions and qualifications.</w:t>
      </w:r>
    </w:p>
    <w:p>
      <w:pPr>
        <w:sectPr>
          <w:pgSz w:w="11900" w:h="16838" w:orient="portrait"/>
          <w:cols w:equalWidth="0" w:num="1">
            <w:col w:w="11420"/>
          </w:cols>
          <w:pgMar w:left="240" w:top="270" w:right="239" w:bottom="1440" w:gutter="0" w:footer="0" w:header="0"/>
        </w:sectPr>
      </w:pPr>
    </w:p>
    <w:bookmarkStart w:id="2" w:name="page3"/>
    <w:bookmarkEnd w:id="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contains customary events of default with respect to the New Notes of either series, including: default in any payment of interest on any note of that series when due, continued for 30 days; default in the payment of principal of or premium, if any, on any note of that series when due; failure by TechnipFMC to comply with its obligations under the New Indenture, in certain cases subject to notice and grace periods; and certain events of bankruptcy, insolvency or reorganization of TechnipFMC. If an event of default under the New Indenture occurs and is continuing, the Trustee or the holders of at least 25% in principal amount of the series of New Notes affected by such default may declare the principal of, together with any accrued but unpaid premium or interest, if any, on the notes of that series to be due and payable immediately, or, in the case of certain events of default relating to bankruptcy, insolvency or reorganization, those amounts will automatically become immediately due and payable.</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foregoing descriptions of the New Notes and the New Indenture are qualified in their entirety by reference to the New Base Indenture, the First Supplemental Indenture and the Second Supplemental Indenture (including the forms of the New Notes attached thereto), copies of which are filed herewith as Exhibits 4.1, 4.2 and 4.3, respectively, and are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connection with the issuance of the New Notes, TechnipFMC also entered into a registration rights agreement, dated March 29, 2017 (the “Registration Rights Agreement”), by and between TechnipFMC, as issuer, and each of Merrill Lynch, Pierce, Fenner &amp; Smith Incorporated and Wells Fargo Securities, LLC, as dealer managers (the “Dealer Managers”). Under the Registration Rights Agreement, TechnipFMC agreed, among other things, to: (i) file an exchange offer registration statement with the SEC with respect to the New Notes within 180 days after March 29, 2017 (the “Settlement Date”); (ii) cause such exchange offer registration statement to be declared effective by the SEC within 255 calendar days after the Settlement Date; and (iii) subject to certain limitations, cause the exchange offers to be consummated not later than 365 days following the Settlement Date, provided that, the obligation to register the New 2017 Notes will expire upon their maturity on October 1, 2017.</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among other events, the exchange offers are not consummated on or prior to the 365th day following the Settlement Date, TechnipFMC would be required to pay special additional interest, in an amount equal to 0.25% per annum of the principal amount of the New Notes, for the first 90 days following default. Thereafter, the amount of special additional interest will increase to 0.50% per annum until the default is cured.</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description of the Registration Rights Agreement is qualified in its entirety by reference to the Registration Rights Agreement, a copy of which is filed as Exhibit 4.4 to this Current Report on Form 8-K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Existing Notes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consummation of the Exchange Offers, FMCTI had outstanding approximately (i) $84.6 million in aggregate principal amount of Existing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2017 Notes, and (ii) $40.1 million in aggregate principal amount of Existing 2022 Notes. The Existing Notes were issued under an indenture,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21, 2012, supplemented by a first supplemental indenture dated February 21, 2012 and a second supplemental indenture dated February 21, 2012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supplemented, the “Existing FMCTI Indenture”), by and between FMCTI and U.S. Bank National Association, as trustee. In connection with the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Offers, FMCTI solicited the consents of the holders of the Existing Notes to amend the Existing FMCTI Indenture to remove certain restrictive and reporting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covenants. The Existing Notes are the senior unsecured obligations of FMCTI.</w:t>
      </w:r>
    </w:p>
    <w:p>
      <w:pPr>
        <w:sectPr>
          <w:pgSz w:w="11900" w:h="16838" w:orient="portrait"/>
          <w:cols w:equalWidth="0" w:num="1">
            <w:col w:w="11400"/>
          </w:cols>
          <w:pgMar w:left="240" w:top="274" w:right="25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of this Current Report on Form 8-K is incorporated into this Item 2.03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71"/>
        </w:trPr>
        <w:tc>
          <w:tcPr>
            <w:tcW w:w="5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4"/>
              </w:rPr>
              <w:t>Number</w:t>
            </w:r>
          </w:p>
        </w:tc>
        <w:tc>
          <w:tcPr>
            <w:tcW w:w="5420" w:type="dxa"/>
            <w:vAlign w:val="bottom"/>
          </w:tcPr>
          <w:p>
            <w:pPr>
              <w:spacing w:after="0"/>
              <w:rPr>
                <w:sz w:val="14"/>
                <w:szCs w:val="14"/>
                <w:color w:val="auto"/>
              </w:rPr>
            </w:pPr>
          </w:p>
        </w:tc>
        <w:tc>
          <w:tcPr>
            <w:tcW w:w="54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05"/>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Indenture, dated March 29, 2017, between TechnipFMC plc and U.S. Bank National Association.</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0"/>
              </w:rPr>
              <w:t>First Supplemental Indenture, dated March 29, 2017, between TechnipFMC plc and U.S. Bank National Association, as trustee (including the</w:t>
            </w: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2.00% Senior Notes due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1"/>
              </w:rPr>
              <w:t>Second Supplemental Indenture, dated March 29, 2017, between TechnipFMC plc and U.S. Bank National Association, as trustee (including</w:t>
            </w: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the form of 3.45% Senior Notes due 2022).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6"/>
              </w:rPr>
              <w:t>Registration Rights Agreement, dated March 29, 2017, between TechnipFMC plc, and each of Merrill Lynch, Pierce, Fenner &amp; Smith</w:t>
            </w:r>
          </w:p>
        </w:tc>
      </w:tr>
      <w:tr>
        <w:trPr>
          <w:trHeight w:val="230"/>
        </w:trPr>
        <w:tc>
          <w:tcPr>
            <w:tcW w:w="520" w:type="dxa"/>
            <w:vAlign w:val="bottom"/>
          </w:tcPr>
          <w:p>
            <w:pPr>
              <w:spacing w:after="0"/>
              <w:rPr>
                <w:sz w:val="20"/>
                <w:szCs w:val="20"/>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Incorporated and Wells Fargo Securities, LLC, as dealer managers.</w:t>
            </w:r>
          </w:p>
        </w:tc>
      </w:tr>
    </w:tbl>
    <w:p>
      <w:pPr>
        <w:sectPr>
          <w:pgSz w:w="11900" w:h="16838" w:orient="portrait"/>
          <w:cols w:equalWidth="0" w:num="1">
            <w:col w:w="11360"/>
          </w:cols>
          <w:pgMar w:left="240" w:top="270"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TechnipFMC plc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March 29, 2017</w:t>
            </w:r>
          </w:p>
        </w:tc>
        <w:tc>
          <w:tcPr>
            <w:tcW w:w="270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Dianne B. Ralston</w:t>
            </w:r>
          </w:p>
        </w:tc>
      </w:tr>
      <w:tr>
        <w:trPr>
          <w:trHeight w:val="209"/>
        </w:trPr>
        <w:tc>
          <w:tcPr>
            <w:tcW w:w="3700" w:type="dxa"/>
            <w:vAlign w:val="bottom"/>
          </w:tcPr>
          <w:p>
            <w:pPr>
              <w:spacing w:after="0"/>
              <w:rPr>
                <w:sz w:val="18"/>
                <w:szCs w:val="18"/>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Dianne B. Ralston</w:t>
            </w:r>
          </w:p>
        </w:tc>
      </w:tr>
      <w:tr>
        <w:trPr>
          <w:trHeight w:val="230"/>
        </w:trPr>
        <w:tc>
          <w:tcPr>
            <w:tcW w:w="3700" w:type="dxa"/>
            <w:vAlign w:val="bottom"/>
          </w:tcPr>
          <w:p>
            <w:pPr>
              <w:spacing w:after="0"/>
              <w:rPr>
                <w:sz w:val="20"/>
                <w:szCs w:val="20"/>
                <w:color w:val="auto"/>
              </w:rPr>
            </w:pPr>
          </w:p>
        </w:tc>
        <w:tc>
          <w:tcPr>
            <w:tcW w:w="2700" w:type="dxa"/>
            <w:vAlign w:val="bottom"/>
          </w:tcPr>
          <w:p>
            <w:pPr>
              <w:ind w:left="21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Chief Legal Officer and Secretary</w:t>
            </w:r>
          </w:p>
        </w:tc>
      </w:tr>
    </w:tbl>
    <w:p>
      <w:pPr>
        <w:sectPr>
          <w:pgSz w:w="11900" w:h="16838" w:orient="portrait"/>
          <w:cols w:equalWidth="0" w:num="1">
            <w:col w:w="11420"/>
          </w:cols>
          <w:pgMar w:left="240" w:top="27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1360"/>
          </w:cols>
          <w:pgMar w:left="240" w:top="270" w:right="299" w:bottom="1440" w:gutter="0" w:footer="0" w:header="0"/>
        </w:sect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478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Indenture, dated March 29, 2017, between TechnipFMC plc and U.S. Bank National Association.</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First Supplemental Indenture, dated March 29, 2017, between TechnipFMC plc and U.S. Bank National Association, as trustee (including the form of 2.00% Senior Notes due 2017).</w:t>
      </w:r>
    </w:p>
    <w:p>
      <w:pPr>
        <w:spacing w:after="0" w:line="62" w:lineRule="exact"/>
        <w:rPr>
          <w:sz w:val="20"/>
          <w:szCs w:val="20"/>
          <w:color w:val="auto"/>
        </w:rPr>
      </w:pPr>
    </w:p>
    <w:p>
      <w:pPr>
        <w:sectPr>
          <w:pgSz w:w="11900" w:h="16838" w:orient="portrait"/>
          <w:cols w:equalWidth="0" w:num="2">
            <w:col w:w="520" w:space="640"/>
            <w:col w:w="10200"/>
          </w:cols>
          <w:pgMar w:left="240" w:top="270" w:right="2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4.3</w:t>
            </w:r>
          </w:p>
        </w:tc>
        <w:tc>
          <w:tcPr>
            <w:tcW w:w="10600" w:type="dxa"/>
            <w:vAlign w:val="bottom"/>
          </w:tcPr>
          <w:p>
            <w:pPr>
              <w:ind w:left="460"/>
              <w:spacing w:after="0"/>
              <w:rPr>
                <w:sz w:val="20"/>
                <w:szCs w:val="20"/>
                <w:color w:val="auto"/>
              </w:rPr>
            </w:pPr>
            <w:r>
              <w:rPr>
                <w:rFonts w:ascii="Arial" w:cs="Arial" w:eastAsia="Arial" w:hAnsi="Arial"/>
                <w:sz w:val="18"/>
                <w:szCs w:val="18"/>
                <w:color w:val="auto"/>
                <w:w w:val="90"/>
              </w:rPr>
              <w:t>Second Supplemental Indenture, dated March 29, 2017, between TechnipFMC plc and U.S. Bank National Association, as trustee (including</w:t>
            </w:r>
          </w:p>
        </w:tc>
      </w:tr>
      <w:tr>
        <w:trPr>
          <w:trHeight w:val="230"/>
        </w:trPr>
        <w:tc>
          <w:tcPr>
            <w:tcW w:w="700" w:type="dxa"/>
            <w:vAlign w:val="bottom"/>
          </w:tcPr>
          <w:p>
            <w:pPr>
              <w:spacing w:after="0"/>
              <w:rPr>
                <w:sz w:val="20"/>
                <w:szCs w:val="20"/>
                <w:color w:val="auto"/>
              </w:rPr>
            </w:pPr>
          </w:p>
        </w:tc>
        <w:tc>
          <w:tcPr>
            <w:tcW w:w="10600" w:type="dxa"/>
            <w:vAlign w:val="bottom"/>
          </w:tcPr>
          <w:p>
            <w:pPr>
              <w:ind w:left="460"/>
              <w:spacing w:after="0"/>
              <w:rPr>
                <w:sz w:val="20"/>
                <w:szCs w:val="20"/>
                <w:color w:val="auto"/>
              </w:rPr>
            </w:pPr>
            <w:r>
              <w:rPr>
                <w:rFonts w:ascii="Arial" w:cs="Arial" w:eastAsia="Arial" w:hAnsi="Arial"/>
                <w:sz w:val="18"/>
                <w:szCs w:val="18"/>
                <w:color w:val="auto"/>
              </w:rPr>
              <w:t>the form of 3.45% Senior Notes due 2022).</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4.4</w:t>
            </w:r>
          </w:p>
        </w:tc>
        <w:tc>
          <w:tcPr>
            <w:tcW w:w="10600" w:type="dxa"/>
            <w:vAlign w:val="bottom"/>
          </w:tcPr>
          <w:p>
            <w:pPr>
              <w:ind w:left="460"/>
              <w:spacing w:after="0"/>
              <w:rPr>
                <w:sz w:val="20"/>
                <w:szCs w:val="20"/>
                <w:color w:val="auto"/>
              </w:rPr>
            </w:pPr>
            <w:r>
              <w:rPr>
                <w:rFonts w:ascii="Arial" w:cs="Arial" w:eastAsia="Arial" w:hAnsi="Arial"/>
                <w:sz w:val="18"/>
                <w:szCs w:val="18"/>
                <w:color w:val="auto"/>
                <w:w w:val="96"/>
              </w:rPr>
              <w:t>Registration Rights Agreement, dated March 29, 2017, between TechnipFMC plc, and each of Merrill Lynch, Pierce, Fenner &amp; Smith</w:t>
            </w:r>
          </w:p>
        </w:tc>
      </w:tr>
      <w:tr>
        <w:trPr>
          <w:trHeight w:val="230"/>
        </w:trPr>
        <w:tc>
          <w:tcPr>
            <w:tcW w:w="700" w:type="dxa"/>
            <w:vAlign w:val="bottom"/>
          </w:tcPr>
          <w:p>
            <w:pPr>
              <w:spacing w:after="0"/>
              <w:rPr>
                <w:sz w:val="20"/>
                <w:szCs w:val="20"/>
                <w:color w:val="auto"/>
              </w:rPr>
            </w:pPr>
          </w:p>
        </w:tc>
        <w:tc>
          <w:tcPr>
            <w:tcW w:w="10600" w:type="dxa"/>
            <w:vAlign w:val="bottom"/>
          </w:tcPr>
          <w:p>
            <w:pPr>
              <w:ind w:left="460"/>
              <w:spacing w:after="0"/>
              <w:rPr>
                <w:sz w:val="20"/>
                <w:szCs w:val="20"/>
                <w:color w:val="auto"/>
              </w:rPr>
            </w:pPr>
            <w:r>
              <w:rPr>
                <w:rFonts w:ascii="Arial" w:cs="Arial" w:eastAsia="Arial" w:hAnsi="Arial"/>
                <w:sz w:val="18"/>
                <w:szCs w:val="18"/>
                <w:color w:val="auto"/>
              </w:rPr>
              <w:t>Incorporated and Wells Fargo Securities, LLC, as dealer managers.</w:t>
            </w:r>
          </w:p>
        </w:tc>
      </w:tr>
    </w:tbl>
    <w:p>
      <w:pPr>
        <w:sectPr>
          <w:pgSz w:w="11900" w:h="16838" w:orient="portrait"/>
          <w:cols w:equalWidth="0" w:num="1">
            <w:col w:w="11360"/>
          </w:cols>
          <w:pgMar w:left="240" w:top="270" w:right="29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TECHNIPFMC PLC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U.S. BANK NATIONAL ASSOCIATION,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March 29, 2017</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Reconciliation and tie between Trust Indenture Act of 1939</w:t>
            </w:r>
          </w:p>
        </w:tc>
        <w:tc>
          <w:tcPr>
            <w:tcW w:w="228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4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and Indenture, dated as of March 29, 2017</w:t>
            </w:r>
          </w:p>
        </w:tc>
        <w:tc>
          <w:tcPr>
            <w:tcW w:w="2280" w:type="dxa"/>
            <w:vAlign w:val="bottom"/>
          </w:tcPr>
          <w:p>
            <w:pPr>
              <w:spacing w:after="0"/>
              <w:rPr>
                <w:sz w:val="20"/>
                <w:szCs w:val="20"/>
                <w:color w:val="auto"/>
              </w:rPr>
            </w:pPr>
          </w:p>
        </w:tc>
      </w:tr>
      <w:tr>
        <w:trPr>
          <w:trHeight w:val="412"/>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Section of Trust Indenture Act of 1939</w:t>
            </w:r>
          </w:p>
        </w:tc>
        <w:tc>
          <w:tcPr>
            <w:tcW w:w="300" w:type="dxa"/>
            <w:vAlign w:val="bottom"/>
            <w:tcBorders>
              <w:bottom w:val="single" w:sz="8" w:color="auto"/>
            </w:tcBorders>
          </w:tcPr>
          <w:p>
            <w:pPr>
              <w:spacing w:after="0"/>
              <w:rPr>
                <w:sz w:val="24"/>
                <w:szCs w:val="24"/>
                <w:color w:val="auto"/>
              </w:rPr>
            </w:pPr>
          </w:p>
        </w:tc>
        <w:tc>
          <w:tcPr>
            <w:tcW w:w="6340" w:type="dxa"/>
            <w:vAlign w:val="bottom"/>
          </w:tcPr>
          <w:p>
            <w:pPr>
              <w:spacing w:after="0"/>
              <w:rPr>
                <w:sz w:val="24"/>
                <w:szCs w:val="24"/>
                <w:color w:val="auto"/>
              </w:rPr>
            </w:pPr>
          </w:p>
        </w:tc>
        <w:tc>
          <w:tcPr>
            <w:tcW w:w="22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Section(s) of Indenture</w:t>
            </w:r>
          </w:p>
        </w:tc>
      </w:tr>
      <w:tr>
        <w:trPr>
          <w:trHeight w:val="189"/>
        </w:trPr>
        <w:tc>
          <w:tcPr>
            <w:tcW w:w="2500" w:type="dxa"/>
            <w:vAlign w:val="bottom"/>
          </w:tcPr>
          <w:p>
            <w:pPr>
              <w:spacing w:after="0" w:line="189" w:lineRule="exact"/>
              <w:rPr>
                <w:sz w:val="20"/>
                <w:szCs w:val="20"/>
                <w:color w:val="auto"/>
              </w:rPr>
            </w:pPr>
            <w:r>
              <w:rPr>
                <w:rFonts w:ascii="Arial" w:cs="Arial" w:eastAsia="Arial" w:hAnsi="Arial"/>
                <w:sz w:val="18"/>
                <w:szCs w:val="18"/>
                <w:color w:val="auto"/>
              </w:rPr>
              <w:t>Section 310</w:t>
            </w:r>
          </w:p>
        </w:tc>
        <w:tc>
          <w:tcPr>
            <w:tcW w:w="66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(a)(1)</w:t>
            </w:r>
          </w:p>
        </w:tc>
        <w:tc>
          <w:tcPr>
            <w:tcW w:w="2280" w:type="dxa"/>
            <w:vAlign w:val="bottom"/>
          </w:tcPr>
          <w:p>
            <w:pPr>
              <w:spacing w:after="0" w:line="189" w:lineRule="exact"/>
              <w:rPr>
                <w:sz w:val="20"/>
                <w:szCs w:val="20"/>
                <w:color w:val="auto"/>
              </w:rPr>
            </w:pPr>
            <w:r>
              <w:rPr>
                <w:rFonts w:ascii="Arial" w:cs="Arial" w:eastAsia="Arial" w:hAnsi="Arial"/>
                <w:sz w:val="18"/>
                <w:szCs w:val="18"/>
                <w:color w:val="auto"/>
              </w:rPr>
              <w:t>609</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(a)(2)</w:t>
            </w:r>
          </w:p>
        </w:tc>
        <w:tc>
          <w:tcPr>
            <w:tcW w:w="2280" w:type="dxa"/>
            <w:vAlign w:val="bottom"/>
          </w:tcPr>
          <w:p>
            <w:pPr>
              <w:spacing w:after="0"/>
              <w:rPr>
                <w:sz w:val="20"/>
                <w:szCs w:val="20"/>
                <w:color w:val="auto"/>
              </w:rPr>
            </w:pPr>
            <w:r>
              <w:rPr>
                <w:rFonts w:ascii="Arial" w:cs="Arial" w:eastAsia="Arial" w:hAnsi="Arial"/>
                <w:sz w:val="18"/>
                <w:szCs w:val="18"/>
                <w:color w:val="auto"/>
              </w:rPr>
              <w:t>609</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(a)(3)</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(a)(4)</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(a)(5)</w:t>
            </w:r>
          </w:p>
        </w:tc>
        <w:tc>
          <w:tcPr>
            <w:tcW w:w="2280" w:type="dxa"/>
            <w:vAlign w:val="bottom"/>
          </w:tcPr>
          <w:p>
            <w:pPr>
              <w:spacing w:after="0"/>
              <w:rPr>
                <w:sz w:val="20"/>
                <w:szCs w:val="20"/>
                <w:color w:val="auto"/>
              </w:rPr>
            </w:pPr>
            <w:r>
              <w:rPr>
                <w:rFonts w:ascii="Arial" w:cs="Arial" w:eastAsia="Arial" w:hAnsi="Arial"/>
                <w:sz w:val="18"/>
                <w:szCs w:val="18"/>
                <w:color w:val="auto"/>
              </w:rPr>
              <w:t>609</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608</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Section 311</w:t>
            </w: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2280" w:type="dxa"/>
            <w:vAlign w:val="bottom"/>
          </w:tcPr>
          <w:p>
            <w:pPr>
              <w:spacing w:after="0"/>
              <w:rPr>
                <w:sz w:val="20"/>
                <w:szCs w:val="20"/>
                <w:color w:val="auto"/>
              </w:rPr>
            </w:pPr>
            <w:r>
              <w:rPr>
                <w:rFonts w:ascii="Arial" w:cs="Arial" w:eastAsia="Arial" w:hAnsi="Arial"/>
                <w:sz w:val="18"/>
                <w:szCs w:val="18"/>
                <w:color w:val="auto"/>
              </w:rPr>
              <w:t>613</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613</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Section 312</w:t>
            </w: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2280" w:type="dxa"/>
            <w:vAlign w:val="bottom"/>
          </w:tcPr>
          <w:p>
            <w:pPr>
              <w:spacing w:after="0"/>
              <w:rPr>
                <w:sz w:val="20"/>
                <w:szCs w:val="20"/>
                <w:color w:val="auto"/>
              </w:rPr>
            </w:pPr>
            <w:r>
              <w:rPr>
                <w:rFonts w:ascii="Arial" w:cs="Arial" w:eastAsia="Arial" w:hAnsi="Arial"/>
                <w:sz w:val="18"/>
                <w:szCs w:val="18"/>
                <w:color w:val="auto"/>
              </w:rPr>
              <w:t>701, 702(a)</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702(b)</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2280" w:type="dxa"/>
            <w:vAlign w:val="bottom"/>
          </w:tcPr>
          <w:p>
            <w:pPr>
              <w:spacing w:after="0"/>
              <w:rPr>
                <w:sz w:val="20"/>
                <w:szCs w:val="20"/>
                <w:color w:val="auto"/>
              </w:rPr>
            </w:pPr>
            <w:r>
              <w:rPr>
                <w:rFonts w:ascii="Arial" w:cs="Arial" w:eastAsia="Arial" w:hAnsi="Arial"/>
                <w:sz w:val="18"/>
                <w:szCs w:val="18"/>
                <w:color w:val="auto"/>
              </w:rPr>
              <w:t>702(c)</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Section 313</w:t>
            </w: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2280" w:type="dxa"/>
            <w:vAlign w:val="bottom"/>
          </w:tcPr>
          <w:p>
            <w:pPr>
              <w:spacing w:after="0"/>
              <w:rPr>
                <w:sz w:val="20"/>
                <w:szCs w:val="20"/>
                <w:color w:val="auto"/>
              </w:rPr>
            </w:pPr>
            <w:r>
              <w:rPr>
                <w:rFonts w:ascii="Arial" w:cs="Arial" w:eastAsia="Arial" w:hAnsi="Arial"/>
                <w:sz w:val="18"/>
                <w:szCs w:val="18"/>
                <w:color w:val="auto"/>
              </w:rPr>
              <w:t>703(a)</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703(b)</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2280" w:type="dxa"/>
            <w:vAlign w:val="bottom"/>
          </w:tcPr>
          <w:p>
            <w:pPr>
              <w:spacing w:after="0"/>
              <w:rPr>
                <w:sz w:val="20"/>
                <w:szCs w:val="20"/>
                <w:color w:val="auto"/>
              </w:rPr>
            </w:pPr>
            <w:r>
              <w:rPr>
                <w:rFonts w:ascii="Arial" w:cs="Arial" w:eastAsia="Arial" w:hAnsi="Arial"/>
                <w:sz w:val="18"/>
                <w:szCs w:val="18"/>
                <w:color w:val="auto"/>
              </w:rPr>
              <w:t>703(c)</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(d)</w:t>
            </w:r>
          </w:p>
        </w:tc>
        <w:tc>
          <w:tcPr>
            <w:tcW w:w="2280" w:type="dxa"/>
            <w:vAlign w:val="bottom"/>
          </w:tcPr>
          <w:p>
            <w:pPr>
              <w:spacing w:after="0"/>
              <w:rPr>
                <w:sz w:val="20"/>
                <w:szCs w:val="20"/>
                <w:color w:val="auto"/>
              </w:rPr>
            </w:pPr>
            <w:r>
              <w:rPr>
                <w:rFonts w:ascii="Arial" w:cs="Arial" w:eastAsia="Arial" w:hAnsi="Arial"/>
                <w:sz w:val="18"/>
                <w:szCs w:val="18"/>
                <w:color w:val="auto"/>
              </w:rPr>
              <w:t>703(d)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Section 314</w:t>
            </w: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2280" w:type="dxa"/>
            <w:vAlign w:val="bottom"/>
          </w:tcPr>
          <w:p>
            <w:pPr>
              <w:spacing w:after="0"/>
              <w:rPr>
                <w:sz w:val="20"/>
                <w:szCs w:val="20"/>
                <w:color w:val="auto"/>
              </w:rPr>
            </w:pPr>
            <w:r>
              <w:rPr>
                <w:rFonts w:ascii="Arial" w:cs="Arial" w:eastAsia="Arial" w:hAnsi="Arial"/>
                <w:sz w:val="18"/>
                <w:szCs w:val="18"/>
                <w:color w:val="auto"/>
              </w:rPr>
              <w:t>103, 704, 1005</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(c)(1)</w:t>
            </w:r>
          </w:p>
        </w:tc>
        <w:tc>
          <w:tcPr>
            <w:tcW w:w="2280" w:type="dxa"/>
            <w:vAlign w:val="bottom"/>
          </w:tcPr>
          <w:p>
            <w:pPr>
              <w:spacing w:after="0"/>
              <w:rPr>
                <w:sz w:val="20"/>
                <w:szCs w:val="20"/>
                <w:color w:val="auto"/>
              </w:rPr>
            </w:pPr>
            <w:r>
              <w:rPr>
                <w:rFonts w:ascii="Arial" w:cs="Arial" w:eastAsia="Arial" w:hAnsi="Arial"/>
                <w:sz w:val="18"/>
                <w:szCs w:val="18"/>
                <w:color w:val="auto"/>
              </w:rPr>
              <w:t>103</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(c)(2)</w:t>
            </w:r>
          </w:p>
        </w:tc>
        <w:tc>
          <w:tcPr>
            <w:tcW w:w="2280" w:type="dxa"/>
            <w:vAlign w:val="bottom"/>
          </w:tcPr>
          <w:p>
            <w:pPr>
              <w:spacing w:after="0"/>
              <w:rPr>
                <w:sz w:val="20"/>
                <w:szCs w:val="20"/>
                <w:color w:val="auto"/>
              </w:rPr>
            </w:pPr>
            <w:r>
              <w:rPr>
                <w:rFonts w:ascii="Arial" w:cs="Arial" w:eastAsia="Arial" w:hAnsi="Arial"/>
                <w:sz w:val="18"/>
                <w:szCs w:val="18"/>
                <w:color w:val="auto"/>
              </w:rPr>
              <w:t>103</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(c)(3)</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(d)</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2280" w:type="dxa"/>
            <w:vAlign w:val="bottom"/>
          </w:tcPr>
          <w:p>
            <w:pPr>
              <w:spacing w:after="0"/>
              <w:rPr>
                <w:sz w:val="20"/>
                <w:szCs w:val="20"/>
                <w:color w:val="auto"/>
              </w:rPr>
            </w:pPr>
            <w:r>
              <w:rPr>
                <w:rFonts w:ascii="Arial" w:cs="Arial" w:eastAsia="Arial" w:hAnsi="Arial"/>
                <w:sz w:val="18"/>
                <w:szCs w:val="18"/>
                <w:color w:val="auto"/>
              </w:rPr>
              <w:t>103</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(f)</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Section 315</w:t>
            </w: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2280" w:type="dxa"/>
            <w:vAlign w:val="bottom"/>
          </w:tcPr>
          <w:p>
            <w:pPr>
              <w:spacing w:after="0"/>
              <w:rPr>
                <w:sz w:val="20"/>
                <w:szCs w:val="20"/>
                <w:color w:val="auto"/>
              </w:rPr>
            </w:pPr>
            <w:r>
              <w:rPr>
                <w:rFonts w:ascii="Arial" w:cs="Arial" w:eastAsia="Arial" w:hAnsi="Arial"/>
                <w:sz w:val="18"/>
                <w:szCs w:val="18"/>
                <w:color w:val="auto"/>
              </w:rPr>
              <w:t>601(a)</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602</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2280" w:type="dxa"/>
            <w:vAlign w:val="bottom"/>
          </w:tcPr>
          <w:p>
            <w:pPr>
              <w:spacing w:after="0"/>
              <w:rPr>
                <w:sz w:val="20"/>
                <w:szCs w:val="20"/>
                <w:color w:val="auto"/>
              </w:rPr>
            </w:pPr>
            <w:r>
              <w:rPr>
                <w:rFonts w:ascii="Arial" w:cs="Arial" w:eastAsia="Arial" w:hAnsi="Arial"/>
                <w:sz w:val="18"/>
                <w:szCs w:val="18"/>
                <w:color w:val="auto"/>
              </w:rPr>
              <w:t>601(b)</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(d)</w:t>
            </w:r>
          </w:p>
        </w:tc>
        <w:tc>
          <w:tcPr>
            <w:tcW w:w="2280" w:type="dxa"/>
            <w:vAlign w:val="bottom"/>
          </w:tcPr>
          <w:p>
            <w:pPr>
              <w:spacing w:after="0"/>
              <w:rPr>
                <w:sz w:val="20"/>
                <w:szCs w:val="20"/>
                <w:color w:val="auto"/>
              </w:rPr>
            </w:pPr>
            <w:r>
              <w:rPr>
                <w:rFonts w:ascii="Arial" w:cs="Arial" w:eastAsia="Arial" w:hAnsi="Arial"/>
                <w:sz w:val="18"/>
                <w:szCs w:val="18"/>
                <w:color w:val="auto"/>
              </w:rPr>
              <w:t>601(a), 601(c)</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2280" w:type="dxa"/>
            <w:vAlign w:val="bottom"/>
          </w:tcPr>
          <w:p>
            <w:pPr>
              <w:spacing w:after="0"/>
              <w:rPr>
                <w:sz w:val="20"/>
                <w:szCs w:val="20"/>
                <w:color w:val="auto"/>
              </w:rPr>
            </w:pPr>
            <w:r>
              <w:rPr>
                <w:rFonts w:ascii="Arial" w:cs="Arial" w:eastAsia="Arial" w:hAnsi="Arial"/>
                <w:sz w:val="18"/>
                <w:szCs w:val="18"/>
                <w:color w:val="auto"/>
              </w:rPr>
              <w:t>514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Section 316</w:t>
            </w: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(a)(1)(A)</w:t>
            </w:r>
          </w:p>
        </w:tc>
        <w:tc>
          <w:tcPr>
            <w:tcW w:w="2280" w:type="dxa"/>
            <w:vAlign w:val="bottom"/>
          </w:tcPr>
          <w:p>
            <w:pPr>
              <w:spacing w:after="0"/>
              <w:rPr>
                <w:sz w:val="20"/>
                <w:szCs w:val="20"/>
                <w:color w:val="auto"/>
              </w:rPr>
            </w:pPr>
            <w:r>
              <w:rPr>
                <w:rFonts w:ascii="Arial" w:cs="Arial" w:eastAsia="Arial" w:hAnsi="Arial"/>
                <w:sz w:val="18"/>
                <w:szCs w:val="18"/>
                <w:color w:val="auto"/>
              </w:rPr>
              <w:t>512</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(a)(1)(B)</w:t>
            </w:r>
          </w:p>
        </w:tc>
        <w:tc>
          <w:tcPr>
            <w:tcW w:w="2280" w:type="dxa"/>
            <w:vAlign w:val="bottom"/>
          </w:tcPr>
          <w:p>
            <w:pPr>
              <w:spacing w:after="0"/>
              <w:rPr>
                <w:sz w:val="20"/>
                <w:szCs w:val="20"/>
                <w:color w:val="auto"/>
              </w:rPr>
            </w:pPr>
            <w:r>
              <w:rPr>
                <w:rFonts w:ascii="Arial" w:cs="Arial" w:eastAsia="Arial" w:hAnsi="Arial"/>
                <w:sz w:val="18"/>
                <w:szCs w:val="18"/>
                <w:color w:val="auto"/>
              </w:rPr>
              <w:t>513</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(a)(2)</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(a)(last sentence)</w:t>
            </w:r>
          </w:p>
        </w:tc>
        <w:tc>
          <w:tcPr>
            <w:tcW w:w="2280" w:type="dxa"/>
            <w:vAlign w:val="bottom"/>
          </w:tcPr>
          <w:p>
            <w:pPr>
              <w:spacing w:after="0"/>
              <w:rPr>
                <w:sz w:val="20"/>
                <w:szCs w:val="20"/>
                <w:color w:val="auto"/>
              </w:rPr>
            </w:pPr>
            <w:r>
              <w:rPr>
                <w:rFonts w:ascii="Arial" w:cs="Arial" w:eastAsia="Arial" w:hAnsi="Arial"/>
                <w:sz w:val="18"/>
                <w:szCs w:val="18"/>
                <w:color w:val="auto"/>
              </w:rPr>
              <w:t>101</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508</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2280" w:type="dxa"/>
            <w:vAlign w:val="bottom"/>
          </w:tcPr>
          <w:p>
            <w:pPr>
              <w:spacing w:after="0"/>
              <w:rPr>
                <w:sz w:val="20"/>
                <w:szCs w:val="20"/>
                <w:color w:val="auto"/>
              </w:rPr>
            </w:pPr>
            <w:r>
              <w:rPr>
                <w:rFonts w:ascii="Arial" w:cs="Arial" w:eastAsia="Arial" w:hAnsi="Arial"/>
                <w:sz w:val="18"/>
                <w:szCs w:val="18"/>
                <w:color w:val="auto"/>
              </w:rPr>
              <w:t>105</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Section 317</w:t>
            </w: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(a)(1)</w:t>
            </w:r>
          </w:p>
        </w:tc>
        <w:tc>
          <w:tcPr>
            <w:tcW w:w="2280" w:type="dxa"/>
            <w:vAlign w:val="bottom"/>
          </w:tcPr>
          <w:p>
            <w:pPr>
              <w:spacing w:after="0"/>
              <w:rPr>
                <w:sz w:val="20"/>
                <w:szCs w:val="20"/>
                <w:color w:val="auto"/>
              </w:rPr>
            </w:pPr>
            <w:r>
              <w:rPr>
                <w:rFonts w:ascii="Arial" w:cs="Arial" w:eastAsia="Arial" w:hAnsi="Arial"/>
                <w:sz w:val="18"/>
                <w:szCs w:val="18"/>
                <w:color w:val="auto"/>
              </w:rPr>
              <w:t>503</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(a)(2)</w:t>
            </w:r>
          </w:p>
        </w:tc>
        <w:tc>
          <w:tcPr>
            <w:tcW w:w="2280" w:type="dxa"/>
            <w:vAlign w:val="bottom"/>
          </w:tcPr>
          <w:p>
            <w:pPr>
              <w:spacing w:after="0"/>
              <w:rPr>
                <w:sz w:val="20"/>
                <w:szCs w:val="20"/>
                <w:color w:val="auto"/>
              </w:rPr>
            </w:pPr>
            <w:r>
              <w:rPr>
                <w:rFonts w:ascii="Arial" w:cs="Arial" w:eastAsia="Arial" w:hAnsi="Arial"/>
                <w:sz w:val="18"/>
                <w:szCs w:val="18"/>
                <w:color w:val="auto"/>
              </w:rPr>
              <w:t>504</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1003</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Section 318</w:t>
            </w: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2280" w:type="dxa"/>
            <w:vAlign w:val="bottom"/>
          </w:tcPr>
          <w:p>
            <w:pPr>
              <w:spacing w:after="0"/>
              <w:rPr>
                <w:sz w:val="20"/>
                <w:szCs w:val="20"/>
                <w:color w:val="auto"/>
              </w:rPr>
            </w:pPr>
            <w:r>
              <w:rPr>
                <w:rFonts w:ascii="Arial" w:cs="Arial" w:eastAsia="Arial" w:hAnsi="Arial"/>
                <w:sz w:val="18"/>
                <w:szCs w:val="18"/>
                <w:color w:val="auto"/>
              </w:rPr>
              <w:t>108</w:t>
            </w:r>
          </w:p>
        </w:tc>
      </w:tr>
      <w:tr>
        <w:trPr>
          <w:trHeight w:val="216"/>
        </w:trPr>
        <w:tc>
          <w:tcPr>
            <w:tcW w:w="250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228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30"/>
        </w:trPr>
        <w:tc>
          <w:tcPr>
            <w:tcW w:w="2500" w:type="dxa"/>
            <w:vAlign w:val="bottom"/>
          </w:tcPr>
          <w:p>
            <w:pPr>
              <w:spacing w:after="0"/>
              <w:rPr>
                <w:sz w:val="20"/>
                <w:szCs w:val="20"/>
                <w:color w:val="auto"/>
              </w:rPr>
            </w:pPr>
          </w:p>
        </w:tc>
        <w:tc>
          <w:tcPr>
            <w:tcW w:w="664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2280" w:type="dxa"/>
            <w:vAlign w:val="bottom"/>
          </w:tcPr>
          <w:p>
            <w:pPr>
              <w:spacing w:after="0"/>
              <w:rPr>
                <w:sz w:val="20"/>
                <w:szCs w:val="20"/>
                <w:color w:val="auto"/>
              </w:rPr>
            </w:pPr>
            <w:r>
              <w:rPr>
                <w:rFonts w:ascii="Arial" w:cs="Arial" w:eastAsia="Arial" w:hAnsi="Arial"/>
                <w:sz w:val="18"/>
                <w:szCs w:val="18"/>
                <w:color w:val="auto"/>
              </w:rPr>
              <w:t>108</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420"/>
          </w:cols>
          <w:pgMar w:left="240" w:top="270"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w w:val="95"/>
              </w:rPr>
              <w:t>Article One</w:t>
            </w:r>
          </w:p>
        </w:tc>
        <w:tc>
          <w:tcPr>
            <w:tcW w:w="54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b w:val="1"/>
                <w:bCs w:val="1"/>
                <w:color w:val="auto"/>
              </w:rPr>
              <w:t>Definitions and Other Provisions of General Application</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10"/>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101.</w:t>
            </w:r>
          </w:p>
        </w:tc>
        <w:tc>
          <w:tcPr>
            <w:tcW w:w="95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102.</w:t>
            </w:r>
          </w:p>
        </w:tc>
        <w:tc>
          <w:tcPr>
            <w:tcW w:w="9580" w:type="dxa"/>
            <w:vAlign w:val="bottom"/>
          </w:tcPr>
          <w:p>
            <w:pPr>
              <w:ind w:left="20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103.</w:t>
            </w:r>
          </w:p>
        </w:tc>
        <w:tc>
          <w:tcPr>
            <w:tcW w:w="9580" w:type="dxa"/>
            <w:vAlign w:val="bottom"/>
          </w:tcPr>
          <w:p>
            <w:pPr>
              <w:ind w:left="200"/>
              <w:spacing w:after="0"/>
              <w:rPr>
                <w:sz w:val="20"/>
                <w:szCs w:val="20"/>
                <w:color w:val="auto"/>
              </w:rPr>
            </w:pPr>
            <w:r>
              <w:rPr>
                <w:rFonts w:ascii="Arial" w:cs="Arial" w:eastAsia="Arial" w:hAnsi="Arial"/>
                <w:sz w:val="18"/>
                <w:szCs w:val="18"/>
                <w:color w:val="auto"/>
              </w:rPr>
              <w:t>Compliance Certificates and Opinions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104.</w:t>
            </w:r>
          </w:p>
        </w:tc>
        <w:tc>
          <w:tcPr>
            <w:tcW w:w="9580" w:type="dxa"/>
            <w:vAlign w:val="bottom"/>
          </w:tcPr>
          <w:p>
            <w:pPr>
              <w:ind w:left="20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105.</w:t>
            </w:r>
          </w:p>
        </w:tc>
        <w:tc>
          <w:tcPr>
            <w:tcW w:w="9580" w:type="dxa"/>
            <w:vAlign w:val="bottom"/>
          </w:tcPr>
          <w:p>
            <w:pPr>
              <w:ind w:left="200"/>
              <w:spacing w:after="0"/>
              <w:rPr>
                <w:sz w:val="20"/>
                <w:szCs w:val="20"/>
                <w:color w:val="auto"/>
              </w:rPr>
            </w:pPr>
            <w:r>
              <w:rPr>
                <w:rFonts w:ascii="Arial" w:cs="Arial" w:eastAsia="Arial" w:hAnsi="Arial"/>
                <w:sz w:val="18"/>
                <w:szCs w:val="18"/>
                <w:color w:val="auto"/>
              </w:rPr>
              <w:t>Acts of Holders; Record Dates</w:t>
            </w: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106.</w:t>
            </w:r>
          </w:p>
        </w:tc>
        <w:tc>
          <w:tcPr>
            <w:tcW w:w="9580" w:type="dxa"/>
            <w:vAlign w:val="bottom"/>
          </w:tcPr>
          <w:p>
            <w:pPr>
              <w:ind w:left="200"/>
              <w:spacing w:after="0"/>
              <w:rPr>
                <w:sz w:val="20"/>
                <w:szCs w:val="20"/>
                <w:color w:val="auto"/>
              </w:rPr>
            </w:pPr>
            <w:r>
              <w:rPr>
                <w:rFonts w:ascii="Arial" w:cs="Arial" w:eastAsia="Arial" w:hAnsi="Arial"/>
                <w:sz w:val="18"/>
                <w:szCs w:val="18"/>
                <w:color w:val="auto"/>
              </w:rPr>
              <w:t>Notices, Etc., to Trustee and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107.</w:t>
            </w:r>
          </w:p>
        </w:tc>
        <w:tc>
          <w:tcPr>
            <w:tcW w:w="9580" w:type="dxa"/>
            <w:vAlign w:val="bottom"/>
          </w:tcPr>
          <w:p>
            <w:pPr>
              <w:ind w:left="200"/>
              <w:spacing w:after="0"/>
              <w:rPr>
                <w:sz w:val="20"/>
                <w:szCs w:val="20"/>
                <w:color w:val="auto"/>
              </w:rPr>
            </w:pPr>
            <w:r>
              <w:rPr>
                <w:rFonts w:ascii="Arial" w:cs="Arial" w:eastAsia="Arial" w:hAnsi="Arial"/>
                <w:sz w:val="18"/>
                <w:szCs w:val="18"/>
                <w:color w:val="auto"/>
              </w:rPr>
              <w:t>Notice to Holders;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108.</w:t>
            </w:r>
          </w:p>
        </w:tc>
        <w:tc>
          <w:tcPr>
            <w:tcW w:w="9580" w:type="dxa"/>
            <w:vAlign w:val="bottom"/>
          </w:tcPr>
          <w:p>
            <w:pPr>
              <w:ind w:left="200"/>
              <w:spacing w:after="0"/>
              <w:rPr>
                <w:sz w:val="20"/>
                <w:szCs w:val="20"/>
                <w:color w:val="auto"/>
              </w:rPr>
            </w:pPr>
            <w:r>
              <w:rPr>
                <w:rFonts w:ascii="Arial" w:cs="Arial" w:eastAsia="Arial" w:hAnsi="Arial"/>
                <w:sz w:val="18"/>
                <w:szCs w:val="18"/>
                <w:color w:val="auto"/>
              </w:rPr>
              <w:t>Conflict With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109.</w:t>
            </w:r>
          </w:p>
        </w:tc>
        <w:tc>
          <w:tcPr>
            <w:tcW w:w="9580" w:type="dxa"/>
            <w:vAlign w:val="bottom"/>
          </w:tcPr>
          <w:p>
            <w:pPr>
              <w:ind w:left="200"/>
              <w:spacing w:after="0"/>
              <w:rPr>
                <w:sz w:val="20"/>
                <w:szCs w:val="20"/>
                <w:color w:val="auto"/>
              </w:rPr>
            </w:pPr>
            <w:r>
              <w:rPr>
                <w:rFonts w:ascii="Arial" w:cs="Arial" w:eastAsia="Arial" w:hAnsi="Arial"/>
                <w:sz w:val="18"/>
                <w:szCs w:val="18"/>
                <w:color w:val="auto"/>
              </w:rPr>
              <w:t>Effect of Headings and Table of Contents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110.</w:t>
            </w:r>
          </w:p>
        </w:tc>
        <w:tc>
          <w:tcPr>
            <w:tcW w:w="958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111.</w:t>
            </w:r>
          </w:p>
        </w:tc>
        <w:tc>
          <w:tcPr>
            <w:tcW w:w="9580" w:type="dxa"/>
            <w:vAlign w:val="bottom"/>
          </w:tcPr>
          <w:p>
            <w:pPr>
              <w:ind w:left="200"/>
              <w:spacing w:after="0"/>
              <w:rPr>
                <w:sz w:val="20"/>
                <w:szCs w:val="20"/>
                <w:color w:val="auto"/>
              </w:rPr>
            </w:pPr>
            <w:r>
              <w:rPr>
                <w:rFonts w:ascii="Arial" w:cs="Arial" w:eastAsia="Arial" w:hAnsi="Arial"/>
                <w:sz w:val="18"/>
                <w:szCs w:val="18"/>
                <w:color w:val="auto"/>
              </w:rPr>
              <w:t>Separability Clause</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112.</w:t>
            </w:r>
          </w:p>
        </w:tc>
        <w:tc>
          <w:tcPr>
            <w:tcW w:w="9580" w:type="dxa"/>
            <w:vAlign w:val="bottom"/>
          </w:tcPr>
          <w:p>
            <w:pPr>
              <w:ind w:left="200"/>
              <w:spacing w:after="0"/>
              <w:rPr>
                <w:sz w:val="20"/>
                <w:szCs w:val="20"/>
                <w:color w:val="auto"/>
              </w:rPr>
            </w:pPr>
            <w:r>
              <w:rPr>
                <w:rFonts w:ascii="Arial" w:cs="Arial" w:eastAsia="Arial" w:hAnsi="Arial"/>
                <w:sz w:val="18"/>
                <w:szCs w:val="18"/>
                <w:color w:val="auto"/>
              </w:rPr>
              <w:t>Benefits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113.</w:t>
            </w:r>
          </w:p>
        </w:tc>
        <w:tc>
          <w:tcPr>
            <w:tcW w:w="9580" w:type="dxa"/>
            <w:vAlign w:val="bottom"/>
          </w:tcPr>
          <w:p>
            <w:pPr>
              <w:ind w:left="200"/>
              <w:spacing w:after="0"/>
              <w:rPr>
                <w:sz w:val="20"/>
                <w:szCs w:val="20"/>
                <w:color w:val="auto"/>
              </w:rPr>
            </w:pPr>
            <w:r>
              <w:rPr>
                <w:rFonts w:ascii="Arial" w:cs="Arial" w:eastAsia="Arial" w:hAnsi="Arial"/>
                <w:sz w:val="18"/>
                <w:szCs w:val="18"/>
                <w:color w:val="auto"/>
              </w:rPr>
              <w:t>Governing Law; Waiver of Jury Trial</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114.</w:t>
            </w:r>
          </w:p>
        </w:tc>
        <w:tc>
          <w:tcPr>
            <w:tcW w:w="9580" w:type="dxa"/>
            <w:vAlign w:val="bottom"/>
          </w:tcPr>
          <w:p>
            <w:pPr>
              <w:ind w:left="200"/>
              <w:spacing w:after="0"/>
              <w:rPr>
                <w:sz w:val="20"/>
                <w:szCs w:val="20"/>
                <w:color w:val="auto"/>
              </w:rPr>
            </w:pPr>
            <w:r>
              <w:rPr>
                <w:rFonts w:ascii="Arial" w:cs="Arial" w:eastAsia="Arial" w:hAnsi="Arial"/>
                <w:sz w:val="18"/>
                <w:szCs w:val="18"/>
                <w:color w:val="auto"/>
              </w:rPr>
              <w:t>Legal Holidays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115.</w:t>
            </w:r>
          </w:p>
        </w:tc>
        <w:tc>
          <w:tcPr>
            <w:tcW w:w="9580" w:type="dxa"/>
            <w:vAlign w:val="bottom"/>
          </w:tcPr>
          <w:p>
            <w:pPr>
              <w:ind w:left="200"/>
              <w:spacing w:after="0"/>
              <w:rPr>
                <w:sz w:val="20"/>
                <w:szCs w:val="20"/>
                <w:color w:val="auto"/>
              </w:rPr>
            </w:pPr>
            <w:r>
              <w:rPr>
                <w:rFonts w:ascii="Arial" w:cs="Arial" w:eastAsia="Arial" w:hAnsi="Arial"/>
                <w:sz w:val="18"/>
                <w:szCs w:val="18"/>
                <w:color w:val="auto"/>
              </w:rPr>
              <w:t>Corporate Obligation</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116.</w:t>
            </w:r>
          </w:p>
        </w:tc>
        <w:tc>
          <w:tcPr>
            <w:tcW w:w="9580" w:type="dxa"/>
            <w:vAlign w:val="bottom"/>
          </w:tcPr>
          <w:p>
            <w:pPr>
              <w:ind w:left="200"/>
              <w:spacing w:after="0"/>
              <w:rPr>
                <w:sz w:val="20"/>
                <w:szCs w:val="20"/>
                <w:color w:val="auto"/>
              </w:rPr>
            </w:pPr>
            <w:r>
              <w:rPr>
                <w:rFonts w:ascii="Arial" w:cs="Arial" w:eastAsia="Arial" w:hAnsi="Arial"/>
                <w:sz w:val="18"/>
                <w:szCs w:val="18"/>
                <w:color w:val="auto"/>
              </w:rPr>
              <w:t>Force Majeure</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117.</w:t>
            </w:r>
          </w:p>
        </w:tc>
        <w:tc>
          <w:tcPr>
            <w:tcW w:w="9580" w:type="dxa"/>
            <w:vAlign w:val="bottom"/>
          </w:tcPr>
          <w:p>
            <w:pPr>
              <w:ind w:left="200"/>
              <w:spacing w:after="0"/>
              <w:rPr>
                <w:sz w:val="20"/>
                <w:szCs w:val="20"/>
                <w:color w:val="auto"/>
              </w:rPr>
            </w:pPr>
            <w:r>
              <w:rPr>
                <w:rFonts w:ascii="Arial" w:cs="Arial" w:eastAsia="Arial" w:hAnsi="Arial"/>
                <w:sz w:val="18"/>
                <w:szCs w:val="18"/>
                <w:color w:val="auto"/>
              </w:rPr>
              <w:t>U.S.A. Patriot Act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118.</w:t>
            </w:r>
          </w:p>
        </w:tc>
        <w:tc>
          <w:tcPr>
            <w:tcW w:w="9580" w:type="dxa"/>
            <w:vAlign w:val="bottom"/>
          </w:tcPr>
          <w:p>
            <w:pPr>
              <w:ind w:left="200"/>
              <w:spacing w:after="0"/>
              <w:rPr>
                <w:sz w:val="20"/>
                <w:szCs w:val="20"/>
                <w:color w:val="auto"/>
              </w:rPr>
            </w:pPr>
            <w:r>
              <w:rPr>
                <w:rFonts w:ascii="Arial" w:cs="Arial" w:eastAsia="Arial" w:hAnsi="Arial"/>
                <w:sz w:val="18"/>
                <w:szCs w:val="18"/>
                <w:color w:val="auto"/>
              </w:rPr>
              <w:t>Language of Notices, Etc.</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Section 119.</w:t>
            </w:r>
          </w:p>
        </w:tc>
        <w:tc>
          <w:tcPr>
            <w:tcW w:w="9580" w:type="dxa"/>
            <w:vAlign w:val="bottom"/>
          </w:tcPr>
          <w:p>
            <w:pPr>
              <w:ind w:left="200"/>
              <w:spacing w:after="0"/>
              <w:rPr>
                <w:sz w:val="20"/>
                <w:szCs w:val="20"/>
                <w:color w:val="auto"/>
              </w:rPr>
            </w:pPr>
            <w:r>
              <w:rPr>
                <w:rFonts w:ascii="Arial" w:cs="Arial" w:eastAsia="Arial" w:hAnsi="Arial"/>
                <w:sz w:val="18"/>
                <w:szCs w:val="18"/>
                <w:color w:val="auto"/>
              </w:rPr>
              <w:t>No Personal Liability of Directors, Officers, Employees and Shareholders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b w:val="1"/>
                <w:bCs w:val="1"/>
                <w:color w:val="auto"/>
                <w:w w:val="94"/>
              </w:rPr>
              <w:t>Article Two</w:t>
            </w:r>
          </w:p>
        </w:tc>
        <w:tc>
          <w:tcPr>
            <w:tcW w:w="54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Security Forms</w:t>
            </w:r>
          </w:p>
        </w:tc>
        <w:tc>
          <w:tcPr>
            <w:tcW w:w="95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310"/>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201.</w:t>
            </w:r>
          </w:p>
        </w:tc>
        <w:tc>
          <w:tcPr>
            <w:tcW w:w="9580" w:type="dxa"/>
            <w:vAlign w:val="bottom"/>
          </w:tcPr>
          <w:p>
            <w:pPr>
              <w:ind w:left="200"/>
              <w:spacing w:after="0"/>
              <w:rPr>
                <w:sz w:val="20"/>
                <w:szCs w:val="20"/>
                <w:color w:val="auto"/>
              </w:rPr>
            </w:pPr>
            <w:r>
              <w:rPr>
                <w:rFonts w:ascii="Arial" w:cs="Arial" w:eastAsia="Arial" w:hAnsi="Arial"/>
                <w:sz w:val="18"/>
                <w:szCs w:val="18"/>
                <w:color w:val="auto"/>
              </w:rPr>
              <w:t>Forms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202.</w:t>
            </w:r>
          </w:p>
        </w:tc>
        <w:tc>
          <w:tcPr>
            <w:tcW w:w="9580" w:type="dxa"/>
            <w:vAlign w:val="bottom"/>
          </w:tcPr>
          <w:p>
            <w:pPr>
              <w:ind w:left="200"/>
              <w:spacing w:after="0"/>
              <w:rPr>
                <w:sz w:val="20"/>
                <w:szCs w:val="20"/>
                <w:color w:val="auto"/>
              </w:rPr>
            </w:pPr>
            <w:r>
              <w:rPr>
                <w:rFonts w:ascii="Arial" w:cs="Arial" w:eastAsia="Arial" w:hAnsi="Arial"/>
                <w:sz w:val="18"/>
                <w:szCs w:val="18"/>
                <w:color w:val="auto"/>
              </w:rPr>
              <w:t>Form of Trustee’s Certificate of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203.</w:t>
            </w:r>
          </w:p>
        </w:tc>
        <w:tc>
          <w:tcPr>
            <w:tcW w:w="9580" w:type="dxa"/>
            <w:vAlign w:val="bottom"/>
          </w:tcPr>
          <w:p>
            <w:pPr>
              <w:ind w:left="200"/>
              <w:spacing w:after="0"/>
              <w:rPr>
                <w:sz w:val="20"/>
                <w:szCs w:val="20"/>
                <w:color w:val="auto"/>
              </w:rPr>
            </w:pPr>
            <w:r>
              <w:rPr>
                <w:rFonts w:ascii="Arial" w:cs="Arial" w:eastAsia="Arial" w:hAnsi="Arial"/>
                <w:sz w:val="18"/>
                <w:szCs w:val="18"/>
                <w:color w:val="auto"/>
              </w:rPr>
              <w:t>Securities in Global Form</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Article Three</w:t>
            </w:r>
          </w:p>
        </w:tc>
        <w:tc>
          <w:tcPr>
            <w:tcW w:w="9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The Securities</w:t>
            </w:r>
          </w:p>
        </w:tc>
        <w:tc>
          <w:tcPr>
            <w:tcW w:w="95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310"/>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301.</w:t>
            </w:r>
          </w:p>
        </w:tc>
        <w:tc>
          <w:tcPr>
            <w:tcW w:w="9580" w:type="dxa"/>
            <w:vAlign w:val="bottom"/>
          </w:tcPr>
          <w:p>
            <w:pPr>
              <w:ind w:left="200"/>
              <w:spacing w:after="0"/>
              <w:rPr>
                <w:sz w:val="20"/>
                <w:szCs w:val="20"/>
                <w:color w:val="auto"/>
              </w:rPr>
            </w:pPr>
            <w:r>
              <w:rPr>
                <w:rFonts w:ascii="Arial" w:cs="Arial" w:eastAsia="Arial" w:hAnsi="Arial"/>
                <w:sz w:val="18"/>
                <w:szCs w:val="18"/>
                <w:color w:val="auto"/>
              </w:rPr>
              <w:t>Amount Unlimited; Issuable in Series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302.</w:t>
            </w:r>
          </w:p>
        </w:tc>
        <w:tc>
          <w:tcPr>
            <w:tcW w:w="9580" w:type="dxa"/>
            <w:vAlign w:val="bottom"/>
          </w:tcPr>
          <w:p>
            <w:pPr>
              <w:ind w:left="200"/>
              <w:spacing w:after="0"/>
              <w:rPr>
                <w:sz w:val="20"/>
                <w:szCs w:val="20"/>
                <w:color w:val="auto"/>
              </w:rPr>
            </w:pPr>
            <w:r>
              <w:rPr>
                <w:rFonts w:ascii="Arial" w:cs="Arial" w:eastAsia="Arial" w:hAnsi="Arial"/>
                <w:sz w:val="18"/>
                <w:szCs w:val="18"/>
                <w:color w:val="auto"/>
              </w:rPr>
              <w:t>Denominations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303.</w:t>
            </w:r>
          </w:p>
        </w:tc>
        <w:tc>
          <w:tcPr>
            <w:tcW w:w="9580" w:type="dxa"/>
            <w:vAlign w:val="bottom"/>
          </w:tcPr>
          <w:p>
            <w:pPr>
              <w:ind w:left="200"/>
              <w:spacing w:after="0"/>
              <w:rPr>
                <w:sz w:val="20"/>
                <w:szCs w:val="20"/>
                <w:color w:val="auto"/>
              </w:rPr>
            </w:pPr>
            <w:r>
              <w:rPr>
                <w:rFonts w:ascii="Arial" w:cs="Arial" w:eastAsia="Arial" w:hAnsi="Arial"/>
                <w:sz w:val="18"/>
                <w:szCs w:val="18"/>
                <w:color w:val="auto"/>
              </w:rPr>
              <w:t>Execution, Authentication, Delivery and Dating</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304.</w:t>
            </w:r>
          </w:p>
        </w:tc>
        <w:tc>
          <w:tcPr>
            <w:tcW w:w="9580" w:type="dxa"/>
            <w:vAlign w:val="bottom"/>
          </w:tcPr>
          <w:p>
            <w:pPr>
              <w:ind w:left="200"/>
              <w:spacing w:after="0"/>
              <w:rPr>
                <w:sz w:val="20"/>
                <w:szCs w:val="20"/>
                <w:color w:val="auto"/>
              </w:rPr>
            </w:pPr>
            <w:r>
              <w:rPr>
                <w:rFonts w:ascii="Arial" w:cs="Arial" w:eastAsia="Arial" w:hAnsi="Arial"/>
                <w:sz w:val="18"/>
                <w:szCs w:val="18"/>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305.</w:t>
            </w:r>
          </w:p>
        </w:tc>
        <w:tc>
          <w:tcPr>
            <w:tcW w:w="9580" w:type="dxa"/>
            <w:vAlign w:val="bottom"/>
          </w:tcPr>
          <w:p>
            <w:pPr>
              <w:ind w:left="200"/>
              <w:spacing w:after="0"/>
              <w:rPr>
                <w:sz w:val="20"/>
                <w:szCs w:val="20"/>
                <w:color w:val="auto"/>
              </w:rPr>
            </w:pPr>
            <w:r>
              <w:rPr>
                <w:rFonts w:ascii="Arial" w:cs="Arial" w:eastAsia="Arial" w:hAnsi="Arial"/>
                <w:sz w:val="18"/>
                <w:szCs w:val="18"/>
                <w:color w:val="auto"/>
              </w:rPr>
              <w:t>Registration, Registration of 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306.</w:t>
            </w:r>
          </w:p>
        </w:tc>
        <w:tc>
          <w:tcPr>
            <w:tcW w:w="9580" w:type="dxa"/>
            <w:vAlign w:val="bottom"/>
          </w:tcPr>
          <w:p>
            <w:pPr>
              <w:ind w:left="20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307.</w:t>
            </w:r>
          </w:p>
        </w:tc>
        <w:tc>
          <w:tcPr>
            <w:tcW w:w="9580" w:type="dxa"/>
            <w:vAlign w:val="bottom"/>
          </w:tcPr>
          <w:p>
            <w:pPr>
              <w:ind w:left="20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308.</w:t>
            </w:r>
          </w:p>
        </w:tc>
        <w:tc>
          <w:tcPr>
            <w:tcW w:w="9580" w:type="dxa"/>
            <w:vAlign w:val="bottom"/>
          </w:tcPr>
          <w:p>
            <w:pPr>
              <w:ind w:left="200"/>
              <w:spacing w:after="0"/>
              <w:rPr>
                <w:sz w:val="20"/>
                <w:szCs w:val="20"/>
                <w:color w:val="auto"/>
              </w:rPr>
            </w:pPr>
            <w:r>
              <w:rPr>
                <w:rFonts w:ascii="Arial" w:cs="Arial" w:eastAsia="Arial" w:hAnsi="Arial"/>
                <w:sz w:val="18"/>
                <w:szCs w:val="18"/>
                <w:color w:val="auto"/>
              </w:rPr>
              <w:t>Persons Deemed Owners</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40" w:type="dxa"/>
            <w:vAlign w:val="bottom"/>
          </w:tcPr>
          <w:p>
            <w:pPr>
              <w:ind w:left="360"/>
              <w:spacing w:after="0"/>
              <w:rPr>
                <w:sz w:val="20"/>
                <w:szCs w:val="20"/>
                <w:color w:val="auto"/>
              </w:rPr>
            </w:pPr>
            <w:r>
              <w:rPr>
                <w:rFonts w:ascii="Arial" w:cs="Arial" w:eastAsia="Arial" w:hAnsi="Arial"/>
                <w:sz w:val="18"/>
                <w:szCs w:val="18"/>
                <w:color w:val="auto"/>
                <w:w w:val="93"/>
              </w:rPr>
              <w:t>Section</w:t>
            </w:r>
          </w:p>
        </w:tc>
        <w:tc>
          <w:tcPr>
            <w:tcW w:w="540" w:type="dxa"/>
            <w:vAlign w:val="bottom"/>
          </w:tcPr>
          <w:p>
            <w:pPr>
              <w:ind w:left="20"/>
              <w:spacing w:after="0"/>
              <w:rPr>
                <w:sz w:val="20"/>
                <w:szCs w:val="20"/>
                <w:color w:val="auto"/>
              </w:rPr>
            </w:pPr>
            <w:r>
              <w:rPr>
                <w:rFonts w:ascii="Arial" w:cs="Arial" w:eastAsia="Arial" w:hAnsi="Arial"/>
                <w:sz w:val="18"/>
                <w:szCs w:val="18"/>
                <w:color w:val="auto"/>
              </w:rPr>
              <w:t>309.</w:t>
            </w:r>
          </w:p>
        </w:tc>
        <w:tc>
          <w:tcPr>
            <w:tcW w:w="9580" w:type="dxa"/>
            <w:vAlign w:val="bottom"/>
          </w:tcPr>
          <w:p>
            <w:pPr>
              <w:ind w:left="200"/>
              <w:spacing w:after="0"/>
              <w:rPr>
                <w:sz w:val="20"/>
                <w:szCs w:val="20"/>
                <w:color w:val="auto"/>
              </w:rPr>
            </w:pPr>
            <w:r>
              <w:rPr>
                <w:rFonts w:ascii="Arial" w:cs="Arial" w:eastAsia="Arial" w:hAnsi="Arial"/>
                <w:sz w:val="18"/>
                <w:szCs w:val="18"/>
                <w:color w:val="auto"/>
              </w:rPr>
              <w:t>Cancellation</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7680" w:type="dxa"/>
            <w:vAlign w:val="bottom"/>
          </w:tcPr>
          <w:p>
            <w:pPr>
              <w:ind w:left="160"/>
              <w:spacing w:after="0"/>
              <w:rPr>
                <w:sz w:val="20"/>
                <w:szCs w:val="20"/>
                <w:color w:val="auto"/>
              </w:rPr>
            </w:pPr>
            <w:r>
              <w:rPr>
                <w:rFonts w:ascii="Arial" w:cs="Arial" w:eastAsia="Arial" w:hAnsi="Arial"/>
                <w:sz w:val="18"/>
                <w:szCs w:val="18"/>
                <w:color w:val="auto"/>
              </w:rPr>
              <w:t>Computation of Interest</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7680" w:type="dxa"/>
            <w:vAlign w:val="bottom"/>
          </w:tcPr>
          <w:p>
            <w:pPr>
              <w:ind w:left="160"/>
              <w:spacing w:after="0"/>
              <w:rPr>
                <w:sz w:val="20"/>
                <w:szCs w:val="20"/>
                <w:color w:val="auto"/>
              </w:rPr>
            </w:pPr>
            <w:r>
              <w:rPr>
                <w:rFonts w:ascii="Arial" w:cs="Arial" w:eastAsia="Arial" w:hAnsi="Arial"/>
                <w:sz w:val="18"/>
                <w:szCs w:val="18"/>
                <w:color w:val="auto"/>
              </w:rPr>
              <w:t>CUSIP Numbers</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420" w:type="dxa"/>
            <w:vAlign w:val="bottom"/>
          </w:tcPr>
          <w:p>
            <w:pPr>
              <w:spacing w:after="0"/>
              <w:rPr>
                <w:sz w:val="20"/>
                <w:szCs w:val="20"/>
                <w:color w:val="auto"/>
              </w:rPr>
            </w:pPr>
            <w:r>
              <w:rPr>
                <w:rFonts w:ascii="Arial" w:cs="Arial" w:eastAsia="Arial" w:hAnsi="Arial"/>
                <w:sz w:val="18"/>
                <w:szCs w:val="18"/>
                <w:b w:val="1"/>
                <w:bCs w:val="1"/>
                <w:color w:val="auto"/>
              </w:rPr>
              <w:t>Article Four</w:t>
            </w:r>
          </w:p>
        </w:tc>
        <w:tc>
          <w:tcPr>
            <w:tcW w:w="76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Satisfaction and Discharge; Defeasance</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680" w:type="dxa"/>
            <w:vAlign w:val="bottom"/>
          </w:tcPr>
          <w:p>
            <w:pPr>
              <w:ind w:left="160"/>
              <w:spacing w:after="0"/>
              <w:rPr>
                <w:sz w:val="20"/>
                <w:szCs w:val="20"/>
                <w:color w:val="auto"/>
              </w:rPr>
            </w:pPr>
            <w:r>
              <w:rPr>
                <w:rFonts w:ascii="Arial" w:cs="Arial" w:eastAsia="Arial" w:hAnsi="Arial"/>
                <w:sz w:val="18"/>
                <w:szCs w:val="18"/>
                <w:color w:val="auto"/>
              </w:rPr>
              <w:t>Satisfaction and Discharge of Indenture; Defeasance</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680" w:type="dxa"/>
            <w:vAlign w:val="bottom"/>
          </w:tcPr>
          <w:p>
            <w:pPr>
              <w:ind w:left="160"/>
              <w:spacing w:after="0"/>
              <w:rPr>
                <w:sz w:val="20"/>
                <w:szCs w:val="20"/>
                <w:color w:val="auto"/>
              </w:rPr>
            </w:pPr>
            <w:r>
              <w:rPr>
                <w:rFonts w:ascii="Arial" w:cs="Arial" w:eastAsia="Arial" w:hAnsi="Arial"/>
                <w:sz w:val="18"/>
                <w:szCs w:val="18"/>
                <w:color w:val="auto"/>
              </w:rPr>
              <w:t>Application of Trust Money</w:t>
            </w:r>
          </w:p>
        </w:tc>
        <w:tc>
          <w:tcPr>
            <w:tcW w:w="2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7680" w:type="dxa"/>
            <w:vAlign w:val="bottom"/>
          </w:tcPr>
          <w:p>
            <w:pPr>
              <w:ind w:left="160"/>
              <w:spacing w:after="0"/>
              <w:rPr>
                <w:sz w:val="20"/>
                <w:szCs w:val="20"/>
                <w:color w:val="auto"/>
              </w:rPr>
            </w:pPr>
            <w:r>
              <w:rPr>
                <w:rFonts w:ascii="Arial" w:cs="Arial" w:eastAsia="Arial" w:hAnsi="Arial"/>
                <w:sz w:val="18"/>
                <w:szCs w:val="18"/>
                <w:color w:val="auto"/>
              </w:rPr>
              <w:t>Indemnity for U.S. Government Obligations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7680" w:type="dxa"/>
            <w:vAlign w:val="bottom"/>
          </w:tcPr>
          <w:p>
            <w:pPr>
              <w:ind w:left="160"/>
              <w:spacing w:after="0"/>
              <w:rPr>
                <w:sz w:val="20"/>
                <w:szCs w:val="20"/>
                <w:color w:val="auto"/>
              </w:rPr>
            </w:pPr>
            <w:r>
              <w:rPr>
                <w:rFonts w:ascii="Arial" w:cs="Arial" w:eastAsia="Arial" w:hAnsi="Arial"/>
                <w:sz w:val="18"/>
                <w:szCs w:val="18"/>
                <w:color w:val="auto"/>
              </w:rPr>
              <w:t>Reinstatement</w:t>
            </w:r>
          </w:p>
        </w:tc>
        <w:tc>
          <w:tcPr>
            <w:tcW w:w="2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20" w:type="dxa"/>
            <w:vAlign w:val="bottom"/>
          </w:tcPr>
          <w:p>
            <w:pPr>
              <w:spacing w:after="0"/>
              <w:rPr>
                <w:sz w:val="20"/>
                <w:szCs w:val="20"/>
                <w:color w:val="auto"/>
              </w:rPr>
            </w:pPr>
            <w:r>
              <w:rPr>
                <w:rFonts w:ascii="Arial" w:cs="Arial" w:eastAsia="Arial" w:hAnsi="Arial"/>
                <w:sz w:val="18"/>
                <w:szCs w:val="18"/>
                <w:b w:val="1"/>
                <w:bCs w:val="1"/>
                <w:color w:val="auto"/>
              </w:rPr>
              <w:t>Article Five</w:t>
            </w:r>
          </w:p>
        </w:tc>
        <w:tc>
          <w:tcPr>
            <w:tcW w:w="76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Defaults and Remedies</w:t>
            </w: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68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680" w:type="dxa"/>
            <w:vAlign w:val="bottom"/>
          </w:tcPr>
          <w:p>
            <w:pPr>
              <w:ind w:left="160"/>
              <w:spacing w:after="0"/>
              <w:rPr>
                <w:sz w:val="20"/>
                <w:szCs w:val="20"/>
                <w:color w:val="auto"/>
              </w:rPr>
            </w:pPr>
            <w:r>
              <w:rPr>
                <w:rFonts w:ascii="Arial" w:cs="Arial" w:eastAsia="Arial" w:hAnsi="Arial"/>
                <w:sz w:val="18"/>
                <w:szCs w:val="18"/>
                <w:color w:val="auto"/>
              </w:rPr>
              <w:t>Acceleration of Maturity; Rescission and Annulment</w:t>
            </w:r>
          </w:p>
        </w:tc>
        <w:tc>
          <w:tcPr>
            <w:tcW w:w="22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680" w:type="dxa"/>
            <w:vAlign w:val="bottom"/>
          </w:tcPr>
          <w:p>
            <w:pPr>
              <w:ind w:left="160"/>
              <w:spacing w:after="0"/>
              <w:rPr>
                <w:sz w:val="20"/>
                <w:szCs w:val="20"/>
                <w:color w:val="auto"/>
              </w:rPr>
            </w:pPr>
            <w:r>
              <w:rPr>
                <w:rFonts w:ascii="Arial" w:cs="Arial" w:eastAsia="Arial" w:hAnsi="Arial"/>
                <w:sz w:val="18"/>
                <w:szCs w:val="18"/>
                <w:color w:val="auto"/>
              </w:rPr>
              <w:t>Collection of Indebtedness and Suits for Enforcement by Trustee</w:t>
            </w:r>
          </w:p>
        </w:tc>
        <w:tc>
          <w:tcPr>
            <w:tcW w:w="2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680" w:type="dxa"/>
            <w:vAlign w:val="bottom"/>
          </w:tcPr>
          <w:p>
            <w:pPr>
              <w:ind w:left="160"/>
              <w:spacing w:after="0"/>
              <w:rPr>
                <w:sz w:val="20"/>
                <w:szCs w:val="20"/>
                <w:color w:val="auto"/>
              </w:rPr>
            </w:pPr>
            <w:r>
              <w:rPr>
                <w:rFonts w:ascii="Arial" w:cs="Arial" w:eastAsia="Arial" w:hAnsi="Arial"/>
                <w:sz w:val="18"/>
                <w:szCs w:val="18"/>
                <w:color w:val="auto"/>
              </w:rPr>
              <w:t>Trustee May File Proofs of Claim</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680" w:type="dxa"/>
            <w:vAlign w:val="bottom"/>
          </w:tcPr>
          <w:p>
            <w:pPr>
              <w:ind w:left="16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2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680" w:type="dxa"/>
            <w:vAlign w:val="bottom"/>
          </w:tcPr>
          <w:p>
            <w:pPr>
              <w:ind w:left="160"/>
              <w:spacing w:after="0"/>
              <w:rPr>
                <w:sz w:val="20"/>
                <w:szCs w:val="20"/>
                <w:color w:val="auto"/>
              </w:rPr>
            </w:pPr>
            <w:r>
              <w:rPr>
                <w:rFonts w:ascii="Arial" w:cs="Arial" w:eastAsia="Arial" w:hAnsi="Arial"/>
                <w:sz w:val="18"/>
                <w:szCs w:val="18"/>
                <w:color w:val="auto"/>
              </w:rPr>
              <w:t>Application of Money Collected</w:t>
            </w:r>
          </w:p>
        </w:tc>
        <w:tc>
          <w:tcPr>
            <w:tcW w:w="2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680" w:type="dxa"/>
            <w:vAlign w:val="bottom"/>
          </w:tcPr>
          <w:p>
            <w:pPr>
              <w:ind w:left="160"/>
              <w:spacing w:after="0"/>
              <w:rPr>
                <w:sz w:val="20"/>
                <w:szCs w:val="20"/>
                <w:color w:val="auto"/>
              </w:rPr>
            </w:pPr>
            <w:r>
              <w:rPr>
                <w:rFonts w:ascii="Arial" w:cs="Arial" w:eastAsia="Arial" w:hAnsi="Arial"/>
                <w:sz w:val="18"/>
                <w:szCs w:val="18"/>
                <w:color w:val="auto"/>
              </w:rPr>
              <w:t>Limitation on Suits</w:t>
            </w:r>
          </w:p>
        </w:tc>
        <w:tc>
          <w:tcPr>
            <w:tcW w:w="2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680" w:type="dxa"/>
            <w:vAlign w:val="bottom"/>
          </w:tcPr>
          <w:p>
            <w:pPr>
              <w:ind w:left="16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680" w:type="dxa"/>
            <w:vAlign w:val="bottom"/>
          </w:tcPr>
          <w:p>
            <w:pPr>
              <w:ind w:left="160"/>
              <w:spacing w:after="0"/>
              <w:rPr>
                <w:sz w:val="20"/>
                <w:szCs w:val="20"/>
                <w:color w:val="auto"/>
              </w:rPr>
            </w:pPr>
            <w:r>
              <w:rPr>
                <w:rFonts w:ascii="Arial" w:cs="Arial" w:eastAsia="Arial" w:hAnsi="Arial"/>
                <w:sz w:val="18"/>
                <w:szCs w:val="18"/>
                <w:color w:val="auto"/>
              </w:rPr>
              <w:t>Restoration of Rights and Remedies</w:t>
            </w:r>
          </w:p>
        </w:tc>
        <w:tc>
          <w:tcPr>
            <w:tcW w:w="2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680" w:type="dxa"/>
            <w:vAlign w:val="bottom"/>
          </w:tcPr>
          <w:p>
            <w:pPr>
              <w:ind w:left="160"/>
              <w:spacing w:after="0"/>
              <w:rPr>
                <w:sz w:val="20"/>
                <w:szCs w:val="20"/>
                <w:color w:val="auto"/>
              </w:rPr>
            </w:pPr>
            <w:r>
              <w:rPr>
                <w:rFonts w:ascii="Arial" w:cs="Arial" w:eastAsia="Arial" w:hAnsi="Arial"/>
                <w:sz w:val="18"/>
                <w:szCs w:val="18"/>
                <w:color w:val="auto"/>
              </w:rPr>
              <w:t>Rights and Remedies Cumulative</w:t>
            </w:r>
          </w:p>
        </w:tc>
        <w:tc>
          <w:tcPr>
            <w:tcW w:w="2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680" w:type="dxa"/>
            <w:vAlign w:val="bottom"/>
          </w:tcPr>
          <w:p>
            <w:pPr>
              <w:ind w:left="160"/>
              <w:spacing w:after="0"/>
              <w:rPr>
                <w:sz w:val="20"/>
                <w:szCs w:val="20"/>
                <w:color w:val="auto"/>
              </w:rPr>
            </w:pPr>
            <w:r>
              <w:rPr>
                <w:rFonts w:ascii="Arial" w:cs="Arial" w:eastAsia="Arial" w:hAnsi="Arial"/>
                <w:sz w:val="18"/>
                <w:szCs w:val="18"/>
                <w:color w:val="auto"/>
              </w:rPr>
              <w:t>Delay or Omission Not Waiver</w:t>
            </w:r>
          </w:p>
        </w:tc>
        <w:tc>
          <w:tcPr>
            <w:tcW w:w="2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680" w:type="dxa"/>
            <w:vAlign w:val="bottom"/>
          </w:tcPr>
          <w:p>
            <w:pPr>
              <w:ind w:left="160"/>
              <w:spacing w:after="0"/>
              <w:rPr>
                <w:sz w:val="20"/>
                <w:szCs w:val="20"/>
                <w:color w:val="auto"/>
              </w:rPr>
            </w:pPr>
            <w:r>
              <w:rPr>
                <w:rFonts w:ascii="Arial" w:cs="Arial" w:eastAsia="Arial" w:hAnsi="Arial"/>
                <w:sz w:val="18"/>
                <w:szCs w:val="18"/>
                <w:color w:val="auto"/>
              </w:rPr>
              <w:t>Control by Holders</w:t>
            </w:r>
          </w:p>
        </w:tc>
        <w:tc>
          <w:tcPr>
            <w:tcW w:w="22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680" w:type="dxa"/>
            <w:vAlign w:val="bottom"/>
          </w:tcPr>
          <w:p>
            <w:pPr>
              <w:ind w:left="160"/>
              <w:spacing w:after="0"/>
              <w:rPr>
                <w:sz w:val="20"/>
                <w:szCs w:val="20"/>
                <w:color w:val="auto"/>
              </w:rPr>
            </w:pPr>
            <w:r>
              <w:rPr>
                <w:rFonts w:ascii="Arial" w:cs="Arial" w:eastAsia="Arial" w:hAnsi="Arial"/>
                <w:sz w:val="18"/>
                <w:szCs w:val="18"/>
                <w:color w:val="auto"/>
              </w:rPr>
              <w:t>Waiver of Past Defaults</w:t>
            </w: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680" w:type="dxa"/>
            <w:vAlign w:val="bottom"/>
          </w:tcPr>
          <w:p>
            <w:pPr>
              <w:ind w:left="160"/>
              <w:spacing w:after="0"/>
              <w:rPr>
                <w:sz w:val="20"/>
                <w:szCs w:val="20"/>
                <w:color w:val="auto"/>
              </w:rPr>
            </w:pPr>
            <w:r>
              <w:rPr>
                <w:rFonts w:ascii="Arial" w:cs="Arial" w:eastAsia="Arial" w:hAnsi="Arial"/>
                <w:sz w:val="18"/>
                <w:szCs w:val="18"/>
                <w:color w:val="auto"/>
              </w:rPr>
              <w:t>Undertaking for Costs</w:t>
            </w: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7680" w:type="dxa"/>
            <w:vAlign w:val="bottom"/>
          </w:tcPr>
          <w:p>
            <w:pPr>
              <w:ind w:left="160"/>
              <w:spacing w:after="0"/>
              <w:rPr>
                <w:sz w:val="20"/>
                <w:szCs w:val="20"/>
                <w:color w:val="auto"/>
              </w:rPr>
            </w:pPr>
            <w:r>
              <w:rPr>
                <w:rFonts w:ascii="Arial" w:cs="Arial" w:eastAsia="Arial" w:hAnsi="Arial"/>
                <w:sz w:val="18"/>
                <w:szCs w:val="18"/>
                <w:color w:val="auto"/>
              </w:rPr>
              <w:t>Waiver of Stay, Extension or Usury Laws</w:t>
            </w: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420" w:type="dxa"/>
            <w:vAlign w:val="bottom"/>
          </w:tcPr>
          <w:p>
            <w:pPr>
              <w:spacing w:after="0"/>
              <w:rPr>
                <w:sz w:val="20"/>
                <w:szCs w:val="20"/>
                <w:color w:val="auto"/>
              </w:rPr>
            </w:pPr>
            <w:r>
              <w:rPr>
                <w:rFonts w:ascii="Arial" w:cs="Arial" w:eastAsia="Arial" w:hAnsi="Arial"/>
                <w:sz w:val="18"/>
                <w:szCs w:val="18"/>
                <w:b w:val="1"/>
                <w:bCs w:val="1"/>
                <w:color w:val="auto"/>
              </w:rPr>
              <w:t>Article Six</w:t>
            </w:r>
          </w:p>
        </w:tc>
        <w:tc>
          <w:tcPr>
            <w:tcW w:w="76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24"/>
        </w:trPr>
        <w:tc>
          <w:tcPr>
            <w:tcW w:w="1420" w:type="dxa"/>
            <w:vAlign w:val="bottom"/>
          </w:tcPr>
          <w:p>
            <w:pPr>
              <w:spacing w:after="0"/>
              <w:rPr>
                <w:sz w:val="20"/>
                <w:szCs w:val="20"/>
                <w:color w:val="auto"/>
              </w:rPr>
            </w:pPr>
            <w:r>
              <w:rPr>
                <w:rFonts w:ascii="Arial" w:cs="Arial" w:eastAsia="Arial" w:hAnsi="Arial"/>
                <w:sz w:val="18"/>
                <w:szCs w:val="18"/>
                <w:b w:val="1"/>
                <w:bCs w:val="1"/>
                <w:color w:val="auto"/>
              </w:rPr>
              <w:t>The Trustee</w:t>
            </w:r>
          </w:p>
        </w:tc>
        <w:tc>
          <w:tcPr>
            <w:tcW w:w="76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680" w:type="dxa"/>
            <w:vAlign w:val="bottom"/>
          </w:tcPr>
          <w:p>
            <w:pPr>
              <w:ind w:left="160"/>
              <w:spacing w:after="0"/>
              <w:rPr>
                <w:sz w:val="20"/>
                <w:szCs w:val="20"/>
                <w:color w:val="auto"/>
              </w:rPr>
            </w:pPr>
            <w:r>
              <w:rPr>
                <w:rFonts w:ascii="Arial" w:cs="Arial" w:eastAsia="Arial" w:hAnsi="Arial"/>
                <w:sz w:val="18"/>
                <w:szCs w:val="18"/>
                <w:color w:val="auto"/>
              </w:rPr>
              <w:t>Certain Duties and Responsibilities</w:t>
            </w:r>
          </w:p>
        </w:tc>
        <w:tc>
          <w:tcPr>
            <w:tcW w:w="2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680" w:type="dxa"/>
            <w:vAlign w:val="bottom"/>
          </w:tcPr>
          <w:p>
            <w:pPr>
              <w:ind w:left="160"/>
              <w:spacing w:after="0"/>
              <w:rPr>
                <w:sz w:val="20"/>
                <w:szCs w:val="20"/>
                <w:color w:val="auto"/>
              </w:rPr>
            </w:pPr>
            <w:r>
              <w:rPr>
                <w:rFonts w:ascii="Arial" w:cs="Arial" w:eastAsia="Arial" w:hAnsi="Arial"/>
                <w:sz w:val="18"/>
                <w:szCs w:val="18"/>
                <w:color w:val="auto"/>
              </w:rPr>
              <w:t>Notice of Defaults</w:t>
            </w:r>
          </w:p>
        </w:tc>
        <w:tc>
          <w:tcPr>
            <w:tcW w:w="2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680" w:type="dxa"/>
            <w:vAlign w:val="bottom"/>
          </w:tcPr>
          <w:p>
            <w:pPr>
              <w:ind w:left="160"/>
              <w:spacing w:after="0"/>
              <w:rPr>
                <w:sz w:val="20"/>
                <w:szCs w:val="20"/>
                <w:color w:val="auto"/>
              </w:rPr>
            </w:pPr>
            <w:r>
              <w:rPr>
                <w:rFonts w:ascii="Arial" w:cs="Arial" w:eastAsia="Arial" w:hAnsi="Arial"/>
                <w:sz w:val="18"/>
                <w:szCs w:val="18"/>
                <w:color w:val="auto"/>
              </w:rPr>
              <w:t>Certain Rights of Trustee</w:t>
            </w:r>
          </w:p>
        </w:tc>
        <w:tc>
          <w:tcPr>
            <w:tcW w:w="2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680" w:type="dxa"/>
            <w:vAlign w:val="bottom"/>
          </w:tcPr>
          <w:p>
            <w:pPr>
              <w:ind w:left="160"/>
              <w:spacing w:after="0"/>
              <w:rPr>
                <w:sz w:val="20"/>
                <w:szCs w:val="20"/>
                <w:color w:val="auto"/>
              </w:rPr>
            </w:pPr>
            <w:r>
              <w:rPr>
                <w:rFonts w:ascii="Arial" w:cs="Arial" w:eastAsia="Arial" w:hAnsi="Arial"/>
                <w:sz w:val="18"/>
                <w:szCs w:val="18"/>
                <w:color w:val="auto"/>
              </w:rPr>
              <w:t>Not Responsible for Recitals or Issuance of Securities</w:t>
            </w:r>
          </w:p>
        </w:tc>
        <w:tc>
          <w:tcPr>
            <w:tcW w:w="2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680" w:type="dxa"/>
            <w:vAlign w:val="bottom"/>
          </w:tcPr>
          <w:p>
            <w:pPr>
              <w:ind w:left="160"/>
              <w:spacing w:after="0"/>
              <w:rPr>
                <w:sz w:val="20"/>
                <w:szCs w:val="20"/>
                <w:color w:val="auto"/>
              </w:rPr>
            </w:pPr>
            <w:r>
              <w:rPr>
                <w:rFonts w:ascii="Arial" w:cs="Arial" w:eastAsia="Arial" w:hAnsi="Arial"/>
                <w:sz w:val="18"/>
                <w:szCs w:val="18"/>
                <w:color w:val="auto"/>
              </w:rPr>
              <w:t>May Hold Securities</w:t>
            </w:r>
          </w:p>
        </w:tc>
        <w:tc>
          <w:tcPr>
            <w:tcW w:w="2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680" w:type="dxa"/>
            <w:vAlign w:val="bottom"/>
          </w:tcPr>
          <w:p>
            <w:pPr>
              <w:ind w:left="160"/>
              <w:spacing w:after="0"/>
              <w:rPr>
                <w:sz w:val="20"/>
                <w:szCs w:val="20"/>
                <w:color w:val="auto"/>
              </w:rPr>
            </w:pPr>
            <w:r>
              <w:rPr>
                <w:rFonts w:ascii="Arial" w:cs="Arial" w:eastAsia="Arial" w:hAnsi="Arial"/>
                <w:sz w:val="18"/>
                <w:szCs w:val="18"/>
                <w:color w:val="auto"/>
              </w:rPr>
              <w:t>Money Held in Trust</w:t>
            </w:r>
          </w:p>
        </w:tc>
        <w:tc>
          <w:tcPr>
            <w:tcW w:w="2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680" w:type="dxa"/>
            <w:vAlign w:val="bottom"/>
          </w:tcPr>
          <w:p>
            <w:pPr>
              <w:ind w:left="160"/>
              <w:spacing w:after="0"/>
              <w:rPr>
                <w:sz w:val="20"/>
                <w:szCs w:val="20"/>
                <w:color w:val="auto"/>
              </w:rPr>
            </w:pPr>
            <w:r>
              <w:rPr>
                <w:rFonts w:ascii="Arial" w:cs="Arial" w:eastAsia="Arial" w:hAnsi="Arial"/>
                <w:sz w:val="18"/>
                <w:szCs w:val="18"/>
                <w:color w:val="auto"/>
              </w:rPr>
              <w:t>Compensation and Reimbursement</w:t>
            </w:r>
          </w:p>
        </w:tc>
        <w:tc>
          <w:tcPr>
            <w:tcW w:w="2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680" w:type="dxa"/>
            <w:vAlign w:val="bottom"/>
          </w:tcPr>
          <w:p>
            <w:pPr>
              <w:ind w:left="160"/>
              <w:spacing w:after="0"/>
              <w:rPr>
                <w:sz w:val="20"/>
                <w:szCs w:val="20"/>
                <w:color w:val="auto"/>
              </w:rPr>
            </w:pPr>
            <w:r>
              <w:rPr>
                <w:rFonts w:ascii="Arial" w:cs="Arial" w:eastAsia="Arial" w:hAnsi="Arial"/>
                <w:sz w:val="18"/>
                <w:szCs w:val="18"/>
                <w:color w:val="auto"/>
              </w:rPr>
              <w:t>Disqualification; Conflicting Interests</w:t>
            </w:r>
          </w:p>
        </w:tc>
        <w:tc>
          <w:tcPr>
            <w:tcW w:w="2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680" w:type="dxa"/>
            <w:vAlign w:val="bottom"/>
          </w:tcPr>
          <w:p>
            <w:pPr>
              <w:ind w:left="160"/>
              <w:spacing w:after="0"/>
              <w:rPr>
                <w:sz w:val="20"/>
                <w:szCs w:val="20"/>
                <w:color w:val="auto"/>
              </w:rPr>
            </w:pPr>
            <w:r>
              <w:rPr>
                <w:rFonts w:ascii="Arial" w:cs="Arial" w:eastAsia="Arial" w:hAnsi="Arial"/>
                <w:sz w:val="18"/>
                <w:szCs w:val="18"/>
                <w:color w:val="auto"/>
              </w:rPr>
              <w:t>Corporate Trustee Required; Eligibility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680" w:type="dxa"/>
            <w:vAlign w:val="bottom"/>
          </w:tcPr>
          <w:p>
            <w:pPr>
              <w:ind w:left="160"/>
              <w:spacing w:after="0"/>
              <w:rPr>
                <w:sz w:val="20"/>
                <w:szCs w:val="20"/>
                <w:color w:val="auto"/>
              </w:rPr>
            </w:pPr>
            <w:r>
              <w:rPr>
                <w:rFonts w:ascii="Arial" w:cs="Arial" w:eastAsia="Arial" w:hAnsi="Arial"/>
                <w:sz w:val="18"/>
                <w:szCs w:val="18"/>
                <w:color w:val="auto"/>
              </w:rPr>
              <w:t>Resignation and Removal; Appointment of Successor</w:t>
            </w:r>
          </w:p>
        </w:tc>
        <w:tc>
          <w:tcPr>
            <w:tcW w:w="2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680" w:type="dxa"/>
            <w:vAlign w:val="bottom"/>
          </w:tcPr>
          <w:p>
            <w:pPr>
              <w:ind w:left="160"/>
              <w:spacing w:after="0"/>
              <w:rPr>
                <w:sz w:val="20"/>
                <w:szCs w:val="20"/>
                <w:color w:val="auto"/>
              </w:rPr>
            </w:pPr>
            <w:r>
              <w:rPr>
                <w:rFonts w:ascii="Arial" w:cs="Arial" w:eastAsia="Arial" w:hAnsi="Arial"/>
                <w:sz w:val="18"/>
                <w:szCs w:val="18"/>
                <w:color w:val="auto"/>
              </w:rPr>
              <w:t>Acceptance of Appointment by Successor</w:t>
            </w:r>
          </w:p>
        </w:tc>
        <w:tc>
          <w:tcPr>
            <w:tcW w:w="2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680" w:type="dxa"/>
            <w:vAlign w:val="bottom"/>
          </w:tcPr>
          <w:p>
            <w:pPr>
              <w:ind w:left="160"/>
              <w:spacing w:after="0"/>
              <w:rPr>
                <w:sz w:val="20"/>
                <w:szCs w:val="20"/>
                <w:color w:val="auto"/>
              </w:rPr>
            </w:pPr>
            <w:r>
              <w:rPr>
                <w:rFonts w:ascii="Arial" w:cs="Arial" w:eastAsia="Arial" w:hAnsi="Arial"/>
                <w:sz w:val="18"/>
                <w:szCs w:val="18"/>
                <w:color w:val="auto"/>
              </w:rPr>
              <w:t>Merger, Conversion, Consolidation or Succession to Business</w:t>
            </w:r>
          </w:p>
        </w:tc>
        <w:tc>
          <w:tcPr>
            <w:tcW w:w="226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7180" w:type="dxa"/>
            <w:vAlign w:val="bottom"/>
          </w:tcPr>
          <w:p>
            <w:pPr>
              <w:ind w:left="120"/>
              <w:spacing w:after="0"/>
              <w:rPr>
                <w:sz w:val="20"/>
                <w:szCs w:val="20"/>
                <w:color w:val="auto"/>
              </w:rPr>
            </w:pPr>
            <w:r>
              <w:rPr>
                <w:rFonts w:ascii="Arial" w:cs="Arial" w:eastAsia="Arial" w:hAnsi="Arial"/>
                <w:sz w:val="18"/>
                <w:szCs w:val="18"/>
                <w:color w:val="auto"/>
              </w:rPr>
              <w:t>Preferential Collection of Claims Against Company</w:t>
            </w:r>
          </w:p>
        </w:tc>
        <w:tc>
          <w:tcPr>
            <w:tcW w:w="2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7180" w:type="dxa"/>
            <w:vAlign w:val="bottom"/>
          </w:tcPr>
          <w:p>
            <w:pPr>
              <w:ind w:left="120"/>
              <w:spacing w:after="0"/>
              <w:rPr>
                <w:sz w:val="20"/>
                <w:szCs w:val="20"/>
                <w:color w:val="auto"/>
              </w:rPr>
            </w:pPr>
            <w:r>
              <w:rPr>
                <w:rFonts w:ascii="Arial" w:cs="Arial" w:eastAsia="Arial" w:hAnsi="Arial"/>
                <w:sz w:val="18"/>
                <w:szCs w:val="18"/>
                <w:color w:val="auto"/>
              </w:rPr>
              <w:t>Appointment of Authenticating Agent</w:t>
            </w:r>
          </w:p>
        </w:tc>
        <w:tc>
          <w:tcPr>
            <w:tcW w:w="2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Seven</w:t>
            </w:r>
          </w:p>
        </w:tc>
        <w:tc>
          <w:tcPr>
            <w:tcW w:w="71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Holder’s Lists and Reports by Trustee and Company</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180" w:type="dxa"/>
            <w:vAlign w:val="bottom"/>
          </w:tcPr>
          <w:p>
            <w:pPr>
              <w:ind w:left="120"/>
              <w:spacing w:after="0"/>
              <w:rPr>
                <w:sz w:val="20"/>
                <w:szCs w:val="20"/>
                <w:color w:val="auto"/>
              </w:rPr>
            </w:pPr>
            <w:r>
              <w:rPr>
                <w:rFonts w:ascii="Arial" w:cs="Arial" w:eastAsia="Arial" w:hAnsi="Arial"/>
                <w:sz w:val="18"/>
                <w:szCs w:val="18"/>
                <w:color w:val="auto"/>
              </w:rPr>
              <w:t>Company to Furnish Trustee Names and Addresses of Holders</w:t>
            </w:r>
          </w:p>
        </w:tc>
        <w:tc>
          <w:tcPr>
            <w:tcW w:w="2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180" w:type="dxa"/>
            <w:vAlign w:val="bottom"/>
          </w:tcPr>
          <w:p>
            <w:pPr>
              <w:ind w:left="120"/>
              <w:spacing w:after="0"/>
              <w:rPr>
                <w:sz w:val="20"/>
                <w:szCs w:val="20"/>
                <w:color w:val="auto"/>
              </w:rPr>
            </w:pPr>
            <w:r>
              <w:rPr>
                <w:rFonts w:ascii="Arial" w:cs="Arial" w:eastAsia="Arial" w:hAnsi="Arial"/>
                <w:sz w:val="18"/>
                <w:szCs w:val="18"/>
                <w:color w:val="auto"/>
              </w:rPr>
              <w:t>Preservation of Information; Communications to Holders</w:t>
            </w:r>
          </w:p>
        </w:tc>
        <w:tc>
          <w:tcPr>
            <w:tcW w:w="2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180" w:type="dxa"/>
            <w:vAlign w:val="bottom"/>
          </w:tcPr>
          <w:p>
            <w:pPr>
              <w:ind w:left="120"/>
              <w:spacing w:after="0"/>
              <w:rPr>
                <w:sz w:val="20"/>
                <w:szCs w:val="20"/>
                <w:color w:val="auto"/>
              </w:rPr>
            </w:pPr>
            <w:r>
              <w:rPr>
                <w:rFonts w:ascii="Arial" w:cs="Arial" w:eastAsia="Arial" w:hAnsi="Arial"/>
                <w:sz w:val="18"/>
                <w:szCs w:val="18"/>
                <w:color w:val="auto"/>
              </w:rPr>
              <w:t>Reports by Trustee</w:t>
            </w:r>
          </w:p>
        </w:tc>
        <w:tc>
          <w:tcPr>
            <w:tcW w:w="2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180" w:type="dxa"/>
            <w:vAlign w:val="bottom"/>
          </w:tcPr>
          <w:p>
            <w:pPr>
              <w:ind w:left="120"/>
              <w:spacing w:after="0"/>
              <w:rPr>
                <w:sz w:val="20"/>
                <w:szCs w:val="20"/>
                <w:color w:val="auto"/>
              </w:rPr>
            </w:pPr>
            <w:r>
              <w:rPr>
                <w:rFonts w:ascii="Arial" w:cs="Arial" w:eastAsia="Arial" w:hAnsi="Arial"/>
                <w:sz w:val="18"/>
                <w:szCs w:val="18"/>
                <w:color w:val="auto"/>
              </w:rPr>
              <w:t>Reports by Company</w:t>
            </w:r>
          </w:p>
        </w:tc>
        <w:tc>
          <w:tcPr>
            <w:tcW w:w="2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Eight</w:t>
            </w:r>
          </w:p>
        </w:tc>
        <w:tc>
          <w:tcPr>
            <w:tcW w:w="71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Consolidation, Merger, Conveyance, Transfer or Lease</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180" w:type="dxa"/>
            <w:vAlign w:val="bottom"/>
          </w:tcPr>
          <w:p>
            <w:pPr>
              <w:ind w:left="120"/>
              <w:spacing w:after="0"/>
              <w:rPr>
                <w:sz w:val="20"/>
                <w:szCs w:val="20"/>
                <w:color w:val="auto"/>
              </w:rPr>
            </w:pPr>
            <w:r>
              <w:rPr>
                <w:rFonts w:ascii="Arial" w:cs="Arial" w:eastAsia="Arial" w:hAnsi="Arial"/>
                <w:sz w:val="18"/>
                <w:szCs w:val="18"/>
                <w:color w:val="auto"/>
              </w:rPr>
              <w:t>Company May Consolidate, Etc., Only on Certain Terms</w:t>
            </w:r>
          </w:p>
        </w:tc>
        <w:tc>
          <w:tcPr>
            <w:tcW w:w="2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180" w:type="dxa"/>
            <w:vAlign w:val="bottom"/>
          </w:tcPr>
          <w:p>
            <w:pPr>
              <w:ind w:left="120"/>
              <w:spacing w:after="0"/>
              <w:rPr>
                <w:sz w:val="20"/>
                <w:szCs w:val="20"/>
                <w:color w:val="auto"/>
              </w:rPr>
            </w:pPr>
            <w:r>
              <w:rPr>
                <w:rFonts w:ascii="Arial" w:cs="Arial" w:eastAsia="Arial" w:hAnsi="Arial"/>
                <w:sz w:val="18"/>
                <w:szCs w:val="18"/>
                <w:color w:val="auto"/>
              </w:rPr>
              <w:t>Successor Person Substituted</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Nine</w:t>
            </w:r>
          </w:p>
        </w:tc>
        <w:tc>
          <w:tcPr>
            <w:tcW w:w="71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Supplemental Indentures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180" w:type="dxa"/>
            <w:vAlign w:val="bottom"/>
          </w:tcPr>
          <w:p>
            <w:pPr>
              <w:ind w:left="120"/>
              <w:spacing w:after="0"/>
              <w:rPr>
                <w:sz w:val="20"/>
                <w:szCs w:val="20"/>
                <w:color w:val="auto"/>
              </w:rPr>
            </w:pPr>
            <w:r>
              <w:rPr>
                <w:rFonts w:ascii="Arial" w:cs="Arial" w:eastAsia="Arial" w:hAnsi="Arial"/>
                <w:sz w:val="18"/>
                <w:szCs w:val="18"/>
                <w:color w:val="auto"/>
              </w:rPr>
              <w:t>Supplemental Indentures Without Consent of Holders</w:t>
            </w:r>
          </w:p>
        </w:tc>
        <w:tc>
          <w:tcPr>
            <w:tcW w:w="2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180" w:type="dxa"/>
            <w:vAlign w:val="bottom"/>
          </w:tcPr>
          <w:p>
            <w:pPr>
              <w:ind w:left="120"/>
              <w:spacing w:after="0"/>
              <w:rPr>
                <w:sz w:val="20"/>
                <w:szCs w:val="20"/>
                <w:color w:val="auto"/>
              </w:rPr>
            </w:pPr>
            <w:r>
              <w:rPr>
                <w:rFonts w:ascii="Arial" w:cs="Arial" w:eastAsia="Arial" w:hAnsi="Arial"/>
                <w:sz w:val="18"/>
                <w:szCs w:val="18"/>
                <w:color w:val="auto"/>
              </w:rPr>
              <w:t>Supplemental Indentures With Consent of Holders</w:t>
            </w:r>
          </w:p>
        </w:tc>
        <w:tc>
          <w:tcPr>
            <w:tcW w:w="2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180" w:type="dxa"/>
            <w:vAlign w:val="bottom"/>
          </w:tcPr>
          <w:p>
            <w:pPr>
              <w:ind w:left="120"/>
              <w:spacing w:after="0"/>
              <w:rPr>
                <w:sz w:val="20"/>
                <w:szCs w:val="20"/>
                <w:color w:val="auto"/>
              </w:rPr>
            </w:pPr>
            <w:r>
              <w:rPr>
                <w:rFonts w:ascii="Arial" w:cs="Arial" w:eastAsia="Arial" w:hAnsi="Arial"/>
                <w:sz w:val="18"/>
                <w:szCs w:val="18"/>
                <w:color w:val="auto"/>
              </w:rPr>
              <w:t>Execution of Supplemental Indentures</w:t>
            </w:r>
          </w:p>
        </w:tc>
        <w:tc>
          <w:tcPr>
            <w:tcW w:w="2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180" w:type="dxa"/>
            <w:vAlign w:val="bottom"/>
          </w:tcPr>
          <w:p>
            <w:pPr>
              <w:ind w:left="120"/>
              <w:spacing w:after="0"/>
              <w:rPr>
                <w:sz w:val="20"/>
                <w:szCs w:val="20"/>
                <w:color w:val="auto"/>
              </w:rPr>
            </w:pPr>
            <w:r>
              <w:rPr>
                <w:rFonts w:ascii="Arial" w:cs="Arial" w:eastAsia="Arial" w:hAnsi="Arial"/>
                <w:sz w:val="18"/>
                <w:szCs w:val="18"/>
                <w:color w:val="auto"/>
              </w:rPr>
              <w:t>Effect of Supplemental Indentures</w:t>
            </w:r>
          </w:p>
        </w:tc>
        <w:tc>
          <w:tcPr>
            <w:tcW w:w="2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180" w:type="dxa"/>
            <w:vAlign w:val="bottom"/>
          </w:tcPr>
          <w:p>
            <w:pPr>
              <w:ind w:left="120"/>
              <w:spacing w:after="0"/>
              <w:rPr>
                <w:sz w:val="20"/>
                <w:szCs w:val="20"/>
                <w:color w:val="auto"/>
              </w:rPr>
            </w:pPr>
            <w:r>
              <w:rPr>
                <w:rFonts w:ascii="Arial" w:cs="Arial" w:eastAsia="Arial" w:hAnsi="Arial"/>
                <w:sz w:val="18"/>
                <w:szCs w:val="18"/>
                <w:color w:val="auto"/>
              </w:rPr>
              <w:t>Conformity With Trust Indenture Act</w:t>
            </w:r>
          </w:p>
        </w:tc>
        <w:tc>
          <w:tcPr>
            <w:tcW w:w="2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180" w:type="dxa"/>
            <w:vAlign w:val="bottom"/>
          </w:tcPr>
          <w:p>
            <w:pPr>
              <w:ind w:left="120"/>
              <w:spacing w:after="0"/>
              <w:rPr>
                <w:sz w:val="20"/>
                <w:szCs w:val="20"/>
                <w:color w:val="auto"/>
              </w:rPr>
            </w:pPr>
            <w:r>
              <w:rPr>
                <w:rFonts w:ascii="Arial" w:cs="Arial" w:eastAsia="Arial" w:hAnsi="Arial"/>
                <w:sz w:val="18"/>
                <w:szCs w:val="18"/>
                <w:color w:val="auto"/>
              </w:rPr>
              <w:t>Reference in Securities to Supplemental Indentures</w:t>
            </w:r>
          </w:p>
        </w:tc>
        <w:tc>
          <w:tcPr>
            <w:tcW w:w="2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Ten</w:t>
            </w:r>
          </w:p>
        </w:tc>
        <w:tc>
          <w:tcPr>
            <w:tcW w:w="71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Covenants</w:t>
            </w:r>
          </w:p>
        </w:tc>
        <w:tc>
          <w:tcPr>
            <w:tcW w:w="718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1001.</w:t>
            </w:r>
          </w:p>
        </w:tc>
        <w:tc>
          <w:tcPr>
            <w:tcW w:w="7180" w:type="dxa"/>
            <w:vAlign w:val="bottom"/>
          </w:tcPr>
          <w:p>
            <w:pPr>
              <w:ind w:left="120"/>
              <w:spacing w:after="0"/>
              <w:rPr>
                <w:sz w:val="20"/>
                <w:szCs w:val="20"/>
                <w:color w:val="auto"/>
              </w:rPr>
            </w:pPr>
            <w:r>
              <w:rPr>
                <w:rFonts w:ascii="Arial" w:cs="Arial" w:eastAsia="Arial" w:hAnsi="Arial"/>
                <w:sz w:val="18"/>
                <w:szCs w:val="18"/>
                <w:color w:val="auto"/>
              </w:rPr>
              <w:t>Payment of Principal, Premium and Interest</w:t>
            </w:r>
          </w:p>
        </w:tc>
        <w:tc>
          <w:tcPr>
            <w:tcW w:w="2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1002.</w:t>
            </w:r>
          </w:p>
        </w:tc>
        <w:tc>
          <w:tcPr>
            <w:tcW w:w="7180" w:type="dxa"/>
            <w:vAlign w:val="bottom"/>
          </w:tcPr>
          <w:p>
            <w:pPr>
              <w:ind w:left="120"/>
              <w:spacing w:after="0"/>
              <w:rPr>
                <w:sz w:val="20"/>
                <w:szCs w:val="20"/>
                <w:color w:val="auto"/>
              </w:rPr>
            </w:pPr>
            <w:r>
              <w:rPr>
                <w:rFonts w:ascii="Arial" w:cs="Arial" w:eastAsia="Arial" w:hAnsi="Arial"/>
                <w:sz w:val="18"/>
                <w:szCs w:val="18"/>
                <w:color w:val="auto"/>
              </w:rPr>
              <w:t>Maintenance of Office or Agency</w:t>
            </w:r>
          </w:p>
        </w:tc>
        <w:tc>
          <w:tcPr>
            <w:tcW w:w="2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1003.</w:t>
            </w:r>
          </w:p>
        </w:tc>
        <w:tc>
          <w:tcPr>
            <w:tcW w:w="7180" w:type="dxa"/>
            <w:vAlign w:val="bottom"/>
          </w:tcPr>
          <w:p>
            <w:pPr>
              <w:ind w:left="120"/>
              <w:spacing w:after="0"/>
              <w:rPr>
                <w:sz w:val="20"/>
                <w:szCs w:val="20"/>
                <w:color w:val="auto"/>
              </w:rPr>
            </w:pPr>
            <w:r>
              <w:rPr>
                <w:rFonts w:ascii="Arial" w:cs="Arial" w:eastAsia="Arial" w:hAnsi="Arial"/>
                <w:sz w:val="18"/>
                <w:szCs w:val="18"/>
                <w:color w:val="auto"/>
              </w:rPr>
              <w:t>Money for Securities Payments to be Held in Trust</w:t>
            </w:r>
          </w:p>
        </w:tc>
        <w:tc>
          <w:tcPr>
            <w:tcW w:w="2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1004.</w:t>
            </w:r>
          </w:p>
        </w:tc>
        <w:tc>
          <w:tcPr>
            <w:tcW w:w="718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2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1005.</w:t>
            </w:r>
          </w:p>
        </w:tc>
        <w:tc>
          <w:tcPr>
            <w:tcW w:w="7180" w:type="dxa"/>
            <w:vAlign w:val="bottom"/>
          </w:tcPr>
          <w:p>
            <w:pPr>
              <w:ind w:left="120"/>
              <w:spacing w:after="0"/>
              <w:rPr>
                <w:sz w:val="20"/>
                <w:szCs w:val="20"/>
                <w:color w:val="auto"/>
              </w:rPr>
            </w:pPr>
            <w:r>
              <w:rPr>
                <w:rFonts w:ascii="Arial" w:cs="Arial" w:eastAsia="Arial" w:hAnsi="Arial"/>
                <w:sz w:val="18"/>
                <w:szCs w:val="18"/>
                <w:color w:val="auto"/>
              </w:rPr>
              <w:t>Statement by Officers as to Default</w:t>
            </w:r>
          </w:p>
        </w:tc>
        <w:tc>
          <w:tcPr>
            <w:tcW w:w="2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1006.</w:t>
            </w:r>
          </w:p>
        </w:tc>
        <w:tc>
          <w:tcPr>
            <w:tcW w:w="7180" w:type="dxa"/>
            <w:vAlign w:val="bottom"/>
          </w:tcPr>
          <w:p>
            <w:pPr>
              <w:ind w:left="120"/>
              <w:spacing w:after="0"/>
              <w:rPr>
                <w:sz w:val="20"/>
                <w:szCs w:val="20"/>
                <w:color w:val="auto"/>
              </w:rPr>
            </w:pPr>
            <w:r>
              <w:rPr>
                <w:rFonts w:ascii="Arial" w:cs="Arial" w:eastAsia="Arial" w:hAnsi="Arial"/>
                <w:sz w:val="18"/>
                <w:szCs w:val="18"/>
                <w:color w:val="auto"/>
              </w:rPr>
              <w:t>Waiver of Certain Covenants</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1007.</w:t>
            </w:r>
          </w:p>
        </w:tc>
        <w:tc>
          <w:tcPr>
            <w:tcW w:w="7180" w:type="dxa"/>
            <w:vAlign w:val="bottom"/>
          </w:tcPr>
          <w:p>
            <w:pPr>
              <w:ind w:left="120"/>
              <w:spacing w:after="0"/>
              <w:rPr>
                <w:sz w:val="20"/>
                <w:szCs w:val="20"/>
                <w:color w:val="auto"/>
              </w:rPr>
            </w:pPr>
            <w:r>
              <w:rPr>
                <w:rFonts w:ascii="Arial" w:cs="Arial" w:eastAsia="Arial" w:hAnsi="Arial"/>
                <w:sz w:val="18"/>
                <w:szCs w:val="18"/>
                <w:color w:val="auto"/>
              </w:rPr>
              <w:t>Payment of Additional Amounts</w:t>
            </w:r>
          </w:p>
        </w:tc>
        <w:tc>
          <w:tcPr>
            <w:tcW w:w="2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1008.</w:t>
            </w:r>
          </w:p>
        </w:tc>
        <w:tc>
          <w:tcPr>
            <w:tcW w:w="7180" w:type="dxa"/>
            <w:vAlign w:val="bottom"/>
          </w:tcPr>
          <w:p>
            <w:pPr>
              <w:ind w:left="120"/>
              <w:spacing w:after="0"/>
              <w:rPr>
                <w:sz w:val="20"/>
                <w:szCs w:val="20"/>
                <w:color w:val="auto"/>
              </w:rPr>
            </w:pPr>
            <w:r>
              <w:rPr>
                <w:rFonts w:ascii="Arial" w:cs="Arial" w:eastAsia="Arial" w:hAnsi="Arial"/>
                <w:sz w:val="18"/>
                <w:szCs w:val="18"/>
                <w:color w:val="auto"/>
              </w:rPr>
              <w:t>Limitation on Liens</w:t>
            </w:r>
          </w:p>
        </w:tc>
        <w:tc>
          <w:tcPr>
            <w:tcW w:w="2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1009.</w:t>
            </w:r>
          </w:p>
        </w:tc>
        <w:tc>
          <w:tcPr>
            <w:tcW w:w="7180" w:type="dxa"/>
            <w:vAlign w:val="bottom"/>
          </w:tcPr>
          <w:p>
            <w:pPr>
              <w:ind w:left="120"/>
              <w:spacing w:after="0"/>
              <w:rPr>
                <w:sz w:val="20"/>
                <w:szCs w:val="20"/>
                <w:color w:val="auto"/>
              </w:rPr>
            </w:pPr>
            <w:r>
              <w:rPr>
                <w:rFonts w:ascii="Arial" w:cs="Arial" w:eastAsia="Arial" w:hAnsi="Arial"/>
                <w:sz w:val="18"/>
                <w:szCs w:val="18"/>
                <w:color w:val="auto"/>
              </w:rPr>
              <w:t>Restriction on Sale-Leaseback Transactions</w:t>
            </w:r>
          </w:p>
        </w:tc>
        <w:tc>
          <w:tcPr>
            <w:tcW w:w="2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Eleven</w:t>
            </w:r>
          </w:p>
        </w:tc>
        <w:tc>
          <w:tcPr>
            <w:tcW w:w="71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Redemption of Securities</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1101.</w:t>
            </w:r>
          </w:p>
        </w:tc>
        <w:tc>
          <w:tcPr>
            <w:tcW w:w="7180" w:type="dxa"/>
            <w:vAlign w:val="bottom"/>
          </w:tcPr>
          <w:p>
            <w:pPr>
              <w:ind w:left="120"/>
              <w:spacing w:after="0"/>
              <w:rPr>
                <w:sz w:val="20"/>
                <w:szCs w:val="20"/>
                <w:color w:val="auto"/>
              </w:rPr>
            </w:pPr>
            <w:r>
              <w:rPr>
                <w:rFonts w:ascii="Arial" w:cs="Arial" w:eastAsia="Arial" w:hAnsi="Arial"/>
                <w:sz w:val="18"/>
                <w:szCs w:val="18"/>
                <w:color w:val="auto"/>
              </w:rPr>
              <w:t>Applicability of Article</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1102.</w:t>
            </w:r>
          </w:p>
        </w:tc>
        <w:tc>
          <w:tcPr>
            <w:tcW w:w="7180" w:type="dxa"/>
            <w:vAlign w:val="bottom"/>
          </w:tcPr>
          <w:p>
            <w:pPr>
              <w:ind w:left="120"/>
              <w:spacing w:after="0"/>
              <w:rPr>
                <w:sz w:val="20"/>
                <w:szCs w:val="20"/>
                <w:color w:val="auto"/>
              </w:rPr>
            </w:pPr>
            <w:r>
              <w:rPr>
                <w:rFonts w:ascii="Arial" w:cs="Arial" w:eastAsia="Arial" w:hAnsi="Arial"/>
                <w:sz w:val="18"/>
                <w:szCs w:val="18"/>
                <w:color w:val="auto"/>
              </w:rPr>
              <w:t>Election to Redeem; Notice to Trustee</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1103.</w:t>
            </w:r>
          </w:p>
        </w:tc>
        <w:tc>
          <w:tcPr>
            <w:tcW w:w="7180" w:type="dxa"/>
            <w:vAlign w:val="bottom"/>
          </w:tcPr>
          <w:p>
            <w:pPr>
              <w:ind w:left="120"/>
              <w:spacing w:after="0"/>
              <w:rPr>
                <w:sz w:val="20"/>
                <w:szCs w:val="20"/>
                <w:color w:val="auto"/>
              </w:rPr>
            </w:pPr>
            <w:r>
              <w:rPr>
                <w:rFonts w:ascii="Arial" w:cs="Arial" w:eastAsia="Arial" w:hAnsi="Arial"/>
                <w:sz w:val="18"/>
                <w:szCs w:val="18"/>
                <w:color w:val="auto"/>
              </w:rPr>
              <w:t>Selection by Trustee of Securities to be Redeemed</w:t>
            </w:r>
          </w:p>
        </w:tc>
        <w:tc>
          <w:tcPr>
            <w:tcW w:w="2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1104.</w:t>
            </w:r>
          </w:p>
        </w:tc>
        <w:tc>
          <w:tcPr>
            <w:tcW w:w="7180" w:type="dxa"/>
            <w:vAlign w:val="bottom"/>
          </w:tcPr>
          <w:p>
            <w:pPr>
              <w:ind w:left="120"/>
              <w:spacing w:after="0"/>
              <w:rPr>
                <w:sz w:val="20"/>
                <w:szCs w:val="20"/>
                <w:color w:val="auto"/>
              </w:rPr>
            </w:pPr>
            <w:r>
              <w:rPr>
                <w:rFonts w:ascii="Arial" w:cs="Arial" w:eastAsia="Arial" w:hAnsi="Arial"/>
                <w:sz w:val="18"/>
                <w:szCs w:val="18"/>
                <w:color w:val="auto"/>
              </w:rPr>
              <w:t>Notice of Redemption</w:t>
            </w:r>
          </w:p>
        </w:tc>
        <w:tc>
          <w:tcPr>
            <w:tcW w:w="272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1105.   Deposit of Redemption Price</w:t>
            </w:r>
          </w:p>
        </w:tc>
        <w:tc>
          <w:tcPr>
            <w:tcW w:w="2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1106.   Securities Payable on Redemption Date</w:t>
            </w:r>
          </w:p>
        </w:tc>
        <w:tc>
          <w:tcPr>
            <w:tcW w:w="2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1107.   Securities Redeemed in Part</w:t>
            </w:r>
          </w:p>
        </w:tc>
        <w:tc>
          <w:tcPr>
            <w:tcW w:w="2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1108.   Purchase of Securities</w:t>
            </w:r>
          </w:p>
        </w:tc>
        <w:tc>
          <w:tcPr>
            <w:tcW w:w="2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1109.</w:t>
            </w:r>
          </w:p>
        </w:tc>
        <w:tc>
          <w:tcPr>
            <w:tcW w:w="7520" w:type="dxa"/>
            <w:vAlign w:val="bottom"/>
          </w:tcPr>
          <w:p>
            <w:pPr>
              <w:ind w:left="120"/>
              <w:spacing w:after="0"/>
              <w:rPr>
                <w:sz w:val="20"/>
                <w:szCs w:val="20"/>
                <w:color w:val="auto"/>
              </w:rPr>
            </w:pPr>
            <w:r>
              <w:rPr>
                <w:rFonts w:ascii="Arial" w:cs="Arial" w:eastAsia="Arial" w:hAnsi="Arial"/>
                <w:sz w:val="18"/>
                <w:szCs w:val="18"/>
                <w:color w:val="auto"/>
              </w:rPr>
              <w:t>Tax Redemption</w:t>
            </w:r>
          </w:p>
        </w:tc>
        <w:tc>
          <w:tcPr>
            <w:tcW w:w="2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Twelve</w:t>
            </w:r>
          </w:p>
        </w:tc>
        <w:tc>
          <w:tcPr>
            <w:tcW w:w="75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Sinking Funds</w:t>
            </w:r>
          </w:p>
        </w:tc>
        <w:tc>
          <w:tcPr>
            <w:tcW w:w="752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10"/>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1201.   Applicability of Article</w:t>
            </w:r>
          </w:p>
        </w:tc>
        <w:tc>
          <w:tcPr>
            <w:tcW w:w="2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1202.   Satisfaction of Sinking Fund Payments with Securities</w:t>
            </w:r>
          </w:p>
        </w:tc>
        <w:tc>
          <w:tcPr>
            <w:tcW w:w="2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1203.   Redemption of Securities for Sinking Fund</w:t>
            </w:r>
          </w:p>
        </w:tc>
        <w:tc>
          <w:tcPr>
            <w:tcW w:w="23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460" w:type="dxa"/>
            <w:vAlign w:val="bottom"/>
          </w:tcPr>
          <w:p>
            <w:pPr>
              <w:spacing w:after="0"/>
              <w:rPr>
                <w:sz w:val="20"/>
                <w:szCs w:val="20"/>
                <w:color w:val="auto"/>
              </w:rPr>
            </w:pPr>
            <w:r>
              <w:rPr>
                <w:rFonts w:ascii="Arial" w:cs="Arial" w:eastAsia="Arial" w:hAnsi="Arial"/>
                <w:sz w:val="18"/>
                <w:szCs w:val="18"/>
                <w:b w:val="1"/>
                <w:bCs w:val="1"/>
                <w:color w:val="auto"/>
              </w:rPr>
              <w:t>Article Thirteen</w:t>
            </w:r>
          </w:p>
        </w:tc>
        <w:tc>
          <w:tcPr>
            <w:tcW w:w="75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Meetings of Holders of Securities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310"/>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1301.   Purposes for Which Meetings May Be Called</w:t>
            </w:r>
          </w:p>
        </w:tc>
        <w:tc>
          <w:tcPr>
            <w:tcW w:w="2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1302.   Call, Notice and Place of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1303.   Persons Entitled to Vote at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1304.</w:t>
            </w:r>
          </w:p>
        </w:tc>
        <w:tc>
          <w:tcPr>
            <w:tcW w:w="7520" w:type="dxa"/>
            <w:vAlign w:val="bottom"/>
          </w:tcPr>
          <w:p>
            <w:pPr>
              <w:ind w:left="120"/>
              <w:spacing w:after="0"/>
              <w:rPr>
                <w:sz w:val="20"/>
                <w:szCs w:val="20"/>
                <w:color w:val="auto"/>
              </w:rPr>
            </w:pPr>
            <w:r>
              <w:rPr>
                <w:rFonts w:ascii="Arial" w:cs="Arial" w:eastAsia="Arial" w:hAnsi="Arial"/>
                <w:sz w:val="18"/>
                <w:szCs w:val="18"/>
                <w:color w:val="auto"/>
              </w:rPr>
              <w:t>Quorum; Action</w:t>
            </w:r>
          </w:p>
        </w:tc>
        <w:tc>
          <w:tcPr>
            <w:tcW w:w="23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Section 1305.   Determination of Voting Rights; Conduct and Adjournment of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w w:val="98"/>
              </w:rPr>
              <w:t>Section 1306.</w:t>
            </w:r>
          </w:p>
        </w:tc>
        <w:tc>
          <w:tcPr>
            <w:tcW w:w="7520" w:type="dxa"/>
            <w:vAlign w:val="bottom"/>
          </w:tcPr>
          <w:p>
            <w:pPr>
              <w:ind w:left="120"/>
              <w:spacing w:after="0"/>
              <w:rPr>
                <w:sz w:val="20"/>
                <w:szCs w:val="20"/>
                <w:color w:val="auto"/>
              </w:rPr>
            </w:pPr>
            <w:r>
              <w:rPr>
                <w:rFonts w:ascii="Arial" w:cs="Arial" w:eastAsia="Arial" w:hAnsi="Arial"/>
                <w:sz w:val="18"/>
                <w:szCs w:val="18"/>
                <w:color w:val="auto"/>
              </w:rPr>
              <w:t>Counting Votes and Recording Action of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4" w:right="299" w:bottom="1440" w:gutter="0" w:footer="0" w:header="0"/>
        </w:sectPr>
      </w:pPr>
    </w:p>
    <w:bookmarkStart w:id="12" w:name="page13"/>
    <w:bookmarkEnd w:id="12"/>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dated as of March 29, 2017, is between TECHNIPFMC PLC, a public limited company incorporated under the laws of England and Wales (herein called the “</w:t>
      </w:r>
      <w:r>
        <w:rPr>
          <w:rFonts w:ascii="Arial" w:cs="Arial" w:eastAsia="Arial" w:hAnsi="Arial"/>
          <w:sz w:val="18"/>
          <w:szCs w:val="18"/>
          <w:u w:val="single" w:color="auto"/>
          <w:color w:val="auto"/>
        </w:rPr>
        <w:t>Company</w:t>
      </w:r>
      <w:r>
        <w:rPr>
          <w:rFonts w:ascii="Arial" w:cs="Arial" w:eastAsia="Arial" w:hAnsi="Arial"/>
          <w:sz w:val="18"/>
          <w:szCs w:val="18"/>
          <w:color w:val="auto"/>
        </w:rPr>
        <w:t>”), having its principal office at One St. Paul’s Churchyard, London, United Kingdom EC4M 8AP, and U.S. BANK NATIONAL ASSOCIATION, a national banking association having a corporate trust office at 8 Greenway Plaza, Suite 1100, Houston, Texas 77046, as Trustee (herein called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w:t>
      </w:r>
      <w:r>
        <w:rPr>
          <w:rFonts w:ascii="Arial" w:cs="Arial" w:eastAsia="Arial" w:hAnsi="Arial"/>
          <w:sz w:val="16"/>
          <w:szCs w:val="16"/>
          <w:u w:val="single" w:color="auto"/>
          <w:color w:val="auto"/>
        </w:rPr>
        <w:t>Securities</w:t>
      </w:r>
      <w:r>
        <w:rPr>
          <w:rFonts w:ascii="Arial" w:cs="Arial" w:eastAsia="Arial" w:hAnsi="Arial"/>
          <w:sz w:val="16"/>
          <w:szCs w:val="16"/>
          <w:color w:val="auto"/>
        </w:rPr>
        <w:t>”), to be issued in one or more series as in this Indenture provided.</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Indenture is subject to the provisions of the Trust Indenture Act and the rules and regulations of the Commission promulgated thereunder that are required to be part of this Indenture and, to the extent applicable, shall be governed by such provisions.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firstLine="464"/>
        <w:spacing w:after="0" w:line="277" w:lineRule="auto"/>
        <w:tabs>
          <w:tab w:leader="none" w:pos="71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 and</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word “will” shall be interpreted to express a command.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Certain terms, used principally in </w:t>
      </w:r>
      <w:r>
        <w:rPr>
          <w:rFonts w:ascii="Arial" w:cs="Arial" w:eastAsia="Arial" w:hAnsi="Arial"/>
          <w:sz w:val="18"/>
          <w:szCs w:val="18"/>
          <w:u w:val="single" w:color="auto"/>
          <w:color w:val="auto"/>
        </w:rPr>
        <w:t>Article Six</w:t>
      </w:r>
      <w:r>
        <w:rPr>
          <w:rFonts w:ascii="Arial" w:cs="Arial" w:eastAsia="Arial" w:hAnsi="Arial"/>
          <w:sz w:val="18"/>
          <w:szCs w:val="18"/>
          <w:color w:val="auto"/>
        </w:rPr>
        <w:t>, are defined in that Article.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when used with respect to any Holder, has the meaning specified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1007(b)</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Members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with respect to a Sale-Leaseback Transaction, at the time of determination, the lesser of:</w:t>
      </w:r>
    </w:p>
    <w:p>
      <w:pPr>
        <w:spacing w:after="0" w:line="131" w:lineRule="exact"/>
        <w:rPr>
          <w:sz w:val="20"/>
          <w:szCs w:val="20"/>
          <w:color w:val="auto"/>
        </w:rPr>
      </w:pPr>
    </w:p>
    <w:p>
      <w:pPr>
        <w:ind w:left="900" w:right="140" w:hanging="446"/>
        <w:spacing w:after="0" w:line="27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present value of the total net amount of rent required to be paid under the lease involved in such Sale-Leaseback Transaction during the remaining term thereof (including any renewal term exercisable at the lessee’s option or period for which such lease has been extended), discounted at the rate of interest set forth or implicit in the terms of such lease or, if not practicable to determine such rate, the weighted average interest rate per annum borne by the Securities Outstanding compounded semiannually; and</w:t>
      </w:r>
    </w:p>
    <w:p>
      <w:pPr>
        <w:spacing w:after="0" w:line="76" w:lineRule="exact"/>
        <w:rPr>
          <w:rFonts w:ascii="Arial" w:cs="Arial" w:eastAsia="Arial" w:hAnsi="Arial"/>
          <w:sz w:val="17"/>
          <w:szCs w:val="17"/>
          <w:color w:val="auto"/>
        </w:rPr>
      </w:pPr>
    </w:p>
    <w:p>
      <w:pPr>
        <w:ind w:left="900" w:right="22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obligation with respect to the Sale-Leaseback Transaction constitutes an obligation that is required to be accounted for as a capital lease obligation in accordance with GAAP, the amount equal to the capitalized amount of such obligation determined in accordance with GAAP and included in the financial statements of the lessee.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purposes of the foregoing definition, rent will not include amounts required to be paid by the lessee, whether or not designated as rent or additional rent, on account of or contingent upon maintenance and repairs, insurance, taxes, assessments, utilities, water rates, operating charges, labor costs and similar charges. In the case of any lease that is terminable by the lessee upon the payment of a penalty, the total net amount of rent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total net amount of rent determined assuming no such termination.</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xml:space="preserve">” means any Person, which may include the Company, authorized by the Trustee to act on behalf of the Trustee pursuant to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to authenticate Securities of one or more series.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4" w:name="page15"/>
    <w:bookmarkEnd w:id="14"/>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Authorized Newspaper</w:t>
      </w:r>
      <w:r>
        <w:rPr>
          <w:rFonts w:ascii="Arial" w:cs="Arial" w:eastAsia="Arial" w:hAnsi="Arial"/>
          <w:sz w:val="16"/>
          <w:szCs w:val="16"/>
          <w:color w:val="auto"/>
        </w:rPr>
        <w:t>”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either the board of directors of the Company or any duly authorized committee of that board.</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as amended,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its Chairman of the Board, its Chief Executive Officer or a Vice President, and by its Treasurer, an Assistant Treasurer, its Controller, an Assistant Controller, its Secretary or an Assistant Secretary, and delivered to the Trustee.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at any date of determination, the aggregate amount of assets included in the most recent consolidated balance sheet of the Company and its Subsidiaries less (i) current liabilities of the Company and its Subsidiaries and (ii) the net book amount of all intangible assets of the Company and its Subsidiaries.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designated office of the Trustee in Houston, Texas at which at any particular time its corporate trust business shall be administered, which office at the date hereof is that indicated in the introductory paragraph of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5" w:name="page16"/>
    <w:bookmarkEnd w:id="15"/>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Depositary</w:t>
      </w:r>
      <w:r>
        <w:rPr>
          <w:rFonts w:ascii="Arial" w:cs="Arial" w:eastAsia="Arial" w:hAnsi="Arial"/>
          <w:sz w:val="18"/>
          <w:szCs w:val="18"/>
          <w:color w:val="auto"/>
        </w:rPr>
        <w:t xml:space="preserve">” means, with respect to the Securities of any series issuable or issued in whole or in part in global form, The Depository Trust Company or such other Person as may be designated as Depositary by the Company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Securities of such series, in each case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series shall mean the Depositary with respect to the Securities of that series.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as at the time shall be legal tender for the payment of public and private debts.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statute.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when used with respect to any Security, means the Person in whose name the Security is registered in the Security Register.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Home Country Jurisdiction</w:t>
      </w:r>
      <w:r>
        <w:rPr>
          <w:rFonts w:ascii="Arial" w:cs="Arial" w:eastAsia="Arial" w:hAnsi="Arial"/>
          <w:sz w:val="18"/>
          <w:szCs w:val="18"/>
          <w:color w:val="auto"/>
        </w:rPr>
        <w:t>” means the United Kingdom.</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indebtedness of, or guaranteed or assumed by, the Company for borrowed money, if any such indebtedness would appear as a liability upon a consolidated balance sheet of the Company and its Subsidiaries prepared in accordance with GAAP (not including contingent liabilities in respect of any indebtedness that would appear only in a footnote to such balance sheet).</w:t>
      </w:r>
    </w:p>
    <w:p>
      <w:pPr>
        <w:spacing w:after="0" w:line="181"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the provisions of the Trust Indenture Act that are deemed to be a part of and govern this instrument.</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6" w:name="page17"/>
    <w:bookmarkEnd w:id="16"/>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assets, any mortgage, pledge, security interest, encumbrance, lien, charge or adverse claim affecting title or resulting in an encumbrance against real or personal property or a security interest of any kind (including, without limitation, any conditional sale or other title retention agreement or lease in the nature thereof or any filing or agreement to file a financing statement as debtor under the Uniform Commercial Code or any similar statute other than to reflect ownership by a third party of property leased to the Company or any of its Subsidiaries under a lease that is not in the nature of a conditional sale or title retention agreement).</w:t>
      </w:r>
    </w:p>
    <w:p>
      <w:pPr>
        <w:spacing w:after="0" w:line="188"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2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means a certificate signed by (i) the Chairman of the Board, the Chief Executive Officer or a Vice President, and (ii) the Treasurer, the Controller, the Secretary or an Assistant Treasurer, Assistant Controller or Assistant Secretary, of the Company, and delivered to the Trustee, which certificate shall comply with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xml:space="preserve">” means a written opinion of counsel, who may be counsel for or an employee of the Company, rendered, if applicable, in accordance with Section 314(c) of the Trust Indenture Act, which opinion shall comply with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70"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xml:space="preserve">” means any Security which is issued at a price lower than the principal amount payable upon the Stated Maturity thereof and which provides for an amount less than the principal amount thereof to be due and payable upon redemption thereof or upon a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Securities of a series, means, as of the date of determination, all Securities of such series theretofore authenticated and delivered under this Indenture, except:</w:t>
      </w:r>
    </w:p>
    <w:p>
      <w:pPr>
        <w:spacing w:after="0" w:line="7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 of that series theretofore cancelled by the Trustee or delivered to the Trustee for cancellation;</w:t>
      </w:r>
    </w:p>
    <w:p>
      <w:pPr>
        <w:spacing w:after="0" w:line="130" w:lineRule="exact"/>
        <w:rPr>
          <w:rFonts w:ascii="Arial" w:cs="Arial" w:eastAsia="Arial" w:hAnsi="Arial"/>
          <w:sz w:val="18"/>
          <w:szCs w:val="18"/>
          <w:color w:val="auto"/>
        </w:rPr>
      </w:pPr>
    </w:p>
    <w:p>
      <w:pPr>
        <w:ind w:left="900" w:right="80" w:hanging="446"/>
        <w:spacing w:after="0" w:line="30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Securities of that series for whose payment or redemption money in the necessary amount has been theretofore irrevocably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Securities are to be redeemed, notice of such redemption has been duly given pursuant to this Indenture or provision therefor satisfactory to the Trustee has been made; and</w:t>
      </w:r>
    </w:p>
    <w:p>
      <w:pPr>
        <w:spacing w:after="0" w:line="59"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Securities of that series that have been paid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17" w:name="page18"/>
    <w:bookmarkEnd w:id="17"/>
    <w:p>
      <w:pPr>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determining whether the Holders of the requisite principal amount of the Outstanding Securities have given any request, demand,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authorization, direction, notice, consent or waiver hereunder, or whether a quorum is present at a meeting of Holders of Securities, (a) the principal amount of an Original Issue Discount Security that shall be deemed to be Outstanding for such purposes shall be the principal amount thereof that would be due and payable as of the date of such determination if the Maturity thereof were accelerated on such date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(b) the principal amount of a Security denominated in a foreign currency shall be the U.S. dollar equivalent, determined by the Company on the date of original issuance of such Security, of the principal amount (or, in the case of an Original Issue Discount Security, the U.S. dollar equivalent, determined on the date of original issuance of such Security, of the amount determined as provided in (a) above), of such Security and (c)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which may include the Company, authorized by the Company to pay the principal of (and premium, if any) and interest on or Additional Amounts with respect to any one or more series of Securities on behalf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Liens existing on, or provided for under the terms of agreements existing on, the date that any Securities are issued under this Indenture;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on any property existing at the time of acquisition thereof;</w:t>
      </w:r>
    </w:p>
    <w:p>
      <w:pPr>
        <w:spacing w:after="0" w:line="130" w:lineRule="exact"/>
        <w:rPr>
          <w:rFonts w:ascii="Arial" w:cs="Arial" w:eastAsia="Arial" w:hAnsi="Arial"/>
          <w:sz w:val="18"/>
          <w:szCs w:val="18"/>
          <w:color w:val="auto"/>
        </w:rPr>
      </w:pPr>
    </w:p>
    <w:p>
      <w:pPr>
        <w:jc w:val="both"/>
        <w:ind w:left="900" w:right="32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on any property or asset of a Person or its subsidiaries existing at the time such person is consolidated or amalgamated with, or merged into, the Company or a Restricted Subsidiary, or Liens on property or asset of a Person existing at the time such Person becomes a Restricted Subsidiary;</w:t>
      </w:r>
    </w:p>
    <w:p>
      <w:pPr>
        <w:spacing w:after="0" w:line="86"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created within one year after the acquisition, completion, development and/or commencement of commercial operation on or of any property or asset acquired, constructed, developed, altered or improved;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securing industrial revenue, pollution control or similar bonds;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8" w:name="page19"/>
    <w:bookmarkEnd w:id="18"/>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on any current assets that secure current liabilities;</w:t>
      </w:r>
    </w:p>
    <w:p>
      <w:pPr>
        <w:spacing w:after="0" w:line="130" w:lineRule="exact"/>
        <w:rPr>
          <w:rFonts w:ascii="Arial" w:cs="Arial" w:eastAsia="Arial" w:hAnsi="Arial"/>
          <w:sz w:val="18"/>
          <w:szCs w:val="18"/>
          <w:color w:val="auto"/>
        </w:rPr>
      </w:pPr>
    </w:p>
    <w:p>
      <w:pPr>
        <w:ind w:left="900" w:right="120" w:hanging="446"/>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Liens to secure Indebtedness issued or guaranteed by, or in favor of, the United States or any state, territory or possession thereof (or the District of Columbia), any foreign country or any department, agency, instrumentality or political subdivision of any such jurisdiction; and</w:t>
      </w:r>
    </w:p>
    <w:p>
      <w:pPr>
        <w:spacing w:after="0" w:line="51" w:lineRule="exact"/>
        <w:rPr>
          <w:rFonts w:ascii="Arial" w:cs="Arial" w:eastAsia="Arial" w:hAnsi="Arial"/>
          <w:sz w:val="17"/>
          <w:szCs w:val="17"/>
          <w:color w:val="auto"/>
        </w:rPr>
      </w:pPr>
    </w:p>
    <w:p>
      <w:pPr>
        <w:ind w:left="900" w:hanging="446"/>
        <w:spacing w:after="0" w:line="28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refinancings, refundings, extensions, renewals or replacements), in whole or in part, of any Lien referred to in the foregoing </w:t>
      </w:r>
      <w:r>
        <w:rPr>
          <w:rFonts w:ascii="Arial" w:cs="Arial" w:eastAsia="Arial" w:hAnsi="Arial"/>
          <w:sz w:val="16"/>
          <w:szCs w:val="16"/>
          <w:u w:val="single" w:color="auto"/>
          <w:color w:val="auto"/>
        </w:rPr>
        <w:t>clauses (1) through (8)</w:t>
      </w:r>
      <w:r>
        <w:rPr>
          <w:rFonts w:ascii="Arial" w:cs="Arial" w:eastAsia="Arial" w:hAnsi="Arial"/>
          <w:sz w:val="16"/>
          <w:szCs w:val="16"/>
          <w:color w:val="auto"/>
        </w:rPr>
        <w:t xml:space="preserve"> that would not otherwise be permitted thereby;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the principal amount of Indebtedness secured thereby shall not exceed the principal amount of Indebtedness so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of such refinancing, refunding, extension, renewal or replacement (plus the aggregate amount of premiums, other payments, fees, costs and expenses related to such refinancing, refunding, extension, renewal or replacement), except that where (A) the Indebtedness so secured at the time of any such refinancing, refunding, extension, renewal or replacement was incurred for the sole purpose of financing a specific project and (B) additional Indebtedness is to be incurred in connection with such refinancing, refunding, extension, renewal or replacement solely to finance the completion of the same project, the additional Indebtedness may also be secured by such Lien, and (ii) the property or asset that is subject to the Lien serving as a refinancing, refunding, extension, renewal or replacement shall be limited to some or all of the property or asset that was subject to the Lien so refinanced, refunded, extended, renewed or replaced (plus improvements on such property or asset).</w:t>
      </w:r>
    </w:p>
    <w:p>
      <w:pPr>
        <w:spacing w:after="0" w:line="169" w:lineRule="exact"/>
        <w:rPr>
          <w:sz w:val="20"/>
          <w:szCs w:val="20"/>
          <w:color w:val="auto"/>
        </w:rPr>
      </w:pPr>
    </w:p>
    <w:p>
      <w:pPr>
        <w:ind w:right="11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partnership, limited liability company, joint venture, association, joint-stock company, trust, unincorporated organization, government or any agency or political subdivision thereof, or any other entity of any kind.</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xml:space="preserve">,” when used with respect to the Securities of any series, means the place or places where the principal of (and premium, if any) and interest on and any Additional Amounts with respect to the Securities of that series are payable as specified in accordance with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Predecessor Security</w:t>
      </w:r>
      <w:r>
        <w:rPr>
          <w:rFonts w:ascii="Arial" w:cs="Arial" w:eastAsia="Arial" w:hAnsi="Arial"/>
          <w:sz w:val="17"/>
          <w:szCs w:val="17"/>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Property</w:t>
      </w:r>
      <w:r>
        <w:rPr>
          <w:rFonts w:ascii="Arial" w:cs="Arial" w:eastAsia="Arial" w:hAnsi="Arial"/>
          <w:sz w:val="16"/>
          <w:szCs w:val="16"/>
          <w:color w:val="auto"/>
        </w:rPr>
        <w:t>” means any real property, manufacturing plant, warehouse, office building or other physical facility, or any other like depreciable assets owned or leased by the Company or any of its Subsidiaries, having a fair value in excess of the greater of (i) 0.25% of the total assets included in the most recent consolidated balance sheet of the Company and its Subsidiaries prepared in accordance with GAAP and (ii) $100,000,000.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9" w:name="page20"/>
    <w:bookmarkEnd w:id="19"/>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means the date fixed for such redemption by or pursuant to the terms of the Security and this Indenture.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at which it is to be redeemed pursuant to the terms of the Security and this Indenture.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xml:space="preserve">” for the interest payable on any Interest Payment Date on the Securities of any series means the date specified for that purpose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or, if not so specified, the first day of the calendar month in which such Interest Payment Date falls if such Interest Payment Date is the fifteenth day of the calendar month or the fifteenth day of the calendar month preceding such Interest Payment Date if such Interest Payment Date is the first day of a calendar month, whether or not such day shall be a Business Day.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vice president, any trust officer or assistant trust officer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who shall have primary responsibility for the administration of this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Company which owns or leases Principal Property.</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 means any arrangement with any Person providing for the leasing by the Company or any of its Subsidiaries of any Principal Property, which Principal Property has been or is to be sold or transferred by the Company or such Subsidiary to such Person.</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Custodian</w:t>
      </w:r>
      <w:r>
        <w:rPr>
          <w:rFonts w:ascii="Arial" w:cs="Arial" w:eastAsia="Arial" w:hAnsi="Arial"/>
          <w:sz w:val="18"/>
          <w:szCs w:val="18"/>
          <w:color w:val="auto"/>
        </w:rPr>
        <w:t>” means, with respect to Securities of a series issued in global form, the Trustee for Securities of such series, acting in its capacity as custodian with respect to the Securities of such series, or any successor entity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xml:space="preserve">” have the respective meanings specified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xml:space="preserve">” for the payment of any Defaulted Interest on the Securities of any series means a date fixed by the Trustee pursuant to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17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 w:name="page21"/>
    <w:bookmarkEnd w:id="20"/>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(i) a corporation, a majority of whose Voting Stock is at the time, directly or indirectly, owned by that Person, by one or more subsidiaries of that Person or by that Person and one or more subsidiaries of that Person, (ii) a partnership in which that Person or a subsidiary of that Person is, at the date of determination, a general or limited partner of that partnership, but only if that Person or its subsidiary is entitled to receive more than 50% of the assets of that partnership upon its dissolution or more than 50% of the net income of that partnership, or (iii) any other Person, other than a corporation or partnership, in which that Person, directly or indirectly, at the date of determination, has (a) a majority equity ownership interest or (b) the power to elect or direct the election of a majority of the directors (or persons performing similar functions) of that Person and control the policies of that Person.</w:t>
      </w:r>
    </w:p>
    <w:p>
      <w:pPr>
        <w:spacing w:after="0" w:line="18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xml:space="preserve">” means the Trust Indenture Act of 1939 as in force at the date as of which this instrument was executed, except as provided in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as so amended.</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(including the states and the District of Columbia) and its “possessions,” which include Puerto Rico, the U.S. Virgin Islands, Guam, American Samoa, Wake Island and the Northern Mariana Islands.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Alien</w:t>
      </w:r>
      <w:r>
        <w:rPr>
          <w:rFonts w:ascii="Arial" w:cs="Arial" w:eastAsia="Arial" w:hAnsi="Arial"/>
          <w:sz w:val="18"/>
          <w:szCs w:val="18"/>
          <w:color w:val="auto"/>
        </w:rPr>
        <w:t>” means any Person who, for United States federal income tax purposes, is a foreign corporation, a non-resident alien individual, a non-resident alien or foreign fiduciary of an estate or trust, or a foreign partnership.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capital stock of any class or kind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 corporation or other Person that is an entity all the outstanding Voting Stock (other than any directors’ qualifying shares) of which is owned, directly or indirectly, by the Company or by one or more other Wholly Owned Subsidiaries, or by the Company and one or more other Wholly Owned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1" w:name="page22"/>
    <w:bookmarkEnd w:id="2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when used with respect to any Original Issue Discount Security, means the yield to maturity, if any, set forth on the face thereof.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Incorporation by Reference of Trust Indenture 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Whenever this Indenture refers to a provision of the Trust Indenture Act,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Trust Indenture Act terms used in this Indenture have the following meanings: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Act</w:t>
      </w:r>
      <w:r>
        <w:rPr>
          <w:rFonts w:ascii="Arial" w:cs="Arial" w:eastAsia="Arial" w:hAnsi="Arial"/>
          <w:sz w:val="18"/>
          <w:szCs w:val="18"/>
          <w:color w:val="auto"/>
        </w:rPr>
        <w:t>” means the United States Bankruptcy Code or Title 11 of the United States Code,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security holder</w:t>
      </w:r>
      <w:r>
        <w:rPr>
          <w:rFonts w:ascii="Arial" w:cs="Arial" w:eastAsia="Arial" w:hAnsi="Arial"/>
          <w:sz w:val="18"/>
          <w:szCs w:val="18"/>
          <w:color w:val="auto"/>
        </w:rPr>
        <w:t>” means a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trustee</w:t>
      </w:r>
      <w:r>
        <w:rPr>
          <w:rFonts w:ascii="Arial" w:cs="Arial" w:eastAsia="Arial" w:hAnsi="Arial"/>
          <w:sz w:val="18"/>
          <w:szCs w:val="18"/>
          <w:color w:val="auto"/>
        </w:rPr>
        <w:t>” or “</w:t>
      </w:r>
      <w:r>
        <w:rPr>
          <w:rFonts w:ascii="Arial" w:cs="Arial" w:eastAsia="Arial" w:hAnsi="Arial"/>
          <w:sz w:val="18"/>
          <w:szCs w:val="18"/>
          <w:u w:val="single" w:color="auto"/>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indenture securities means the Company or any other obligor on the Securities.</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All other terms used in this Indenture that are defined by the Trust Indenture Act, defined by the Trust Indenture Act by reference to another statute or defined by Commission rule under the Trust Indenture Act and not otherwise defined herein have the meanings assigned to them therein.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Compliance Certificates and Opinions.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expressly provided by this Indenture, upon any application or request by the Company to the Trustee to take any action under any provision of this Indenture, the Company shall furnish to the Trustee an Officers’ Certificate stating that all conditions precedent, if any (including any covenants the compliance with which constitutes a condition precedent) provided for in this Indenture relating to the proposed action have been complied with and an Opinion of Counsel stating that in the opinion of such counsel all such conditions precedent, if any (including any covenants the compliance with which constitutes a condition precedent)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117" w:lineRule="exact"/>
        <w:rPr>
          <w:sz w:val="20"/>
          <w:szCs w:val="20"/>
          <w:color w:val="auto"/>
        </w:rPr>
      </w:pPr>
    </w:p>
    <w:p>
      <w:pPr>
        <w:ind w:left="720" w:hanging="256"/>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statement that each person signing such certificate or opinion has read such covenant or condition and the definitions herein relating thereto;</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2" w:name="page23"/>
    <w:bookmarkEnd w:id="22"/>
    <w:p>
      <w:pPr>
        <w:ind w:right="120" w:firstLine="464"/>
        <w:spacing w:after="0" w:line="277"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such person has made such examination or investigation as is necessary to enable such person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person, such condition or covenant has been complied 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Form of Documents Delivered to Trustee.</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is or are erroneous.</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Acts of Holders; Record Dates.</w:t>
      </w:r>
    </w:p>
    <w:p>
      <w:pPr>
        <w:spacing w:after="0" w:line="121" w:lineRule="exact"/>
        <w:rPr>
          <w:sz w:val="20"/>
          <w:szCs w:val="20"/>
          <w:color w:val="auto"/>
        </w:rPr>
      </w:pPr>
    </w:p>
    <w:p>
      <w:pPr>
        <w:ind w:right="20" w:firstLine="464"/>
        <w:spacing w:after="0" w:line="272" w:lineRule="auto"/>
        <w:tabs>
          <w:tab w:leader="none" w:pos="701"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Whenever in this Indenture it is provided that the Holders of a specified percentage in principal amount of the Securities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(i) by any instrument or any number of instruments of similar tenor executed by Holders in Person or by agent or proxy appointed in writing, (ii) by the record of the Holders voting in favor thereof at any meeting of Holders duly called and held in accordance with </w:t>
      </w:r>
      <w:r>
        <w:rPr>
          <w:rFonts w:ascii="Arial" w:cs="Arial" w:eastAsia="Arial" w:hAnsi="Arial"/>
          <w:sz w:val="17"/>
          <w:szCs w:val="17"/>
          <w:u w:val="single" w:color="auto"/>
          <w:color w:val="auto"/>
        </w:rPr>
        <w:t>Article Thirteen</w:t>
      </w:r>
      <w:r>
        <w:rPr>
          <w:rFonts w:ascii="Arial" w:cs="Arial" w:eastAsia="Arial" w:hAnsi="Arial"/>
          <w:sz w:val="17"/>
          <w:szCs w:val="17"/>
          <w:color w:val="auto"/>
        </w:rPr>
        <w:t xml:space="preserve"> hereof, (iii) by a combination of such instrument or instruments and any such record of such a meeting of Holders or (iv) in the case of Securities evidenced by a global Security, by any electronic transmission or other message, whether or not in written format, that complies with the Depositary’s applicable procedures.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3" w:name="page24"/>
    <w:bookmarkEnd w:id="2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evidence (and the action embodied therein and evidenced thereby) are herein sometimes referred to as the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of the relevant Holders. Proof of execution of any such instrument or of a writing appointing any such agent, or the holding of any Person of a Security, shall be sufficient for any purpose of this Indenture and (subject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conclusive in favor of the Trustee and the Company, if made in the manner provided in this Section. The record of any meeting of Holders of Securities shall be proved in the manner provided in </w:t>
      </w:r>
      <w:r>
        <w:rPr>
          <w:rFonts w:ascii="Arial" w:cs="Arial" w:eastAsia="Arial" w:hAnsi="Arial"/>
          <w:sz w:val="18"/>
          <w:szCs w:val="18"/>
          <w:u w:val="single" w:color="auto"/>
          <w:color w:val="auto"/>
        </w:rPr>
        <w:t>Section 1306</w:t>
      </w:r>
      <w:r>
        <w:rPr>
          <w:rFonts w:ascii="Arial" w:cs="Arial" w:eastAsia="Arial" w:hAnsi="Arial"/>
          <w:sz w:val="18"/>
          <w:szCs w:val="18"/>
          <w:color w:val="auto"/>
        </w:rPr>
        <w:t>.</w:t>
      </w:r>
    </w:p>
    <w:p>
      <w:pPr>
        <w:spacing w:after="0" w:line="18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 xml:space="preserve">The Company may set in advance a record date for purposes of determining the identity of Holders of Securities entitled to vote or consent to any action by vote or consent authorized or permitted under this Indenture. If a record date is fixed, those Persons who were Holders of Outstanding Securities at such record date (or their duly designated proxies), and only those Persons, shall be entitled with respect to such Securities to take such action by vote or consent or to revoke any vote or consent previously given, whether or not such Persons continue to be Holders after such record date. Promptly after any record date is set pursuant to this paragraph, the Company, at its own expense, shall cause notice thereof to be given to the Trustee in writing in the manner provided in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and to the relevant Holders as set forth in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70" w:lineRule="exact"/>
        <w:rPr>
          <w:sz w:val="20"/>
          <w:szCs w:val="20"/>
          <w:color w:val="auto"/>
        </w:rPr>
      </w:pPr>
    </w:p>
    <w:p>
      <w:pPr>
        <w:jc w:val="both"/>
        <w:ind w:right="40" w:firstLine="464"/>
        <w:spacing w:after="0" w:line="276" w:lineRule="auto"/>
        <w:tabs>
          <w:tab w:leader="none" w:pos="71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64" w:lineRule="exact"/>
        <w:rPr>
          <w:rFonts w:ascii="Arial" w:cs="Arial" w:eastAsia="Arial" w:hAnsi="Arial"/>
          <w:sz w:val="17"/>
          <w:szCs w:val="17"/>
          <w:color w:val="auto"/>
        </w:rPr>
      </w:pPr>
    </w:p>
    <w:p>
      <w:pPr>
        <w:ind w:left="700" w:hanging="236"/>
        <w:spacing w:after="0"/>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principal amount and serial numbers of Securities held by any Person, and the date of holding the same, shall be proved by the Security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Register.</w:t>
      </w:r>
    </w:p>
    <w:p>
      <w:pPr>
        <w:spacing w:after="0" w:line="102" w:lineRule="exact"/>
        <w:rPr>
          <w:rFonts w:ascii="Arial" w:cs="Arial" w:eastAsia="Arial" w:hAnsi="Arial"/>
          <w:sz w:val="17"/>
          <w:szCs w:val="17"/>
          <w:color w:val="auto"/>
        </w:rPr>
      </w:pPr>
    </w:p>
    <w:p>
      <w:pPr>
        <w:ind w:firstLine="464"/>
        <w:spacing w:after="0" w:line="255"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Any Holder or subsequent Holder may revoke the request, demand, authorization, direction, notice, consent or other Act as to his Security or portion of his Security;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revocation shall be effective only if the Trustee receives the notice of revocation before the date the Act becomes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106. Notices, Etc., to Trustee and Company.</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62" w:lineRule="exact"/>
        <w:rPr>
          <w:sz w:val="20"/>
          <w:szCs w:val="20"/>
          <w:color w:val="auto"/>
        </w:rPr>
      </w:pPr>
    </w:p>
    <w:p>
      <w:pPr>
        <w:ind w:right="20" w:firstLine="464"/>
        <w:spacing w:after="0" w:line="277"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(including facsimile) to or with the Trustee at its Corporate Trust Office, Attention: Corporate Trust Department, or</w:t>
      </w:r>
    </w:p>
    <w:p>
      <w:pPr>
        <w:spacing w:after="0" w:line="62" w:lineRule="exact"/>
        <w:rPr>
          <w:rFonts w:ascii="Arial" w:cs="Arial" w:eastAsia="Arial" w:hAnsi="Arial"/>
          <w:sz w:val="18"/>
          <w:szCs w:val="18"/>
          <w:color w:val="auto"/>
        </w:rPr>
      </w:pPr>
    </w:p>
    <w:p>
      <w:pPr>
        <w:ind w:right="120" w:firstLine="464"/>
        <w:spacing w:after="0" w:line="312" w:lineRule="auto"/>
        <w:tabs>
          <w:tab w:leader="none" w:pos="71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(including facsimile) and mailed, first-class postage prepaid, to the Company addressed to it at the address of its principal office specified in the first paragraph of this Indenture or at any other address previously furnished in writing to the Trustee by the Company, Attention: Corporate Secretary.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Notice to Holders; Waiver.</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Where this Indenture provides for notice to Holders of Securities of any event, such notice shall be sufficiently given (unless otherwise herein expressly provided) if in writing and mailed, first-class postage prepaid, to each Holder affected by such event, at the address of such Holder as it appears in the Security Register, not later than the latest date, and not earlier than the earliest date, prescribed for the giving of such notice.</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to Holders of Securities by mail, then such notification as shall be made with the approval of the Trustee shall constitute a sufficient notification for every purpose hereunder. In any case in which notice to Holders of Securities is given by mail, neither the failure to mail such notice, nor any defect in any notice so mailed, to any particular Holder of a Security, shall affect the sufficiency of such notice with respect to other Holders of Securities.</w:t>
      </w:r>
    </w:p>
    <w:p>
      <w:pPr>
        <w:spacing w:after="0" w:line="17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Conflict With Trust Indenture Act.</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any provision hereof limits, qualifies or conflicts with any provision of the Trust Indenture Act (or conflicts with another provision hereof which is required to be included in this Indenture by any of the provisions of the Trust Indenture Act), such provision of the Trust Indenture Act (or such other provision hereof which is required by the Trust Indenture Act) shall control. If any provision of this Indenture modifies or excludes any provision of the Trust Indenture Act which may be so modified or excluded, the former provision shall be deemed to apply to this Indenture as so modified or to be excluded.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109. Effect of Headings and Table of Contents.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Article and Section headings, the Cross-Reference Table and the Table of Contents herein are for convenience only and shall not affect the construction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110. Successors and Assigns.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 All agreements of the Trustee in this Indenture will bind its successors.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Separability Clause.</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Benefits of Indenture.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and their successors hereunder, any Authenticating Agent, Paying Agent and Security Registrar, and the Holders, any benefit or any legal or equitable right, remedy or claim under this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Governing Law; Waiver of Jury Trial.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PARTIES HERETO CONSENT AND IRREVOCABLY SUBMIT TO THE JURISDICTION OF ANY NEW YORK STATE OR U.S. FEDERAL COURT LOCATED IN THE BOROUGH OF MANHATTAN, CITY OF NEW YORK, COUNTY OF NEW YORK, STATE OF NEW YORK IN RELATION TO ANY LEGAL ACTION OR PROCEEDING (I) ARISING OUT OF, RELATING TO OR IN CONNECTION WITH THIS INDENTURE, THE NOTES AND ANY RELATED DOCUMENTS AND/OR (II) ARISING UNDER ANY U.S. FEDERAL OR U.S. STATE SECURITIES LAWS IN RESPECT OF THE NOTES AND ANY SECURITIES ISSUED PURSUANT TO THE TERMS OF THE INDENTURE. THE PARTIES WAIVE ANY OBJECTION TO PROCEEDINGS IN ANY SUCH COURTS, WHETHER ON THE GROUND OF VENUE OR ON THE GROUND THAT THE PROCEEDINGS HAVE BEEN BROUGHT IN AN INCONVENIENT FORUM. THE COMPANY SHALL APPOINT C T CORPORATION SYSTEM, 111 EIGHTH AVENUE, NEW YORK, NY 10011, AS ITS AGENT FOR SERVICE OF PROCESS IN ANY SUCH SUIT, ACTION OR PROCEEDING AND AGREES THAT SERVICE OF PROCESS UPON SAID AUTHORIZED AGENT SHALL BE DEEMED IN EVERY RESPECT EFFECTIVE SERVICE OF PROCESS UPON IT IN ANY SUCH SUIT, ACTION OR PROCEEDING. THE COMPANY AGREES TO DELIVER, UPON THE EXECUTION AND DELIVERY OF THIS INDENTURE, A WRITTEN ACCEPTANCE BY SUCH AGENT OF ITS APPOINTMENT AS SUCH AGENT. THE COMPANY FURTHER AGREES TO TAKE ANY AND ALL ACTION, INCLUDING THE FILING OF ANY AND ALL SUCH DOCUMENTS AND INSTRUMENTS, AS MAY BE REASONABLY NECESSARY TO CONTINUE SUCH DESIGNATION AND APPOINTMENT OF CT CORPORATION SYSTEM IN FULL FORCE AND EFFECT FOR SO LONG AS THE INDENTURE REMAINS IN FORCE. EACH OF THE COMPANY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26" w:name="page27"/>
    <w:bookmarkEnd w:id="26"/>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HEREBY IRREVOCABLY WAIVES, TO THE FULLEST EXTENT PERMITTED BY APPLICABLE LAW, ANY AND ALL RIGHT TO TRIAL BY JURY IN ANY LEGAL PROCEEDING ARISING OUT OF OR RELATING TO THIS INDENTURE, THE SECURITIES OR THE TRANSACTIONS CONTEMPLATED HEREBY.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Legal Holidays.</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 xml:space="preserve">In any case where any Interest Payment Date, Redemption Date or Stated Maturity of any Security shall not be a Business Day at any Place of Payment, then (notwithstanding any other provision of this Indenture or of the Securities) payment of principal and interest (and premium and Additional Amounts, if any) need not be made at such Place of Payment on such date, but may be made on the next succeeding Business Day at such Place of Payment with the same force and effect as if made on the Interest Payment Date or Redemption Date, or at the Stated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interest shall accrue with respect to such payment for the period from and after such Interest Payment Date, Redemption Date or Stated Maturity, as the case may be.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Corporate Obligation.</w:t>
      </w:r>
    </w:p>
    <w:p>
      <w:pPr>
        <w:spacing w:after="0" w:line="121"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No recourse may be taken, directly or indirectly, against any incorporator, subscriber to the capital stock, shareholder, officer, director or employee of the Company or the Trustee or of any predecessor or successor of the Company or the Trustee with respect to the Company’s obligations on the Securities or the obligations of the Company or the Trustee under this Indenture or any certificate or other writing delivered in connection herewith.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Force Majeure.</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U.S.A. Patriot Act.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acknowledges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Company agrees that it will provide the Trustee with such information as it may request in order for the Trustee to satisfy the requirements of the U.S.A. Patriot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118. Language of Notices, Etc.</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No Personal Liability of Directors, Officers, Employees and Shareholders.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past, present or future director, officer, employee, incorporator, shareholder, member, manager or partner of the Company, as such, will have any liability for any obligations of the Company under the Securities, or this Indenture, or for any claim based on, in respect of, or by reason of, such obligations or their creation. Each Holder of Securities by accepting a Security waives and releases all such liability. Such waiver and release are part of the consideration for issuance of the Securities.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201. Forms Generally.</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Securities of each series shall be in fully registered form and in substantially such form or forms (including temporary or permanent global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If temporary Securities of any series are issued in global form as permitted by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the form thereof shall be established as provided in the preceding sentence. A copy of the Board Resolution establishing the form or forms of Securities of any series (or any such temporary global Security) shall be certified by the Secretary or an Assistant Secretary of the Company and delivered to the Trustee at or prior to the delivery of the Company Order contemplated by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for the authentication and delivery of such Securities (or any such temporary global Security).</w:t>
      </w:r>
    </w:p>
    <w:p>
      <w:pPr>
        <w:spacing w:after="0" w:line="182"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202. Form of Trustee’s Certificate of Authentication.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 of authentication shall be in substantially the following form: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Authorized Signatory”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Securities in Global Form.</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If Securities of a series are issuable in global form, as contemplated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then, notwithstanding </w:t>
      </w:r>
      <w:r>
        <w:rPr>
          <w:rFonts w:ascii="Arial" w:cs="Arial" w:eastAsia="Arial" w:hAnsi="Arial"/>
          <w:sz w:val="17"/>
          <w:szCs w:val="17"/>
          <w:u w:val="single" w:color="auto"/>
          <w:color w:val="auto"/>
        </w:rPr>
        <w:t>clause (10)</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to reflect exchanges. Any endorsement of a Security in global form to reflect the amount, or any increase or decrease in the amount, of Outstanding Securities represented thereby shall be made by the Trustee (i) in such manner and upon instructions given by such Person or Persons as shall be specified in such Security or in a Company Order to be delivered to the Trustee pursuant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(ii) otherwise in accordance with written instructions as is customary for the Depositary for such Security, from such Depositary or its nominee on behalf of any Person having a beneficial interest in such Security. Subject to the provisions of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and, if applicable,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the Trustee shall deliver and redeliver any Security in permanent global form in the manner and upon instructions given by the Person or Persons specified in such Security or in the applicable Company Order. With respect to the Securities of any series that are represented by a Security in global form, the Company authorizes the execution and delivery by the Trustee of a letter of representations or other similar agreement or instrument in the form customarily provided for by the Depositary appointed with respect to such global Security. Any Security in global form may be deposited with the Depositary or its nominee, or may remain in the custody of the Security Custodian therefor pursuant to a FAST Balance Certificate Agreement or similar agreement between the Trustee and the Depositary. If a Company Order pursuant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has been, or simultaneously is, delivered, any instructions by the Company with respect to endorsement or delivery or redelivery of a Security in global form shall be in writing but need not comply with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and need not be accompanied by an Opinion of Counsel.</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Members of, or participants in, the Depositary (“</w:t>
      </w:r>
      <w:r>
        <w:rPr>
          <w:rFonts w:ascii="Arial" w:cs="Arial" w:eastAsia="Arial" w:hAnsi="Arial"/>
          <w:sz w:val="18"/>
          <w:szCs w:val="18"/>
          <w:u w:val="single" w:color="auto"/>
          <w:color w:val="auto"/>
        </w:rPr>
        <w:t>Agent Members</w:t>
      </w:r>
      <w:r>
        <w:rPr>
          <w:rFonts w:ascii="Arial" w:cs="Arial" w:eastAsia="Arial" w:hAnsi="Arial"/>
          <w:sz w:val="18"/>
          <w:szCs w:val="18"/>
          <w:color w:val="auto"/>
        </w:rPr>
        <w:t>”) shall have no rights under this Indenture with respect to any Security issued in global form held on their behalf by the Depositary, or the Security Custodian as its custodian, or under such global Security, and the Depositary may be treated by the Company, the Security Custodian and any agent of the Company or the Trustee as the absolute owner of such global Security for all purposes whatsoever. Notwithstanding the foregoing, (i) the registered holder of a Security of any series issued in global form may grant proxies and otherwise authorize any Person, including Agent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29" w:name="page30"/>
    <w:bookmarkEnd w:id="29"/>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 and Persons that may hold interests through Agent Members, to take any action that a Holder of such series is entitled to take under this Indenture or the Securities of such series and (ii) nothing herein shall prevent the Company, the Security Custodian or any agent of the Company or the Security Custodian, from giving effect to any written certification, proxy or other authorization furnished by the Depositary or shall impair, as between the Depositary and its Agent Members, the operation of customary practices governing the exercise of the rights of a beneficial owner of any Security.</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except as otherwise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any permanent global Security shall be exchangeable only as provided in this paragraph. If the beneficial owners of interests in a permanent global Security are entitled to exchange such interest for Securities of such series and of like tenor and principal amount of another authorized form and denomination, as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Depositary (which instructions shall be in writing but need not comply with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or be accompanied by an Opinion of Counsel) by the Depositary or such other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of other definitive Securities of the same series of authorized denominations and of like tenor as the portion of such permanent global Security to be exchanged;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exchanges may occur during a period beginning at the opening of business 15 days before any Securities of that series are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redeemed and ending on the relevant Redemption Date. Promptly following any such exchange in part, such permanent global Security marked to evidence the partial exchange shall be returned by the Trustee to the Depositary or such other depositary referred to above in accordance with the instructions of the Company referred to above. If a definitive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6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except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transfers of a Security issued in global form shall be limited to transfers of such global Security in whole, but not in part, to the Depositary, its successors or their respective nominees. Interests of beneficial owners in a Security issued in global form may be transferred in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30" w:name="page31"/>
    <w:bookmarkEnd w:id="3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rules and procedures of the Depositary. Securities of any series shall be transferred to all beneficial owners of a global Security of such series in exchange for their beneficial interests in that global Security if, and only if, (1) (A) the Depositary notifies the Company that it is unwilling or unable to continue as Depositary for the global Security of such series or (B) the Depositary has ceased to be a clearing agency registered under applicable law, and in either case (A) or (B) a successor Depositary is not appointed by the Company within 90 days, (2) an Event of Default has occurred with respect to such series and is continuing and the Security Registrar has received a request from the Depositary or the Trustee to issue Securities of such series in lieu of all or a portion of that global Security (in which case the Company shall deliver Securities of such series within 30 days of such request) or (3) the Company determines not to have the Securities of such series represented by a global Security and so notifies the Trustee.</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 connection with any transfer of a portion of the beneficial interest in a global Security of any series to beneficial owners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the Security Registrar shall reflect on its books and records the date and a decrease in the principal amount of the global Security of that series in an amount equal to the principal amount of the beneficial interest in the global Security of that series to be transferred, and the Company shall execute, and the Trustee upon receipt of a Company Order for the authentication and delivery of Securities of that series shall authenticate and deliver, one or more Securities of the same series of like tenor and amount.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In connection with the transfer of all the beneficial interests in a global Security of any series to beneficial owners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the global Security shall be deemed to be surrendered to the Trustee for cancellation, and the Company shall execute, and the Trustee shall authenticate and deliver, to each beneficial owner identified by the Depositary in exchange for its beneficial interest in the global Security, an equal aggregate principal amount of Securities of that series of authorized denominations.</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Neither the Company nor the Trustee will have any responsibility or liability for any aspect of the records relating to, or payments made on account of, Securities of any series by the Depositary, or for maintaining, supervising or reviewing any records of the Depositary relating to such Securities. Neither the Company nor the Trustee shall be liable for any delay by the related global Security Holder or the Depositary in identifying the beneficial owners, and each such Person may conclusively rely on, and shall be protected in relying on, instructions from such global Security Holder or the Depositary for all purposes (including with respect to the registration and delivery, and the respective principal amounts, of the Securities to be issued).</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provisions of the last sentence of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apply to any Security in global form if such Security was never issued and sold by the Company and the Company delivers to the Trustee the Security in global form together with written instructions (which need not comply with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need not be accompanied by an Opinion of Counsel) with regard to the reduction in the principal amount of Securities represented thereby, together with the written statement contemplated by the last sentence of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1" w:name="page32"/>
    <w:bookmarkEnd w:id="31"/>
    <w:p>
      <w:pPr>
        <w:ind w:right="2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the provisions of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unless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payment of principal of (and premium, if any) and interest on and any Additional Amounts with respect to any Security in permanent global form shall be made to the Person or Persons specified therein.</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and except as provided in the preceding paragraph, the Company, the Trustee and any agent of the Company or of the Trustee shall treat a Person as the Holder of such principal amount of Outstanding Securities represented by a global Security as shall be specified in a written statement, if any, of the Holder of such global Security, which is produced to the Security Registrar by such Holder.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Securities may be issued in either temporary or permanent form. Permanent global Securities will be issued in definitive form.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301. Amount Unlimited; Issuable in Series.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The Securities may be issued in one or more series. There shall be established in or pursuant to a Board Resolution, and set forth in an Officers’ Certificate, or established in one or more indentures supplemental hereto, prior to the issuance of Securities of any series,</w:t>
      </w:r>
    </w:p>
    <w:p>
      <w:pPr>
        <w:spacing w:after="0" w:line="38" w:lineRule="exact"/>
        <w:rPr>
          <w:sz w:val="20"/>
          <w:szCs w:val="20"/>
          <w:color w:val="auto"/>
        </w:rPr>
      </w:pPr>
    </w:p>
    <w:p>
      <w:pPr>
        <w:ind w:right="60" w:firstLine="464"/>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 which may be part of a series of Securities previously issued;</w:t>
      </w:r>
    </w:p>
    <w:p>
      <w:pPr>
        <w:spacing w:after="0" w:line="62"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firstLine="464"/>
        <w:spacing w:after="0" w:line="302" w:lineRule="auto"/>
        <w:tabs>
          <w:tab w:leader="none" w:pos="711"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whether any Securities of the series are to be issuable initially in temporary global form and whether any Securities of the series are to be issuable in permanent global form, and, if so, whether beneficial owners of interests in any such global Security may exchange such interests for Securities of such series and of like tenor of any authorized form and denomination and the circumstances under which any such exchanges may occur, if other than in the manner provided in </w:t>
      </w:r>
      <w:r>
        <w:rPr>
          <w:rFonts w:ascii="Arial" w:cs="Arial" w:eastAsia="Arial" w:hAnsi="Arial"/>
          <w:sz w:val="16"/>
          <w:szCs w:val="16"/>
          <w:u w:val="single" w:color="auto"/>
          <w:color w:val="auto"/>
        </w:rPr>
        <w:t>Section 203</w:t>
      </w:r>
      <w:r>
        <w:rPr>
          <w:rFonts w:ascii="Arial" w:cs="Arial" w:eastAsia="Arial" w:hAnsi="Arial"/>
          <w:sz w:val="16"/>
          <w:szCs w:val="16"/>
          <w:color w:val="auto"/>
        </w:rPr>
        <w:t>, and the Depositary for any global Security or Securities of such series, if other than The Depository Trust Company;</w:t>
      </w:r>
    </w:p>
    <w:p>
      <w:pPr>
        <w:spacing w:after="0" w:line="46" w:lineRule="exact"/>
        <w:rPr>
          <w:rFonts w:ascii="Arial" w:cs="Arial" w:eastAsia="Arial" w:hAnsi="Arial"/>
          <w:sz w:val="16"/>
          <w:szCs w:val="16"/>
          <w:color w:val="auto"/>
        </w:rPr>
      </w:pPr>
    </w:p>
    <w:p>
      <w:pPr>
        <w:ind w:right="420" w:firstLine="464"/>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manner in which any interest payable on a temporary global Security on any Interest Payment Date will be paid if other than in the manner provided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center"/>
        <w:ind w:left="5620" w:right="180" w:hanging="5156"/>
        <w:spacing w:after="0" w:line="449" w:lineRule="auto"/>
        <w:tabs>
          <w:tab w:leader="none" w:pos="7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on which the principal of (and premium, if any, on) the Securities of the series is payable or the method of determination thereof; 20</w:t>
      </w:r>
    </w:p>
    <w:p>
      <w:pPr>
        <w:sectPr>
          <w:pgSz w:w="11900" w:h="16838" w:orient="portrait"/>
          <w:cols w:equalWidth="0" w:num="1">
            <w:col w:w="11400"/>
          </w:cols>
          <w:pgMar w:left="240" w:top="274" w:right="259" w:bottom="1440" w:gutter="0" w:footer="0" w:header="0"/>
        </w:sectPr>
      </w:pPr>
    </w:p>
    <w:bookmarkStart w:id="32" w:name="page33"/>
    <w:bookmarkEnd w:id="32"/>
    <w:p>
      <w:pPr>
        <w:ind w:left="-20" w:right="140" w:firstLine="464"/>
        <w:spacing w:after="0" w:line="259" w:lineRule="auto"/>
        <w:tabs>
          <w:tab w:leader="none" w:pos="691"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rate or rates, or the method of determination thereof, at which the Securities of the series shall bear interest, if any, whether and under what circumstances Additional Amounts with respect to such Securities shall be payable, the date or dates from which such interest shall accrue, the Interest Payment Dates on which such interest shall be payable and, if other than as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the Regular Record Date for the interest payable on any Securities on any Interest Payment Date;</w:t>
      </w:r>
    </w:p>
    <w:p>
      <w:pPr>
        <w:spacing w:after="0" w:line="78" w:lineRule="exact"/>
        <w:rPr>
          <w:rFonts w:ascii="Arial" w:cs="Arial" w:eastAsia="Arial" w:hAnsi="Arial"/>
          <w:sz w:val="18"/>
          <w:szCs w:val="18"/>
          <w:color w:val="auto"/>
        </w:rPr>
      </w:pPr>
    </w:p>
    <w:p>
      <w:pPr>
        <w:ind w:left="-20" w:right="440" w:firstLine="464"/>
        <w:spacing w:after="0" w:line="277" w:lineRule="auto"/>
        <w:tabs>
          <w:tab w:leader="none" w:pos="6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place or places where, subject to the provisions of </w:t>
      </w:r>
      <w:r>
        <w:rPr>
          <w:rFonts w:ascii="Arial" w:cs="Arial" w:eastAsia="Arial" w:hAnsi="Arial"/>
          <w:sz w:val="18"/>
          <w:szCs w:val="18"/>
          <w:u w:val="single" w:color="auto"/>
          <w:color w:val="auto"/>
        </w:rPr>
        <w:t>Section 1002</w:t>
      </w:r>
      <w:r>
        <w:rPr>
          <w:rFonts w:ascii="Arial" w:cs="Arial" w:eastAsia="Arial" w:hAnsi="Arial"/>
          <w:sz w:val="18"/>
          <w:szCs w:val="18"/>
          <w:color w:val="auto"/>
        </w:rPr>
        <w:t>, the principal of (and premium, if any), any interest on and any Additional Amounts with respect to the Securities of the series shall be payable;</w:t>
      </w:r>
    </w:p>
    <w:p>
      <w:pPr>
        <w:spacing w:after="0" w:line="62" w:lineRule="exact"/>
        <w:rPr>
          <w:rFonts w:ascii="Arial" w:cs="Arial" w:eastAsia="Arial" w:hAnsi="Arial"/>
          <w:sz w:val="18"/>
          <w:szCs w:val="18"/>
          <w:color w:val="auto"/>
        </w:rPr>
      </w:pPr>
    </w:p>
    <w:p>
      <w:pPr>
        <w:ind w:left="-20" w:firstLine="464"/>
        <w:spacing w:after="0" w:line="264" w:lineRule="auto"/>
        <w:tabs>
          <w:tab w:leader="none" w:pos="6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(whether denominated in cash, securities or otherwise) at which and the terms and conditions upon which Securities of the series may be redeemed, in whole or in part, at the option of the Company, if the Company is to have that option, and the manner in which the Company must exercise any such option if different from those set forth herein;</w:t>
      </w:r>
    </w:p>
    <w:p>
      <w:pPr>
        <w:spacing w:after="0" w:line="73" w:lineRule="exact"/>
        <w:rPr>
          <w:rFonts w:ascii="Arial" w:cs="Arial" w:eastAsia="Arial" w:hAnsi="Arial"/>
          <w:sz w:val="18"/>
          <w:szCs w:val="18"/>
          <w:color w:val="auto"/>
        </w:rPr>
      </w:pPr>
    </w:p>
    <w:p>
      <w:pPr>
        <w:jc w:val="both"/>
        <w:ind w:left="-20" w:right="80" w:firstLine="464"/>
        <w:spacing w:after="0" w:line="312" w:lineRule="auto"/>
        <w:tabs>
          <w:tab w:leader="none" w:pos="69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obligation, if any, of the Company to redeem or purchase Securities of the series pursuant to any sinking fund or analogous provisions or at the option of a Holder thereof and the period or periods within which, the price or prices (whether denominated in cash, securities or otherwise) at which and the terms and conditions upon which Securities of the series shall be redeemed or purchased in whole or in part pursuant to such obligation;</w:t>
      </w:r>
    </w:p>
    <w:p>
      <w:pPr>
        <w:spacing w:after="0" w:line="38" w:lineRule="exact"/>
        <w:rPr>
          <w:rFonts w:ascii="Arial" w:cs="Arial" w:eastAsia="Arial" w:hAnsi="Arial"/>
          <w:sz w:val="16"/>
          <w:szCs w:val="16"/>
          <w:color w:val="auto"/>
        </w:rPr>
      </w:pPr>
    </w:p>
    <w:p>
      <w:pPr>
        <w:ind w:left="-20" w:right="20" w:firstLine="464"/>
        <w:spacing w:after="0" w:line="277" w:lineRule="auto"/>
        <w:tabs>
          <w:tab w:leader="none" w:pos="7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denomination in which any Securities of that series shall be issuable, if other than denominations of $2,000 and any integral multiple of $1,000 in excess thereof;</w:t>
      </w:r>
    </w:p>
    <w:p>
      <w:pPr>
        <w:spacing w:after="0" w:line="62" w:lineRule="exact"/>
        <w:rPr>
          <w:rFonts w:ascii="Arial" w:cs="Arial" w:eastAsia="Arial" w:hAnsi="Arial"/>
          <w:sz w:val="18"/>
          <w:szCs w:val="18"/>
          <w:color w:val="auto"/>
        </w:rPr>
      </w:pPr>
    </w:p>
    <w:p>
      <w:pPr>
        <w:ind w:left="-20" w:firstLine="464"/>
        <w:spacing w:after="0" w:line="264" w:lineRule="auto"/>
        <w:tabs>
          <w:tab w:leader="none" w:pos="7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if other than Dollars, or the form, including equity securities, other debt securities (including Securities), warrants or any other securities or property of the Company or any other Person, in which payment of the principal of (and premium, if any), any interest on and any Additional Amounts with respect to the Securities of the series shall be payable;</w:t>
      </w:r>
    </w:p>
    <w:p>
      <w:pPr>
        <w:spacing w:after="0" w:line="73" w:lineRule="exact"/>
        <w:rPr>
          <w:rFonts w:ascii="Arial" w:cs="Arial" w:eastAsia="Arial" w:hAnsi="Arial"/>
          <w:sz w:val="18"/>
          <w:szCs w:val="18"/>
          <w:color w:val="auto"/>
        </w:rPr>
      </w:pPr>
    </w:p>
    <w:p>
      <w:pPr>
        <w:ind w:left="-20" w:firstLine="464"/>
        <w:spacing w:after="0" w:line="257" w:lineRule="auto"/>
        <w:tabs>
          <w:tab w:leader="none" w:pos="7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on or any Additional Amounts with respect to the Securities of the series are to be payable, at the election of the Company or a Holder thereof, in a currency or currencies (including composite currencies) other than that in which the Securities are stated to be payable, the currency or currencies (including composite currencies) in which payment of the principal of (and premium, if any) and interest on, and any Additional Amounts with respect to, Securities of such series as to which such election is made shall be payable, and the periods within which and the terms and conditions upon which such election is to be made;</w:t>
      </w:r>
    </w:p>
    <w:p>
      <w:pPr>
        <w:spacing w:after="0" w:line="80" w:lineRule="exact"/>
        <w:rPr>
          <w:rFonts w:ascii="Arial" w:cs="Arial" w:eastAsia="Arial" w:hAnsi="Arial"/>
          <w:sz w:val="18"/>
          <w:szCs w:val="18"/>
          <w:color w:val="auto"/>
        </w:rPr>
      </w:pPr>
    </w:p>
    <w:p>
      <w:pPr>
        <w:ind w:left="-20" w:right="60" w:firstLine="464"/>
        <w:spacing w:after="0" w:line="264" w:lineRule="auto"/>
        <w:tabs>
          <w:tab w:leader="none" w:pos="7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any interest on and any Additional Amounts with respect to the Securities of the series may be determined with reference to any commodities, currencies or indices, values, rates or prices or any other index or formula, the manner in which such amounts shall be determined;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33" w:name="page34"/>
    <w:bookmarkEnd w:id="33"/>
    <w:p>
      <w:pPr>
        <w:ind w:right="620" w:firstLine="464"/>
        <w:spacing w:after="0" w:line="277" w:lineRule="auto"/>
        <w:tabs>
          <w:tab w:leader="none" w:pos="801"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other than the entire principal amount thereof, the portion of the principal amount of Securities of the series which shall be payable upon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or provable pursuant to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0" w:firstLine="464"/>
        <w:spacing w:after="0" w:line="277" w:lineRule="auto"/>
        <w:tabs>
          <w:tab w:leader="none" w:pos="8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any changes or additions to </w:t>
      </w:r>
      <w:r>
        <w:rPr>
          <w:rFonts w:ascii="Arial" w:cs="Arial" w:eastAsia="Arial" w:hAnsi="Arial"/>
          <w:sz w:val="18"/>
          <w:szCs w:val="18"/>
          <w:u w:val="single" w:color="auto"/>
          <w:color w:val="auto"/>
        </w:rPr>
        <w:t>Article Four</w:t>
      </w:r>
      <w:r>
        <w:rPr>
          <w:rFonts w:ascii="Arial" w:cs="Arial" w:eastAsia="Arial" w:hAnsi="Arial"/>
          <w:sz w:val="18"/>
          <w:szCs w:val="18"/>
          <w:color w:val="auto"/>
        </w:rPr>
        <w:t xml:space="preserve">, including the addition of additional covenants that may be subject to the covenant defeasance option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 w:firstLine="464"/>
        <w:spacing w:after="0" w:line="277" w:lineRule="auto"/>
        <w:tabs>
          <w:tab w:leader="none" w:pos="8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any deletions or modifications of or additions to the definitions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 Events of Default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covenants of the Company set forth in </w:t>
      </w:r>
      <w:r>
        <w:rPr>
          <w:rFonts w:ascii="Arial" w:cs="Arial" w:eastAsia="Arial" w:hAnsi="Arial"/>
          <w:sz w:val="18"/>
          <w:szCs w:val="18"/>
          <w:u w:val="single" w:color="auto"/>
          <w:color w:val="auto"/>
        </w:rPr>
        <w:t>Article Ten</w:t>
      </w:r>
      <w:r>
        <w:rPr>
          <w:rFonts w:ascii="Arial" w:cs="Arial" w:eastAsia="Arial" w:hAnsi="Arial"/>
          <w:sz w:val="18"/>
          <w:szCs w:val="18"/>
          <w:color w:val="auto"/>
        </w:rPr>
        <w:t xml:space="preserve"> pertaining to the Securities of the series;</w:t>
      </w:r>
    </w:p>
    <w:p>
      <w:pPr>
        <w:spacing w:after="0" w:line="62" w:lineRule="exact"/>
        <w:rPr>
          <w:rFonts w:ascii="Arial" w:cs="Arial" w:eastAsia="Arial" w:hAnsi="Arial"/>
          <w:sz w:val="18"/>
          <w:szCs w:val="18"/>
          <w:color w:val="auto"/>
        </w:rPr>
      </w:pPr>
    </w:p>
    <w:p>
      <w:pPr>
        <w:jc w:val="both"/>
        <w:ind w:right="180" w:firstLine="464"/>
        <w:spacing w:after="0" w:line="264" w:lineRule="auto"/>
        <w:tabs>
          <w:tab w:leader="none" w:pos="8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equity securities, other debt securities (including Securities), warrants or any other securities or property of the Company or any other Person, at the option of the Company or the Holder or upon the occurrence of any condition or event, the terms and conditions for such conversion or exchange; and</w:t>
      </w:r>
    </w:p>
    <w:p>
      <w:pPr>
        <w:spacing w:after="0" w:line="73" w:lineRule="exact"/>
        <w:rPr>
          <w:rFonts w:ascii="Arial" w:cs="Arial" w:eastAsia="Arial" w:hAnsi="Arial"/>
          <w:sz w:val="18"/>
          <w:szCs w:val="18"/>
          <w:color w:val="auto"/>
        </w:rPr>
      </w:pPr>
    </w:p>
    <w:p>
      <w:pPr>
        <w:ind w:left="800" w:hanging="33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any other terms of the series (which terms shall not be inconsistent with the provisions of this Indenture except as permitted by </w:t>
      </w:r>
      <w:r>
        <w:rPr>
          <w:rFonts w:ascii="Arial" w:cs="Arial" w:eastAsia="Arial" w:hAnsi="Arial"/>
          <w:sz w:val="16"/>
          <w:szCs w:val="16"/>
          <w:u w:val="single" w:color="auto"/>
          <w:color w:val="auto"/>
        </w:rPr>
        <w:t>Section 901(9)</w:t>
      </w:r>
      <w:r>
        <w:rPr>
          <w:rFonts w:ascii="Arial" w:cs="Arial" w:eastAsia="Arial" w:hAnsi="Arial"/>
          <w:sz w:val="16"/>
          <w:szCs w:val="16"/>
          <w:color w:val="auto"/>
        </w:rPr>
        <w:t>).</w:t>
      </w:r>
    </w:p>
    <w:p>
      <w:pPr>
        <w:spacing w:after="0" w:line="24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All Securities of any one series shall be substantially identical except as to denomination and except as may otherwise be provided in or pursuant to the Board Resolution referred to above and (subject to </w:t>
      </w:r>
      <w:r>
        <w:rPr>
          <w:rFonts w:ascii="Arial" w:cs="Arial" w:eastAsia="Arial" w:hAnsi="Arial"/>
          <w:sz w:val="18"/>
          <w:szCs w:val="18"/>
          <w:u w:val="single" w:color="auto"/>
          <w:color w:val="auto"/>
        </w:rPr>
        <w:t>Section 303</w:t>
      </w:r>
      <w:r>
        <w:rPr>
          <w:rFonts w:ascii="Arial" w:cs="Arial" w:eastAsia="Arial" w:hAnsi="Arial"/>
          <w:sz w:val="18"/>
          <w:szCs w:val="18"/>
          <w:color w:val="auto"/>
        </w:rPr>
        <w:t>) set forth, or determined in the manner provided, in the Officers’ Certificate referred to above or in any such indenture supplemental hereto.</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All Securities of any one series need not be issued at the same time and, unless otherwise provided, a series may be reopened, without the consent of the Holders, for increases in the aggregate principal amount of such series of Securities and issuances of additional Securities of such series or for the establishment of additional terms with respect to the Securities of such series.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together with such Board Resolution shall be certified by the Secretary or an Assistant Secretary of the Company and delivered to the Trustee at or prior to the delivery of the Officers’ Certificate setting forth the terms of the series.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302. Denominations.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Securities of each series shall be issuable in registered form without coupons and in such denominations as shall be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 the absence of any such provisions with respect to the Securities of any series, the Securities of such series denominated in Dollars shall be issuable in denominations of $2,000 and any integral multiple of $1,000 in excess thereof. Unless otherwise provided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any series of Securities, any Securities of a series denominated in a currency other than Dollars shall be issuable in denominations that are the equivalent, as determined by the Company by reference to the noon buying rate in The City of New York for cable transfers for such currency, as such rate is reported or otherwise made available by the Federal Reserve Bank of New York, on the applicable issue date for such Securities, of $2,000 and any integral multiple of $1,000 in excess thereof.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303. Execution, Authentication, Delivery and Dating.</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its Chief Executive Officer, its Treasurer or one of its Vice Presidents. The signature of any of these officers on the Securities may be manual or facsimile. The seal of the Company, if any, may be in the form of a facsimile thereof and may be impressed, affixed, imprinted or otherwise reproduced on the Securities.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as in this Indenture provided and not otherwise.</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If the form or terms of the Securities of the series have been established in or pursuant to one or more Board Resolutions or any other method permitted by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in authenticating such Securities, and accepting the additional responsibilities under this Indenture in relation to such Securities, the Trustee shall be entitled to receive, and (subject to </w:t>
      </w:r>
      <w:r>
        <w:rPr>
          <w:rFonts w:ascii="Arial" w:cs="Arial" w:eastAsia="Arial" w:hAnsi="Arial"/>
          <w:sz w:val="16"/>
          <w:szCs w:val="16"/>
          <w:u w:val="single" w:color="auto"/>
          <w:color w:val="auto"/>
        </w:rPr>
        <w:t>Section 601</w:t>
      </w:r>
      <w:r>
        <w:rPr>
          <w:rFonts w:ascii="Arial" w:cs="Arial" w:eastAsia="Arial" w:hAnsi="Arial"/>
          <w:sz w:val="16"/>
          <w:szCs w:val="16"/>
          <w:color w:val="auto"/>
        </w:rPr>
        <w:t>) shall be fully protected in relying upon, an Opinion of Counsel stating,</w:t>
      </w:r>
    </w:p>
    <w:p>
      <w:pPr>
        <w:spacing w:after="0" w:line="39" w:lineRule="exact"/>
        <w:rPr>
          <w:sz w:val="20"/>
          <w:szCs w:val="20"/>
          <w:color w:val="auto"/>
        </w:rPr>
      </w:pPr>
    </w:p>
    <w:p>
      <w:pPr>
        <w:ind w:right="620" w:firstLine="464"/>
        <w:spacing w:after="0" w:line="277" w:lineRule="auto"/>
        <w:tabs>
          <w:tab w:leader="none" w:pos="7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if the form of such Securities has been established by or pursuant to Board Resolution as permitted by </w:t>
      </w:r>
      <w:r>
        <w:rPr>
          <w:rFonts w:ascii="Arial" w:cs="Arial" w:eastAsia="Arial" w:hAnsi="Arial"/>
          <w:sz w:val="18"/>
          <w:szCs w:val="18"/>
          <w:u w:val="single" w:color="auto"/>
          <w:color w:val="auto"/>
        </w:rPr>
        <w:t>Section 201</w:t>
      </w:r>
      <w:r>
        <w:rPr>
          <w:rFonts w:ascii="Arial" w:cs="Arial" w:eastAsia="Arial" w:hAnsi="Arial"/>
          <w:sz w:val="18"/>
          <w:szCs w:val="18"/>
          <w:color w:val="auto"/>
        </w:rPr>
        <w:t>, that such form has been established in conformity with the provisions of this Indenture;</w:t>
      </w:r>
    </w:p>
    <w:p>
      <w:pPr>
        <w:spacing w:after="0" w:line="62" w:lineRule="exact"/>
        <w:rPr>
          <w:rFonts w:ascii="Arial" w:cs="Arial" w:eastAsia="Arial" w:hAnsi="Arial"/>
          <w:sz w:val="18"/>
          <w:szCs w:val="18"/>
          <w:color w:val="auto"/>
        </w:rPr>
      </w:pPr>
    </w:p>
    <w:p>
      <w:pPr>
        <w:ind w:right="320" w:firstLine="464"/>
        <w:spacing w:after="0" w:line="277" w:lineRule="auto"/>
        <w:tabs>
          <w:tab w:leader="none" w:pos="7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if the terms of such Securities have been established by or pursuant to Board Resolution as permitted by </w:t>
      </w:r>
      <w:r>
        <w:rPr>
          <w:rFonts w:ascii="Arial" w:cs="Arial" w:eastAsia="Arial" w:hAnsi="Arial"/>
          <w:sz w:val="18"/>
          <w:szCs w:val="18"/>
          <w:u w:val="single" w:color="auto"/>
          <w:color w:val="auto"/>
        </w:rPr>
        <w:t>Section 301</w:t>
      </w:r>
      <w:r>
        <w:rPr>
          <w:rFonts w:ascii="Arial" w:cs="Arial" w:eastAsia="Arial" w:hAnsi="Arial"/>
          <w:sz w:val="18"/>
          <w:szCs w:val="18"/>
          <w:color w:val="auto"/>
        </w:rPr>
        <w:t>, that such terms have been established in conformity with the provisions of this Indenture; and</w:t>
      </w:r>
    </w:p>
    <w:p>
      <w:pPr>
        <w:spacing w:after="0" w:line="62" w:lineRule="exact"/>
        <w:rPr>
          <w:rFonts w:ascii="Arial" w:cs="Arial" w:eastAsia="Arial" w:hAnsi="Arial"/>
          <w:sz w:val="18"/>
          <w:szCs w:val="18"/>
          <w:color w:val="auto"/>
        </w:rPr>
      </w:pPr>
    </w:p>
    <w:p>
      <w:pPr>
        <w:jc w:val="both"/>
        <w:ind w:right="160" w:firstLine="464"/>
        <w:spacing w:after="0" w:line="286" w:lineRule="auto"/>
        <w:tabs>
          <w:tab w:leader="none" w:pos="701"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that such Securities, when authenticated and delivered by the Trustee and issued by the Company in the manner and subject to any conditions and assumptions specified in such Opinion of Counsel, will constitute legal, valid and binding obligations of the Company, enforceable in accordance with their terms, except as such enforcement is subject to the effect of (i) bankruptcy, insolvency, fraudulent conveyance, reorganization or other laws relating to or affecting creditors’ rights, (ii) general principles of equity (regardless of whether such enforcement is considered in a proceeding in equity or at law)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usual and customary limitations as shall be specified in such Opinion of Counsel.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sectPr>
      </w:pPr>
    </w:p>
    <w:bookmarkStart w:id="35" w:name="page36"/>
    <w:bookmarkEnd w:id="35"/>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w:t>
      </w:r>
      <w:r>
        <w:rPr>
          <w:rFonts w:ascii="Arial" w:cs="Arial" w:eastAsia="Arial" w:hAnsi="Arial"/>
          <w:sz w:val="16"/>
          <w:szCs w:val="16"/>
          <w:u w:val="single" w:color="auto"/>
          <w:color w:val="auto"/>
        </w:rPr>
        <w:t>Section 309</w:t>
      </w:r>
      <w:r>
        <w:rPr>
          <w:rFonts w:ascii="Arial" w:cs="Arial" w:eastAsia="Arial" w:hAnsi="Arial"/>
          <w:sz w:val="16"/>
          <w:szCs w:val="16"/>
          <w:color w:val="auto"/>
        </w:rPr>
        <w:t xml:space="preserve"> together with a written statement (which need not comply with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304. Temporary Securities.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of the Company executing such Securities may determine, as evidenced by their execution of such Securities.</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in the case of temporary Securities in global form (which shall be exchanged in accordance with the provisions of this Indenture),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6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All Outstanding temporary Securities of any series shall in all respects be entitled to the same benefits under this Indenture as definitive Securities of the same series and of like tenor authenticated and delivered hereunder.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305. Registration, Registration of Transfer and Exchange.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The Company shall cause to be kept for each series of Securities at one of the offices or agencies maintained pursuant to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a register (the register maintained in such office and in any other office or agency of the Company in a Place of Payment being herein sometimes collectively referred to as the “</w:t>
      </w:r>
      <w:r>
        <w:rPr>
          <w:rFonts w:ascii="Arial" w:cs="Arial" w:eastAsia="Arial" w:hAnsi="Arial"/>
          <w:sz w:val="18"/>
          <w:szCs w:val="18"/>
          <w:u w:val="single" w:color="auto"/>
          <w:color w:val="auto"/>
        </w:rPr>
        <w:t>Security Register</w:t>
      </w:r>
      <w:r>
        <w:rPr>
          <w:rFonts w:ascii="Arial" w:cs="Arial" w:eastAsia="Arial" w:hAnsi="Arial"/>
          <w:sz w:val="18"/>
          <w:szCs w:val="18"/>
          <w:color w:val="auto"/>
        </w:rPr>
        <w:t>”) in which, subject to such reasonable regulations as it may prescribe, the Company shall provide for the registration of Securities and of transfers of Securities of such series. The Trustee is hereby initially appointed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for the purpose of registering Securities and transfers of Securities as herein provided.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6" w:name="page37"/>
    <w:bookmarkEnd w:id="36"/>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as may be provided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upon surrender for registration of transfer of any Security of any series at the office or agency in a Place of Payment for that series, the Company shall execute, and the Trustee shall authenticate and deliver, in the name of the designated transferee or transferees, one or more new Securities of the same series and of like tenor, of any authorized denominations and of a like aggregate principal amount.</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the option of the Holder, Securities of any series in definitive form may be exchanged for other Securities of the same series and of like tenor, of any authorized denominations and of a like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not involving any transfer.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shall not be required (i) to issue, register the transfer of or exchange Securities of any series during a period beginning at the opening of business 15 days before the day of the mailing of a notice of redemption of Securities of such series selected for redemption and ending at the close of business on the day of the mailing of the relevant notice of redemption or (ii) to register the transfer of or exchange any Security so selected for redemption in whole or in part, except the unredeemed portion of any Security being redeemed in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306. Mutilated, Destroyed, Lost and Stolen Securities.</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7" w:name="page38"/>
    <w:bookmarkEnd w:id="37"/>
    <w:p>
      <w:pPr>
        <w:ind w:right="10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its written request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 (without surrender thereof save in the case of a mutilated Security).</w:t>
      </w:r>
    </w:p>
    <w:p>
      <w:pPr>
        <w:spacing w:after="0" w:line="170"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 and expenses of the Trustee) connected therewith.</w:t>
      </w:r>
    </w:p>
    <w:p>
      <w:pPr>
        <w:spacing w:after="0" w:line="124"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307. Payment of Interest; Interest Rights Preserved.</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provided with respect to the Securities of any series, payment of interest may be made at the option of the Company by check mailed or delivered to the address of any Person entitled thereto as such address shall appear in the Security Register.</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w:t>
      </w:r>
      <w:r>
        <w:rPr>
          <w:rFonts w:ascii="Arial" w:cs="Arial" w:eastAsia="Arial" w:hAnsi="Arial"/>
          <w:sz w:val="17"/>
          <w:szCs w:val="17"/>
          <w:u w:val="single" w:color="auto"/>
          <w:color w:val="auto"/>
        </w:rPr>
        <w:t>Defaulted Interest</w:t>
      </w:r>
      <w:r>
        <w:rPr>
          <w:rFonts w:ascii="Arial" w:cs="Arial" w:eastAsia="Arial" w:hAnsi="Arial"/>
          <w:sz w:val="17"/>
          <w:szCs w:val="17"/>
          <w:color w:val="auto"/>
        </w:rPr>
        <w:t xml:space="preserve">”) shall forthwith cease to be payable to the Holder on the relevant Regular Record Date by virtue of having been such Holder, and such Defaulted Interest may be paid by the Company, at its election in each case, as provided in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w:t>
      </w:r>
      <w:r>
        <w:rPr>
          <w:rFonts w:ascii="Arial" w:cs="Arial" w:eastAsia="Arial" w:hAnsi="Arial"/>
          <w:sz w:val="17"/>
          <w:szCs w:val="17"/>
          <w:color w:val="auto"/>
        </w:rPr>
        <w:t xml:space="preserve"> below:</w:t>
      </w:r>
    </w:p>
    <w:p>
      <w:pPr>
        <w:spacing w:after="0" w:line="57" w:lineRule="exact"/>
        <w:rPr>
          <w:sz w:val="20"/>
          <w:szCs w:val="20"/>
          <w:color w:val="auto"/>
        </w:rPr>
      </w:pPr>
    </w:p>
    <w:p>
      <w:pPr>
        <w:ind w:right="40" w:firstLine="464"/>
        <w:spacing w:after="0" w:line="264" w:lineRule="auto"/>
        <w:tabs>
          <w:tab w:leader="none" w:pos="7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Securities of such series at such Holder’s address as it appears in the Security Register, not less than 10 days prior to such Special Record Date. The Trustee may, in its discretion, in the name and at the expense of the Company, cause a similar notice to be published at least once in an Authorized Newspaper, but such publication shall not be a condition precedent to the establishment of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w:t>
      </w:r>
      <w:r>
        <w:rPr>
          <w:rFonts w:ascii="Arial" w:cs="Arial" w:eastAsia="Arial" w:hAnsi="Arial"/>
          <w:sz w:val="16"/>
          <w:szCs w:val="16"/>
          <w:u w:val="single" w:color="auto"/>
          <w:color w:val="auto"/>
        </w:rPr>
        <w:t>clause (2)</w:t>
      </w:r>
      <w:r>
        <w:rPr>
          <w:rFonts w:ascii="Arial" w:cs="Arial" w:eastAsia="Arial" w:hAnsi="Arial"/>
          <w:sz w:val="16"/>
          <w:szCs w:val="16"/>
          <w:color w:val="auto"/>
        </w:rPr>
        <w:t>.</w:t>
      </w:r>
    </w:p>
    <w:p>
      <w:pPr>
        <w:spacing w:after="0" w:line="67" w:lineRule="exact"/>
        <w:rPr>
          <w:sz w:val="20"/>
          <w:szCs w:val="20"/>
          <w:color w:val="auto"/>
        </w:rPr>
      </w:pPr>
    </w:p>
    <w:p>
      <w:pPr>
        <w:ind w:right="200" w:firstLine="464"/>
        <w:spacing w:after="0" w:line="279" w:lineRule="auto"/>
        <w:tabs>
          <w:tab w:leader="none" w:pos="7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subject to receipt by the Trustee of such certificates or other documentation as the Trustee may request.</w:t>
      </w:r>
    </w:p>
    <w:p>
      <w:pPr>
        <w:spacing w:after="0" w:line="17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in exchange for or in lieu of, any other Security, shall carry the rights to interest accrued and unpaid, and to accrue, which were carried by such other Security.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308. Persons Deemed Owners.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premium, if any) and (subject to </w:t>
      </w:r>
      <w:r>
        <w:rPr>
          <w:rFonts w:ascii="Arial" w:cs="Arial" w:eastAsia="Arial" w:hAnsi="Arial"/>
          <w:sz w:val="16"/>
          <w:szCs w:val="16"/>
          <w:u w:val="single" w:color="auto"/>
          <w:color w:val="auto"/>
        </w:rPr>
        <w:t>Section 307</w:t>
      </w:r>
      <w:r>
        <w:rPr>
          <w:rFonts w:ascii="Arial" w:cs="Arial" w:eastAsia="Arial" w:hAnsi="Arial"/>
          <w:sz w:val="16"/>
          <w:szCs w:val="16"/>
          <w:color w:val="auto"/>
        </w:rPr>
        <w:t>) interest on or any Additional Amounts with respect to such Security and for all other purposes whatsoever, whether or not such Security be overdue, and neither the Company, the Trustee nor any agent of the Company or the Trustee shall be affected by notice to the contrary.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309. Cancellation.</w:t>
      </w:r>
    </w:p>
    <w:p>
      <w:pPr>
        <w:spacing w:after="0" w:line="1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All Securities so delivered shall be promptly cancelled by the Trustee.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the Trustee’s customary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Except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Securities of any series, interest on the Securities of each series shall be computed on the basis of a year of twelve 30-day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311. CUSIP Numbers.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shall promptly notify the Trustee of any change in the “CUSIP” numbers.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401. Satisfaction and Discharge of Indenture;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following provisions of this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shall apply to the Securities of each series except as otherwise specified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of such series:</w:t>
      </w:r>
    </w:p>
    <w:p>
      <w:pPr>
        <w:spacing w:after="0" w:line="103" w:lineRule="exact"/>
        <w:rPr>
          <w:sz w:val="20"/>
          <w:szCs w:val="20"/>
          <w:color w:val="auto"/>
        </w:rPr>
      </w:pPr>
    </w:p>
    <w:p>
      <w:pPr>
        <w:ind w:firstLine="464"/>
        <w:spacing w:after="0" w:line="291" w:lineRule="auto"/>
        <w:tabs>
          <w:tab w:leader="none" w:pos="7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If at any time the Company shall have delivered to the Trustee for cancellation all Securities of any series theretofore authenticated and delivered (other than any Securities of such series which shall have been destroyed, lost or stolen and which shall have been replaced or paid as provided in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and Securities for whose payment money has theretofore been deposited in trust and thereafter repaid to the Company as provided in </w:t>
      </w:r>
      <w:r>
        <w:rPr>
          <w:rFonts w:ascii="Arial" w:cs="Arial" w:eastAsia="Arial" w:hAnsi="Arial"/>
          <w:sz w:val="16"/>
          <w:szCs w:val="16"/>
          <w:u w:val="single" w:color="auto"/>
          <w:color w:val="auto"/>
        </w:rPr>
        <w:t>Section 1003</w:t>
      </w:r>
      <w:r>
        <w:rPr>
          <w:rFonts w:ascii="Arial" w:cs="Arial" w:eastAsia="Arial" w:hAnsi="Arial"/>
          <w:sz w:val="16"/>
          <w:szCs w:val="16"/>
          <w:color w:val="auto"/>
        </w:rPr>
        <w:t>) or all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with the Trustee as trust funds the entire amount in cash sufficient to pay at the date of Stated Maturity of the principal amount of the Securities or upon redemption all Securities of such series not theretofore delivered to the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for cancellation, including principal and premium, if any, and interest due or to become due on such date of Stated Maturity or Redemption Date, as the case may be, and if in either case the Company shall also pay or cause to be paid all other sums payable hereunder by the Company, then this Indenture shall cease to be of further effect (except as to any surviving rights of registration of transfer or exchange of such Securities herein expressly provided for) with respect to the Securities of such series, and the Trustee, on demand of the Company accompanied by an Officers’ Certificate and an Opinion of Counsel and at the cost and expense of the Company, shall execute proper instruments acknowledging satisfaction of and discharging this Indenture with respect to the Securities of such series.</w:t>
      </w:r>
    </w:p>
    <w:p>
      <w:pPr>
        <w:spacing w:after="0" w:line="85" w:lineRule="exact"/>
        <w:rPr>
          <w:sz w:val="20"/>
          <w:szCs w:val="20"/>
          <w:color w:val="auto"/>
        </w:rPr>
      </w:pPr>
    </w:p>
    <w:p>
      <w:pPr>
        <w:ind w:right="40" w:firstLine="464"/>
        <w:spacing w:after="0" w:line="279"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401(c)</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404</w:t>
      </w:r>
      <w:r>
        <w:rPr>
          <w:rFonts w:ascii="Arial" w:cs="Arial" w:eastAsia="Arial" w:hAnsi="Arial"/>
          <w:sz w:val="17"/>
          <w:szCs w:val="17"/>
          <w:color w:val="auto"/>
        </w:rPr>
        <w:t xml:space="preserve">, the Company at any time may terminate, with respect to Securities of a particular series, all its obligations under </w:t>
      </w:r>
      <w:r>
        <w:rPr>
          <w:rFonts w:ascii="Arial" w:cs="Arial" w:eastAsia="Arial" w:hAnsi="Arial"/>
          <w:sz w:val="17"/>
          <w:szCs w:val="17"/>
          <w:u w:val="single" w:color="auto"/>
          <w:color w:val="auto"/>
        </w:rPr>
        <w:t>Sections 704</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1009</w:t>
      </w:r>
      <w:r>
        <w:rPr>
          <w:rFonts w:ascii="Arial" w:cs="Arial" w:eastAsia="Arial" w:hAnsi="Arial"/>
          <w:sz w:val="17"/>
          <w:szCs w:val="17"/>
          <w:color w:val="auto"/>
        </w:rPr>
        <w:t xml:space="preserve"> with respect to the Securities of such series (“</w:t>
      </w:r>
      <w:r>
        <w:rPr>
          <w:rFonts w:ascii="Arial" w:cs="Arial" w:eastAsia="Arial" w:hAnsi="Arial"/>
          <w:sz w:val="17"/>
          <w:szCs w:val="17"/>
          <w:u w:val="single" w:color="auto"/>
          <w:color w:val="auto"/>
        </w:rPr>
        <w:t>legal defeasance option</w:t>
      </w:r>
      <w:r>
        <w:rPr>
          <w:rFonts w:ascii="Arial" w:cs="Arial" w:eastAsia="Arial" w:hAnsi="Arial"/>
          <w:sz w:val="17"/>
          <w:szCs w:val="17"/>
          <w:color w:val="auto"/>
        </w:rPr>
        <w:t xml:space="preserve">”) or the operation of any covenant or additional Event of Default made applicable to such Securities pursuant to </w:t>
      </w:r>
      <w:r>
        <w:rPr>
          <w:rFonts w:ascii="Arial" w:cs="Arial" w:eastAsia="Arial" w:hAnsi="Arial"/>
          <w:sz w:val="17"/>
          <w:szCs w:val="17"/>
          <w:u w:val="single" w:color="auto"/>
          <w:color w:val="auto"/>
        </w:rPr>
        <w:t>Section 301(15)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301(16)</w:t>
      </w:r>
      <w:r>
        <w:rPr>
          <w:rFonts w:ascii="Arial" w:cs="Arial" w:eastAsia="Arial" w:hAnsi="Arial"/>
          <w:sz w:val="17"/>
          <w:szCs w:val="17"/>
          <w:color w:val="auto"/>
        </w:rPr>
        <w:t xml:space="preserve"> (“</w:t>
      </w:r>
      <w:r>
        <w:rPr>
          <w:rFonts w:ascii="Arial" w:cs="Arial" w:eastAsia="Arial" w:hAnsi="Arial"/>
          <w:sz w:val="17"/>
          <w:szCs w:val="17"/>
          <w:u w:val="single" w:color="auto"/>
          <w:color w:val="auto"/>
        </w:rPr>
        <w:t>covenant defeasance option</w:t>
      </w:r>
      <w:r>
        <w:rPr>
          <w:rFonts w:ascii="Arial" w:cs="Arial" w:eastAsia="Arial" w:hAnsi="Arial"/>
          <w:sz w:val="17"/>
          <w:szCs w:val="17"/>
          <w:color w:val="auto"/>
        </w:rPr>
        <w:t>”). The Company may exercise its legal defeasance option notwithstanding its prior exercise of its covenant defeasance option.</w:t>
      </w:r>
    </w:p>
    <w:p>
      <w:pPr>
        <w:spacing w:after="0" w:line="17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If the Company exercises its legal defeasance option, payment of the Securities of the defeased series may not be accelerated because of an Event of Default with respect to such series. If the Company exercises its covenant defeasance option, payment of the Securities of the defeased series may not be accelerated because of an Event of Default specified in </w:t>
      </w:r>
      <w:r>
        <w:rPr>
          <w:rFonts w:ascii="Arial" w:cs="Arial" w:eastAsia="Arial" w:hAnsi="Arial"/>
          <w:sz w:val="18"/>
          <w:szCs w:val="18"/>
          <w:u w:val="single" w:color="auto"/>
          <w:color w:val="auto"/>
        </w:rPr>
        <w:t>Section 501(4)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501(7)</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Upon satisfaction of the conditions set forth herein and upon request of the Company, the Trustee shall acknowledge in writing the discharge of those obligations that the Company terminates.</w:t>
      </w:r>
    </w:p>
    <w:p>
      <w:pPr>
        <w:spacing w:after="0" w:line="62" w:lineRule="exact"/>
        <w:rPr>
          <w:sz w:val="20"/>
          <w:szCs w:val="20"/>
          <w:color w:val="auto"/>
        </w:rPr>
      </w:pPr>
    </w:p>
    <w:p>
      <w:pPr>
        <w:ind w:right="180" w:firstLine="464"/>
        <w:spacing w:after="0" w:line="342" w:lineRule="auto"/>
        <w:tabs>
          <w:tab w:leader="none" w:pos="7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Company’s obligations in </w:t>
      </w:r>
      <w:r>
        <w:rPr>
          <w:rFonts w:ascii="Arial" w:cs="Arial" w:eastAsia="Arial" w:hAnsi="Arial"/>
          <w:sz w:val="16"/>
          <w:szCs w:val="16"/>
          <w:u w:val="single" w:color="auto"/>
          <w:color w:val="auto"/>
        </w:rPr>
        <w:t>Sections 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404</w:t>
      </w:r>
      <w:r>
        <w:rPr>
          <w:rFonts w:ascii="Arial" w:cs="Arial" w:eastAsia="Arial" w:hAnsi="Arial"/>
          <w:sz w:val="16"/>
          <w:szCs w:val="16"/>
          <w:color w:val="auto"/>
        </w:rPr>
        <w:t xml:space="preserve">, </w:t>
      </w:r>
      <w:r>
        <w:rPr>
          <w:rFonts w:ascii="Arial" w:cs="Arial" w:eastAsia="Arial" w:hAnsi="Arial"/>
          <w:sz w:val="16"/>
          <w:szCs w:val="16"/>
          <w:u w:val="single" w:color="auto"/>
          <w:color w:val="auto"/>
        </w:rPr>
        <w:t>610(e)</w:t>
      </w:r>
      <w:r>
        <w:rPr>
          <w:rFonts w:ascii="Arial" w:cs="Arial" w:eastAsia="Arial" w:hAnsi="Arial"/>
          <w:sz w:val="16"/>
          <w:szCs w:val="16"/>
          <w:color w:val="auto"/>
        </w:rPr>
        <w:t xml:space="preserve">,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shall survive until the Securities of the defeased series have been paid in full. Thereafter, the Company’s obligations in </w:t>
      </w:r>
      <w:r>
        <w:rPr>
          <w:rFonts w:ascii="Arial" w:cs="Arial" w:eastAsia="Arial" w:hAnsi="Arial"/>
          <w:sz w:val="16"/>
          <w:szCs w:val="16"/>
          <w:u w:val="single" w:color="auto"/>
          <w:color w:val="auto"/>
        </w:rPr>
        <w:t>Sections 607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shall survive.</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may exercise its legal defeasance option or its covenant defeasance option with respect to Securities of a particular series only if:</w:t>
      </w:r>
    </w:p>
    <w:p>
      <w:pPr>
        <w:spacing w:after="0" w:line="140" w:lineRule="exact"/>
        <w:rPr>
          <w:rFonts w:ascii="Arial" w:cs="Arial" w:eastAsia="Arial" w:hAnsi="Arial"/>
          <w:sz w:val="16"/>
          <w:szCs w:val="16"/>
          <w:color w:val="auto"/>
        </w:rPr>
      </w:pPr>
    </w:p>
    <w:p>
      <w:pPr>
        <w:jc w:val="both"/>
        <w:ind w:right="100" w:firstLine="921"/>
        <w:spacing w:after="0" w:line="264" w:lineRule="auto"/>
        <w:tabs>
          <w:tab w:leader="none" w:pos="11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irrevocably deposits in trust with the Trustee money or U.S. Government Obligations or a combination thereof for the payment of principal of, and premium, if any, and interest on, and any Additional Amounts with respect to, the Securities of such series to the date of Stated Maturity of the principal amount of the Securities or the Redemption Date, as the case may be;</w:t>
      </w:r>
    </w:p>
    <w:p>
      <w:pPr>
        <w:spacing w:after="0" w:line="73" w:lineRule="exact"/>
        <w:rPr>
          <w:rFonts w:ascii="Arial" w:cs="Arial" w:eastAsia="Arial" w:hAnsi="Arial"/>
          <w:sz w:val="18"/>
          <w:szCs w:val="18"/>
          <w:color w:val="auto"/>
        </w:rPr>
      </w:pPr>
    </w:p>
    <w:p>
      <w:pPr>
        <w:jc w:val="both"/>
        <w:ind w:right="100" w:firstLine="921"/>
        <w:spacing w:after="0" w:line="302" w:lineRule="auto"/>
        <w:tabs>
          <w:tab w:leader="none" w:pos="117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delivers to the Trustee a certificate from a nationally recognized firm of independent accountants expressing their opinion that the payments of principal and interest when due and without reinvestment on the deposited U.S. Government Obligations plus any deposited money without investment will provide cash at such times and in such amounts as will be sufficient to pay the principal, premium, if any, and interest and any Additional Amounts when due on all the Securities of such series to such date of Stated Maturity or the Redemption Date, as the case may be;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41" w:name="page42"/>
    <w:bookmarkEnd w:id="41"/>
    <w:p>
      <w:pPr>
        <w:ind w:right="60" w:firstLine="921"/>
        <w:spacing w:after="0" w:line="264" w:lineRule="auto"/>
        <w:tabs>
          <w:tab w:leader="none" w:pos="1228"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delivers to the Trustee an Officers’ Certificate stating that the deposit was not made by the Company with the intent of preferring the Holders of such Securities over the other creditors of the Company with the intent of defeating, hindering, delaying or defrauding any creditors of the Company or others;</w:t>
      </w:r>
    </w:p>
    <w:p>
      <w:pPr>
        <w:spacing w:after="0" w:line="73" w:lineRule="exact"/>
        <w:rPr>
          <w:rFonts w:ascii="Arial" w:cs="Arial" w:eastAsia="Arial" w:hAnsi="Arial"/>
          <w:sz w:val="18"/>
          <w:szCs w:val="18"/>
          <w:color w:val="auto"/>
        </w:rPr>
      </w:pPr>
    </w:p>
    <w:p>
      <w:pPr>
        <w:ind w:left="1220" w:hanging="299"/>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on the date of such deposit and after giving effect thereto;</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deposit does not constitute a default under any other agreement binding on the Company;</w:t>
      </w:r>
    </w:p>
    <w:p>
      <w:pPr>
        <w:spacing w:after="0" w:line="117" w:lineRule="exact"/>
        <w:rPr>
          <w:rFonts w:ascii="Arial" w:cs="Arial" w:eastAsia="Arial" w:hAnsi="Arial"/>
          <w:sz w:val="18"/>
          <w:szCs w:val="18"/>
          <w:color w:val="auto"/>
        </w:rPr>
      </w:pPr>
    </w:p>
    <w:p>
      <w:pPr>
        <w:ind w:right="20" w:firstLine="921"/>
        <w:spacing w:after="0" w:line="276" w:lineRule="auto"/>
        <w:tabs>
          <w:tab w:leader="none" w:pos="12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event of the legal defeasance option, the Company shall have delivered to the Trustee an Opinion of Counsel stating that the Company has received from the Internal Revenue Service a ruling, or since the date of this Indenture there has been a change in the applicable federal income tax law, in either case to the effect that, and based thereon such Opinion of Counsel shall confirm that, the Holders of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64" w:lineRule="exact"/>
        <w:rPr>
          <w:rFonts w:ascii="Arial" w:cs="Arial" w:eastAsia="Arial" w:hAnsi="Arial"/>
          <w:sz w:val="17"/>
          <w:szCs w:val="17"/>
          <w:color w:val="auto"/>
        </w:rPr>
      </w:pPr>
    </w:p>
    <w:p>
      <w:pPr>
        <w:ind w:firstLine="921"/>
        <w:spacing w:after="0" w:line="259" w:lineRule="auto"/>
        <w:tabs>
          <w:tab w:leader="none" w:pos="12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the covenant defeasance option, the Company shall have delivered to the Trustee an Opinion of Counsel to the effect that the Holders of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and</w:t>
      </w:r>
    </w:p>
    <w:p>
      <w:pPr>
        <w:spacing w:after="0" w:line="78" w:lineRule="exact"/>
        <w:rPr>
          <w:rFonts w:ascii="Arial" w:cs="Arial" w:eastAsia="Arial" w:hAnsi="Arial"/>
          <w:sz w:val="18"/>
          <w:szCs w:val="18"/>
          <w:color w:val="auto"/>
        </w:rPr>
      </w:pPr>
    </w:p>
    <w:p>
      <w:pPr>
        <w:ind w:right="300" w:firstLine="921"/>
        <w:spacing w:after="0" w:line="277" w:lineRule="auto"/>
        <w:tabs>
          <w:tab w:leader="none" w:pos="13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Company delivers to the Trustee an Officers’ Certificate and an Opinion of Counsel, each stating that all conditions precedent to the defeasance and discharge of the Securities of such series as contemplated by this </w:t>
      </w:r>
      <w:r>
        <w:rPr>
          <w:rFonts w:ascii="Arial" w:cs="Arial" w:eastAsia="Arial" w:hAnsi="Arial"/>
          <w:sz w:val="18"/>
          <w:szCs w:val="18"/>
          <w:u w:val="single" w:color="auto"/>
          <w:color w:val="auto"/>
        </w:rPr>
        <w:t>Article Four</w:t>
      </w:r>
      <w:r>
        <w:rPr>
          <w:rFonts w:ascii="Arial" w:cs="Arial" w:eastAsia="Arial" w:hAnsi="Arial"/>
          <w:sz w:val="18"/>
          <w:szCs w:val="18"/>
          <w:color w:val="auto"/>
        </w:rPr>
        <w:t xml:space="preserve"> have been complied with.</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Before or after a deposit, the Company may make arrangements satisfactory to the Trustee for the redemption of Securities of such series at a future date in accordance with </w:t>
      </w:r>
      <w:r>
        <w:rPr>
          <w:rFonts w:ascii="Arial" w:cs="Arial" w:eastAsia="Arial" w:hAnsi="Arial"/>
          <w:sz w:val="18"/>
          <w:szCs w:val="18"/>
          <w:u w:val="single" w:color="auto"/>
          <w:color w:val="auto"/>
        </w:rPr>
        <w:t>Article Eleven</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For the purposes of this Indenture, “</w:t>
      </w:r>
      <w:r>
        <w:rPr>
          <w:rFonts w:ascii="Arial" w:cs="Arial" w:eastAsia="Arial" w:hAnsi="Arial"/>
          <w:sz w:val="16"/>
          <w:szCs w:val="16"/>
          <w:u w:val="single" w:color="auto"/>
          <w:color w:val="auto"/>
        </w:rPr>
        <w:t>U.S. Government Obligations</w:t>
      </w:r>
      <w:r>
        <w:rPr>
          <w:rFonts w:ascii="Arial" w:cs="Arial" w:eastAsia="Arial" w:hAnsi="Arial"/>
          <w:sz w:val="16"/>
          <w:szCs w:val="16"/>
          <w:color w:val="auto"/>
        </w:rPr>
        <w:t>” means direct non-callable obligations of, or non-callable obligations the payment of principal of and interest on which is guaranteed by, the United States, or to the payment of which obligations or guarantees the full faith and credit of the United States is pledged, or beneficial interests in a trust the corpus of which consists exclusively of money or such obligations or a combination thereof.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402. Application of Trust Money.</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 xml:space="preserve">Subject to the provisions of the last paragraph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all money or U.S. Government Obligations deposited with the Trustee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and any Additional Amounts for the payment of which such money has been deposited with the Trustee.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403. Indemnity for U.S. Government Obligations.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shall pay and shall indemnify the Trustee and the Holders against any tax, fee or other charge imposed on or assessed against deposited U.S. Government Obligations or the principal and interest received on such U.S. Government Obligations.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404. Reinstatement.</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If the Trustee or Paying Agent is unable to apply any money or U.S. Government Obligations deposited with respect to Securities of any series in accordance with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by reason of any legal proceeding or by reason of any order or judgment of any court or governmental authority enjoining, restraining or otherwise prohibiting such application, the Company’s obligations under this Indenture with respect to the Securities of such series and the Securities of such series shall be revived and reinstated as though no deposit had occurred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until such time as the Trustee or Paying Agent is permitted to apply all such money or U.S. Government Obligations in accordance with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has made any payment of principal of (or premium, if any),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DEFAULTS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501. Events of Default.</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it is either inapplicable to a particular series or it is specifically deleted or modified in or pursuant to the supplemental indenture or Board Resolution establishing such series of Securities or in the form of Security for such series:</w:t>
      </w:r>
    </w:p>
    <w:p>
      <w:pPr>
        <w:spacing w:after="0" w:line="46" w:lineRule="exact"/>
        <w:rPr>
          <w:sz w:val="20"/>
          <w:szCs w:val="20"/>
          <w:color w:val="auto"/>
        </w:rPr>
      </w:pPr>
    </w:p>
    <w:p>
      <w:pPr>
        <w:ind w:right="300" w:firstLine="464"/>
        <w:spacing w:after="0" w:line="277" w:lineRule="auto"/>
        <w:tabs>
          <w:tab w:leader="none" w:pos="7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any interest on or any Additional Amounts with respect to any Security of that series when such interest or Additional Amounts become due and payable, and continuance of such default for a period of 30 days;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0" w:right="299" w:bottom="1440" w:gutter="0" w:footer="0" w:header="0"/>
        </w:sectPr>
      </w:pPr>
    </w:p>
    <w:bookmarkStart w:id="43" w:name="page44"/>
    <w:bookmarkEnd w:id="43"/>
    <w:p>
      <w:pPr>
        <w:ind w:left="680" w:hanging="25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payment of the principal of (or premium, if any, on) any Security of that series at its Maturity; or</w:t>
      </w:r>
    </w:p>
    <w:p>
      <w:pPr>
        <w:spacing w:after="0" w:line="117" w:lineRule="exact"/>
        <w:rPr>
          <w:rFonts w:ascii="Arial" w:cs="Arial" w:eastAsia="Arial" w:hAnsi="Arial"/>
          <w:sz w:val="18"/>
          <w:szCs w:val="18"/>
          <w:color w:val="auto"/>
        </w:rPr>
      </w:pPr>
    </w:p>
    <w:p>
      <w:pPr>
        <w:ind w:left="-40" w:right="280" w:firstLine="464"/>
        <w:spacing w:after="0" w:line="277" w:lineRule="auto"/>
        <w:tabs>
          <w:tab w:leader="none" w:pos="6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the deposit of any mandatory sinking fund payment, when and as due by the terms of a Security of that series and continuance of such default for a period of 30 days; or</w:t>
      </w:r>
    </w:p>
    <w:p>
      <w:pPr>
        <w:spacing w:after="0" w:line="62" w:lineRule="exact"/>
        <w:rPr>
          <w:rFonts w:ascii="Arial" w:cs="Arial" w:eastAsia="Arial" w:hAnsi="Arial"/>
          <w:sz w:val="18"/>
          <w:szCs w:val="18"/>
          <w:color w:val="auto"/>
        </w:rPr>
      </w:pPr>
    </w:p>
    <w:p>
      <w:pPr>
        <w:ind w:left="-40" w:right="40" w:firstLine="464"/>
        <w:spacing w:after="0" w:line="293" w:lineRule="auto"/>
        <w:tabs>
          <w:tab w:leader="none" w:pos="6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default in the performance or breach of any covenant of the Company in this Indenture (other than a covenant a default in whose performance or whose breach is elsewhere in this Section specifically dealt with or which has expressly been included in this Indenture solely for the benefit of one or more series of Securities other than that series), and continuance of such default or breach for a period of 90 days (or, in the case of a default in the performance or breach of the covenant in </w:t>
      </w:r>
      <w:r>
        <w:rPr>
          <w:rFonts w:ascii="Arial" w:cs="Arial" w:eastAsia="Arial" w:hAnsi="Arial"/>
          <w:sz w:val="16"/>
          <w:szCs w:val="16"/>
          <w:u w:val="single" w:color="auto"/>
          <w:color w:val="auto"/>
        </w:rPr>
        <w:t>Section 704</w:t>
      </w:r>
      <w:r>
        <w:rPr>
          <w:rFonts w:ascii="Arial" w:cs="Arial" w:eastAsia="Arial" w:hAnsi="Arial"/>
          <w:sz w:val="16"/>
          <w:szCs w:val="16"/>
          <w:color w:val="auto"/>
        </w:rPr>
        <w:t>, 120 days) after there has been given, by registered or certified mail, to the Company by the Trustee or to the Company and the Trustee by the Holders of at least 25% in principal amount of all Outstanding Securities of all series having the benefit of such covenant a written notice specifying such default or breach and requiring it to be remedied and stating that such notice is a “Notice of Default” hereunder; or</w:t>
      </w:r>
    </w:p>
    <w:p>
      <w:pPr>
        <w:spacing w:after="0" w:line="56" w:lineRule="exact"/>
        <w:rPr>
          <w:rFonts w:ascii="Arial" w:cs="Arial" w:eastAsia="Arial" w:hAnsi="Arial"/>
          <w:sz w:val="16"/>
          <w:szCs w:val="16"/>
          <w:color w:val="auto"/>
        </w:rPr>
      </w:pPr>
    </w:p>
    <w:p>
      <w:pPr>
        <w:ind w:left="-40" w:right="40" w:firstLine="464"/>
        <w:spacing w:after="0" w:line="273" w:lineRule="auto"/>
        <w:tabs>
          <w:tab w:leader="none" w:pos="6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70" w:lineRule="exact"/>
        <w:rPr>
          <w:rFonts w:ascii="Arial" w:cs="Arial" w:eastAsia="Arial" w:hAnsi="Arial"/>
          <w:sz w:val="17"/>
          <w:szCs w:val="17"/>
          <w:color w:val="auto"/>
        </w:rPr>
      </w:pPr>
    </w:p>
    <w:p>
      <w:pPr>
        <w:ind w:left="-40" w:firstLine="464"/>
        <w:spacing w:after="0" w:line="271" w:lineRule="auto"/>
        <w:tabs>
          <w:tab w:leader="none" w:pos="6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70" w:lineRule="exact"/>
        <w:rPr>
          <w:rFonts w:ascii="Arial" w:cs="Arial" w:eastAsia="Arial" w:hAnsi="Arial"/>
          <w:sz w:val="17"/>
          <w:szCs w:val="17"/>
          <w:color w:val="auto"/>
        </w:rPr>
      </w:pPr>
    </w:p>
    <w:p>
      <w:pPr>
        <w:ind w:left="680" w:hanging="25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80" w:top="274" w:right="279" w:bottom="1440" w:gutter="0" w:footer="0" w:header="0"/>
        </w:sectPr>
      </w:pPr>
    </w:p>
    <w:bookmarkStart w:id="44" w:name="page45"/>
    <w:bookmarkEnd w:id="44"/>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provisions of this </w:t>
      </w:r>
      <w:r>
        <w:rPr>
          <w:rFonts w:ascii="Arial" w:cs="Arial" w:eastAsia="Arial" w:hAnsi="Arial"/>
          <w:sz w:val="17"/>
          <w:szCs w:val="17"/>
          <w:u w:val="single" w:color="auto"/>
          <w:color w:val="auto"/>
        </w:rPr>
        <w:t>Section 501</w:t>
      </w:r>
      <w:r>
        <w:rPr>
          <w:rFonts w:ascii="Arial" w:cs="Arial" w:eastAsia="Arial" w:hAnsi="Arial"/>
          <w:sz w:val="17"/>
          <w:szCs w:val="17"/>
          <w:color w:val="auto"/>
        </w:rPr>
        <w:t>, if the principal of (and premium, if any) or any interest on, or Additional Amounts with respect to, any Security is payable in a currency or currencies (including a composite currency) other than Dollars and such currency (or currencies) is (or are) not available to the Company for making payment thereof due to the imposition of exchange controls or other circumstances beyond the control of the Company (a “</w:t>
      </w:r>
      <w:r>
        <w:rPr>
          <w:rFonts w:ascii="Arial" w:cs="Arial" w:eastAsia="Arial" w:hAnsi="Arial"/>
          <w:sz w:val="17"/>
          <w:szCs w:val="17"/>
          <w:u w:val="single" w:color="auto"/>
          <w:color w:val="auto"/>
        </w:rPr>
        <w:t>Conversion Event</w:t>
      </w:r>
      <w:r>
        <w:rPr>
          <w:rFonts w:ascii="Arial" w:cs="Arial" w:eastAsia="Arial" w:hAnsi="Arial"/>
          <w:sz w:val="17"/>
          <w:szCs w:val="17"/>
          <w:color w:val="auto"/>
        </w:rPr>
        <w:t>”), the Company will be entitled to satisfy its obligations to Holders of the Securities by making such payment in Dollars in an amount equal to the Dollar equivalent of the amount payable in such other currency, as determined by the Company by reference to the noon buying rate in The City of New York for cable transfers for such currency (“</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as such Exchange Rate is certified for customs purposes by the Federal Reserve Bank of New York on the date of such payment, or, if such rate is not then available, on the basis of the most recently available Exchange Rate. Notwithstanding the foregoing provisions of this </w:t>
      </w:r>
      <w:r>
        <w:rPr>
          <w:rFonts w:ascii="Arial" w:cs="Arial" w:eastAsia="Arial" w:hAnsi="Arial"/>
          <w:sz w:val="17"/>
          <w:szCs w:val="17"/>
          <w:u w:val="single" w:color="auto"/>
          <w:color w:val="auto"/>
        </w:rPr>
        <w:t>Section 501</w:t>
      </w:r>
      <w:r>
        <w:rPr>
          <w:rFonts w:ascii="Arial" w:cs="Arial" w:eastAsia="Arial" w:hAnsi="Arial"/>
          <w:sz w:val="17"/>
          <w:szCs w:val="17"/>
          <w:color w:val="auto"/>
        </w:rPr>
        <w:t>, any payment made under such circumstances in Dollars where the required payment is in a currency other than Dollars will not constitute an Event of Default under this Indenture.</w:t>
      </w:r>
    </w:p>
    <w:p>
      <w:pPr>
        <w:spacing w:after="0" w:line="18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Promptly after the occurrence of a Conversion Event with respect to Securities of any series, the Company shall give written notice thereof to the Trustee; and the Trustee, promptly after receipt of such notice, shall give notice thereof in the manner provided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to the Holders of such series. Promptly after the making of any payment in Dollars as a result of a Conversion Event with respect to Securities of any series, the Company shall give notice in the manner provided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to the Holders of such series, setting forth the applicable Exchange Rate and describing the calculation of such payments.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502. Acceleration of Maturity; Rescission and Annulment.</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If an Event of Default with respect to the Securities of any series at the time Outstanding occurs and is continuing, then in every such case the Trustee or the Holders of not less than 25% in principal amount of the Outstanding Securities of (i) the series affected by such default (in the case of an Event of Default described in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(ii) all series of Securities affected by such default (in the case of an Event of Default described in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declare the principal amount (or, if any such Securities are Original Issue Discount Securities, such portion of the principal amount as may be specified in the terms of that series) of all of the Securities of the series affected by such default or all series, as the case may be, together with any accrued but unpaid interest or any premium thereon or Additional Amount with respect thereto, to be due and payable immediately, by a notice in writing to the Company (and to the Trustee if given by Holders), and upon any such declaration such principal amount (or specified amount), together with any accrued but unpaid interest or any premium thereon or Additional Amount with respect thereto, shall become immediately due and payable. Notwithstanding the foregoing, if an Event of Default specified in </w:t>
      </w:r>
      <w:r>
        <w:rPr>
          <w:rFonts w:ascii="Arial" w:cs="Arial" w:eastAsia="Arial" w:hAnsi="Arial"/>
          <w:sz w:val="16"/>
          <w:szCs w:val="16"/>
          <w:u w:val="single" w:color="auto"/>
          <w:color w:val="auto"/>
        </w:rPr>
        <w:t>clause (5)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shall occur, the principal amount of the Outstanding Securities of all series, together with any accrued but unpaid interest or any premium thereon or Additional Amount with respect thereto,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shall become and be immediately due and payable without any declaration or other act on the part of the Trustee or any Holder.</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any series (or of all series, as the case may be) has been made and before a judgment or decree for payment of the money due has been obtained by the Trustee as hereinafter in this Article provided, the Holders of a majority in principal amount of the Outstanding Securities of that series (or of all series, as the case may be), by written notice to the Company and the Trustee, may rescind and annul such declaration and its consequences if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5" w:name="page46"/>
    <w:bookmarkEnd w:id="45"/>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paid or deposited with the Trustee a sum sufficient to pay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overdue interest on, and any Additional Amounts with respect to, all Securities of that series (or of all series, as the case may be),</w:t>
      </w:r>
    </w:p>
    <w:p>
      <w:pPr>
        <w:spacing w:after="0" w:line="153"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(or of all series, as the case may be) which have become due otherwise than by such declaration of acceleration and interest thereon at the rate or rates prescribed therefor in such Securities (in the case of Original Issue Discount Securities, the Securities’ Yield to Maturity),</w:t>
      </w:r>
    </w:p>
    <w:p>
      <w:pPr>
        <w:spacing w:after="0" w:line="86" w:lineRule="exact"/>
        <w:rPr>
          <w:rFonts w:ascii="Arial" w:cs="Arial" w:eastAsia="Arial" w:hAnsi="Arial"/>
          <w:sz w:val="18"/>
          <w:szCs w:val="18"/>
          <w:color w:val="auto"/>
        </w:rPr>
      </w:pPr>
    </w:p>
    <w:p>
      <w:pPr>
        <w:ind w:left="1480" w:right="460" w:hanging="567"/>
        <w:spacing w:after="0" w:line="342"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and any Additional Amounts at the rate or rates prescribed therefor in such Securities (in the case of Original Issue Discount Securities, the Securities’ Yield to Maturity), and</w:t>
      </w:r>
    </w:p>
    <w:p>
      <w:pPr>
        <w:spacing w:after="0" w:line="29" w:lineRule="exact"/>
        <w:rPr>
          <w:rFonts w:ascii="Arial" w:cs="Arial" w:eastAsia="Arial" w:hAnsi="Arial"/>
          <w:sz w:val="16"/>
          <w:szCs w:val="16"/>
          <w:color w:val="auto"/>
        </w:rPr>
      </w:pPr>
    </w:p>
    <w:p>
      <w:pPr>
        <w:ind w:left="1480" w:right="380" w:hanging="567"/>
        <w:spacing w:after="0" w:line="277"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firstLine="464"/>
        <w:spacing w:after="0" w:line="264"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all Events of Default with respect to Securities of that series (or of all series, as the case may be), other than the non-payment of the principal of Securities of that series (or of all series, as the case may be) which have become due solely by such declaration of acceleration, have been cured or waived as provided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503. Collection of Indebtedness and Suits for Enforcement by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right="120" w:firstLine="464"/>
        <w:spacing w:after="0" w:line="277"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or any Additional Amounts with respect to, any Security of any series when such interest or Additional Amounts shall have become due and payable and such default continues for a period of 30 days, or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premium, if any) and interest and Additional Amounts and, to the extent that payment of such interest shall be legally enforceable, interest on any overdue principal (and premium, if any) and on any overdue interest and Additional Amounts, at the rate or rates prescribed therefor in such Securities (or in the case of Original Issue Discount Securities, the Securities’ Yield to Maturity), and, in addition thereto, such further amount as shall be sufficient to cover the costs and expenses of collection, including the reasonable compensation, expenses, disbursements and advances of the Trustee, its agents and counsel.</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274" w:right="339" w:bottom="1440" w:gutter="0" w:footer="0" w:header="0"/>
        </w:sectPr>
      </w:pPr>
    </w:p>
    <w:bookmarkStart w:id="46" w:name="page47"/>
    <w:bookmarkEnd w:id="46"/>
    <w:p>
      <w:pPr>
        <w:ind w:right="1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504. Trustee May File Proofs of Claim.</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(or lesser amount in the case of Original Issue Discount Securities) of the Securities shall then be due and payable as therein expressed or by declaration or otherwise and irrespective of whether the Trustee shall have made any demand on the Company for the payment of overdue principal (and premium, if any), interest or any Additional Amounts) shall be entitled and empowered, by intervention in such proceeding or otherwise,</w:t>
      </w:r>
    </w:p>
    <w:p>
      <w:pPr>
        <w:spacing w:after="0" w:line="85" w:lineRule="exact"/>
        <w:rPr>
          <w:sz w:val="20"/>
          <w:szCs w:val="20"/>
          <w:color w:val="auto"/>
        </w:rPr>
      </w:pPr>
    </w:p>
    <w:p>
      <w:pPr>
        <w:ind w:right="40" w:firstLine="921"/>
        <w:spacing w:after="0" w:line="259" w:lineRule="auto"/>
        <w:tabs>
          <w:tab w:leader="none" w:pos="11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(or lesser amount in the case of Original Issue Discount Securities) (and premium, if any) and interest and any Additional Amounts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collect and receive any money or other property payable or deliverable on any such claims and to distribute the same;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7" w:name="page48"/>
    <w:bookmarkEnd w:id="47"/>
    <w:p>
      <w:pPr>
        <w:ind w:right="3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505. Trustee May Enforce Claims Without Possession of Securities or Coupons.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506. Application of Money Collected.</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premium, if any), interest or any Additional Amounts, upon presentation of the Securities, and the notation thereon of the payment if only partially paid and upon surrender thereof if fully paid: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FIRST: To the payment of all amounts due the Trustee under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SECOND: To the payment of the amounts then due and unpaid for principal of (and premium, if any) and interest on and any Additional Amounts with respect to the Securities in respect of which or for the benefit of which such money has been collected, ratably, without preference or priority of any kind, according to the amounts due and payable on such Securities for principal (and premium, if any) interest and Additional Amounts, respectively; and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The balance, if any, to the Person or Persons entitled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fullest extent allowed under applicable law, if for the purpose of obtaining judgment against the Company in any court it is necessary to convert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sum due in respect of the principal of (or premium, if any) or interest on or any Additional Amounts with respect to the Securities of any series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rate of exchange used shall be the rate at which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normal banking procedures the Trustee could purchase in The City of New York the Required Currency with the Judgment Currency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Business Day next preceding that on which final judgment is given. Neither the Company nor the Trustee shall be liable for any shortfall nor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benefit from any windfall in payments to Holders of Securities under this Section caused by a change in exchange rates between the time the amount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judgment against it is calculated as above and the time the Trustee converts the Judgment Currency into the Required Currency to make payments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to Holders of Securities, but payment of such judgment shall discharge all amounts owed by the Company on the claim or claims underlying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judgment.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507. Limitation on Suits.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508</w:t>
      </w:r>
      <w:r>
        <w:rPr>
          <w:rFonts w:ascii="Arial" w:cs="Arial" w:eastAsia="Arial" w:hAnsi="Arial"/>
          <w:sz w:val="18"/>
          <w:szCs w:val="18"/>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right="280" w:firstLine="464"/>
        <w:spacing w:after="0" w:line="277"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Event of Default with respect to Securities of such series shall have occurred and be continuing and such Holder has previously given written notice to the Trustee of such continuing Event of Default;</w:t>
      </w:r>
    </w:p>
    <w:p>
      <w:pPr>
        <w:spacing w:after="0" w:line="62"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firstLine="464"/>
        <w:spacing w:after="0" w:line="277"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such indemnity or security as it may reasonably require against the costs, expenses and liabilities to be incurred in compliance with such request;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or security has failed to institute any such proceeding; and</w:t>
      </w:r>
    </w:p>
    <w:p>
      <w:pPr>
        <w:spacing w:after="0" w:line="140" w:lineRule="exact"/>
        <w:rPr>
          <w:rFonts w:ascii="Arial" w:cs="Arial" w:eastAsia="Arial" w:hAnsi="Arial"/>
          <w:sz w:val="16"/>
          <w:szCs w:val="16"/>
          <w:color w:val="auto"/>
        </w:rPr>
      </w:pPr>
    </w:p>
    <w:p>
      <w:pPr>
        <w:ind w:right="20" w:firstLine="464"/>
        <w:spacing w:after="0" w:line="277"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whatsoever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(it being understood that the Trustee does not have an affirmative duty to ascertain whether or not such actions or forbearances are unduly prejudicial to such 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508. Unconditional Right of Holders to Receive Principal, Premium and Interest.</w:t>
      </w:r>
    </w:p>
    <w:p>
      <w:pPr>
        <w:spacing w:after="0" w:line="121"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 xml:space="preserve">Notwithstanding any other provision in this Indenture, the Holder of any Security shall have the right, which is absolute and unconditional, to receive payment of the principal of (and premium, if any) and (subject to </w:t>
      </w:r>
      <w:r>
        <w:rPr>
          <w:rFonts w:ascii="Arial" w:cs="Arial" w:eastAsia="Arial" w:hAnsi="Arial"/>
          <w:sz w:val="17"/>
          <w:szCs w:val="17"/>
          <w:u w:val="single" w:color="auto"/>
          <w:color w:val="auto"/>
        </w:rPr>
        <w:t>Section 307</w:t>
      </w:r>
      <w:r>
        <w:rPr>
          <w:rFonts w:ascii="Arial" w:cs="Arial" w:eastAsia="Arial" w:hAnsi="Arial"/>
          <w:sz w:val="17"/>
          <w:szCs w:val="17"/>
          <w:color w:val="auto"/>
        </w:rPr>
        <w:t>) interest on and any Additional Amounts with respect to such Security on the Stated Maturity or Maturities expressed in such Security (or, in the case of redemption, on the Redemption Date) and to institute suit for the enforcement of any such payment, and such rights shall not be impaired without the consent of such Holder.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0"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509. Restoration of Rights and Remedies.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the Trustee or any Holder of any Security has instituted any proceeding to enforce any right or remedy under this Indenture and such proceeding has been discontinued or abandoned for any reason, then and in every such case the Company,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121"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 xml:space="preserve">Except as otherwise provided with respect to the replacement or payment of mutilated, destroyed, lost or stolen Securities in the last paragraph of </w:t>
      </w:r>
      <w:r>
        <w:rPr>
          <w:rFonts w:ascii="Arial" w:cs="Arial" w:eastAsia="Arial" w:hAnsi="Arial"/>
          <w:sz w:val="18"/>
          <w:szCs w:val="18"/>
          <w:u w:val="single" w:color="auto"/>
          <w:color w:val="auto"/>
        </w:rPr>
        <w:t>Section 306</w:t>
      </w:r>
      <w:r>
        <w:rPr>
          <w:rFonts w:ascii="Arial" w:cs="Arial" w:eastAsia="Arial" w:hAnsi="Arial"/>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 the fullest extent permitted by applicable law,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With respect to Securities of any series, the Holders of a majority in principal amount of the Outstanding Securities of such series shall have the right to direct the time, method and place of conducting any proceeding for any remedy available to the Trustee, or exercising any trust or power conferred on the Trustee, relating to or arising under an Event of Default described in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with respect to all Securities the Holders of a majority in principal amount of all Outstanding Securities shall have the right to direct the time, method and place of conducting any remedy available to the Trustee, or exercising any trust or power conferred on the Trustee, not relating to or arising under such an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such case</w:t>
      </w:r>
    </w:p>
    <w:p>
      <w:pPr>
        <w:spacing w:after="0" w:line="50" w:lineRule="exact"/>
        <w:rPr>
          <w:sz w:val="20"/>
          <w:szCs w:val="20"/>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117" w:lineRule="exact"/>
        <w:rPr>
          <w:rFonts w:ascii="Arial" w:cs="Arial" w:eastAsia="Arial" w:hAnsi="Arial"/>
          <w:sz w:val="18"/>
          <w:szCs w:val="18"/>
          <w:color w:val="auto"/>
        </w:rPr>
      </w:pPr>
    </w:p>
    <w:p>
      <w:pPr>
        <w:ind w:left="5620" w:right="2520" w:hanging="5156"/>
        <w:spacing w:after="0" w:line="449" w:lineRule="auto"/>
        <w:tabs>
          <w:tab w:leader="none" w:pos="7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38</w:t>
      </w:r>
    </w:p>
    <w:p>
      <w:pPr>
        <w:sectPr>
          <w:pgSz w:w="11900" w:h="16838" w:orient="portrait"/>
          <w:cols w:equalWidth="0" w:num="1">
            <w:col w:w="11420"/>
          </w:cols>
          <w:pgMar w:left="240" w:top="27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513. Waiver of Past Defaults.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Holders of a majority in principal amount of the Outstanding Securities of any series may on behalf of the Holders of all the Securities of such series waive any past default hereunder with respect to such series and its consequences, and the Holders of a majority in principal amount of all Outstanding Securities may on behalf of the Holders of all Securities waive any other past default hereunder and its consequences, except in each case a default</w:t>
      </w:r>
    </w:p>
    <w:p>
      <w:pPr>
        <w:spacing w:after="0" w:line="39" w:lineRule="exact"/>
        <w:rPr>
          <w:sz w:val="20"/>
          <w:szCs w:val="20"/>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on, or any Additional Amounts with respect to, any Security, or</w:t>
      </w:r>
    </w:p>
    <w:p>
      <w:pPr>
        <w:spacing w:after="0" w:line="117"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 respect of a covenant or provision hereof which under </w:t>
      </w:r>
      <w:r>
        <w:rPr>
          <w:rFonts w:ascii="Arial" w:cs="Arial" w:eastAsia="Arial" w:hAnsi="Arial"/>
          <w:sz w:val="18"/>
          <w:szCs w:val="18"/>
          <w:u w:val="single" w:color="auto"/>
          <w:color w:val="auto"/>
        </w:rPr>
        <w:t>Article Nine</w:t>
      </w:r>
      <w:r>
        <w:rPr>
          <w:rFonts w:ascii="Arial" w:cs="Arial" w:eastAsia="Arial" w:hAnsi="Arial"/>
          <w:sz w:val="18"/>
          <w:szCs w:val="18"/>
          <w:color w:val="auto"/>
        </w:rPr>
        <w:t xml:space="preserve"> cannot be modified or amended without the consent of the Holder of each Outstanding Security affected.</w:t>
      </w:r>
    </w:p>
    <w:p>
      <w:pPr>
        <w:spacing w:after="0" w:line="170"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All parties to this Indenture agree, and each Holder of any Security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or any Additional Amounts with respect to, any Security on or after the Stated Maturity or Maturities expressed in such Security (or, in the case of redemption, on or after the Redemption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515. Waiver of Stay, Extension or Usury Laws.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extension or usury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0" w:right="2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601. Certain Duties and Responsibilities.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Except during the continuance of an Event of Default with respect to the Securities of any series,</w:t>
      </w:r>
    </w:p>
    <w:p>
      <w:pPr>
        <w:spacing w:after="0" w:line="117" w:lineRule="exact"/>
        <w:rPr>
          <w:sz w:val="20"/>
          <w:szCs w:val="20"/>
          <w:color w:val="auto"/>
        </w:rPr>
      </w:pPr>
    </w:p>
    <w:p>
      <w:pPr>
        <w:ind w:right="540" w:firstLine="464"/>
        <w:spacing w:after="0" w:line="277"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62" w:lineRule="exact"/>
        <w:rPr>
          <w:rFonts w:ascii="Arial" w:cs="Arial" w:eastAsia="Arial" w:hAnsi="Arial"/>
          <w:sz w:val="18"/>
          <w:szCs w:val="18"/>
          <w:color w:val="auto"/>
        </w:rPr>
      </w:pPr>
    </w:p>
    <w:p>
      <w:pPr>
        <w:ind w:right="20" w:firstLine="464"/>
        <w:spacing w:after="0" w:line="257"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80" w:lineRule="exact"/>
        <w:rPr>
          <w:sz w:val="20"/>
          <w:szCs w:val="20"/>
          <w:color w:val="auto"/>
        </w:rPr>
      </w:pPr>
    </w:p>
    <w:p>
      <w:pPr>
        <w:ind w:right="200" w:firstLine="464"/>
        <w:spacing w:after="0" w:line="264"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case an Event of Default has occurred and is continuing with respect to the Securities of any series, the Trustee shall exercise such of the rights and powers vested in it by this Indenture, and use the same degree of care and skill in their exercise, as a prudent person would exercise or use under the circumstances in the conduct of his own affairs.</w:t>
      </w:r>
    </w:p>
    <w:p>
      <w:pPr>
        <w:spacing w:after="0" w:line="73"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sz w:val="20"/>
          <w:szCs w:val="20"/>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this Subsection shall not be construed to limit the effect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of this Section;</w:t>
      </w:r>
    </w:p>
    <w:p>
      <w:pPr>
        <w:spacing w:after="0" w:line="117"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62" w:lineRule="exact"/>
        <w:rPr>
          <w:rFonts w:ascii="Arial" w:cs="Arial" w:eastAsia="Arial" w:hAnsi="Arial"/>
          <w:sz w:val="18"/>
          <w:szCs w:val="18"/>
          <w:color w:val="auto"/>
        </w:rPr>
      </w:pPr>
    </w:p>
    <w:p>
      <w:pPr>
        <w:ind w:right="240" w:firstLine="464"/>
        <w:spacing w:after="0" w:line="259"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taken or omitted to be taken by it in good faith in accordance with the direction of the Holders of a majority in principal amount of the Outstanding Securities of any series or of all series, determined as provided in </w:t>
      </w:r>
      <w:r>
        <w:rPr>
          <w:rFonts w:ascii="Arial" w:cs="Arial" w:eastAsia="Arial" w:hAnsi="Arial"/>
          <w:sz w:val="18"/>
          <w:szCs w:val="18"/>
          <w:u w:val="single" w:color="auto"/>
          <w:color w:val="auto"/>
        </w:rPr>
        <w:t>Section 512</w:t>
      </w:r>
      <w:r>
        <w:rPr>
          <w:rFonts w:ascii="Arial" w:cs="Arial" w:eastAsia="Arial" w:hAnsi="Arial"/>
          <w:sz w:val="18"/>
          <w:szCs w:val="18"/>
          <w:color w:val="auto"/>
        </w:rPr>
        <w:t>, relating to the time, method and place of conducting any proceeding for any remedy available to the Trustee, or exercising any trust or power conferred upon the Trustee, under this Indenture with respect to the Securities of such series; and</w:t>
      </w:r>
    </w:p>
    <w:p>
      <w:pPr>
        <w:spacing w:after="0" w:line="78" w:lineRule="exact"/>
        <w:rPr>
          <w:rFonts w:ascii="Arial" w:cs="Arial" w:eastAsia="Arial" w:hAnsi="Arial"/>
          <w:sz w:val="18"/>
          <w:szCs w:val="18"/>
          <w:color w:val="auto"/>
        </w:rPr>
      </w:pPr>
    </w:p>
    <w:p>
      <w:pPr>
        <w:ind w:firstLine="464"/>
        <w:spacing w:after="0" w:line="264"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indemnity or security reasonably satisfactory to it against such risk or liability is not assured to 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0" w:right="259" w:bottom="1440" w:gutter="0" w:footer="0" w:header="0"/>
        </w:sectPr>
      </w:pPr>
    </w:p>
    <w:bookmarkStart w:id="52" w:name="page53"/>
    <w:bookmarkEnd w:id="52"/>
    <w:p>
      <w:pPr>
        <w:ind w:right="500" w:firstLine="464"/>
        <w:spacing w:after="0" w:line="277" w:lineRule="auto"/>
        <w:tabs>
          <w:tab w:leader="none" w:pos="711"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therein expressly so provided, every provision of this Indenture relating to the conduct or affecting the liability of or affording protection to the Trustee shall be subject to the provisions of this Section.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602. Notice of Defaults.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Within 90 days after the occurrence of any default hereunder with respect to the Securities of any series, the Trustee shall give notice of such default hereunder known to the Trustee to all Holders of Securities of such series in the manner provided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unless such default shall have been 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except in the case of a default in the payment of the principal of (or premium, if any) or interest on, or any Additional Amounts with respect to, any Security of such series or in the payment of any sinking fund installment with respect to Securities of such series, the Trustee shall be protected in withholding such notice if it in good faith determines that the withholding of such notice is in the interest of the Holders of Securities of such series;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in the case of any default of the character specified in </w:t>
      </w:r>
      <w:r>
        <w:rPr>
          <w:rFonts w:ascii="Arial" w:cs="Arial" w:eastAsia="Arial" w:hAnsi="Arial"/>
          <w:sz w:val="18"/>
          <w:szCs w:val="18"/>
          <w:u w:val="single" w:color="auto"/>
          <w:color w:val="auto"/>
        </w:rPr>
        <w:t>Section 501(4)</w:t>
      </w:r>
      <w:r>
        <w:rPr>
          <w:rFonts w:ascii="Arial" w:cs="Arial" w:eastAsia="Arial" w:hAnsi="Arial"/>
          <w:sz w:val="18"/>
          <w:szCs w:val="18"/>
          <w:color w:val="auto"/>
        </w:rPr>
        <w:t xml:space="preserve"> with respect to Securities of such series, no such notice to Holders shall be given until at least 30 days after the occurrence thereof. For the purpose of this Indenture, the term “</w:t>
      </w:r>
      <w:r>
        <w:rPr>
          <w:rFonts w:ascii="Arial" w:cs="Arial" w:eastAsia="Arial" w:hAnsi="Arial"/>
          <w:sz w:val="18"/>
          <w:szCs w:val="18"/>
          <w:u w:val="single" w:color="auto"/>
          <w:color w:val="auto"/>
        </w:rPr>
        <w:t>default</w:t>
      </w:r>
      <w:r>
        <w:rPr>
          <w:rFonts w:ascii="Arial" w:cs="Arial" w:eastAsia="Arial" w:hAnsi="Arial"/>
          <w:sz w:val="18"/>
          <w:szCs w:val="18"/>
          <w:color w:val="auto"/>
        </w:rPr>
        <w:t>” in relation to any series of Securities means any event, act or condition which is, or after notice or lapse of time or both would become, an Event of Default with respect to Securities of such series.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603. Certain Rights of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17" w:lineRule="exact"/>
        <w:rPr>
          <w:sz w:val="20"/>
          <w:szCs w:val="20"/>
          <w:color w:val="auto"/>
        </w:rPr>
      </w:pPr>
    </w:p>
    <w:p>
      <w:pPr>
        <w:ind w:right="540" w:firstLine="464"/>
        <w:spacing w:after="0" w:line="264"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firstLine="464"/>
        <w:spacing w:after="0" w:line="286" w:lineRule="auto"/>
        <w:tabs>
          <w:tab w:leader="none" w:pos="7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request or direction of the Company mentioned herein shall be sufficiently evidenced by a Company Request or Company Order (except as may otherwise be provided with respect to delivery of any Security to the Trustee for authentication and delivery pursuant to Section 303, which shall be sufficiently evidenced as provided therein) and any resolution of the Board of Directors may be sufficiently evidenced by a Board Resolution;</w:t>
      </w:r>
    </w:p>
    <w:p>
      <w:pPr>
        <w:spacing w:after="0" w:line="57" w:lineRule="exact"/>
        <w:rPr>
          <w:rFonts w:ascii="Arial" w:cs="Arial" w:eastAsia="Arial" w:hAnsi="Arial"/>
          <w:sz w:val="17"/>
          <w:szCs w:val="17"/>
          <w:color w:val="auto"/>
        </w:rPr>
      </w:pPr>
    </w:p>
    <w:p>
      <w:pPr>
        <w:ind w:right="180" w:firstLine="464"/>
        <w:spacing w:after="0" w:line="264"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73" w:lineRule="exact"/>
        <w:rPr>
          <w:rFonts w:ascii="Arial" w:cs="Arial" w:eastAsia="Arial" w:hAnsi="Arial"/>
          <w:sz w:val="18"/>
          <w:szCs w:val="18"/>
          <w:color w:val="auto"/>
        </w:rPr>
      </w:pPr>
    </w:p>
    <w:p>
      <w:pPr>
        <w:ind w:right="600" w:firstLine="464"/>
        <w:spacing w:after="0" w:line="277" w:lineRule="auto"/>
        <w:tabs>
          <w:tab w:leader="none" w:pos="7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53" w:name="page54"/>
    <w:bookmarkEnd w:id="53"/>
    <w:p>
      <w:pPr>
        <w:ind w:right="60" w:firstLine="464"/>
        <w:spacing w:after="0" w:line="286" w:lineRule="auto"/>
        <w:tabs>
          <w:tab w:leader="none" w:pos="701"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it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firstLine="464"/>
        <w:spacing w:after="0" w:line="276" w:lineRule="auto"/>
        <w:tabs>
          <w:tab w:leader="none" w:pos="6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investiation;</w:t>
      </w:r>
    </w:p>
    <w:p>
      <w:pPr>
        <w:spacing w:after="0" w:line="64" w:lineRule="exact"/>
        <w:rPr>
          <w:rFonts w:ascii="Arial" w:cs="Arial" w:eastAsia="Arial" w:hAnsi="Arial"/>
          <w:sz w:val="17"/>
          <w:szCs w:val="17"/>
          <w:color w:val="auto"/>
        </w:rPr>
      </w:pPr>
    </w:p>
    <w:p>
      <w:pPr>
        <w:ind w:right="140" w:firstLine="464"/>
        <w:spacing w:after="0" w:line="264" w:lineRule="auto"/>
        <w:tabs>
          <w:tab w:leader="none" w:pos="7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except for any Affiliates of the Trustee,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jc w:val="both"/>
        <w:ind w:right="60" w:firstLine="464"/>
        <w:spacing w:after="0" w:line="264" w:lineRule="auto"/>
        <w:tabs>
          <w:tab w:leader="none" w:pos="7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anything in this Indenture notwithstanding,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right="120" w:firstLine="464"/>
        <w:spacing w:after="0" w:line="264" w:lineRule="auto"/>
        <w:tabs>
          <w:tab w:leader="none" w:pos="6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73" w:lineRule="exact"/>
        <w:rPr>
          <w:rFonts w:ascii="Arial" w:cs="Arial" w:eastAsia="Arial" w:hAnsi="Arial"/>
          <w:sz w:val="18"/>
          <w:szCs w:val="18"/>
          <w:color w:val="auto"/>
        </w:rPr>
      </w:pPr>
    </w:p>
    <w:p>
      <w:pPr>
        <w:ind w:right="600" w:firstLine="464"/>
        <w:spacing w:after="0" w:line="264" w:lineRule="auto"/>
        <w:tabs>
          <w:tab w:leader="none" w:pos="6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 and</w:t>
      </w:r>
    </w:p>
    <w:p>
      <w:pPr>
        <w:spacing w:after="0" w:line="117" w:lineRule="exact"/>
        <w:rPr>
          <w:rFonts w:ascii="Arial" w:cs="Arial" w:eastAsia="Arial" w:hAnsi="Arial"/>
          <w:sz w:val="18"/>
          <w:szCs w:val="18"/>
          <w:color w:val="auto"/>
        </w:rPr>
      </w:pPr>
    </w:p>
    <w:p>
      <w:pPr>
        <w:ind w:right="60" w:firstLine="464"/>
        <w:spacing w:after="0" w:line="277" w:lineRule="auto"/>
        <w:tabs>
          <w:tab w:leader="none" w:pos="6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604. Not Responsible for Recitals or Issuance of Securities.</w:t>
      </w:r>
    </w:p>
    <w:p>
      <w:pPr>
        <w:spacing w:after="0" w:line="12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(including any documents related to the offering and sale of the Securities). The Trustee shall not be accountable for the use or application by the Company of Securities or the proceeds thereof.</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74"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605. May Hold Securities.</w:t>
      </w:r>
    </w:p>
    <w:p>
      <w:pPr>
        <w:spacing w:after="0" w:line="12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 xml:space="preserve">The Trustee, any Authenticating Agent, any Paying Agent, any Security Registrar or any other agent of the Company, in its individual or any other capacity, may become the owner or pledgee of Securities and, subject to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613</w:t>
      </w:r>
      <w:r>
        <w:rPr>
          <w:rFonts w:ascii="Arial" w:cs="Arial" w:eastAsia="Arial" w:hAnsi="Arial"/>
          <w:sz w:val="17"/>
          <w:szCs w:val="17"/>
          <w:color w:val="auto"/>
        </w:rPr>
        <w:t>, may otherwise deal with the Company with the same rights it would have if it were not Trustee, Authenticating Agent, Paying Agent, Security Registrar or such other agent.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606. Money Held in Trust.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607. Compensation and Reimbursement.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right="980" w:firstLine="464"/>
        <w:spacing w:after="0" w:line="308" w:lineRule="auto"/>
        <w:tabs>
          <w:tab w:leader="none" w:pos="71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pay to the Trustee from time to time such compensation as shall be agreed in writing for all services rendered by it hereunder (which compensation shall not be limited by any provision of law in regard to the compensation of a trustee of an express trust);</w:t>
      </w:r>
    </w:p>
    <w:p>
      <w:pPr>
        <w:spacing w:after="0" w:line="38" w:lineRule="exact"/>
        <w:rPr>
          <w:rFonts w:ascii="Arial" w:cs="Arial" w:eastAsia="Arial" w:hAnsi="Arial"/>
          <w:sz w:val="17"/>
          <w:szCs w:val="17"/>
          <w:color w:val="auto"/>
        </w:rPr>
      </w:pPr>
    </w:p>
    <w:p>
      <w:pPr>
        <w:ind w:firstLine="464"/>
        <w:spacing w:after="0" w:line="312" w:lineRule="auto"/>
        <w:tabs>
          <w:tab w:leader="none" w:pos="7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expenses and disbursements of its agents and counsel), except any such expense, disbursement or advance as may be attributable to its negligence or willful misconduct; and</w:t>
      </w:r>
    </w:p>
    <w:p>
      <w:pPr>
        <w:spacing w:after="0" w:line="38" w:lineRule="exact"/>
        <w:rPr>
          <w:rFonts w:ascii="Arial" w:cs="Arial" w:eastAsia="Arial" w:hAnsi="Arial"/>
          <w:sz w:val="16"/>
          <w:szCs w:val="16"/>
          <w:color w:val="auto"/>
        </w:rPr>
      </w:pPr>
    </w:p>
    <w:p>
      <w:pPr>
        <w:ind w:right="40" w:firstLine="464"/>
        <w:spacing w:after="0" w:line="302" w:lineRule="auto"/>
        <w:tabs>
          <w:tab w:leader="none" w:pos="7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indemnify the Trustee and each of its directors, officers, employees, agents and/or representatives for, and to hold each of them harmless against, any loss, liability, damage, claim or expense incurred without negligence or willful misconduct on each of their part, arising out of or in connection with the acceptance or administration of the trust or trusts hereunder, including the costs and expenses of defending themselves against any claim (whether asserted by the Company, a Holder or any other Person) or liability in connection with the exercise or performance of any of the Trustee’s powers or duties hereunder.</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prior to the Securities upon all property and funds held or collected by the Trustee as such, except funds held in trust for the payment of principal of, premium, if any, or interest, if any, on, or any Additional Amounts with respect to, particular Securities.</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Any expenses and compensation for any services rendered by the Trustee after the occurrence of an Event of Default specified in </w:t>
      </w:r>
      <w:r>
        <w:rPr>
          <w:rFonts w:ascii="Arial" w:cs="Arial" w:eastAsia="Arial" w:hAnsi="Arial"/>
          <w:sz w:val="18"/>
          <w:szCs w:val="18"/>
          <w:u w:val="single" w:color="auto"/>
          <w:color w:val="auto"/>
        </w:rPr>
        <w:t>clause (5)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constitute expenses and compensation for services of administration under all applicable federal or state bankruptcy, insolvency, reorganization or other similar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shall survive the termination of this Indenture and the resignation or removal of the Trustee.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608. Disqualification; Conflicting Interests.</w:t>
      </w:r>
    </w:p>
    <w:p>
      <w:pPr>
        <w:spacing w:after="0" w:line="121" w:lineRule="exact"/>
        <w:rPr>
          <w:sz w:val="20"/>
          <w:szCs w:val="20"/>
          <w:color w:val="auto"/>
        </w:rPr>
      </w:pPr>
    </w:p>
    <w:p>
      <w:pPr>
        <w:ind w:right="240" w:firstLine="464"/>
        <w:spacing w:after="0" w:line="259"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Trustee has or shall acquire any conflicting interest, as defined in this Section, with respect to the Securities of any series and a default with respect to such series has occurred and is continuing, it shall, within 90 days after ascertaining that it has such conflicting interest, either eliminate such conflicting interest, apply to the Commission for permission to continue as Trustee or resign with respect to the Securities of that series in the manner and with the effect hereinafter specified in this Article.</w:t>
      </w:r>
    </w:p>
    <w:p>
      <w:pPr>
        <w:spacing w:after="0" w:line="78" w:lineRule="exact"/>
        <w:rPr>
          <w:rFonts w:ascii="Arial" w:cs="Arial" w:eastAsia="Arial" w:hAnsi="Arial"/>
          <w:sz w:val="18"/>
          <w:szCs w:val="18"/>
          <w:color w:val="auto"/>
        </w:rPr>
      </w:pPr>
    </w:p>
    <w:p>
      <w:pPr>
        <w:ind w:right="80" w:firstLine="464"/>
        <w:spacing w:after="0" w:line="26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the event that the Trustee shall fail to comply with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of this Section with respect to the Securities of any series, the Trustee shall, within 10 days after the expiration of such 90-day period, transmit by mail to all Holders of Securities of that series, as their names and addresses appear in the Security Register, notice of such failure.</w:t>
      </w:r>
    </w:p>
    <w:p>
      <w:pPr>
        <w:spacing w:after="0" w:line="73" w:lineRule="exact"/>
        <w:rPr>
          <w:rFonts w:ascii="Arial" w:cs="Arial" w:eastAsia="Arial" w:hAnsi="Arial"/>
          <w:sz w:val="18"/>
          <w:szCs w:val="18"/>
          <w:color w:val="auto"/>
        </w:rPr>
      </w:pPr>
    </w:p>
    <w:p>
      <w:pPr>
        <w:ind w:firstLine="464"/>
        <w:spacing w:after="0" w:line="257"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purposes of this Section, the term “</w:t>
      </w:r>
      <w:r>
        <w:rPr>
          <w:rFonts w:ascii="Arial" w:cs="Arial" w:eastAsia="Arial" w:hAnsi="Arial"/>
          <w:sz w:val="18"/>
          <w:szCs w:val="18"/>
          <w:u w:val="single" w:color="auto"/>
          <w:color w:val="auto"/>
        </w:rPr>
        <w:t>conflicting interest</w:t>
      </w:r>
      <w:r>
        <w:rPr>
          <w:rFonts w:ascii="Arial" w:cs="Arial" w:eastAsia="Arial" w:hAnsi="Arial"/>
          <w:sz w:val="18"/>
          <w:szCs w:val="18"/>
          <w:color w:val="auto"/>
        </w:rPr>
        <w:t xml:space="preserve">” shall have the meaning specified in Section 310(b) of the Trust Indenture Act and the Trustee shall comply with Section 310(b) of the Trust Indenture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from the operation of Section 310(b)(1) of the Trust Indenture Act with respect to the Securities of any series any indenture or indentures under which other securities, or certificates of interest or participation in other securities, of the Company are outstanding, if the requirements for such exclusion set forth in Section 310(b)(1) of the Trust Indenture Act are met.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609. Corporate Trustee Required; Eligibility.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shall at all times be a Trustee hereunder which shall be a corporation organized and doing business under the laws of the United States, any State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thereof or the District of Columbia, authorized under such laws to exercise corporate trust powers, having a combined capital and surplus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 and subject to supervision or examination by federal or state or District of Columbia authority. If such corporation publishes reports of condition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least annually, pursuant to law or to the requirements of said supervising or examining authority, then for the purposes of this Section, the combined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surplus of such corporation shall be deemed to be its combined capital and surplus as set forth in its most recent report of condition so published. If at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the Trustee shall cease to be eligible in accordance with the provisions of this Section, it shall resign immediately in the manner and with the effect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hereinafter specified in this Article.</w:t>
      </w:r>
    </w:p>
    <w:p>
      <w:pPr>
        <w:spacing w:after="0" w:line="211" w:lineRule="exact"/>
        <w:rPr>
          <w:sz w:val="20"/>
          <w:szCs w:val="20"/>
          <w:color w:val="auto"/>
        </w:rPr>
      </w:pPr>
    </w:p>
    <w:p>
      <w:pPr>
        <w:jc w:val="center"/>
        <w:ind w:left="340" w:right="360"/>
        <w:spacing w:after="0" w:line="449" w:lineRule="auto"/>
        <w:rPr>
          <w:sz w:val="20"/>
          <w:szCs w:val="20"/>
          <w:color w:val="auto"/>
        </w:rPr>
      </w:pPr>
      <w:r>
        <w:rPr>
          <w:rFonts w:ascii="Arial" w:cs="Arial" w:eastAsia="Arial" w:hAnsi="Arial"/>
          <w:sz w:val="18"/>
          <w:szCs w:val="18"/>
          <w:color w:val="auto"/>
        </w:rPr>
        <w:t>The Indenture shall always have a Trustee who satisfies the requirements of Sections 310(a)(1), 310(a)(2) and 310(a)(5) of the Trust Indenture Act. 44</w:t>
      </w:r>
    </w:p>
    <w:p>
      <w:pPr>
        <w:sectPr>
          <w:pgSz w:w="11900" w:h="16838" w:orient="portrait"/>
          <w:cols w:equalWidth="0" w:num="1">
            <w:col w:w="11420"/>
          </w:cols>
          <w:pgMar w:left="240" w:top="27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610. Resignation and Removal; Appointment of Successor.</w:t>
      </w:r>
    </w:p>
    <w:p>
      <w:pPr>
        <w:spacing w:after="0" w:line="121" w:lineRule="exact"/>
        <w:rPr>
          <w:sz w:val="20"/>
          <w:szCs w:val="20"/>
          <w:color w:val="auto"/>
        </w:rPr>
      </w:pPr>
    </w:p>
    <w:p>
      <w:pPr>
        <w:ind w:right="660" w:firstLine="464"/>
        <w:spacing w:after="0" w:line="277" w:lineRule="auto"/>
        <w:tabs>
          <w:tab w:leader="none" w:pos="7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No resignation or removal of the Trustee and no appointment of a successor Trustee pursuant to this Article shall become effective until the acceptance of appointment by the successor Trustee in accordance with the applicable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464"/>
        <w:spacing w:after="0" w:line="259"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Trustee may resign at any time with respect to the Securities of one or more series by giving written notice thereof to the Company. If the instrument of acceptance by a successor Trustee required by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not have been delivered to the resigning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78" w:lineRule="exact"/>
        <w:rPr>
          <w:rFonts w:ascii="Arial" w:cs="Arial" w:eastAsia="Arial" w:hAnsi="Arial"/>
          <w:sz w:val="18"/>
          <w:szCs w:val="18"/>
          <w:color w:val="auto"/>
        </w:rPr>
      </w:pPr>
    </w:p>
    <w:p>
      <w:pPr>
        <w:ind w:right="80" w:firstLine="464"/>
        <w:spacing w:after="0" w:line="302" w:lineRule="auto"/>
        <w:tabs>
          <w:tab w:leader="none" w:pos="7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611 shall not have been delivered to the Trustee within 30 days after the giving of such notice of removal, the Trustee being removed may petition, at the expense of the Company, any court of competent jurisdiction for the appointment of a successor Trustee with respect to the Securities of such series.</w:t>
      </w:r>
    </w:p>
    <w:p>
      <w:pPr>
        <w:spacing w:after="0" w:line="46"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right="52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w:t>
      </w:r>
      <w:r>
        <w:rPr>
          <w:rFonts w:ascii="Arial" w:cs="Arial" w:eastAsia="Arial" w:hAnsi="Arial"/>
          <w:sz w:val="18"/>
          <w:szCs w:val="18"/>
          <w:u w:val="single" w:color="auto"/>
          <w:color w:val="auto"/>
        </w:rPr>
        <w:t>Section 608(a)</w:t>
      </w:r>
      <w:r>
        <w:rPr>
          <w:rFonts w:ascii="Arial" w:cs="Arial" w:eastAsia="Arial" w:hAnsi="Arial"/>
          <w:sz w:val="18"/>
          <w:szCs w:val="18"/>
          <w:color w:val="auto"/>
        </w:rPr>
        <w:t xml:space="preserve"> after written request therefor by the Company or by any Holder who has been a bona fide Holder of a Security for at least six months, or</w:t>
      </w:r>
    </w:p>
    <w:p>
      <w:pPr>
        <w:spacing w:after="0" w:line="62"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under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and shall fail to resign after written request therefor by the Company or by any such Holder of Securities, or</w:t>
      </w:r>
    </w:p>
    <w:p>
      <w:pPr>
        <w:spacing w:after="0" w:line="62" w:lineRule="exact"/>
        <w:rPr>
          <w:rFonts w:ascii="Arial" w:cs="Arial" w:eastAsia="Arial" w:hAnsi="Arial"/>
          <w:sz w:val="18"/>
          <w:szCs w:val="18"/>
          <w:color w:val="auto"/>
        </w:rPr>
      </w:pPr>
    </w:p>
    <w:p>
      <w:pPr>
        <w:ind w:right="440" w:firstLine="464"/>
        <w:spacing w:after="0" w:line="264"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then, in any such case, (i) the Company by a Board Resolution may remove the Trustee with respect to all Securities, or (ii) subject to </w:t>
      </w:r>
      <w:r>
        <w:rPr>
          <w:rFonts w:ascii="Arial" w:cs="Arial" w:eastAsia="Arial" w:hAnsi="Arial"/>
          <w:sz w:val="17"/>
          <w:szCs w:val="17"/>
          <w:u w:val="single" w:color="auto"/>
          <w:color w:val="auto"/>
        </w:rPr>
        <w:t>Section 514</w:t>
      </w:r>
      <w:r>
        <w:rPr>
          <w:rFonts w:ascii="Arial" w:cs="Arial" w:eastAsia="Arial" w:hAnsi="Arial"/>
          <w:sz w:val="17"/>
          <w:szCs w:val="17"/>
          <w:color w:val="auto"/>
        </w:rPr>
        <w:t>,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57" w:lineRule="exact"/>
        <w:rPr>
          <w:sz w:val="20"/>
          <w:szCs w:val="20"/>
          <w:color w:val="auto"/>
        </w:rPr>
      </w:pPr>
    </w:p>
    <w:p>
      <w:pPr>
        <w:ind w:right="100" w:firstLine="464"/>
        <w:spacing w:after="0" w:line="297" w:lineRule="auto"/>
        <w:tabs>
          <w:tab w:leader="none" w:pos="7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If the Trustee shall resign, be removed or become incapable of acting, or if a vacancy shall occur in the office of Trustee for any cause, with respect to the Securities of one or more series, the Company, by a Board Resolution, shall within 60 days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such successor Trustee or Trustees shall comply with the applicable requirements of </w:t>
      </w:r>
      <w:r>
        <w:rPr>
          <w:rFonts w:ascii="Arial" w:cs="Arial" w:eastAsia="Arial" w:hAnsi="Arial"/>
          <w:sz w:val="16"/>
          <w:szCs w:val="16"/>
          <w:u w:val="single" w:color="auto"/>
          <w:color w:val="auto"/>
        </w:rPr>
        <w:t>Section 611</w:t>
      </w:r>
      <w:r>
        <w:rPr>
          <w:rFonts w:ascii="Arial" w:cs="Arial" w:eastAsia="Arial" w:hAnsi="Arial"/>
          <w:sz w:val="16"/>
          <w:szCs w:val="16"/>
          <w:color w:val="auto"/>
        </w:rPr>
        <w:t>. If no successor Trustee with respect to the Securities of any series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57" w:name="page58"/>
    <w:bookmarkEnd w:id="57"/>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have been so appointed by the Company and accepted appointment in the manner required by </w:t>
      </w:r>
      <w:r>
        <w:rPr>
          <w:rFonts w:ascii="Arial" w:cs="Arial" w:eastAsia="Arial" w:hAnsi="Arial"/>
          <w:sz w:val="18"/>
          <w:szCs w:val="18"/>
          <w:u w:val="single" w:color="auto"/>
          <w:color w:val="auto"/>
        </w:rPr>
        <w:t>Section 611</w:t>
      </w:r>
      <w:r>
        <w:rPr>
          <w:rFonts w:ascii="Arial" w:cs="Arial" w:eastAsia="Arial" w:hAnsi="Arial"/>
          <w:sz w:val="18"/>
          <w:szCs w:val="18"/>
          <w:color w:val="auto"/>
        </w:rPr>
        <w:t>,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73" w:lineRule="exact"/>
        <w:rPr>
          <w:sz w:val="20"/>
          <w:szCs w:val="20"/>
          <w:color w:val="auto"/>
        </w:rPr>
      </w:pPr>
    </w:p>
    <w:p>
      <w:pPr>
        <w:jc w:val="both"/>
        <w:ind w:firstLine="464"/>
        <w:spacing w:after="0" w:line="312" w:lineRule="auto"/>
        <w:tabs>
          <w:tab w:leader="none" w:pos="681"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Arial" w:cs="Arial" w:eastAsia="Arial" w:hAnsi="Arial"/>
          <w:sz w:val="16"/>
          <w:szCs w:val="16"/>
          <w:u w:val="single" w:color="auto"/>
          <w:color w:val="auto"/>
        </w:rPr>
        <w:t>Section 107</w:t>
      </w:r>
      <w:r>
        <w:rPr>
          <w:rFonts w:ascii="Arial" w:cs="Arial" w:eastAsia="Arial" w:hAnsi="Arial"/>
          <w:sz w:val="16"/>
          <w:szCs w:val="16"/>
          <w:color w:val="auto"/>
        </w:rPr>
        <w:t>. Each notice shall include the name of the successor Trustee with respect to the Securities of such series and the address of its Corporate Trust Office.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121" w:lineRule="exact"/>
        <w:rPr>
          <w:sz w:val="20"/>
          <w:szCs w:val="20"/>
          <w:color w:val="auto"/>
        </w:rPr>
      </w:pPr>
    </w:p>
    <w:p>
      <w:pPr>
        <w:ind w:right="80" w:firstLine="464"/>
        <w:spacing w:after="0" w:line="293" w:lineRule="auto"/>
        <w:tabs>
          <w:tab w:leader="none" w:pos="7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56" w:lineRule="exact"/>
        <w:rPr>
          <w:rFonts w:ascii="Arial" w:cs="Arial" w:eastAsia="Arial" w:hAnsi="Arial"/>
          <w:sz w:val="16"/>
          <w:szCs w:val="16"/>
          <w:color w:val="auto"/>
        </w:rPr>
      </w:pPr>
    </w:p>
    <w:p>
      <w:pPr>
        <w:ind w:right="40" w:firstLine="464"/>
        <w:spacing w:after="0" w:line="286" w:lineRule="auto"/>
        <w:tabs>
          <w:tab w:leader="none" w:pos="7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8" w:name="page59"/>
    <w:bookmarkEnd w:id="58"/>
    <w:p>
      <w:pPr>
        <w:ind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transfer and deliver to such successor Trustee all property and money held by such retiring Trustee hereunder with respect to the Securities of that or those series to which the appointment of such successor Trustee relates, subject nonetheless to the lien provided for in </w:t>
      </w:r>
      <w:r>
        <w:rPr>
          <w:rFonts w:ascii="Arial" w:cs="Arial" w:eastAsia="Arial" w:hAnsi="Arial"/>
          <w:sz w:val="17"/>
          <w:szCs w:val="17"/>
          <w:u w:val="single" w:color="auto"/>
          <w:color w:val="auto"/>
        </w:rPr>
        <w:t>Section 607</w:t>
      </w:r>
      <w:r>
        <w:rPr>
          <w:rFonts w:ascii="Arial" w:cs="Arial" w:eastAsia="Arial" w:hAnsi="Arial"/>
          <w:sz w:val="17"/>
          <w:szCs w:val="17"/>
          <w:color w:val="auto"/>
        </w:rPr>
        <w:t>.</w:t>
      </w:r>
    </w:p>
    <w:p>
      <w:pPr>
        <w:spacing w:after="0" w:line="38" w:lineRule="exact"/>
        <w:rPr>
          <w:sz w:val="20"/>
          <w:szCs w:val="20"/>
          <w:color w:val="auto"/>
        </w:rPr>
      </w:pPr>
    </w:p>
    <w:p>
      <w:pPr>
        <w:ind w:right="700" w:firstLine="464"/>
        <w:spacing w:after="0" w:line="342" w:lineRule="auto"/>
        <w:tabs>
          <w:tab w:leader="none" w:pos="7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Upon request of any such successor Trustee, the Company shall execute any and all instruments for more fully and certainly vesting in and confirming to such successor Trustee all such rights, powers and trusts referred to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as the case may be.</w:t>
      </w:r>
    </w:p>
    <w:p>
      <w:pPr>
        <w:spacing w:after="0" w:line="15" w:lineRule="exact"/>
        <w:rPr>
          <w:rFonts w:ascii="Arial" w:cs="Arial" w:eastAsia="Arial" w:hAnsi="Arial"/>
          <w:sz w:val="16"/>
          <w:szCs w:val="16"/>
          <w:color w:val="auto"/>
        </w:rPr>
      </w:pPr>
    </w:p>
    <w:p>
      <w:pPr>
        <w:ind w:right="80" w:firstLine="464"/>
        <w:spacing w:after="0" w:line="277" w:lineRule="auto"/>
        <w:tabs>
          <w:tab w:leader="none" w:pos="7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corporation shall be otherwise qualified and eligible under this Article, without the execution or filing of any paper or any further act on the part of any of the parties hereto. As soon as practicable, the successor Trustee shall give written notice of its succession to the Company and the Holders of the Securities then Outstanding in the manner provided in </w:t>
      </w:r>
      <w:r>
        <w:rPr>
          <w:rFonts w:ascii="Arial" w:cs="Arial" w:eastAsia="Arial" w:hAnsi="Arial"/>
          <w:sz w:val="18"/>
          <w:szCs w:val="18"/>
          <w:u w:val="single" w:color="auto"/>
          <w:color w:val="auto"/>
        </w:rPr>
        <w:t>Section 107</w:t>
      </w:r>
      <w:r>
        <w:rPr>
          <w:rFonts w:ascii="Arial" w:cs="Arial" w:eastAsia="Arial" w:hAnsi="Arial"/>
          <w:sz w:val="18"/>
          <w:szCs w:val="18"/>
          <w:color w:val="auto"/>
        </w:rPr>
        <w:t>.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indicated therein.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or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59" w:name="page60"/>
    <w:bookmarkEnd w:id="5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State thereof or the District of Columbia, authorized under such laws to act as Authenticating Agent, having a combined capital and surplus of not less than $50,000,000 or equivalent amount expressed in a foreign currency and subject to supervision or examination by Federal or State or District of Columbia authority or authority of such country.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written notice of such appointment to all Holders of Securities of the series with respect to which such Authenticating Agent will serve, in the manner provided in </w:t>
      </w:r>
      <w:r>
        <w:rPr>
          <w:rFonts w:ascii="Arial" w:cs="Arial" w:eastAsia="Arial" w:hAnsi="Arial"/>
          <w:sz w:val="18"/>
          <w:szCs w:val="18"/>
          <w:u w:val="single" w:color="auto"/>
          <w:color w:val="auto"/>
        </w:rPr>
        <w:t>Section 107</w:t>
      </w:r>
      <w:r>
        <w:rPr>
          <w:rFonts w:ascii="Arial" w:cs="Arial" w:eastAsia="Arial" w:hAnsi="Arial"/>
          <w:sz w:val="18"/>
          <w:szCs w:val="18"/>
          <w:color w:val="auto"/>
        </w:rPr>
        <w:t>.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 to pay to each Authenticating Agent from time to time reasonable compensation for its services under this Section.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an appointment is made pursuant to this Section, the Securities may have endorsed thereon, in addition to the Trustee’s certificate of authentication, an alternate certificate of authentication in the following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60" w:name="page61"/>
    <w:bookmarkEnd w:id="60"/>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BANK NATIONAL ASSOCIATION,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Notwithstanding any provision of this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to the contrary, if at any time any Authenticating Agent appointed hereunder with respect to any series of Securities shall not also be acting as the Security Registrar hereunder with respect to any series of Securities, then, in addition to all other duties of an Authenticating Agent hereunder, such Authenticating Agent shall also be obligated: (i) to furnish to the Security Registrar promptly all information necessary to enable the Security Registrar to maintain at all times an accurate and current Security Register; and (ii) prior to authenticating any Security denominated in a foreign currency, to ascertain from the Company the units of such foreign currency that are required to be determined by the Company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701. Company to Furnish Trustee Names and Addresses of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each series of Securities, the Company will furnish or cause to be furnished to the Trustee:</w:t>
      </w:r>
    </w:p>
    <w:p>
      <w:pPr>
        <w:spacing w:after="0" w:line="117" w:lineRule="exact"/>
        <w:rPr>
          <w:sz w:val="20"/>
          <w:szCs w:val="20"/>
          <w:color w:val="auto"/>
        </w:rPr>
      </w:pPr>
    </w:p>
    <w:p>
      <w:pPr>
        <w:ind w:right="120" w:firstLine="464"/>
        <w:spacing w:after="0" w:line="264" w:lineRule="auto"/>
        <w:tabs>
          <w:tab w:leader="none" w:pos="7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semi-annually, not more than 15 days after each Regular Record Date relating to that series (or, if there is no Regular Record Date relating to that series, on January 1 and July 1) a list, in such form as the Trustee may reasonably require, of the names and addresses of the Holders of that series as of such dates, and</w:t>
      </w:r>
    </w:p>
    <w:p>
      <w:pPr>
        <w:spacing w:after="0" w:line="73"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such list to be dated as of a date not more than 15 days prior to the time such list is furnished;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so long as the Trustee is the Security Registrar, the Company shall not be required to furnish or cause to be furnished such a list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The Company shall otherwise comply with Section 312(a) of the Trust Indenture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702. Preservation of Information; Communications to Holders.</w:t>
      </w:r>
    </w:p>
    <w:p>
      <w:pPr>
        <w:spacing w:after="0" w:line="121" w:lineRule="exact"/>
        <w:rPr>
          <w:sz w:val="20"/>
          <w:szCs w:val="20"/>
          <w:color w:val="auto"/>
        </w:rPr>
      </w:pPr>
    </w:p>
    <w:p>
      <w:pPr>
        <w:ind w:firstLine="464"/>
        <w:spacing w:after="0" w:line="277" w:lineRule="auto"/>
        <w:tabs>
          <w:tab w:leader="none" w:pos="7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Trustee shall preserve, in as current a form as is reasonably practicable, the names and addresses of Holders of each series contained in the most recent list furnished to the Trustee as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the names and addresses of Holders of each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received by the Trustee in its capacity as Security Registrar, if applicable. The Trustee may destroy any list furnished to it as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upon receipt of a new list so furnished. The Trustee shall otherwise comply with Section 312(a) of the Trust Indenture Act.</w:t>
      </w:r>
    </w:p>
    <w:p>
      <w:pPr>
        <w:spacing w:after="0" w:line="62" w:lineRule="exact"/>
        <w:rPr>
          <w:sz w:val="20"/>
          <w:szCs w:val="20"/>
          <w:color w:val="auto"/>
        </w:rPr>
      </w:pPr>
    </w:p>
    <w:p>
      <w:pPr>
        <w:ind w:right="140" w:firstLine="464"/>
        <w:spacing w:after="0" w:line="277"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Holders of Securities may communicate pursuant to Section 312(b) of the Trust Indenture Act with other Holders with respect to their rights under this Indenture or under the Securities.</w:t>
      </w:r>
    </w:p>
    <w:p>
      <w:pPr>
        <w:spacing w:after="0" w:line="62" w:lineRule="exact"/>
        <w:rPr>
          <w:rFonts w:ascii="Arial" w:cs="Arial" w:eastAsia="Arial" w:hAnsi="Arial"/>
          <w:sz w:val="18"/>
          <w:szCs w:val="18"/>
          <w:color w:val="auto"/>
        </w:rPr>
      </w:pPr>
    </w:p>
    <w:p>
      <w:pPr>
        <w:ind w:right="80" w:firstLine="464"/>
        <w:spacing w:after="0" w:line="257" w:lineRule="auto"/>
        <w:tabs>
          <w:tab w:leader="none" w:pos="7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Every Holder of Securities, by receiving and holding the same, agrees with the Company and the Trustee that neither the Company nor the Trustee nor any agent of either of them shall be held accountable by reason of the disclosure of any such information as to the names and addresses of the Holders in accordance with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regardless of the source from which such information was derived, and that the Trustee shall not be held accountable by reason of mailing any material pursuant to a request made under </w:t>
      </w:r>
      <w:r>
        <w:rPr>
          <w:rFonts w:ascii="Arial" w:cs="Arial" w:eastAsia="Arial" w:hAnsi="Arial"/>
          <w:sz w:val="18"/>
          <w:szCs w:val="18"/>
          <w:u w:val="single" w:color="auto"/>
          <w:color w:val="auto"/>
        </w:rPr>
        <w:t>Section 702(b)</w:t>
      </w:r>
      <w:r>
        <w:rPr>
          <w:rFonts w:ascii="Arial" w:cs="Arial" w:eastAsia="Arial" w:hAnsi="Arial"/>
          <w:sz w:val="18"/>
          <w:szCs w:val="18"/>
          <w:color w:val="auto"/>
        </w:rPr>
        <w:t>. The Company, the Trustee, the Security Registrar and any other Person shall have the protection of Section 312(c) of the Trust Indenture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703. Reports by Trustee.</w:t>
      </w:r>
    </w:p>
    <w:p>
      <w:pPr>
        <w:spacing w:after="0" w:line="121" w:lineRule="exact"/>
        <w:rPr>
          <w:sz w:val="20"/>
          <w:szCs w:val="20"/>
          <w:color w:val="auto"/>
        </w:rPr>
      </w:pPr>
    </w:p>
    <w:p>
      <w:pPr>
        <w:ind w:right="180" w:firstLine="464"/>
        <w:spacing w:after="0" w:line="264"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Within 60 days after May 15 of each year after the execution of this Indenture, the Trustee shall transmit by mail to Holders a brief report dated as of such May 15 that complies with Section 313(a) of the Trust Indenture Act (but if no event described in Section 313(a) of the Trust Indenture Act has occurred within the twelve months preceding the reporting date, no report need be transmitted).</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comply with Section 313(b) of the Trust Indenture Act.</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Reports pursuant to this Section shall be transmitted by mail as required by Section 313(c) of the Trust Indenture Act:</w:t>
      </w:r>
    </w:p>
    <w:p>
      <w:pPr>
        <w:spacing w:after="0" w:line="117"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all Holders of Securities, as the names and addresses of such Holders appear in the Security Register;</w:t>
      </w:r>
    </w:p>
    <w:p>
      <w:pPr>
        <w:spacing w:after="0" w:line="117"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such Holders of Securities as have, within the two years preceding such transmissions, filed their names and addresses with the Trustee for that purpose; and</w:t>
      </w:r>
    </w:p>
    <w:p>
      <w:pPr>
        <w:spacing w:after="0" w:line="62" w:lineRule="exact"/>
        <w:rPr>
          <w:rFonts w:ascii="Arial" w:cs="Arial" w:eastAsia="Arial" w:hAnsi="Arial"/>
          <w:sz w:val="18"/>
          <w:szCs w:val="18"/>
          <w:color w:val="auto"/>
        </w:rPr>
      </w:pPr>
    </w:p>
    <w:p>
      <w:pPr>
        <w:ind w:firstLine="464"/>
        <w:spacing w:after="0" w:line="277"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except in the case of reports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to each Holder of a Security whose name and address is preserved at the time by the Trustee, as provided in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62" w:lineRule="exact"/>
        <w:rPr>
          <w:sz w:val="20"/>
          <w:szCs w:val="20"/>
          <w:color w:val="auto"/>
        </w:rPr>
      </w:pPr>
    </w:p>
    <w:p>
      <w:pPr>
        <w:ind w:right="40" w:firstLine="464"/>
        <w:spacing w:after="0" w:line="259"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 copy of each report pursuant to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shall, at the time of its transmission to Holders, be filed by the Trustee with the Company and, in accordance with Section 313(d) of the Trust Indenture Act, with each stock exchange upon which any Securities are listed, and also with the Commission. The Company will promptly notify the Trustee in writing when any Securities are listed on any stock exchange or of any delisting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704. Reports by Company.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For so long as any Securities are Outstanding, if the Company is subject to the periodic reporting requirements of the Exchange Act, the Company shall file with the Commission and furnish to the Trustee (unless such reports are available on the Commission’s Electronic Data Gathering, Analysis and Retrieval (EDGAR) system or any successor thereto;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Trustee shall have no responsibility whatsoever to determine if such reports are available on EDGAR), within the time periods specified in the Commission’s rules and regulations:</w:t>
      </w:r>
    </w:p>
    <w:p>
      <w:pPr>
        <w:spacing w:after="0" w:line="79" w:lineRule="exact"/>
        <w:rPr>
          <w:sz w:val="20"/>
          <w:szCs w:val="20"/>
          <w:color w:val="auto"/>
        </w:rPr>
      </w:pPr>
    </w:p>
    <w:p>
      <w:pPr>
        <w:ind w:firstLine="464"/>
        <w:spacing w:after="0" w:line="277" w:lineRule="auto"/>
        <w:tabs>
          <w:tab w:leader="none" w:pos="7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quarterly and annual reports on Forms 10-Q and 10-K required to be filed by companies that are subject to the periodic reporting requirements of the Exchange Act; and</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current reports on Form 8-K required to be filed by companies that are subject to the periodic reporting requirements of the Exchange Act.</w:t>
      </w:r>
    </w:p>
    <w:p>
      <w:pPr>
        <w:spacing w:after="0" w:line="2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Each annual report on Form 10-K shall include a report on the Company’s consolidated financial statements by the Company’s certified independent accountants. In addition, the Company shall post a copy of each of the reports referred to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on its website for public availability as soon as reasonably practicable after such reports are filed with the Commission.</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In the event that the rules and regulations of the Commission permit the Company and any direct or indirect parent of the Company to report at such parent entity’s level on a consolidated basis, consolidating reporting at the parent entity’s level in a manner consistent with that described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for the Company will satisfy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and each indenture supplemental hereto shall permit the Company to satisfy its obligations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with respect to financial information relating to the Company by furnishing financial information relating to such direct or indirect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financial information is accompanied by consolidating information that explains in reasonable detail the differences between the information relating to such direct or indirect parent and any of its Subsidiaries other than the Company and its Subsidiaries, on the one hand, and the information relating to the Company and its Subsidiaries on a standalone basis, on the other hand.</w:t>
      </w:r>
    </w:p>
    <w:p>
      <w:pPr>
        <w:spacing w:after="0" w:line="17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 xml:space="preserve">If, at any time, neither the Company nor any direct or indirect parent of the Company is subject to the periodic reporting requirements of the Exchange Act for any reason, the Company (or its direct or indirect parent) shall nevertheless continue to prepare the financial statements and a “Management’s Discussion and Analysis of Financial Condition and Results of Operations” substantially similar to that which would have been required to be included in each of the reports specified in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of the first paragraph of this section had the Company been subject to such Exchange Act reporting requirements (with all such financial statements prepared in accordance with Regulation S-X promulgated by the Commission and all such annual financial statements including a report thereon from the Company’s certified independent accountants) and post copies thereof to the Company’s website for public availability within the time periods that would have been applicable to filing such reports with the Commission in the rules and regulations applicable to such reports if the Company had been required to file those reports with the Commission;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(and any direct or indirect parent of the Company) is no longer subject to the periodic reporting requirements of the Exchange Act, the Company will not be required to comply with Section 302 or Section 404 of the Sarbanes-Oxley Act of 2002, or related Items 307 and 308 of Regulation S-K promulgated by the SEC, or Item 10(e) of Regulation S-K (with respect to any non-GAAP financial measures contained therein).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0" w:right="259" w:bottom="1440" w:gutter="0" w:footer="0" w:header="0"/>
        </w:sectPr>
      </w:pPr>
    </w:p>
    <w:bookmarkStart w:id="63" w:name="page64"/>
    <w:bookmarkEnd w:id="6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EIGHT</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801. Company May Consolidate, Etc., Only on Certain Terms.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shall not convert into or consolidate, amalgamate, merge or enter into a scheme of arrangement with or into any other Person or sell, convey, transfer or lease all or substantially all of its properties and assets to any Person, unless:</w:t>
      </w:r>
    </w:p>
    <w:p>
      <w:pPr>
        <w:spacing w:after="0" w:line="62" w:lineRule="exact"/>
        <w:rPr>
          <w:sz w:val="20"/>
          <w:szCs w:val="20"/>
          <w:color w:val="auto"/>
        </w:rPr>
      </w:pPr>
    </w:p>
    <w:p>
      <w:pPr>
        <w:ind w:firstLine="464"/>
        <w:spacing w:after="0" w:line="271" w:lineRule="auto"/>
        <w:tabs>
          <w:tab w:leader="none" w:pos="71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Either (a) the Company is the surviving corporation or (b) the Person reasonably formed by or surviving any such conversion, consolidation, amalgamation, merger or scheme of arrangement (if other than the Company) or the Person to which such sale, conveyance, lease or transfer is made (i) shall expressly assume by an indenture supplemental hereto, in form reasonably satisfactory to the Trustee, executed and delivered to the Trustee, the due and punctual payment of the principal of (and premium, if any) and interest on and any Additional Amounts with respect to all of the Securities and the performance of every covenant of this Indenture on the part of the Company to be performed or observed, and (ii) is organized under the laws of a country that is a member of the Organisation for Economic Co-operation and Development, including the United States or any state thereof or the District of Columbia;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such Person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is a corporation, a corporate co-issuer of the securities will be added to the applicable indenture by agreements reasonably satisfactory to the Trustee;</w:t>
      </w:r>
    </w:p>
    <w:p>
      <w:pPr>
        <w:spacing w:after="0" w:line="70" w:lineRule="exact"/>
        <w:rPr>
          <w:rFonts w:ascii="Arial" w:cs="Arial" w:eastAsia="Arial" w:hAnsi="Arial"/>
          <w:sz w:val="17"/>
          <w:szCs w:val="17"/>
          <w:color w:val="auto"/>
        </w:rPr>
      </w:pPr>
    </w:p>
    <w:p>
      <w:pPr>
        <w:ind w:right="80" w:firstLine="464"/>
        <w:spacing w:after="0" w:line="277" w:lineRule="auto"/>
        <w:tabs>
          <w:tab w:leader="none" w:pos="7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act or condition which, after notice or lapse of time or both, would become an Event of Default, shall have happened and be continuing; and</w:t>
      </w:r>
    </w:p>
    <w:p>
      <w:pPr>
        <w:spacing w:after="0" w:line="62" w:lineRule="exact"/>
        <w:rPr>
          <w:rFonts w:ascii="Arial" w:cs="Arial" w:eastAsia="Arial" w:hAnsi="Arial"/>
          <w:sz w:val="18"/>
          <w:szCs w:val="18"/>
          <w:color w:val="auto"/>
        </w:rPr>
      </w:pPr>
    </w:p>
    <w:p>
      <w:pPr>
        <w:ind w:right="40" w:firstLine="464"/>
        <w:spacing w:after="0" w:line="259" w:lineRule="auto"/>
        <w:tabs>
          <w:tab w:leader="none" w:pos="7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such conversion, consolidation, amalgamation, merger, scheme of arrangement, sale,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274"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802. Successor Person Substituted.</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Upon any conversion into or consolidation, amalgamation or entering into a scheme of arrangement by the Company with, or merger by the Company into, any other Person or any sale, conveyance, transfer or lease of all or substantially all of the properties and assets of the Company in accordance with </w:t>
      </w:r>
      <w:r>
        <w:rPr>
          <w:rFonts w:ascii="Arial" w:cs="Arial" w:eastAsia="Arial" w:hAnsi="Arial"/>
          <w:sz w:val="16"/>
          <w:szCs w:val="16"/>
          <w:u w:val="single" w:color="auto"/>
          <w:color w:val="auto"/>
        </w:rPr>
        <w:t>Section 801</w:t>
      </w:r>
      <w:r>
        <w:rPr>
          <w:rFonts w:ascii="Arial" w:cs="Arial" w:eastAsia="Arial" w:hAnsi="Arial"/>
          <w:sz w:val="16"/>
          <w:szCs w:val="16"/>
          <w:color w:val="auto"/>
        </w:rPr>
        <w:t>, the successor Person formed by such consolidation, amalgamation or scheme of arrangement or into which the Company is merged or converted or to which such sale, conveyance, transfer or lease is made shall succeed to, and be substituted for, and may exercise every right and power of, the Company under this Indenture with the same effect as if such successor Person had been named as the Company herein, and thereafter, except in the case of such lease, the predecessor Person shall be relieved of all obligations and covenants under this Indenture and the Securities.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NINE</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901. Supplemental Indentures Without Consent of Holders.</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Without the consent of any Holders, the Company and the Trustee, at any time and from time to time, may enter into one or more indentures supplemental hereto, in form satisfactory to the Trustee, for any of the following purposes:</w:t>
      </w:r>
    </w:p>
    <w:p>
      <w:pPr>
        <w:spacing w:after="0" w:line="62" w:lineRule="exact"/>
        <w:rPr>
          <w:sz w:val="20"/>
          <w:szCs w:val="20"/>
          <w:color w:val="auto"/>
        </w:rPr>
      </w:pPr>
    </w:p>
    <w:p>
      <w:pPr>
        <w:ind w:right="440" w:firstLine="464"/>
        <w:spacing w:after="0" w:line="277"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to evidence the succession of another Person to the Company and to provide for the assumption by any such successor of the covenants of the Company herein and in the Securities in accordance with </w:t>
      </w:r>
      <w:r>
        <w:rPr>
          <w:rFonts w:ascii="Arial" w:cs="Arial" w:eastAsia="Arial" w:hAnsi="Arial"/>
          <w:sz w:val="18"/>
          <w:szCs w:val="18"/>
          <w:u w:val="single" w:color="auto"/>
          <w:color w:val="auto"/>
        </w:rPr>
        <w:t>Article Eight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right="140" w:firstLine="464"/>
        <w:spacing w:after="0" w:line="259"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to convey, transfer, assign, mortgage or pledge any property to or with the Trustee or otherwise secure any series of the Securities or to surrender any right or power herein conferred upon the Company; or</w:t>
      </w:r>
    </w:p>
    <w:p>
      <w:pPr>
        <w:spacing w:after="0" w:line="78"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the Securities (and, if such Event of Default is applicable to less than all series of Securities, specifying the series to which such Event of Default is applicable); or</w:t>
      </w:r>
    </w:p>
    <w:p>
      <w:pPr>
        <w:spacing w:after="0" w:line="62"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which is adversely affected by such change in or elimination of such provision; or</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to establish the form or terms of Securities of any series as permitted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301</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this Indenture to such extent as shall be necessary to permit or facilitate the defeasance or satisfaction and discharge of any series of Securities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action shall not adversely affect the interests of the Holders of Securities of such series or any other series of Securities in any material respect;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70" w:right="299" w:bottom="1440" w:gutter="0" w:footer="0" w:header="0"/>
        </w:sectPr>
      </w:pPr>
    </w:p>
    <w:bookmarkStart w:id="65" w:name="page66"/>
    <w:bookmarkEnd w:id="65"/>
    <w:p>
      <w:pPr>
        <w:jc w:val="both"/>
        <w:ind w:right="100" w:firstLine="464"/>
        <w:spacing w:after="0" w:line="264" w:lineRule="auto"/>
        <w:tabs>
          <w:tab w:leader="none" w:pos="711"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evidence or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Arial" w:cs="Arial" w:eastAsia="Arial" w:hAnsi="Arial"/>
          <w:sz w:val="18"/>
          <w:szCs w:val="18"/>
          <w:u w:val="single" w:color="auto"/>
          <w:color w:val="auto"/>
        </w:rPr>
        <w:t>Section 611(b)</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right="140" w:firstLine="464"/>
        <w:spacing w:after="0" w:line="264" w:lineRule="auto"/>
        <w:tabs>
          <w:tab w:leader="none" w:pos="7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other provisions as may be made shall not adversely affect the interests of the Holders of Securities of any series in any material respect;</w:t>
      </w:r>
    </w:p>
    <w:p>
      <w:pPr>
        <w:spacing w:after="0" w:line="73" w:lineRule="exact"/>
        <w:rPr>
          <w:rFonts w:ascii="Arial" w:cs="Arial" w:eastAsia="Arial" w:hAnsi="Arial"/>
          <w:sz w:val="18"/>
          <w:szCs w:val="18"/>
          <w:color w:val="auto"/>
        </w:rPr>
      </w:pPr>
    </w:p>
    <w:p>
      <w:pPr>
        <w:jc w:val="both"/>
        <w:ind w:firstLine="464"/>
        <w:spacing w:after="0" w:line="259" w:lineRule="auto"/>
        <w:tabs>
          <w:tab w:leader="none" w:pos="7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to add to, change or eliminate any of the provisions of this Indenture in respect of one or more series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addition, change or elimination (A) shall neither (i) apply to any Security of any series created prior to the execution of such supplemental indenture and entitled to the benefit of such provisions nor (ii) modify the rights of the Holder of any such Security with respect to such provision or (B) shall become effective only when there is no such Security Outstanding; or</w:t>
      </w:r>
    </w:p>
    <w:p>
      <w:pPr>
        <w:spacing w:after="0" w:line="78" w:lineRule="exact"/>
        <w:rPr>
          <w:rFonts w:ascii="Arial" w:cs="Arial" w:eastAsia="Arial" w:hAnsi="Arial"/>
          <w:sz w:val="18"/>
          <w:szCs w:val="18"/>
          <w:color w:val="auto"/>
        </w:rPr>
      </w:pPr>
    </w:p>
    <w:p>
      <w:pPr>
        <w:ind w:left="800" w:hanging="33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comply with any requirement in order to effect or maintain qualification of this Indenture under the Trust Indenture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902. Supplemental Indentures With Consent of Holders.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With the consent of the Holders of a majority in principal amount of the Outstanding Securities of each series affected by such supplemental indenture,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80" w:lineRule="exact"/>
        <w:rPr>
          <w:sz w:val="20"/>
          <w:szCs w:val="20"/>
          <w:color w:val="auto"/>
        </w:rPr>
      </w:pPr>
    </w:p>
    <w:p>
      <w:pPr>
        <w:ind w:firstLine="464"/>
        <w:spacing w:after="0" w:line="254" w:lineRule="auto"/>
        <w:tabs>
          <w:tab w:leader="none" w:pos="7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change the Stated Maturity of the principal of, any premium payable upon redemption thereof or any installment of principal of or interest on, any Security, or reduce the principal amount thereof or the rate of interest thereon, any Additional Amounts with respect thereto or any premium payable upon the redemption thereof, or change any obligation of the Company to pay Additional Amounts (except as contemplated by </w:t>
      </w:r>
      <w:r>
        <w:rPr>
          <w:rFonts w:ascii="Arial" w:cs="Arial" w:eastAsia="Arial" w:hAnsi="Arial"/>
          <w:sz w:val="18"/>
          <w:szCs w:val="18"/>
          <w:u w:val="single" w:color="auto"/>
          <w:color w:val="auto"/>
        </w:rPr>
        <w:t>Section 801(1)</w:t>
      </w:r>
      <w:r>
        <w:rPr>
          <w:rFonts w:ascii="Arial" w:cs="Arial" w:eastAsia="Arial" w:hAnsi="Arial"/>
          <w:sz w:val="18"/>
          <w:szCs w:val="18"/>
          <w:color w:val="auto"/>
        </w:rPr>
        <w:t xml:space="preserve">) and permitted by </w:t>
      </w:r>
      <w:r>
        <w:rPr>
          <w:rFonts w:ascii="Arial" w:cs="Arial" w:eastAsia="Arial" w:hAnsi="Arial"/>
          <w:sz w:val="18"/>
          <w:szCs w:val="18"/>
          <w:u w:val="single" w:color="auto"/>
          <w:color w:val="auto"/>
        </w:rPr>
        <w:t>Section 901(1)</w:t>
      </w:r>
      <w:r>
        <w:rPr>
          <w:rFonts w:ascii="Arial" w:cs="Arial" w:eastAsia="Arial" w:hAnsi="Arial"/>
          <w:sz w:val="18"/>
          <w:szCs w:val="18"/>
          <w:color w:val="auto"/>
        </w:rPr>
        <w:t xml:space="preserve">), or reduce the amount of the principal of an Original Issue Discount Security that would be due and payable upon a declaration of acceleration of the Maturity thereof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or change any Place of Payment where, or the coin or currency or currencies (including composite currencies) in which, any Security or any premium or any interest thereon or Additional Amounts with respect thereto is payable, or impair the right to institute suit for the enforcement of any such payment on or after the Stated Maturity thereof (or, in the case of redemption, on or after the Redemption Date), or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66" w:name="page67"/>
    <w:bookmarkEnd w:id="66"/>
    <w:p>
      <w:pPr>
        <w:ind w:firstLine="464"/>
        <w:spacing w:after="0" w:line="264"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reduce the percentage in principal amount of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73" w:lineRule="exact"/>
        <w:rPr>
          <w:rFonts w:ascii="Arial" w:cs="Arial" w:eastAsia="Arial" w:hAnsi="Arial"/>
          <w:sz w:val="18"/>
          <w:szCs w:val="18"/>
          <w:color w:val="auto"/>
        </w:rPr>
      </w:pPr>
    </w:p>
    <w:p>
      <w:pPr>
        <w:ind w:right="20" w:firstLine="464"/>
        <w:spacing w:after="0" w:line="255"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except to increase any such percentage or to provide with respect to any particular series the right to condition the effectiveness of any supplemental indenture as to that series on the consent of the Holders of a specified percentage of the aggregate principal amount of Outstanding Securities of such series (which provision may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without the consent of any Holder) or to provide that certain other provisions of this Indenture cannot be modified or waived without the consent of the Holder of each Outstanding Security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clause shall not be deemed to require the consent of any Holder with respect to changes in the references to “the Trustee” and concomitant changes in this Section and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or the deletion of this proviso, in accordance with the requirements of </w:t>
      </w:r>
      <w:r>
        <w:rPr>
          <w:rFonts w:ascii="Arial" w:cs="Arial" w:eastAsia="Arial" w:hAnsi="Arial"/>
          <w:sz w:val="18"/>
          <w:szCs w:val="18"/>
          <w:u w:val="single" w:color="auto"/>
          <w:color w:val="auto"/>
        </w:rPr>
        <w:t>Section 611(b)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901(7)</w:t>
      </w:r>
      <w:r>
        <w:rPr>
          <w:rFonts w:ascii="Arial" w:cs="Arial" w:eastAsia="Arial" w:hAnsi="Arial"/>
          <w:sz w:val="18"/>
          <w:szCs w:val="18"/>
          <w:color w:val="auto"/>
        </w:rPr>
        <w:t>.</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It shall not be necessary for any consent of Holders under this Section to approve the particular form of any proposed supplemental indenture, but it shall be sufficient if such consent shall approve the substance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903. Execution of Supplemental Indentures.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In executing, or accepting the additional trusts created by, any supplemental indenture permitted by this Article or the modifications thereby of the trusts created by this Indenture, the Trustee shall receive, and (subject to </w:t>
      </w:r>
      <w:r>
        <w:rPr>
          <w:rFonts w:ascii="Arial" w:cs="Arial" w:eastAsia="Arial" w:hAnsi="Arial"/>
          <w:sz w:val="18"/>
          <w:szCs w:val="18"/>
          <w:u w:val="single" w:color="auto"/>
          <w:color w:val="auto"/>
        </w:rPr>
        <w:t>Section 601</w:t>
      </w:r>
      <w:r>
        <w:rPr>
          <w:rFonts w:ascii="Arial" w:cs="Arial" w:eastAsia="Arial" w:hAnsi="Arial"/>
          <w:sz w:val="18"/>
          <w:szCs w:val="18"/>
          <w:color w:val="auto"/>
        </w:rPr>
        <w:t>) shall be fully protected in relying upon, an Opinion of Counsel stating that the execution of such supplemental indenture is authorized or permitted by this Indenture and, subject to customary exceptions, such supplemental indenture is a valid and binding obligation. The Trustee may, but shall not be obligated to, enter into any such supplemental indenture which affects the Trustee’s own rights, duties, immunities or liabilities under this Indenture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904. Effect of Supplemental Indentures.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74" w:right="2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905. Conformity With Trust Indenture Act.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Every supplemental indenture executed pursuant to this Article shall conform to the requirements of the Trust Indenture Act as then in effect.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Reference in Securities to Supplemental Indentures.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1001. Payment of Principal, Premium and Interest.</w:t>
      </w:r>
    </w:p>
    <w:p>
      <w:pPr>
        <w:spacing w:after="0" w:line="121"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The Company covenants and agrees for the benefit of each series of Securities that it will duly and punctually pay the principal of (and premium, if any), interest on and any Additional Amounts with respect to the Securities of that series in accordance with the terms of the Securities and this Indenture.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1002. Maintenance of Office or Agency.</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designation or rescission shall in any manner relieve the Company of its obligation to maintain an office or agency in each Place of Payment for Securities of any series for such purposes. Further, if at any time there shall be no such office or agency in The City of New York where the Securities of each series may be presented or surrendered for payment, the Company shall forthwith designate and maintain such an office or agency in The City of New York, in order that the Securities of each series shall at all times be payable in The City of New York. The Company will give prompt written notice to the Trustee of any such designation or rescission and of any change in the location of any such other office or agency.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0" w:right="259" w:bottom="1440" w:gutter="0" w:footer="0" w:header="0"/>
        </w:sectPr>
      </w:pPr>
    </w:p>
    <w:bookmarkStart w:id="68" w:name="page69"/>
    <w:bookmarkEnd w:id="68"/>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otherwise specified with respect to a series of Securities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the Company hereby initially designates (i) the Corporate Trust Office of the Trustee as the Company’s office or agency for each such purpose for each series of Securities and (ii) the corporate trust office of the Trustee at 100 Wall Street, Suite 1600, New York, New York 10005 as its office or agency where each series of the Securities may be presented or surrendered for payment.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1003. Money for Securities Payments to be Held in Trust.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before 10:00 a.m. New York City time, on each due date of the principal of (and premium, if any) or interest on or any Additional Amounts with respect to any of the Securities of that series, segregate and hold in trust for the benefit of the Persons entitled thereto a sum sufficient to pay the principal (and premium, if any) or interest or any Additional Amounts so becoming due until such sums shall be paid to such Persons or otherwise disposed of as herein provided and will promptly notify the Trustee of its action or failure so to act.</w:t>
      </w:r>
    </w:p>
    <w:p>
      <w:pPr>
        <w:spacing w:after="0" w:line="188"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Whenever the Company shall have one or more Paying Agents for any series of Securities, the Company will, before 10:00 a.m. New York City time, on each due date of the principal of (and premium, if any) or interest on any Securities of that series, deposit with a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in writing of its action or failure so to act.</w:t>
      </w:r>
    </w:p>
    <w:p>
      <w:pPr>
        <w:spacing w:after="0" w:line="15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62" w:lineRule="exact"/>
        <w:rPr>
          <w:sz w:val="20"/>
          <w:szCs w:val="20"/>
          <w:color w:val="auto"/>
        </w:rPr>
      </w:pPr>
    </w:p>
    <w:p>
      <w:pPr>
        <w:jc w:val="both"/>
        <w:ind w:right="60" w:firstLine="464"/>
        <w:spacing w:after="0" w:line="342" w:lineRule="auto"/>
        <w:tabs>
          <w:tab w:leader="none" w:pos="711" w:val="left"/>
        </w:tabs>
        <w:numPr>
          <w:ilvl w:val="0"/>
          <w:numId w:val="57"/>
        </w:numPr>
        <w:rPr>
          <w:rFonts w:ascii="Arial" w:cs="Arial" w:eastAsia="Arial" w:hAnsi="Arial"/>
          <w:sz w:val="16"/>
          <w:szCs w:val="16"/>
          <w:color w:val="auto"/>
        </w:rPr>
      </w:pPr>
      <w:r>
        <w:rPr>
          <w:rFonts w:ascii="Arial" w:cs="Arial" w:eastAsia="Arial" w:hAnsi="Arial"/>
          <w:sz w:val="16"/>
          <w:szCs w:val="16"/>
          <w:color w:val="auto"/>
        </w:rPr>
        <w:t>hold all sums held by it for the payment of the principal of (and premium, if any), interest on or any Additional Amounts with respect to Securities of that series in trust for the benefit of the Persons entitled thereto until such sums shall be paid to such Persons or otherwise disposed of as herein provided;</w:t>
      </w:r>
    </w:p>
    <w:p>
      <w:pPr>
        <w:spacing w:after="0" w:line="15" w:lineRule="exact"/>
        <w:rPr>
          <w:rFonts w:ascii="Arial" w:cs="Arial" w:eastAsia="Arial" w:hAnsi="Arial"/>
          <w:sz w:val="16"/>
          <w:szCs w:val="16"/>
          <w:color w:val="auto"/>
        </w:rPr>
      </w:pPr>
    </w:p>
    <w:p>
      <w:pPr>
        <w:ind w:right="320" w:firstLine="464"/>
        <w:spacing w:after="0" w:line="27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that series) in the making of any payment of principal (and premium, if any), interest on or any Additional Amounts with respect to the Securities of that series; and</w:t>
      </w:r>
    </w:p>
    <w:p>
      <w:pPr>
        <w:spacing w:after="0" w:line="62" w:lineRule="exact"/>
        <w:rPr>
          <w:rFonts w:ascii="Arial" w:cs="Arial" w:eastAsia="Arial" w:hAnsi="Arial"/>
          <w:sz w:val="18"/>
          <w:szCs w:val="18"/>
          <w:color w:val="auto"/>
        </w:rPr>
      </w:pPr>
    </w:p>
    <w:p>
      <w:pPr>
        <w:ind w:firstLine="464"/>
        <w:spacing w:after="0" w:line="27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274" w:right="319" w:bottom="1440" w:gutter="0" w:footer="0" w:header="0"/>
        </w:sectPr>
      </w:pPr>
    </w:p>
    <w:bookmarkStart w:id="69" w:name="page70"/>
    <w:bookmarkEnd w:id="69"/>
    <w:p>
      <w:pPr>
        <w:ind w:right="2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Subject to any applicable escheat or abandoned property laws, any money deposited with the Trustee or any Paying Agent, or then held by the Company, in trust for the payment of the principal of (and premium, if any) or interest on or any Additional Amounts with respect to any Security of any series and remaining unclaimed for three years after such principal (and premium, if any) or interest or Additional Amounts have become due and payable shall, unless otherwise required by mandatory provisions of applicable escheat, or abandoned or unclaimed property law,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an Authorized Newspaper in The Borough of Manhattan, The City of New York and in such other Authorized Newspapers as the Trustee shall deem appropriate, notice that such money remains unclaimed and that, after a date specified therein, which shall not be less than 30 days from the date of such publication, any unclaimed balance of such money then remaining will be repaid to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1004. Existence.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Article Eight</w:t>
      </w:r>
      <w:r>
        <w:rPr>
          <w:rFonts w:ascii="Arial" w:cs="Arial" w:eastAsia="Arial" w:hAnsi="Arial"/>
          <w:sz w:val="18"/>
          <w:szCs w:val="18"/>
          <w:color w:val="auto"/>
        </w:rPr>
        <w:t>, the Company will do or cause to be done all things necessary to preserve and keep in full force and effect its corporate existence.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1005. Statement by Officers as to Default.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will deliver to the Trustee, within 120 days after the end of each fiscal year of the Company ending after the date hereof so long as any Security is outstanding hereunder, an Officers’ Certificate complying with Section 314(a) of the Trust Indenture Act, stating that a review of the activities of the Company during such year and of performance under this Indenture has been made under the supervision of the signers thereof and whether or not, to the best of their knowledge based upon such review, the Company is in default in the performance, observance or fulfillment of any of its covenants and other obligations under this Indenture, and if the Company shall be in default, specifying each such default known to them and the nature and status thereof. One of the officers signing the Officers’ Certificate delivered pursuant to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be the principal executive, financial or accounting officer of the Company.</w:t>
      </w:r>
    </w:p>
    <w:p>
      <w:pPr>
        <w:spacing w:after="0" w:line="18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purposes of this Section, such compliance shall be determined without regard to any period of grace or requirement of notice provided under this Indenture.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74"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1006. Waiver of Certain Covenants.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The Company may omit in any particular instance to comply with any covenant or condition set forth in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or any covenant added for the benefit of any series of Securities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otherwise specified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if before or after the time for such compliance the Holders of a majority in principal amount of the Outstanding Securities of all series affected by such omission (acting as one class)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1007. Payment of Additional Amounts.</w:t>
      </w:r>
    </w:p>
    <w:p>
      <w:pPr>
        <w:spacing w:after="0" w:line="121" w:lineRule="exact"/>
        <w:rPr>
          <w:sz w:val="20"/>
          <w:szCs w:val="20"/>
          <w:color w:val="auto"/>
        </w:rPr>
      </w:pPr>
    </w:p>
    <w:p>
      <w:pPr>
        <w:ind w:right="140" w:firstLine="464"/>
        <w:spacing w:after="0" w:line="257"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payments of principal, premium, if any, and interest, if any, made by the Company or a Paying Agent, as applicable, on any Securities shall be made free and clear of and without withholding or deduction for or on account of any present or future income, stamp or other tax, duty, levy, impost, assessment or other similar governmental charge imposed or levied by or on behalf of the government of the the Home Country Jurisdiction, of any territory of the Home Country Jurisdiction or by any authority or agency therein or thereof having the power to tax (collectively, “</w:t>
      </w:r>
      <w:r>
        <w:rPr>
          <w:rFonts w:ascii="Arial" w:cs="Arial" w:eastAsia="Arial" w:hAnsi="Arial"/>
          <w:sz w:val="18"/>
          <w:szCs w:val="18"/>
          <w:u w:val="single" w:color="auto"/>
          <w:color w:val="auto"/>
        </w:rPr>
        <w:t>Taxes</w:t>
      </w:r>
      <w:r>
        <w:rPr>
          <w:rFonts w:ascii="Arial" w:cs="Arial" w:eastAsia="Arial" w:hAnsi="Arial"/>
          <w:sz w:val="18"/>
          <w:szCs w:val="18"/>
          <w:color w:val="auto"/>
        </w:rPr>
        <w:t>”), unless the Company or a Paying Agent is required to withhold or deduct Taxes by law.</w:t>
      </w:r>
    </w:p>
    <w:p>
      <w:pPr>
        <w:spacing w:after="0" w:line="80" w:lineRule="exact"/>
        <w:rPr>
          <w:rFonts w:ascii="Arial" w:cs="Arial" w:eastAsia="Arial" w:hAnsi="Arial"/>
          <w:sz w:val="18"/>
          <w:szCs w:val="18"/>
          <w:color w:val="auto"/>
        </w:rPr>
      </w:pPr>
    </w:p>
    <w:p>
      <w:pPr>
        <w:ind w:right="120" w:firstLine="464"/>
        <w:spacing w:after="0" w:line="279" w:lineRule="auto"/>
        <w:tabs>
          <w:tab w:leader="none" w:pos="7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Company or a withholding agent is required to withhold or deduct any amount for or on account of Taxes from any payment made in respect of the Securities, the Company shall pay such additional amounts (“</w:t>
      </w:r>
      <w:r>
        <w:rPr>
          <w:rFonts w:ascii="Arial" w:cs="Arial" w:eastAsia="Arial" w:hAnsi="Arial"/>
          <w:sz w:val="17"/>
          <w:szCs w:val="17"/>
          <w:u w:val="single" w:color="auto"/>
          <w:color w:val="auto"/>
        </w:rPr>
        <w:t>Additional Amounts</w:t>
      </w:r>
      <w:r>
        <w:rPr>
          <w:rFonts w:ascii="Arial" w:cs="Arial" w:eastAsia="Arial" w:hAnsi="Arial"/>
          <w:sz w:val="17"/>
          <w:szCs w:val="17"/>
          <w:color w:val="auto"/>
        </w:rPr>
        <w:t>”) as may be necessary such that the net amount received by each Holder (including Additional Amounts), after such withholding or deduction, shall not be less than the amount the Holder would have received if the Taxes had not been withheld or deducted; provided that no Additional Amounts will be payable with respect to Taxes:</w:t>
      </w:r>
    </w:p>
    <w:p>
      <w:pPr>
        <w:spacing w:after="0" w:line="63" w:lineRule="exact"/>
        <w:rPr>
          <w:sz w:val="20"/>
          <w:szCs w:val="20"/>
          <w:color w:val="auto"/>
        </w:rPr>
      </w:pPr>
    </w:p>
    <w:p>
      <w:pPr>
        <w:ind w:right="160" w:firstLine="464"/>
        <w:spacing w:after="0" w:line="25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would not have been imposed but for the existence of any present or former connection between such Holder or beneficial owner of the Securities and such Home Country Jurisdiction or any political subdivision or territory or possession thereof or therein or area subject to its jurisdiction, including, without limitation, such Holder or beneficial owner being or having been a citizen or resident thereof or treated as a resident thereof or domiciled thereof or a national thereof or being or having been present or engaged in trade or business therein or having or having had a permanent establishment therein;</w:t>
      </w:r>
    </w:p>
    <w:p>
      <w:pPr>
        <w:spacing w:after="0" w:line="80" w:lineRule="exact"/>
        <w:rPr>
          <w:rFonts w:ascii="Arial" w:cs="Arial" w:eastAsia="Arial" w:hAnsi="Arial"/>
          <w:sz w:val="18"/>
          <w:szCs w:val="18"/>
          <w:color w:val="auto"/>
        </w:rPr>
      </w:pPr>
    </w:p>
    <w:p>
      <w:pPr>
        <w:ind w:right="520" w:firstLine="464"/>
        <w:spacing w:after="0" w:line="27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are estate, inheritance, gift, sales, transfer, personal property, wealth or similar taxes, duties, levies, imposts, assessments or other similar governmental charges;</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payable other than by withholding from payments of principal and premium, if any, or interest, if any, on the Securities;</w:t>
      </w:r>
    </w:p>
    <w:p>
      <w:pPr>
        <w:spacing w:after="0" w:line="117"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would not have been imposed but for the failure of the applicable recipient of such payment to comply with any certification, identification, information, documentation or other reporting requirement to the extent: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0" w:right="259" w:bottom="1440" w:gutter="0" w:footer="0" w:header="0"/>
        </w:sectPr>
      </w:pPr>
    </w:p>
    <w:bookmarkStart w:id="71" w:name="page72"/>
    <w:bookmarkEnd w:id="71"/>
    <w:p>
      <w:pPr>
        <w:ind w:left="452" w:right="40" w:firstLine="4"/>
        <w:spacing w:after="0" w:line="264" w:lineRule="auto"/>
        <w:tabs>
          <w:tab w:leader="none" w:pos="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compliance is required by applicable law or official administrative practice or an applicable treaty as a precondition to exemption from, or reduction in, the rate of deduction or withholding of such Taxes (including, without limitation, a certification that the Holder or beneficial owner is not resident in the Home Country Jurisdiction); and</w:t>
      </w:r>
    </w:p>
    <w:p>
      <w:pPr>
        <w:spacing w:after="0" w:line="73" w:lineRule="exact"/>
        <w:rPr>
          <w:rFonts w:ascii="Arial" w:cs="Arial" w:eastAsia="Arial" w:hAnsi="Arial"/>
          <w:sz w:val="18"/>
          <w:szCs w:val="18"/>
          <w:color w:val="auto"/>
        </w:rPr>
      </w:pPr>
    </w:p>
    <w:p>
      <w:pPr>
        <w:ind w:left="452" w:right="320" w:firstLine="4"/>
        <w:spacing w:after="0" w:line="277" w:lineRule="auto"/>
        <w:tabs>
          <w:tab w:leader="none" w:pos="7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least thirty (30) days before the first payment date with respect to which such Additional Amounts shall be payable, the Company shall have notified such recipient in writing that such recipient shall be required to comply with such requirement;</w:t>
      </w:r>
    </w:p>
    <w:p>
      <w:pPr>
        <w:spacing w:after="0" w:line="62" w:lineRule="exact"/>
        <w:rPr>
          <w:sz w:val="20"/>
          <w:szCs w:val="20"/>
          <w:color w:val="auto"/>
        </w:rPr>
      </w:pPr>
    </w:p>
    <w:p>
      <w:pPr>
        <w:ind w:left="712" w:hanging="256"/>
        <w:spacing w:after="0"/>
        <w:tabs>
          <w:tab w:leader="none" w:pos="712"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that would not have been imposed but for the presentation of a Security (where presentation is required) for payment on a date more than thirty</w:t>
      </w:r>
    </w:p>
    <w:p>
      <w:pPr>
        <w:spacing w:after="0" w:line="46" w:lineRule="exact"/>
        <w:rPr>
          <w:rFonts w:ascii="Arial" w:cs="Arial" w:eastAsia="Arial" w:hAnsi="Arial"/>
          <w:sz w:val="16"/>
          <w:szCs w:val="16"/>
          <w:color w:val="auto"/>
        </w:rPr>
      </w:pPr>
    </w:p>
    <w:p>
      <w:pPr>
        <w:ind w:left="-8" w:right="240" w:firstLine="8"/>
        <w:spacing w:after="0" w:line="261" w:lineRule="auto"/>
        <w:tabs>
          <w:tab w:leader="none" w:pos="3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days after the date on which such payment became due and payable or the date on which payment thereof was duly provided for, whichever occurred later;</w:t>
      </w:r>
    </w:p>
    <w:p>
      <w:pPr>
        <w:spacing w:after="0" w:line="75" w:lineRule="exact"/>
        <w:rPr>
          <w:rFonts w:ascii="Arial" w:cs="Arial" w:eastAsia="Arial" w:hAnsi="Arial"/>
          <w:sz w:val="18"/>
          <w:szCs w:val="18"/>
          <w:color w:val="auto"/>
        </w:rPr>
      </w:pPr>
    </w:p>
    <w:p>
      <w:pPr>
        <w:jc w:val="both"/>
        <w:ind w:left="-8" w:firstLine="464"/>
        <w:spacing w:after="0" w:line="264" w:lineRule="auto"/>
        <w:tabs>
          <w:tab w:leader="none" w:pos="70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that are imposed with respect to any payment on a Security to any Holder who is a fiduciary, partnership, limited liability company or other fiscally transparent entity or person other than the sole beneficial owner of such payment and to the extent that no Additional Amounts would have been payable had the beneficial owner of the applicable Security been the Holder of such note;</w:t>
      </w:r>
    </w:p>
    <w:p>
      <w:pPr>
        <w:spacing w:after="0" w:line="73" w:lineRule="exact"/>
        <w:rPr>
          <w:rFonts w:ascii="Arial" w:cs="Arial" w:eastAsia="Arial" w:hAnsi="Arial"/>
          <w:sz w:val="18"/>
          <w:szCs w:val="18"/>
          <w:color w:val="auto"/>
        </w:rPr>
      </w:pPr>
    </w:p>
    <w:p>
      <w:pPr>
        <w:jc w:val="both"/>
        <w:ind w:left="-8" w:right="40" w:firstLine="464"/>
        <w:spacing w:after="0" w:line="279" w:lineRule="auto"/>
        <w:tabs>
          <w:tab w:leader="none" w:pos="703"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that are imposed or withheld pursuant to Sections 1471 through 1474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as of the issue date of the Securities (or any amended or successor version of such sections), any regulations promulgated thereunder, any official interpretations thereof, any similar law, or regulation, rule or practice adopted pursuant to or implementing an intergovernmental agreement between a non-U.S. jurisdiction and the United States with respect to the foregoing or any agreements entered into pursuant to Section 1471(b)(1) of the Code;</w:t>
      </w:r>
    </w:p>
    <w:p>
      <w:pPr>
        <w:spacing w:after="0" w:line="63" w:lineRule="exact"/>
        <w:rPr>
          <w:rFonts w:ascii="Arial" w:cs="Arial" w:eastAsia="Arial" w:hAnsi="Arial"/>
          <w:sz w:val="17"/>
          <w:szCs w:val="17"/>
          <w:color w:val="auto"/>
        </w:rPr>
      </w:pPr>
    </w:p>
    <w:p>
      <w:pPr>
        <w:ind w:left="-8" w:right="280" w:firstLine="464"/>
        <w:spacing w:after="0" w:line="277" w:lineRule="auto"/>
        <w:tabs>
          <w:tab w:leader="none" w:pos="70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that would not have been imposed if presentation for payment of the relevant Securities had been made to a Paying Agent other than the Paying Agent to which the presentation was made;</w:t>
      </w:r>
    </w:p>
    <w:p>
      <w:pPr>
        <w:spacing w:after="0" w:line="62" w:lineRule="exact"/>
        <w:rPr>
          <w:rFonts w:ascii="Arial" w:cs="Arial" w:eastAsia="Arial" w:hAnsi="Arial"/>
          <w:sz w:val="18"/>
          <w:szCs w:val="18"/>
          <w:color w:val="auto"/>
        </w:rPr>
      </w:pPr>
    </w:p>
    <w:p>
      <w:pPr>
        <w:ind w:left="712" w:hanging="256"/>
        <w:spacing w:after="0"/>
        <w:tabs>
          <w:tab w:leader="none" w:pos="7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Taxes imposed by the United States or any political subdivision thereof; or</w:t>
      </w:r>
    </w:p>
    <w:p>
      <w:pPr>
        <w:spacing w:after="0" w:line="117" w:lineRule="exact"/>
        <w:rPr>
          <w:rFonts w:ascii="Arial" w:cs="Arial" w:eastAsia="Arial" w:hAnsi="Arial"/>
          <w:sz w:val="18"/>
          <w:szCs w:val="18"/>
          <w:color w:val="auto"/>
        </w:rPr>
      </w:pPr>
    </w:p>
    <w:p>
      <w:pPr>
        <w:ind w:left="792" w:hanging="336"/>
        <w:spacing w:after="0"/>
        <w:tabs>
          <w:tab w:leader="none" w:pos="7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any combination of the foregoing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(9)</w:t>
      </w:r>
      <w:r>
        <w:rPr>
          <w:rFonts w:ascii="Arial" w:cs="Arial" w:eastAsia="Arial" w:hAnsi="Arial"/>
          <w:sz w:val="18"/>
          <w:szCs w:val="18"/>
          <w:color w:val="auto"/>
        </w:rPr>
        <w:t>.</w:t>
      </w:r>
    </w:p>
    <w:p>
      <w:pPr>
        <w:spacing w:after="0" w:line="117" w:lineRule="exact"/>
        <w:rPr>
          <w:sz w:val="20"/>
          <w:szCs w:val="20"/>
          <w:color w:val="auto"/>
        </w:rPr>
      </w:pPr>
    </w:p>
    <w:p>
      <w:pPr>
        <w:jc w:val="both"/>
        <w:ind w:left="-8" w:right="100" w:firstLine="464"/>
        <w:spacing w:after="0" w:line="264" w:lineRule="auto"/>
        <w:tabs>
          <w:tab w:leader="none" w:pos="6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references in this Indenture to the payment of the principal of or premium, if any, or interest, if any, on or the net proceeds received on the sale or exchange of, any Securities shall be deemed to include Additional Amounts to the extent that, in that context, Additional Amounts are, were or would be payable.</w:t>
      </w:r>
    </w:p>
    <w:p>
      <w:pPr>
        <w:spacing w:after="0" w:line="73" w:lineRule="exact"/>
        <w:rPr>
          <w:rFonts w:ascii="Arial" w:cs="Arial" w:eastAsia="Arial" w:hAnsi="Arial"/>
          <w:sz w:val="18"/>
          <w:szCs w:val="18"/>
          <w:color w:val="auto"/>
        </w:rPr>
      </w:pPr>
    </w:p>
    <w:p>
      <w:pPr>
        <w:ind w:left="-8" w:right="160" w:firstLine="464"/>
        <w:spacing w:after="0" w:line="277" w:lineRule="auto"/>
        <w:tabs>
          <w:tab w:leader="none" w:pos="7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obligations of the Company to pay Additional Amounts if and when due will survive the termination of this Indenture and the payment of all other amounts in respect of the Securities.</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32"/>
          </w:cols>
          <w:pgMar w:left="248" w:top="274" w:right="319" w:bottom="1440" w:gutter="0" w:footer="0" w:header="0"/>
        </w:sectPr>
      </w:pPr>
    </w:p>
    <w:bookmarkStart w:id="72" w:name="page73"/>
    <w:bookmarkEnd w:id="72"/>
    <w:p>
      <w:pPr>
        <w:ind w:right="20" w:firstLine="464"/>
        <w:spacing w:after="0" w:line="255" w:lineRule="auto"/>
        <w:tabs>
          <w:tab w:leader="none" w:pos="701"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as a result of the Company’s consolidation, merger with or conversion into a successor Person organized under the laws of a jurisdiction other than the United Kingdom (or, in each case, any political subdivision or taxing authority thereof) or the conveyance, transfer or lease by the Company of its assets substantially as an entirety to such successor Person, and such an entity expressly assumes the obligations of the Company under this Indenture and the Securities such successor Person will pay Additional Amounts on the same basis set forth in this </w:t>
      </w:r>
      <w:r>
        <w:rPr>
          <w:rFonts w:ascii="Arial" w:cs="Arial" w:eastAsia="Arial" w:hAnsi="Arial"/>
          <w:sz w:val="18"/>
          <w:szCs w:val="18"/>
          <w:u w:val="single" w:color="auto"/>
          <w:color w:val="auto"/>
        </w:rPr>
        <w:t>Section 1007</w:t>
      </w:r>
      <w:r>
        <w:rPr>
          <w:rFonts w:ascii="Arial" w:cs="Arial" w:eastAsia="Arial" w:hAnsi="Arial"/>
          <w:sz w:val="18"/>
          <w:szCs w:val="18"/>
          <w:color w:val="auto"/>
        </w:rPr>
        <w:t>, except that references to a “Home Country Jurisdiction” will be treated as references to the United Kingdom and the country in which such successor Person is organized or resident (or deemed resident for tax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1008. Limitation on Liens.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will not, nor will it permit any of its Restricted Subsidiaries to, incur, create, assume or permit to exist any Lien to secure any Indebtedness (other than Permitted Liens) on any Principal Property or on any Capital Stock or Indebtedness issued by any Restricted Subsidiary that owns or leases any Principal Property, in each case whether such Principal Property, Capital Stock or Indebtedness are now existing or owned or subsequently created or acquired, without effectively providing that all of the Securities Outstanding hereunder shall be secured equally and ratably with or prior to such Indebtedness, for so long as such Indebtedness shall be so secured.</w:t>
      </w:r>
    </w:p>
    <w:p>
      <w:pPr>
        <w:spacing w:after="0" w:line="18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the Company and any of its Restricted Subsidiaries may create, assume or permit to exist any Lien that would otherwise be subject to the restrictions of this Section 1008 without effectively providing that all of the Securities Outstanding hereunder shall be equally and ratably secured, if, at the time of such creation, assumption or permission, after giving effect thereto and to the retirement of any Indebtedness which is currently being retired, the aggregate principal amount of outstanding Indebtedness secured by Liens which would otherwise be subject to such restrictions (not including Permitted Liens), together with the aggregate amount of Attributable Indebtedness of the Company and its Restricted Subsidiaries deemed to be outstanding in respect of all Sale-Leaseback Transactions (not including any Sale-Leaseback Transactions described under any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1009</w:t>
      </w:r>
      <w:r>
        <w:rPr>
          <w:rFonts w:ascii="Arial" w:cs="Arial" w:eastAsia="Arial" w:hAnsi="Arial"/>
          <w:sz w:val="16"/>
          <w:szCs w:val="16"/>
          <w:color w:val="auto"/>
        </w:rPr>
        <w:t>), does not exceed 20% of Consolidated Net Tangible Assets.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1009. Restriction on Sale-Leaseback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shall not, and shall not permit any of its Restricted Subsidiaries to, enter into any Sale-Leaseback Transaction with respect to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Property unless either:</w:t>
      </w:r>
    </w:p>
    <w:p>
      <w:pPr>
        <w:spacing w:after="0" w:line="103" w:lineRule="exact"/>
        <w:rPr>
          <w:sz w:val="20"/>
          <w:szCs w:val="20"/>
          <w:color w:val="auto"/>
        </w:rPr>
      </w:pPr>
    </w:p>
    <w:p>
      <w:pPr>
        <w:ind w:left="700" w:hanging="23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Sale-Leaseback Transaction is solely with the Company or a Restricted Subsidiary;</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Sale-Leaseback Transaction is for a period not in excess of three years, including any rights of renewal in connection therewith;</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lease involved in such Sale-Leaseback Transaction secures or relates to industrial revenue, pollution control or similar bonds;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73" w:name="page74"/>
    <w:bookmarkEnd w:id="73"/>
    <w:p>
      <w:pPr>
        <w:ind w:right="160" w:firstLine="464"/>
        <w:spacing w:after="0" w:line="277"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Sale-Leaseback Transaction is entered into prior to or within 18 months after the purchase or acquisition of the Principal Property that is the subject of such Sale-Leaseback Transaction; or</w:t>
      </w:r>
    </w:p>
    <w:p>
      <w:pPr>
        <w:spacing w:after="0" w:line="62" w:lineRule="exact"/>
        <w:rPr>
          <w:rFonts w:ascii="Arial" w:cs="Arial" w:eastAsia="Arial" w:hAnsi="Arial"/>
          <w:sz w:val="18"/>
          <w:szCs w:val="18"/>
          <w:color w:val="auto"/>
        </w:rPr>
      </w:pPr>
    </w:p>
    <w:p>
      <w:pPr>
        <w:ind w:right="20" w:firstLine="464"/>
        <w:spacing w:after="0" w:line="264"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within 12 months after the effective date of such Sale-Leaseback Transaction, the Company or its Restricted Subsidiary, as the case may be, applies an amount equal to the greater of (i) the net proceeds of such sale and (ii) the Attributable Indebtedness of the Company and its Restricted Subsidiaries with respect to such Sale-Leaseback Transaction either to:</w:t>
      </w:r>
    </w:p>
    <w:p>
      <w:pPr>
        <w:spacing w:after="0" w:line="73" w:lineRule="exact"/>
        <w:rPr>
          <w:sz w:val="20"/>
          <w:szCs w:val="20"/>
          <w:color w:val="auto"/>
        </w:rPr>
      </w:pPr>
    </w:p>
    <w:p>
      <w:pPr>
        <w:ind w:right="180" w:firstLine="464"/>
        <w:spacing w:after="0" w:line="277" w:lineRule="auto"/>
        <w:tabs>
          <w:tab w:leader="none" w:pos="7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voluntary defeasance or the prepayment, repayment, redemption or retirement of Indebtedness of the Company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Securities in right of payment of principal, premium and interest;</w:t>
      </w:r>
    </w:p>
    <w:p>
      <w:pPr>
        <w:spacing w:after="0" w:line="62"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acquisition, construction, development or improvement of any Principal Property used or useful in the business of the Company (including the business of any of its Restricted Subsidiaries); or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combination of applications referred to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the Company and any of its Restricted Subsidiaries may enter into Sale-Leaseback Transactions with respect to Principal Property so long as the Attributable Indebtedness of the Company and its Restricted Subsidiaries in respect of all Sale-Leaseback Transactions with respect to Principal Property (not including any Sale-Leaseback Transactions described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1009</w:t>
      </w:r>
      <w:r>
        <w:rPr>
          <w:rFonts w:ascii="Arial" w:cs="Arial" w:eastAsia="Arial" w:hAnsi="Arial"/>
          <w:sz w:val="18"/>
          <w:szCs w:val="18"/>
          <w:color w:val="auto"/>
        </w:rPr>
        <w:t>), together with the aggregate principal amount of all Indebtedness secured by Liens upon Principal Property or Capital Stock or Indebtedness issued by any Restricted Subsidiary then outstanding (not including such Indebtedness secured by Permitted Liens) which do not secure such Securities Outstanding equally and ratably with (or on a basis that is prior to) the other Indebtedness that is secured thereby, does not exceed 20% of Consolidated Net Tangible Assets.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1101. Applicability of Article.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Securities of any series which are redeemable before their Stated Maturity shall be redeemable in accordance with their terms and (except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Securities of any series) in accordance with this Article.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1102. Election to Redeem; Notice to Trustee.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Unless otherwise provided with respect to the Securities of a series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the election of the Company to redeem any Securities shall be evidenced by a Board Resolution. In case of any redemption at the election of the Company of less than all the Securities of any series, the Company shall, at least five Business Days prior to the giving 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274" w:right="319" w:bottom="1440" w:gutter="0" w:footer="0" w:header="0"/>
        </w:sectPr>
      </w:pPr>
    </w:p>
    <w:bookmarkStart w:id="74" w:name="page75"/>
    <w:bookmarkEnd w:id="7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such redemption (unless a shorter notice shall be satisfactory to the Trustee), notify the Trustee of such Redemption Date and of the principal amount of Securities of such series to be redeemed and, if applicable, of the tenor of the Securities to be redeemed. In the case of any redemption of Securities</w:t>
      </w:r>
    </w:p>
    <w:p>
      <w:pPr>
        <w:ind w:right="260" w:firstLine="8"/>
        <w:spacing w:after="0" w:line="255"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prior to the expiration of any restriction on such redemption provided in the terms of such Securities or elsewhere in this Indenture or (b) pursuant to an election of the Company that is subject to a condition specified in the terms of the Securities of the series to be redeemed, the Company shall furnish the Trustee with an Officers’ Certificate evidencing compliance with such restriction or condition.</w:t>
      </w:r>
    </w:p>
    <w:p>
      <w:pPr>
        <w:spacing w:after="0" w:line="19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Any notice may be cancelled at any time prior to the mailing of that notice of redemption to any Holder of any Security of that Series and shall thereupon be void and of no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1103. Selection by Trustee of Securities to be Redeemed.</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less than all the Securities of any series are to be redeemed (unless all of the Securities of such series and of a specified tenor are to be redeemed), the particular Securities to be redeemed shall be selected not more than 45 days prior to the Redemption Date by the Trustee, from the Outstanding Securities of such series not previously called for redemption, by such method as the Trustee shall deem fair and appropriate and which may provide for the selection for redemption of portions (equal to the minimum authorized denomination for Securities of that series or any integral multiple of $1,000 in excess thereof) of the principal amount of Securities of such series of a denomination larger than the minimum authorized denomination for Securities of that series or of the principal amount of global Securities of such series.</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Trustee shall promptly notify the Company and the Security Registrar in writing of the Securities selected for redemption and, in the case of any Securities selected for partial redemption, the principal amount thereof to be redeemed. If the Securities of any series to be redeemed consist of Securities having different dates on which the principal is payable or different rates of interest, or different methods by which interest may be determined or have any other different tenor or terms, then the Company may, by written notice to the Trustee, direct that the Securities of such series to be redeemed shall be selected from among the groups of such Securities having specified tenor or terms and the Trustee shall thereafter select the particular Securities to be redeemed in the manner set forth in the preceding paragraph from among the group of such Securities so specified.</w:t>
      </w:r>
    </w:p>
    <w:p>
      <w:pPr>
        <w:spacing w:after="0" w:line="178"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1104. Notice of Redemption.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Notice of redemption shall be given in the manner provided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to each Holder of Securities to be redeemed not less than 30 nor more than 60 days prior to the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of redemption shall state:</w:t>
      </w:r>
    </w:p>
    <w:p>
      <w:pPr>
        <w:spacing w:after="0" w:line="117" w:lineRule="exact"/>
        <w:rPr>
          <w:sz w:val="20"/>
          <w:szCs w:val="20"/>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Redemption Price (or, if the Redemption Price is not determinable when the notice of redemption is given, then the method of calculating it);</w:t>
      </w:r>
    </w:p>
    <w:p>
      <w:pPr>
        <w:spacing w:after="0" w:line="140" w:lineRule="exact"/>
        <w:rPr>
          <w:rFonts w:ascii="Arial" w:cs="Arial" w:eastAsia="Arial" w:hAnsi="Arial"/>
          <w:sz w:val="16"/>
          <w:szCs w:val="16"/>
          <w:color w:val="auto"/>
        </w:rPr>
      </w:pPr>
    </w:p>
    <w:p>
      <w:pPr>
        <w:ind w:right="28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62"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place or places where such Securities are to be surrendered for payment of the Redemption Price;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“CUSIP” number, if applicable.</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Notices of redemption of Securities to be redeemed at the election of the Company shall be given by the Company or, at the Company’s request, by the Trustee in the name and at the expense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has delivered to the Trustee, at least five Business Days (unless a shorter period shall be acceptable to the Trustee) prior to mailing the notice of redemption, a Company Request that the Trustee give such notice and setting forth the information to be stated in such notice.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1105. Deposit of Redemption Price.</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On or before 10:00 a. m. New York City time, on any Redemption Date, the Company shall deposit with the Trustee or with a Paying Agent (or, if the Company is acting as its own Paying Agent, segregate and hold in trust as provided in </w:t>
      </w:r>
      <w:r>
        <w:rPr>
          <w:rFonts w:ascii="Arial" w:cs="Arial" w:eastAsia="Arial" w:hAnsi="Arial"/>
          <w:sz w:val="18"/>
          <w:szCs w:val="18"/>
          <w:u w:val="single" w:color="auto"/>
          <w:color w:val="auto"/>
        </w:rPr>
        <w:t>Section 1003</w:t>
      </w:r>
      <w:r>
        <w:rPr>
          <w:rFonts w:ascii="Arial" w:cs="Arial" w:eastAsia="Arial" w:hAnsi="Arial"/>
          <w:sz w:val="18"/>
          <w:szCs w:val="18"/>
          <w:color w:val="auto"/>
        </w:rPr>
        <w:t>) an amount of money sufficient to pay the Redemption Price of, and (except if the Redemption Date shall be an Interest Payment Date) accrued interest on, and any Additional Amounts with respect to, all the Securities which are to be redeemed on that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1106. Securities Payable on Redemption Date.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(and any Additional Amounts) to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76" w:name="page77"/>
    <w:bookmarkEnd w:id="76"/>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Security called for redemption shall not be so paid upon surrender thereof for redemption, the principal (and premium, if any) shall, until paid, bear interest from the Redemption Date at the rate prescribed therefor in the Security or, in the case of Original Issue Discount Securities, the Securities’ Yield to Maturity.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1107. Securities Redeemed in Part.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tenor, of any authorized denomination as requested by such Holder, in aggregate principal amount equal to and in exchange for the unredeemed portion of the principal of the Security so surrendered.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1108. Purchase of Securities.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Unless otherwise specified as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the Company and any Affiliate of the Company may at any time purchase or otherwise acquire Securities in the open market or by private agreement. Such acquisition shall not operate as or be deemed for any purpose to be a redemption of the indebtedness represented by such Securities. Any Securities purchased or acquired by the Company may be delivered to the Trustee and, upon such delivery, the indebtedness represented thereby shall be deemed to be satisfied. </w:t>
      </w:r>
      <w:r>
        <w:rPr>
          <w:rFonts w:ascii="Arial" w:cs="Arial" w:eastAsia="Arial" w:hAnsi="Arial"/>
          <w:sz w:val="16"/>
          <w:szCs w:val="16"/>
          <w:u w:val="single" w:color="auto"/>
          <w:color w:val="auto"/>
        </w:rPr>
        <w:t>Section 309</w:t>
      </w:r>
      <w:r>
        <w:rPr>
          <w:rFonts w:ascii="Arial" w:cs="Arial" w:eastAsia="Arial" w:hAnsi="Arial"/>
          <w:sz w:val="16"/>
          <w:szCs w:val="16"/>
          <w:color w:val="auto"/>
        </w:rPr>
        <w:t xml:space="preserve"> shall apply to all Securities so delivered.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1109. Tax Redemption.</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Company shall have the option to redeem the Securities of any series, in whole, but not in part, any time prior to the maturity date of the principal of the Securities of such series, upon the giving of not less than 30 nor more than 90 days’ notice of tax redemption to the Holders of such Securities, at a redemption price equal to the principal amount thereof plus accrued but unpaid interest, if any, to the date of redemption, if:</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Company determines that, as a result of:</w:t>
      </w:r>
    </w:p>
    <w:p>
      <w:pPr>
        <w:spacing w:after="0" w:line="117" w:lineRule="exact"/>
        <w:rPr>
          <w:sz w:val="20"/>
          <w:szCs w:val="20"/>
          <w:color w:val="auto"/>
        </w:rPr>
      </w:pPr>
    </w:p>
    <w:p>
      <w:pPr>
        <w:ind w:firstLine="464"/>
        <w:spacing w:after="0" w:line="302" w:lineRule="auto"/>
        <w:tabs>
          <w:tab w:leader="none" w:pos="7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any change in, amendment to or announced proposed change in the laws or any regulations or rulings promulgated thereunder of the Home Country Jurisdiction (or of any political subdivision or taxing authority thereof) or, in the event of the assumption of the obligations of the Company hereunder and under the Securities by a successor Person not organized under the laws of the Home Country Jurisdiction (or, in each case, any political subdivision or taxing authority thereof) in accordance with </w:t>
      </w:r>
      <w:r>
        <w:rPr>
          <w:rFonts w:ascii="Arial" w:cs="Arial" w:eastAsia="Arial" w:hAnsi="Arial"/>
          <w:sz w:val="16"/>
          <w:szCs w:val="16"/>
          <w:u w:val="single" w:color="auto"/>
          <w:color w:val="auto"/>
        </w:rPr>
        <w:t>Section 801</w:t>
      </w:r>
      <w:r>
        <w:rPr>
          <w:rFonts w:ascii="Arial" w:cs="Arial" w:eastAsia="Arial" w:hAnsi="Arial"/>
          <w:sz w:val="16"/>
          <w:szCs w:val="16"/>
          <w:color w:val="auto"/>
        </w:rPr>
        <w:t>, the jurisdiction in which such successor Person is organized (or deemed resident for tax purposes); or</w:t>
      </w:r>
    </w:p>
    <w:p>
      <w:pPr>
        <w:spacing w:after="0" w:line="46" w:lineRule="exact"/>
        <w:rPr>
          <w:rFonts w:ascii="Arial" w:cs="Arial" w:eastAsia="Arial" w:hAnsi="Arial"/>
          <w:sz w:val="16"/>
          <w:szCs w:val="16"/>
          <w:color w:val="auto"/>
        </w:rPr>
      </w:pPr>
    </w:p>
    <w:p>
      <w:pPr>
        <w:ind w:right="520" w:firstLine="464"/>
        <w:spacing w:after="0" w:line="308" w:lineRule="auto"/>
        <w:tabs>
          <w:tab w:leader="none" w:pos="7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change in the application or official interpretation of such laws, regulations or rulings, or (in either case) any change in the application or official interpretation of, or any execution of or amendment to, any treaty or treaties (including protocols) affecting taxation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any such jurisdiction is a party, which change, execution or amendment becomes effective on or after (i) the issue date of the Securities unless </w:t>
      </w:r>
      <w:r>
        <w:rPr>
          <w:rFonts w:ascii="Arial" w:cs="Arial" w:eastAsia="Arial" w:hAnsi="Arial"/>
          <w:sz w:val="16"/>
          <w:szCs w:val="16"/>
          <w:u w:val="single" w:color="auto"/>
          <w:color w:val="auto"/>
        </w:rPr>
        <w:t>clause</w:t>
      </w:r>
    </w:p>
    <w:p>
      <w:pPr>
        <w:spacing w:after="0" w:line="46" w:lineRule="exact"/>
        <w:rPr>
          <w:sz w:val="20"/>
          <w:szCs w:val="20"/>
          <w:color w:val="auto"/>
        </w:rPr>
      </w:pPr>
    </w:p>
    <w:p>
      <w:pPr>
        <w:ind w:right="20" w:firstLine="8"/>
        <w:spacing w:after="0" w:line="270" w:lineRule="auto"/>
        <w:tabs>
          <w:tab w:leader="none" w:pos="265" w:val="left"/>
        </w:tabs>
        <w:numPr>
          <w:ilvl w:val="0"/>
          <w:numId w:val="71"/>
        </w:numPr>
        <w:rPr>
          <w:rFonts w:ascii="Arial" w:cs="Arial" w:eastAsia="Arial" w:hAnsi="Arial"/>
          <w:sz w:val="17"/>
          <w:szCs w:val="17"/>
          <w:u w:val="single" w:color="auto"/>
          <w:color w:val="auto"/>
        </w:rPr>
      </w:pPr>
      <w:r>
        <w:rPr>
          <w:rFonts w:ascii="Arial" w:cs="Arial" w:eastAsia="Arial" w:hAnsi="Arial"/>
          <w:sz w:val="17"/>
          <w:szCs w:val="17"/>
          <w:color w:val="auto"/>
        </w:rPr>
        <w:t xml:space="preserve">applies, (ii) in the event of the assumption of the obligations of the Company hereunder and under the Securities by a successor Person not organized under the laws of the Home Country Jurisdiction (or, in each case, any political subdivision or taxing authority thereof), with respect to taxes imposed by such other jurisdiction in accordance with </w:t>
      </w:r>
      <w:r>
        <w:rPr>
          <w:rFonts w:ascii="Arial" w:cs="Arial" w:eastAsia="Arial" w:hAnsi="Arial"/>
          <w:sz w:val="17"/>
          <w:szCs w:val="17"/>
          <w:u w:val="single" w:color="auto"/>
          <w:color w:val="auto"/>
        </w:rPr>
        <w:t>Section 801</w:t>
      </w:r>
      <w:r>
        <w:rPr>
          <w:rFonts w:ascii="Arial" w:cs="Arial" w:eastAsia="Arial" w:hAnsi="Arial"/>
          <w:sz w:val="17"/>
          <w:szCs w:val="17"/>
          <w:color w:val="auto"/>
        </w:rPr>
        <w:t>, the date of the transaction resulting in such assumption, or (iii) such other date specified in the Securities of such series, the Company or such successor Person, as applicable, would be required to pay Additional Amounts with respect to such series of Securities relating to such Securities on the next succeeding Interest Payment Date and the payment of such Additional Amounts cannot be avoided by the use of reasonable measures available to the Company or such successor Person, as applicable; or</w:t>
      </w:r>
    </w:p>
    <w:p>
      <w:pPr>
        <w:spacing w:after="0" w:line="70" w:lineRule="exact"/>
        <w:rPr>
          <w:rFonts w:ascii="Arial" w:cs="Arial" w:eastAsia="Arial" w:hAnsi="Arial"/>
          <w:sz w:val="17"/>
          <w:szCs w:val="17"/>
          <w:u w:val="single" w:color="auto"/>
          <w:color w:val="auto"/>
        </w:rPr>
      </w:pPr>
    </w:p>
    <w:p>
      <w:pPr>
        <w:ind w:firstLine="464"/>
        <w:spacing w:after="0" w:line="270" w:lineRule="auto"/>
        <w:tabs>
          <w:tab w:leader="none" w:pos="711"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the Company determines, based upon an Opinion of Counsel that, as a result of any action taken by any legislative body of, taxing authority of, or any action brought in a court of competent jurisdiction in, the Home Country Jurisdiction (or any political subdivision or taxing authority thereof) or, in the event of the assumption of the obligations of the Company hereunder and under the Securities by a successor Person not organized under the laws of the Home Country Jurisdiction (or, in each case, any political subdivision or taxing authority thereof) in accordance with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the jurisdiction in which such successor Person is organized (or deemed resident for tax purposes), which action is taken or brought on or after (i) the issue date of the Securities unless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applies, (ii) in the event of the assumption of the obligations of the Company hereunder and under the Securities by a successor Person not organized under the laws of the Home Country Jurisdiction (or, in each case, any political subdivision thereof) in accordance with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with respect to taxes imposed by such other jurisdiction, the date of the transaction resulting in such assumption and, in the case of either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there is a substantial probability that the circumstances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would exist.</w:t>
      </w:r>
    </w:p>
    <w:p>
      <w:pPr>
        <w:spacing w:after="0" w:line="182"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Notwithstanding any other provision of this Indenture, no notice of any redemption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1109</w:t>
      </w:r>
      <w:r>
        <w:rPr>
          <w:rFonts w:ascii="Arial" w:cs="Arial" w:eastAsia="Arial" w:hAnsi="Arial"/>
          <w:sz w:val="18"/>
          <w:szCs w:val="18"/>
          <w:color w:val="auto"/>
        </w:rPr>
        <w:t xml:space="preserve"> may be given earlier than ninety (90) days prior to the earliest date on which the Company or such successor Person, as applicable, would be obligated to pay any Additional Amounts.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or such successor Person will also pay to each Holder, or make available for payment to each such Holder, on the redemption date, any Additional Amounts resulting from the payment of such redemption price by the Company.</w:t>
      </w:r>
    </w:p>
    <w:p>
      <w:pPr>
        <w:spacing w:after="0" w:line="17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 xml:space="preserve">Prior to the delivery of any notice of redemption pursuant to this </w:t>
      </w:r>
      <w:r>
        <w:rPr>
          <w:rFonts w:ascii="Arial" w:cs="Arial" w:eastAsia="Arial" w:hAnsi="Arial"/>
          <w:sz w:val="18"/>
          <w:szCs w:val="18"/>
          <w:u w:val="single" w:color="auto"/>
          <w:color w:val="auto"/>
        </w:rPr>
        <w:t>Section 1109</w:t>
      </w:r>
      <w:r>
        <w:rPr>
          <w:rFonts w:ascii="Arial" w:cs="Arial" w:eastAsia="Arial" w:hAnsi="Arial"/>
          <w:sz w:val="18"/>
          <w:szCs w:val="18"/>
          <w:color w:val="auto"/>
        </w:rPr>
        <w:t xml:space="preserve">, the Company or such successor Person will deliver to the Trustee an Officers’ Certificate stating that the Company is entitled to effect or cause a redemption and setting forth a statement of facts showing that the conditions precedent of the right so to redeem or cause such redemption have occurred and, if the redemption is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the Opinion of Counsel referred to in such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Delivery of any notice of redemption pursuant to this </w:t>
      </w:r>
      <w:r>
        <w:rPr>
          <w:rFonts w:ascii="Arial" w:cs="Arial" w:eastAsia="Arial" w:hAnsi="Arial"/>
          <w:sz w:val="18"/>
          <w:szCs w:val="18"/>
          <w:u w:val="single" w:color="auto"/>
          <w:color w:val="auto"/>
        </w:rPr>
        <w:t>Section 1109</w:t>
      </w:r>
      <w:r>
        <w:rPr>
          <w:rFonts w:ascii="Arial" w:cs="Arial" w:eastAsia="Arial" w:hAnsi="Arial"/>
          <w:sz w:val="18"/>
          <w:szCs w:val="18"/>
          <w:color w:val="auto"/>
        </w:rPr>
        <w:t xml:space="preserve"> will be conclusive and binding on the Holders of the Securities being redeemed. Once the Company delivers such an Officers’ Certificate to the Trustee, any notice of redemption that has been given shall be irrevocable.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TWELVE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1201. Applicability of Article.</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The provisions of this Article shall be applicable to any sinking fund for the retirement of Securities of a series except as otherwise specified as contemplated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for Securities of such series.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Unless otherwise provided for by the terms of Securities of any series, the cash amount of any sinking fund payment may be subject to reduction as provided in </w:t>
      </w:r>
      <w:r>
        <w:rPr>
          <w:rFonts w:ascii="Arial" w:cs="Arial" w:eastAsia="Arial" w:hAnsi="Arial"/>
          <w:sz w:val="18"/>
          <w:szCs w:val="18"/>
          <w:u w:val="single" w:color="auto"/>
          <w:color w:val="auto"/>
        </w:rPr>
        <w:t>Section 1202</w:t>
      </w:r>
      <w:r>
        <w:rPr>
          <w:rFonts w:ascii="Arial" w:cs="Arial" w:eastAsia="Arial" w:hAnsi="Arial"/>
          <w:sz w:val="18"/>
          <w:szCs w:val="18"/>
          <w:color w:val="auto"/>
        </w:rPr>
        <w:t>. Each sinking fund payment shall be applied to the redemption of Securities of any series as provided for by the terms of Securities of such series.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1202. Satisfaction of Sinking Fund Payments with Securities.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payment shall be reduced accordingly.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1203. Redemption of Securities for Sinking Fund.</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Not less than 45 days prior (unless a shorter period shall be satisfactory to the Trustee)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delivery of or by crediting Securities of that series pursuant to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and will also deliver to the Trustee any Securities to be so delivered. Not less than 30 days before each such sinking fund payment date the Trustee shall select the Securities to be redeemed upon such sinking fund payment date in the manner specified in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and cause notice of the redemption thereof to be given in the name of and at the expense of the Company in the manner provided in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Such notice having been duly given, the redemption of such Securities shall be made upon the terms and in the manner stated in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0"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THIRTEEN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MEETINGS OF HOLDERS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1301. Purposes for Which Meetings May Be Called.</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A meeting of Holders of Securities of any or all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1302. Call, Notice and Place of Meetings.</w:t>
      </w:r>
    </w:p>
    <w:p>
      <w:pPr>
        <w:spacing w:after="0" w:line="121" w:lineRule="exact"/>
        <w:rPr>
          <w:sz w:val="20"/>
          <w:szCs w:val="20"/>
          <w:color w:val="auto"/>
        </w:rPr>
      </w:pPr>
    </w:p>
    <w:p>
      <w:pPr>
        <w:ind w:firstLine="464"/>
        <w:spacing w:after="0" w:line="279" w:lineRule="auto"/>
        <w:tabs>
          <w:tab w:leader="none" w:pos="70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Trustee may at any time call a meeting of Holders of Securities of any series for any purpose specified in </w:t>
      </w:r>
      <w:r>
        <w:rPr>
          <w:rFonts w:ascii="Arial" w:cs="Arial" w:eastAsia="Arial" w:hAnsi="Arial"/>
          <w:sz w:val="17"/>
          <w:szCs w:val="17"/>
          <w:u w:val="single" w:color="auto"/>
          <w:color w:val="auto"/>
        </w:rPr>
        <w:t>Section 1301</w:t>
      </w:r>
      <w:r>
        <w:rPr>
          <w:rFonts w:ascii="Arial" w:cs="Arial" w:eastAsia="Arial" w:hAnsi="Arial"/>
          <w:sz w:val="17"/>
          <w:szCs w:val="17"/>
          <w:color w:val="auto"/>
        </w:rPr>
        <w:t xml:space="preserve">, to be held at such time and at such place in Houston, Texas or in New York, New York, or in any other location, as the Trustee shall determine. Notice of every meeting of Holders of Securities of any series, setting forth the time and the place of such meeting and in general terms the action proposed to be taken at such meeting, shall be given, in the manner provided in </w:t>
      </w:r>
      <w:r>
        <w:rPr>
          <w:rFonts w:ascii="Arial" w:cs="Arial" w:eastAsia="Arial" w:hAnsi="Arial"/>
          <w:sz w:val="17"/>
          <w:szCs w:val="17"/>
          <w:u w:val="single" w:color="auto"/>
          <w:color w:val="auto"/>
        </w:rPr>
        <w:t>Section 107</w:t>
      </w:r>
      <w:r>
        <w:rPr>
          <w:rFonts w:ascii="Arial" w:cs="Arial" w:eastAsia="Arial" w:hAnsi="Arial"/>
          <w:sz w:val="17"/>
          <w:szCs w:val="17"/>
          <w:color w:val="auto"/>
        </w:rPr>
        <w:t>, not less than 20 nor more than 180 days prior to the date fixed for the meeting.</w:t>
      </w:r>
    </w:p>
    <w:p>
      <w:pPr>
        <w:spacing w:after="0" w:line="63" w:lineRule="exact"/>
        <w:rPr>
          <w:rFonts w:ascii="Arial" w:cs="Arial" w:eastAsia="Arial" w:hAnsi="Arial"/>
          <w:sz w:val="17"/>
          <w:szCs w:val="17"/>
          <w:color w:val="auto"/>
        </w:rPr>
      </w:pPr>
    </w:p>
    <w:p>
      <w:pPr>
        <w:ind w:right="20" w:firstLine="464"/>
        <w:spacing w:after="0" w:line="272" w:lineRule="auto"/>
        <w:tabs>
          <w:tab w:leader="none" w:pos="71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In case at any time the Company, pursuant to a Board Resolution, or the Holders of at least 10% in principal amount of the Outstanding Securities of any series, shall have requested the Trustee for any such series to call a meeting of the Holders of Securities of such series for any purpose specified in </w:t>
      </w:r>
      <w:r>
        <w:rPr>
          <w:rFonts w:ascii="Arial" w:cs="Arial" w:eastAsia="Arial" w:hAnsi="Arial"/>
          <w:sz w:val="17"/>
          <w:szCs w:val="17"/>
          <w:u w:val="single" w:color="auto"/>
          <w:color w:val="auto"/>
        </w:rPr>
        <w:t>Section 1301</w:t>
      </w:r>
      <w:r>
        <w:rPr>
          <w:rFonts w:ascii="Arial" w:cs="Arial" w:eastAsia="Arial" w:hAnsi="Arial"/>
          <w:sz w:val="17"/>
          <w:szCs w:val="17"/>
          <w:color w:val="auto"/>
        </w:rPr>
        <w:t xml:space="preserve">, by written request setting forth in reasonable detail the action proposed to be taken at the meeting, and the Trustee shall not have made the first publication of the notice of such meeting within 30 days after receipt of such request or shall not thereafter proceed to cause the meeting to be held as provided herein, then the Company or the Holders of Securities of such series in the amount above specified, as the case may be, may determine the time and the place in Houston, Texas or in New York, New York, for such meeting and may call such meeting for such purposes by giving notice thereof as provided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of this Section and shall provide a copy to the Trustee.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1303. Persons Entitled to Vote at Meetings.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0"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1304. Quorum; Action.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Subject to </w:t>
      </w:r>
      <w:r>
        <w:rPr>
          <w:rFonts w:ascii="Arial" w:cs="Arial" w:eastAsia="Arial" w:hAnsi="Arial"/>
          <w:sz w:val="17"/>
          <w:szCs w:val="17"/>
          <w:u w:val="single" w:color="auto"/>
          <w:color w:val="auto"/>
        </w:rPr>
        <w:t>Section 1305(d)</w:t>
      </w:r>
      <w:r>
        <w:rPr>
          <w:rFonts w:ascii="Arial" w:cs="Arial" w:eastAsia="Arial" w:hAnsi="Arial"/>
          <w:sz w:val="17"/>
          <w:szCs w:val="17"/>
          <w:color w:val="auto"/>
        </w:rPr>
        <w:t xml:space="preserve">, notice of the reconvening of any adjourned meeting shall be given as provided in </w:t>
      </w:r>
      <w:r>
        <w:rPr>
          <w:rFonts w:ascii="Arial" w:cs="Arial" w:eastAsia="Arial" w:hAnsi="Arial"/>
          <w:sz w:val="17"/>
          <w:szCs w:val="17"/>
          <w:u w:val="single" w:color="auto"/>
          <w:color w:val="auto"/>
        </w:rPr>
        <w:t>Section 1302(a)</w:t>
      </w:r>
      <w:r>
        <w:rPr>
          <w:rFonts w:ascii="Arial" w:cs="Arial" w:eastAsia="Arial" w:hAnsi="Arial"/>
          <w:sz w:val="17"/>
          <w:szCs w:val="17"/>
          <w:color w:val="auto"/>
        </w:rPr>
        <w:t>, except that such notice need be given only once not less than five days prior to the date on which the meeting is scheduled to be reconvened. Notice of the reconvening of an adjourned meeting shall state expressly that Persons entitled to vote a majority in principal amount of the Outstanding Securities of such series shall constitute a quorum.</w:t>
      </w:r>
    </w:p>
    <w:p>
      <w:pPr>
        <w:spacing w:after="0" w:line="1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Except as limited by the first proviso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any resolution presented to a meeting or adjourned meeting duly reconvened at which a quorum is present as aforesaid may be adopted by the affirmative vote of the Holders of a majority in principal amount of the Outstanding Securities of that series;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except as limited by the first proviso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902</w:t>
      </w:r>
      <w:r>
        <w:rPr>
          <w:rFonts w:ascii="Arial" w:cs="Arial" w:eastAsia="Arial" w:hAnsi="Arial"/>
          <w:sz w:val="18"/>
          <w:szCs w:val="18"/>
          <w:color w:val="auto"/>
        </w:rPr>
        <w:t>, any resolution with respect to any request, demand, authorization, direction,</w:t>
      </w:r>
      <w:r>
        <w:rPr>
          <w:rFonts w:ascii="Arial" w:cs="Arial" w:eastAsia="Arial" w:hAnsi="Arial"/>
          <w:sz w:val="18"/>
          <w:szCs w:val="18"/>
          <w:i w:val="1"/>
          <w:iCs w:val="1"/>
          <w:color w:val="auto"/>
        </w:rPr>
        <w:t xml:space="preserve"> </w:t>
      </w:r>
      <w:r>
        <w:rPr>
          <w:rFonts w:ascii="Arial" w:cs="Arial" w:eastAsia="Arial" w:hAnsi="Arial"/>
          <w:sz w:val="18"/>
          <w:szCs w:val="18"/>
          <w:color w:val="auto"/>
        </w:rPr>
        <w:t>notice, consent, waiver or other Act which this Indenture expressly provides may be made, given or taken by the Holders of a specified percentage that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 xml:space="preserve">Except as limited by the first proviso to </w:t>
      </w:r>
      <w:r>
        <w:rPr>
          <w:rFonts w:ascii="Arial" w:cs="Arial" w:eastAsia="Arial" w:hAnsi="Arial"/>
          <w:sz w:val="16"/>
          <w:szCs w:val="16"/>
          <w:u w:val="single" w:color="auto"/>
          <w:color w:val="auto"/>
        </w:rPr>
        <w:t>Section 902</w:t>
      </w:r>
      <w:r>
        <w:rPr>
          <w:rFonts w:ascii="Arial" w:cs="Arial" w:eastAsia="Arial" w:hAnsi="Arial"/>
          <w:sz w:val="16"/>
          <w:szCs w:val="16"/>
          <w:color w:val="auto"/>
        </w:rPr>
        <w:t>, 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1305. Determination of Voting Rights; Conduct and Adjournment of Meetings.</w:t>
      </w:r>
    </w:p>
    <w:p>
      <w:pPr>
        <w:spacing w:after="0" w:line="121" w:lineRule="exact"/>
        <w:rPr>
          <w:sz w:val="20"/>
          <w:szCs w:val="20"/>
          <w:color w:val="auto"/>
        </w:rPr>
      </w:pPr>
    </w:p>
    <w:p>
      <w:pPr>
        <w:ind w:right="60" w:firstLine="464"/>
        <w:spacing w:after="0" w:line="264" w:lineRule="auto"/>
        <w:tabs>
          <w:tab w:leader="none" w:pos="7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holding of Securities shall be proved in the manner specified in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the appointment of any proxy shall be proved in the manner specified in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Such regulations may provide that written instruments appointing proxies, regular on their face, may be presumed valid and genuine without the proof specified in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other proof.</w:t>
      </w:r>
    </w:p>
    <w:p>
      <w:pPr>
        <w:spacing w:after="0" w:line="73" w:lineRule="exact"/>
        <w:rPr>
          <w:rFonts w:ascii="Arial" w:cs="Arial" w:eastAsia="Arial" w:hAnsi="Arial"/>
          <w:sz w:val="18"/>
          <w:szCs w:val="18"/>
          <w:color w:val="auto"/>
        </w:rPr>
      </w:pPr>
    </w:p>
    <w:p>
      <w:pPr>
        <w:ind w:right="80" w:firstLine="464"/>
        <w:spacing w:after="0" w:line="279" w:lineRule="auto"/>
        <w:tabs>
          <w:tab w:leader="none" w:pos="711"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Trustee shall, by an instrument in writing, appoint a temporary chairman of the meeting, unless the meeting shall have been called by the Company or by Holders of Securities as provided in </w:t>
      </w:r>
      <w:r>
        <w:rPr>
          <w:rFonts w:ascii="Arial" w:cs="Arial" w:eastAsia="Arial" w:hAnsi="Arial"/>
          <w:sz w:val="17"/>
          <w:szCs w:val="17"/>
          <w:u w:val="single" w:color="auto"/>
          <w:color w:val="auto"/>
        </w:rPr>
        <w:t>Section 1302(b)</w:t>
      </w:r>
      <w:r>
        <w:rPr>
          <w:rFonts w:ascii="Arial" w:cs="Arial" w:eastAsia="Arial" w:hAnsi="Arial"/>
          <w:sz w:val="17"/>
          <w:szCs w:val="17"/>
          <w:color w:val="auto"/>
        </w:rPr>
        <w:t>, in which case the Company or the Holders of Securities of the series calling the meeting, as the case may be, shall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0" w:right="239" w:bottom="1440" w:gutter="0" w:footer="0" w:header="0"/>
        </w:sectPr>
      </w:pPr>
    </w:p>
    <w:bookmarkStart w:id="81" w:name="page82"/>
    <w:bookmarkEnd w:id="81"/>
    <w:p>
      <w:pPr>
        <w:ind w:right="20" w:firstLine="464"/>
        <w:spacing w:after="0" w:line="259" w:lineRule="auto"/>
        <w:tabs>
          <w:tab w:leader="none" w:pos="701"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any meeting each Holder of a Security of such series and each proxy shall be entitled to one vote for each $1,000 principal amount of the Outstanding Securities of such series held or represented by such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as a proxy.</w:t>
      </w:r>
    </w:p>
    <w:p>
      <w:pPr>
        <w:spacing w:after="0" w:line="78" w:lineRule="exact"/>
        <w:rPr>
          <w:rFonts w:ascii="Arial" w:cs="Arial" w:eastAsia="Arial" w:hAnsi="Arial"/>
          <w:sz w:val="18"/>
          <w:szCs w:val="18"/>
          <w:color w:val="auto"/>
        </w:rPr>
      </w:pPr>
    </w:p>
    <w:p>
      <w:pPr>
        <w:ind w:firstLine="464"/>
        <w:spacing w:after="0" w:line="264" w:lineRule="auto"/>
        <w:tabs>
          <w:tab w:leader="none" w:pos="7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Any meeting of Holders of Securities of any series duly called pursuant to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1306. Counting Votes and Recording Action of Meetings.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such record the original reports of the inspectors of votes on any vote by ballot taken thereat and affidavits by one or more persons having knowledge of the facts setting forth a copy of the notice of the meeting and showing that such notice was given as provided in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and, if applicable, </w:t>
      </w:r>
      <w:r>
        <w:rPr>
          <w:rFonts w:ascii="Arial" w:cs="Arial" w:eastAsia="Arial" w:hAnsi="Arial"/>
          <w:sz w:val="16"/>
          <w:szCs w:val="16"/>
          <w:u w:val="single" w:color="auto"/>
          <w:color w:val="auto"/>
        </w:rPr>
        <w:t>Section 1304</w:t>
      </w:r>
      <w:r>
        <w:rPr>
          <w:rFonts w:ascii="Arial" w:cs="Arial" w:eastAsia="Arial" w:hAnsi="Arial"/>
          <w:sz w:val="16"/>
          <w:szCs w:val="16"/>
          <w:color w:val="auto"/>
        </w:rPr>
        <w:t>.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ignature page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82" w:name="page83"/>
    <w:bookmarkEnd w:id="82"/>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instrument may be executed in any number of counterparts, each of which so executed shall be deemed to be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8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Indenture</w:t>
      </w:r>
    </w:p>
    <w:p>
      <w:pPr>
        <w:sectPr>
          <w:pgSz w:w="11900" w:h="16838" w:orient="portrait"/>
          <w:cols w:equalWidth="0" w:num="1">
            <w:col w:w="11340"/>
          </w:cols>
          <w:pgMar w:left="240" w:top="274" w:right="31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A. Nutt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Jay A. Nutt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Deputy Chief Financial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as Trustee</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Finklea, CCTS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Steven A. Finklea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Indenture</w:t>
      </w:r>
    </w:p>
    <w:p>
      <w:pPr>
        <w:sectPr>
          <w:pgSz w:w="11900" w:h="16838" w:orient="portrait"/>
          <w:cols w:equalWidth="0" w:num="1">
            <w:col w:w="10960"/>
          </w:cols>
          <w:pgMar w:left="700" w:top="27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$215,398,000</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2.00% SENIOR NOTES DUE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FIRST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160655</wp:posOffset>
            </wp:positionV>
            <wp:extent cx="1517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358140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400685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8420" w:type="dxa"/>
            <w:vAlign w:val="bottom"/>
            <w:gridSpan w:val="3"/>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1720" w:type="dxa"/>
            <w:vAlign w:val="bottom"/>
          </w:tcPr>
          <w:p>
            <w:pPr>
              <w:spacing w:after="0"/>
              <w:rPr>
                <w:sz w:val="17"/>
                <w:szCs w:val="17"/>
                <w:color w:val="auto"/>
              </w:rPr>
            </w:pPr>
          </w:p>
        </w:tc>
      </w:tr>
      <w:tr>
        <w:trPr>
          <w:trHeight w:val="480"/>
        </w:trPr>
        <w:tc>
          <w:tcPr>
            <w:tcW w:w="4760" w:type="dxa"/>
            <w:vAlign w:val="bottom"/>
            <w:gridSpan w:val="2"/>
          </w:tcPr>
          <w:p>
            <w:pPr>
              <w:spacing w:after="0"/>
              <w:rPr>
                <w:sz w:val="20"/>
                <w:szCs w:val="20"/>
                <w:color w:val="auto"/>
              </w:rPr>
            </w:pPr>
            <w:r>
              <w:rPr>
                <w:rFonts w:ascii="Arial" w:cs="Arial" w:eastAsia="Arial" w:hAnsi="Arial"/>
                <w:sz w:val="18"/>
                <w:szCs w:val="18"/>
                <w:color w:val="auto"/>
              </w:rPr>
              <w:t>ARTICLE I ESTABLISHMENT OF NEW SERIES</w:t>
            </w:r>
          </w:p>
        </w:tc>
        <w:tc>
          <w:tcPr>
            <w:tcW w:w="192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1.01. Establishment of New Series</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640" w:type="dxa"/>
            <w:vAlign w:val="bottom"/>
            <w:gridSpan w:val="4"/>
          </w:tcPr>
          <w:p>
            <w:pPr>
              <w:spacing w:after="0"/>
              <w:rPr>
                <w:sz w:val="20"/>
                <w:szCs w:val="20"/>
                <w:color w:val="auto"/>
              </w:rPr>
            </w:pPr>
            <w:r>
              <w:rPr>
                <w:rFonts w:ascii="Arial" w:cs="Arial" w:eastAsia="Arial" w:hAnsi="Arial"/>
                <w:sz w:val="18"/>
                <w:szCs w:val="18"/>
                <w:color w:val="auto"/>
              </w:rPr>
              <w:t>ARTICLE II DEFINITIONS</w:t>
            </w: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2.01. Definitions in the Indenture</w:t>
            </w: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640" w:type="dxa"/>
            <w:vAlign w:val="bottom"/>
            <w:gridSpan w:val="4"/>
          </w:tcPr>
          <w:p>
            <w:pPr>
              <w:spacing w:after="0"/>
              <w:rPr>
                <w:sz w:val="20"/>
                <w:szCs w:val="20"/>
                <w:color w:val="auto"/>
              </w:rPr>
            </w:pPr>
            <w:r>
              <w:rPr>
                <w:rFonts w:ascii="Arial" w:cs="Arial" w:eastAsia="Arial" w:hAnsi="Arial"/>
                <w:sz w:val="18"/>
                <w:szCs w:val="18"/>
                <w:color w:val="auto"/>
              </w:rPr>
              <w:t>ARTICLE III THE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3.01. Form</w:t>
            </w: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3.02. Issuance of Additional Notes</w:t>
            </w: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640" w:type="dxa"/>
            <w:vAlign w:val="bottom"/>
            <w:gridSpan w:val="4"/>
          </w:tcPr>
          <w:p>
            <w:pPr>
              <w:spacing w:after="0"/>
              <w:rPr>
                <w:sz w:val="20"/>
                <w:szCs w:val="20"/>
                <w:color w:val="auto"/>
              </w:rPr>
            </w:pPr>
            <w:r>
              <w:rPr>
                <w:rFonts w:ascii="Arial" w:cs="Arial" w:eastAsia="Arial" w:hAnsi="Arial"/>
                <w:sz w:val="18"/>
                <w:szCs w:val="18"/>
                <w:color w:val="auto"/>
              </w:rPr>
              <w:t>ARTICLE IV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4.01. Optional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4.02. Mandatory Redemption</w:t>
            </w: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640" w:type="dxa"/>
            <w:vAlign w:val="bottom"/>
            <w:gridSpan w:val="4"/>
          </w:tcPr>
          <w:p>
            <w:pPr>
              <w:spacing w:after="0"/>
              <w:rPr>
                <w:sz w:val="20"/>
                <w:szCs w:val="20"/>
                <w:color w:val="auto"/>
              </w:rPr>
            </w:pPr>
            <w:r>
              <w:rPr>
                <w:rFonts w:ascii="Arial" w:cs="Arial" w:eastAsia="Arial" w:hAnsi="Arial"/>
                <w:sz w:val="18"/>
                <w:szCs w:val="18"/>
                <w:color w:val="auto"/>
              </w:rPr>
              <w:t>ARTICLE V MISCELLANEOUS</w:t>
            </w: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5.01. Integral Part</w:t>
            </w: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5.02. Adoption, Ratification and Confirmation</w:t>
            </w: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5.03. Counterparts</w:t>
            </w: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5.04. Governing Law</w:t>
            </w: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640" w:type="dxa"/>
            <w:vAlign w:val="bottom"/>
            <w:gridSpan w:val="4"/>
          </w:tcPr>
          <w:p>
            <w:pPr>
              <w:ind w:left="360"/>
              <w:spacing w:after="0"/>
              <w:rPr>
                <w:sz w:val="20"/>
                <w:szCs w:val="20"/>
                <w:color w:val="auto"/>
              </w:rPr>
            </w:pPr>
            <w:r>
              <w:rPr>
                <w:rFonts w:ascii="Arial" w:cs="Arial" w:eastAsia="Arial" w:hAnsi="Arial"/>
                <w:sz w:val="18"/>
                <w:szCs w:val="18"/>
                <w:color w:val="auto"/>
              </w:rPr>
              <w:t>Section 5.05. Trustee Makes No Representation; Trustee’s Rights and Duties</w:t>
            </w: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45"/>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Form of Note</w:t>
            </w:r>
          </w:p>
        </w:tc>
        <w:tc>
          <w:tcPr>
            <w:tcW w:w="1720" w:type="dxa"/>
            <w:vAlign w:val="bottom"/>
          </w:tcPr>
          <w:p>
            <w:pPr>
              <w:spacing w:after="0"/>
              <w:rPr>
                <w:sz w:val="24"/>
                <w:szCs w:val="24"/>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EXHIBIT B:</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Form of Certificate to be Delivered Upon Exchange or Registration of Transfer of Notes</w:t>
            </w:r>
          </w:p>
        </w:tc>
        <w:tc>
          <w:tcPr>
            <w:tcW w:w="17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C:</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Form of Certificate to be Delivered in Connection with Transfers Pursuant to Regulation S</w:t>
            </w:r>
          </w:p>
        </w:tc>
        <w:tc>
          <w:tcPr>
            <w:tcW w:w="17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57" w:right="299" w:bottom="1440" w:gutter="0" w:footer="0" w:header="0"/>
        </w:sectPr>
      </w:pPr>
    </w:p>
    <w:bookmarkStart w:id="86" w:name="page87"/>
    <w:bookmarkEnd w:id="86"/>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FIRST SUPPLEMENTAL INDENTURE, dated as of March 29, 2017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between TechnipFMC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or the “</w:t>
      </w:r>
      <w:r>
        <w:rPr>
          <w:rFonts w:ascii="Arial" w:cs="Arial" w:eastAsia="Arial" w:hAnsi="Arial"/>
          <w:sz w:val="18"/>
          <w:szCs w:val="18"/>
          <w:u w:val="single" w:color="auto"/>
          <w:color w:val="auto"/>
        </w:rPr>
        <w:t>Issuer</w:t>
      </w:r>
      <w:r>
        <w:rPr>
          <w:rFonts w:ascii="Arial" w:cs="Arial" w:eastAsia="Arial" w:hAnsi="Arial"/>
          <w:sz w:val="18"/>
          <w:szCs w:val="18"/>
          <w:color w:val="auto"/>
        </w:rPr>
        <w:t>”),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the Issuer has entered into an Indenture, dated as of the date hereof (the “</w:t>
      </w:r>
      <w:r>
        <w:rPr>
          <w:rFonts w:ascii="Arial" w:cs="Arial" w:eastAsia="Arial" w:hAnsi="Arial"/>
          <w:sz w:val="17"/>
          <w:szCs w:val="17"/>
          <w:u w:val="single" w:color="auto"/>
          <w:color w:val="auto"/>
        </w:rPr>
        <w:t>Original Indenture</w:t>
      </w:r>
      <w:r>
        <w:rPr>
          <w:rFonts w:ascii="Arial" w:cs="Arial" w:eastAsia="Arial" w:hAnsi="Arial"/>
          <w:sz w:val="17"/>
          <w:szCs w:val="17"/>
          <w:color w:val="auto"/>
        </w:rPr>
        <w:t>”), with the Trustee, as trustee;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w:t>
      </w:r>
      <w:r>
        <w:rPr>
          <w:rFonts w:ascii="Arial" w:cs="Arial" w:eastAsia="Arial" w:hAnsi="Arial"/>
          <w:sz w:val="18"/>
          <w:szCs w:val="18"/>
          <w:u w:val="single" w:color="auto"/>
          <w:color w:val="auto"/>
        </w:rPr>
        <w:t>Indenture</w:t>
      </w:r>
      <w:r>
        <w:rPr>
          <w:rFonts w:ascii="Arial" w:cs="Arial" w:eastAsia="Arial" w:hAnsi="Arial"/>
          <w:sz w:val="18"/>
          <w:szCs w:val="18"/>
          <w:color w:val="auto"/>
        </w:rPr>
        <w:t>”;</w:t>
      </w:r>
    </w:p>
    <w:p>
      <w:pPr>
        <w:spacing w:after="0" w:line="225"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WHEREAS, under Sections 201, 301 and 901 of the Original Indenture, the form and terms of a new series of Securities (as defined in the Original Indenture) may at any time be established by a supplemental indenture executed by the Issuer and the Trustee;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Issuer proposes to create under the Indenture a new series of Securities; and</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 have been done or performed.</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ESTABLISHMENT OF NEW SERIES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Establishment of New Series</w:t>
      </w:r>
      <w:r>
        <w:rPr>
          <w:rFonts w:ascii="Arial" w:cs="Arial" w:eastAsia="Arial" w:hAnsi="Arial"/>
          <w:sz w:val="18"/>
          <w:szCs w:val="18"/>
          <w:color w:val="auto"/>
        </w:rPr>
        <w:t>.</w:t>
      </w:r>
    </w:p>
    <w:p>
      <w:pPr>
        <w:spacing w:after="0" w:line="117" w:lineRule="exact"/>
        <w:rPr>
          <w:sz w:val="20"/>
          <w:szCs w:val="20"/>
          <w:color w:val="auto"/>
        </w:rPr>
      </w:pPr>
    </w:p>
    <w:p>
      <w:pPr>
        <w:ind w:right="240" w:firstLine="921"/>
        <w:spacing w:after="0" w:line="277" w:lineRule="auto"/>
        <w:tabs>
          <w:tab w:leader="none" w:pos="11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is hereby established a new series of Securities to be issued under the Indenture, to be designated as the Issuer’s 2.00% Senior Notes due 2017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are to be authenticated and delivered $215,398,000 principal amount of Notes on the Issue Date, and from time to time thereafter there may be authenticated and delivered an unlimited principal amount of Additional Notes.</w:t>
      </w:r>
    </w:p>
    <w:p>
      <w:pPr>
        <w:spacing w:after="0" w:line="62" w:lineRule="exact"/>
        <w:rPr>
          <w:rFonts w:ascii="Arial" w:cs="Arial" w:eastAsia="Arial" w:hAnsi="Arial"/>
          <w:sz w:val="18"/>
          <w:szCs w:val="18"/>
          <w:color w:val="auto"/>
        </w:rPr>
      </w:pPr>
    </w:p>
    <w:p>
      <w:pPr>
        <w:ind w:right="440" w:firstLine="921"/>
        <w:spacing w:after="0" w:line="277" w:lineRule="auto"/>
        <w:tabs>
          <w:tab w:leader="none" w:pos="11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Notes shall be issued initially in the form of one or more Global Securities in substantially the form set out in Exhibit A hereto. The Depositary with respect to the Notes shall be The Depository Trust Company.</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Note shall be dated the date of authentication thereof and shall bear interest as provided in paragraph 1 of the form of Note in Exhibit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02" w:lineRule="exact"/>
        <w:rPr>
          <w:rFonts w:ascii="Arial" w:cs="Arial" w:eastAsia="Arial" w:hAnsi="Arial"/>
          <w:sz w:val="16"/>
          <w:szCs w:val="16"/>
          <w:color w:val="auto"/>
        </w:rPr>
      </w:pPr>
    </w:p>
    <w:p>
      <w:pPr>
        <w:ind w:left="1160" w:hanging="23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Additional Amounts shall be payable in relation to the Notes.</w:t>
      </w:r>
    </w:p>
    <w:p>
      <w:pPr>
        <w:sectPr>
          <w:pgSz w:w="11900" w:h="16838" w:orient="portrait"/>
          <w:cols w:equalWidth="0" w:num="1">
            <w:col w:w="11400"/>
          </w:cols>
          <w:pgMar w:left="240" w:top="274" w:right="259" w:bottom="1440" w:gutter="0" w:footer="0" w:header="0"/>
        </w:sectPr>
      </w:pPr>
    </w:p>
    <w:bookmarkStart w:id="87" w:name="page88"/>
    <w:bookmarkEnd w:id="87"/>
    <w:p>
      <w:pPr>
        <w:ind w:right="920" w:firstLine="921"/>
        <w:spacing w:after="0" w:line="277" w:lineRule="auto"/>
        <w:tabs>
          <w:tab w:leader="none" w:pos="1138"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and to the extent that the provisions of the Original Indenture are duplicative of, or in contradiction with, the provisions of this Supplemental Indenture, the provisions of this Supplemental Indenture shall govern.</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Definitions in the Indenture</w:t>
      </w:r>
      <w:r>
        <w:rPr>
          <w:rFonts w:ascii="Arial" w:cs="Arial" w:eastAsia="Arial" w:hAnsi="Arial"/>
          <w:sz w:val="18"/>
          <w:szCs w:val="18"/>
          <w:color w:val="auto"/>
        </w:rPr>
        <w:t>. All capitalized terms used herein and not otherwise defined below shall have the meanings ascribed thereto in the Original Indenture. The following are additional definitions used in this Supplemental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Additional Notes</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Bankruptcy Act</w:t>
      </w:r>
      <w:r>
        <w:rPr>
          <w:rFonts w:ascii="Arial" w:cs="Arial" w:eastAsia="Arial" w:hAnsi="Arial"/>
          <w:sz w:val="18"/>
          <w:szCs w:val="18"/>
          <w:color w:val="auto"/>
        </w:rPr>
        <w:t>” means Title 11, United States Code, or any similar United States federal or state law (or any similar foreign law) for the relief of debtors.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Euroclear</w:t>
      </w:r>
      <w:r>
        <w:rPr>
          <w:rFonts w:ascii="Arial" w:cs="Arial" w:eastAsia="Arial" w:hAnsi="Arial"/>
          <w:sz w:val="17"/>
          <w:szCs w:val="17"/>
          <w:color w:val="auto"/>
        </w:rPr>
        <w:t>” means Euroclear Bank S.A./N.Y., as operator of Euroclear systems Clearance System or any successor securities clearing agency.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Exchange Notes</w:t>
      </w:r>
      <w:r>
        <w:rPr>
          <w:rFonts w:ascii="Arial" w:cs="Arial" w:eastAsia="Arial" w:hAnsi="Arial"/>
          <w:sz w:val="18"/>
          <w:szCs w:val="18"/>
          <w:color w:val="auto"/>
        </w:rPr>
        <w:t>” means any notes issued in exchange for Notes pursuant to the Registration Rights Agreement or similar agreement.</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Global Security</w:t>
      </w:r>
      <w:r>
        <w:rPr>
          <w:rFonts w:ascii="Arial" w:cs="Arial" w:eastAsia="Arial" w:hAnsi="Arial"/>
          <w:sz w:val="16"/>
          <w:szCs w:val="16"/>
          <w:color w:val="auto"/>
        </w:rPr>
        <w:t>” or “</w:t>
      </w:r>
      <w:r>
        <w:rPr>
          <w:rFonts w:ascii="Arial" w:cs="Arial" w:eastAsia="Arial" w:hAnsi="Arial"/>
          <w:sz w:val="16"/>
          <w:szCs w:val="16"/>
          <w:u w:val="single" w:color="auto"/>
          <w:color w:val="auto"/>
        </w:rPr>
        <w:t>Global Note</w:t>
      </w:r>
      <w:r>
        <w:rPr>
          <w:rFonts w:ascii="Arial" w:cs="Arial" w:eastAsia="Arial" w:hAnsi="Arial"/>
          <w:sz w:val="16"/>
          <w:szCs w:val="16"/>
          <w:color w:val="auto"/>
        </w:rPr>
        <w:t>” means a Note that is executed by the Company and authenticated and delivered by the Trustee to the Depositary or pursuant to the Depositary’s instruction, all in accordance with the Indenture, which shall be registered in the name of the Depositary or its nominee and which shall represent, and shall be denominated in an amount equal to the aggregate principal amount of, all the Outstanding Notes or any portion thereof.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Issue D</w:t>
      </w:r>
      <w:r>
        <w:rPr>
          <w:rFonts w:ascii="Arial" w:cs="Arial" w:eastAsia="Arial" w:hAnsi="Arial"/>
          <w:sz w:val="18"/>
          <w:szCs w:val="18"/>
          <w:i w:val="1"/>
          <w:iCs w:val="1"/>
          <w:color w:val="auto"/>
        </w:rPr>
        <w:t>ate</w:t>
      </w:r>
      <w:r>
        <w:rPr>
          <w:rFonts w:ascii="Arial" w:cs="Arial" w:eastAsia="Arial" w:hAnsi="Arial"/>
          <w:sz w:val="18"/>
          <w:szCs w:val="18"/>
          <w:color w:val="auto"/>
        </w:rPr>
        <w:t>” means the date on which the Notes are initially issued under the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xml:space="preserve">” has the meaning assigned to it in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herein, and includes both the Notes issued on the Issue Date and any Additional Notes.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Registration Rights Agreement</w:t>
      </w:r>
      <w:r>
        <w:rPr>
          <w:rFonts w:ascii="Arial" w:cs="Arial" w:eastAsia="Arial" w:hAnsi="Arial"/>
          <w:sz w:val="18"/>
          <w:szCs w:val="18"/>
          <w:color w:val="auto"/>
        </w:rPr>
        <w:t>” means the registration rights agreement dated as of the date of this Supplemental Indenture, among the Company, Merrill Lynch, Pierce, Fenner &amp; Smith Incorporated and Wells Fargo Securities, LLC.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Restricted Notes Legend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Restricted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herein.</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Rule 144A</w:t>
      </w:r>
      <w:r>
        <w:rPr>
          <w:rFonts w:ascii="Arial" w:cs="Arial" w:eastAsia="Arial" w:hAnsi="Arial"/>
          <w:sz w:val="18"/>
          <w:szCs w:val="18"/>
          <w:i w:val="1"/>
          <w:iCs w:val="1"/>
          <w:color w:val="auto"/>
        </w:rPr>
        <w:t xml:space="preserve">” </w:t>
      </w:r>
      <w:r>
        <w:rPr>
          <w:rFonts w:ascii="Arial" w:cs="Arial" w:eastAsia="Arial" w:hAnsi="Arial"/>
          <w:sz w:val="18"/>
          <w:szCs w:val="18"/>
          <w:color w:val="auto"/>
        </w:rPr>
        <w:t>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Transfer Restricted Note</w:t>
      </w:r>
      <w:r>
        <w:rPr>
          <w:rFonts w:ascii="Arial" w:cs="Arial" w:eastAsia="Arial" w:hAnsi="Arial"/>
          <w:sz w:val="18"/>
          <w:szCs w:val="18"/>
          <w:color w:val="auto"/>
        </w:rPr>
        <w:t>” means any Note that bears or is required to bear the Restricted Notes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U.S. Person</w:t>
      </w:r>
      <w:r>
        <w:rPr>
          <w:rFonts w:ascii="Arial" w:cs="Arial" w:eastAsia="Arial" w:hAnsi="Arial"/>
          <w:sz w:val="18"/>
          <w:szCs w:val="18"/>
          <w:color w:val="auto"/>
        </w:rPr>
        <w:t>” means a “U.S. person” as defined in Regulation S.</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w:t>
      </w:r>
      <w:r>
        <w:rPr>
          <w:rFonts w:ascii="Arial" w:cs="Arial" w:eastAsia="Arial" w:hAnsi="Arial"/>
          <w:sz w:val="18"/>
          <w:szCs w:val="18"/>
          <w:color w:val="auto"/>
        </w:rPr>
        <w:t>.</w:t>
      </w:r>
    </w:p>
    <w:p>
      <w:pPr>
        <w:spacing w:after="0" w:line="117" w:lineRule="exact"/>
        <w:rPr>
          <w:sz w:val="20"/>
          <w:szCs w:val="20"/>
          <w:color w:val="auto"/>
        </w:rPr>
      </w:pPr>
    </w:p>
    <w:p>
      <w:pPr>
        <w:ind w:left="-20" w:right="140" w:firstLine="921"/>
        <w:spacing w:after="0" w:line="264" w:lineRule="auto"/>
        <w:tabs>
          <w:tab w:leader="none" w:pos="113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Notes are being offered only to (A) Persons reasonably believed to be QIBs and (B) non-U.S. Persons in reliance on Regulation S. Such Notes may thereafter be transferred to, among others, QIBs, and purchasers in reliance on Regulation S, in each case, in accordance with the procedures described herein.</w:t>
      </w:r>
    </w:p>
    <w:p>
      <w:pPr>
        <w:spacing w:after="0" w:line="73" w:lineRule="exact"/>
        <w:rPr>
          <w:rFonts w:ascii="Arial" w:cs="Arial" w:eastAsia="Arial" w:hAnsi="Arial"/>
          <w:sz w:val="18"/>
          <w:szCs w:val="18"/>
          <w:color w:val="auto"/>
        </w:rPr>
      </w:pPr>
    </w:p>
    <w:p>
      <w:pPr>
        <w:ind w:left="-20" w:right="320" w:firstLine="921"/>
        <w:spacing w:after="0" w:line="273" w:lineRule="auto"/>
        <w:tabs>
          <w:tab w:leader="none" w:pos="114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Notes offered to QIBs in the United States of America (the “</w:t>
      </w:r>
      <w:r>
        <w:rPr>
          <w:rFonts w:ascii="Arial" w:cs="Arial" w:eastAsia="Arial" w:hAnsi="Arial"/>
          <w:sz w:val="17"/>
          <w:szCs w:val="17"/>
          <w:u w:val="single" w:color="auto"/>
          <w:color w:val="auto"/>
        </w:rPr>
        <w:t>Restricted Notes</w:t>
      </w:r>
      <w:r>
        <w:rPr>
          <w:rFonts w:ascii="Arial" w:cs="Arial" w:eastAsia="Arial" w:hAnsi="Arial"/>
          <w:sz w:val="17"/>
          <w:szCs w:val="17"/>
          <w:color w:val="auto"/>
        </w:rPr>
        <w:t xml:space="preserve">”) shall be issued in the form of a permanent global note including appropriate legends as set forth in the form of security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Restricted Global Notes</w:t>
      </w:r>
      <w:r>
        <w:rPr>
          <w:rFonts w:ascii="Arial" w:cs="Arial" w:eastAsia="Arial" w:hAnsi="Arial"/>
          <w:sz w:val="17"/>
          <w:szCs w:val="17"/>
          <w:color w:val="auto"/>
        </w:rPr>
        <w:t>”), deposited with the Trustee, as custodian for the Depositary, duly executed by the Issuer and authenticated by the Trustee as hereinafter provided. The Restricted Global Note may be represented by more than one certificate, if so required by the Depositary’s rules regarding the maximum principal amount to be represented by a single certificate. The aggregate principal amount of the Restricted Global Note may from time to time be increased or decreased by adjustments made on the records of the Trustee, as custodian for the Depositary, or its nominee, as hereinafter provided.</w:t>
      </w:r>
    </w:p>
    <w:p>
      <w:pPr>
        <w:spacing w:after="0" w:line="70" w:lineRule="exact"/>
        <w:rPr>
          <w:rFonts w:ascii="Arial" w:cs="Arial" w:eastAsia="Arial" w:hAnsi="Arial"/>
          <w:sz w:val="17"/>
          <w:szCs w:val="17"/>
          <w:color w:val="auto"/>
        </w:rPr>
      </w:pPr>
    </w:p>
    <w:p>
      <w:pPr>
        <w:ind w:left="-20" w:firstLine="921"/>
        <w:spacing w:after="0" w:line="287" w:lineRule="auto"/>
        <w:tabs>
          <w:tab w:leader="none" w:pos="113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Notes offered to non-U.S. Persons outside the United States of America (the “</w:t>
      </w:r>
      <w:r>
        <w:rPr>
          <w:rFonts w:ascii="Arial" w:cs="Arial" w:eastAsia="Arial" w:hAnsi="Arial"/>
          <w:sz w:val="16"/>
          <w:szCs w:val="16"/>
          <w:u w:val="single" w:color="auto"/>
          <w:color w:val="auto"/>
        </w:rPr>
        <w:t>Regulation S Notes</w:t>
      </w:r>
      <w:r>
        <w:rPr>
          <w:rFonts w:ascii="Arial" w:cs="Arial" w:eastAsia="Arial" w:hAnsi="Arial"/>
          <w:sz w:val="16"/>
          <w:szCs w:val="16"/>
          <w:color w:val="auto"/>
        </w:rPr>
        <w:t xml:space="preserve">”) in reliance on Regulation S shall be issued in the form of a permanent global note including appropriate legends as set forth in the form of security as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Regulation S Global Notes</w:t>
      </w:r>
      <w:r>
        <w:rPr>
          <w:rFonts w:ascii="Arial" w:cs="Arial" w:eastAsia="Arial" w:hAnsi="Arial"/>
          <w:sz w:val="16"/>
          <w:szCs w:val="16"/>
          <w:color w:val="auto"/>
        </w:rPr>
        <w:t>” and, together with the Restricted Global Notes and the Exchange Global Notes, the “</w:t>
      </w:r>
      <w:r>
        <w:rPr>
          <w:rFonts w:ascii="Arial" w:cs="Arial" w:eastAsia="Arial" w:hAnsi="Arial"/>
          <w:sz w:val="16"/>
          <w:szCs w:val="16"/>
          <w:u w:val="single" w:color="auto"/>
          <w:color w:val="auto"/>
        </w:rPr>
        <w:t>Global Notes</w:t>
      </w:r>
      <w:r>
        <w:rPr>
          <w:rFonts w:ascii="Arial" w:cs="Arial" w:eastAsia="Arial" w:hAnsi="Arial"/>
          <w:sz w:val="16"/>
          <w:szCs w:val="16"/>
          <w:color w:val="auto"/>
        </w:rPr>
        <w:t>”). Each Regulation S Global Note will be deposited upon issuance with, or on behalf of, the Trustee as custodian for the Depositary. Prior to the 40th day after the date the Notes are issued (such period through and including such 40th day,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interests in the Regulation S Global Note may only be transferred to non U.S. Persons pursuant to Regulation S, unless exchanged for interests in a Global Note in accordance with the transfer and certification requirements described herein. Investors may hold their interests in the Regulation S Global Note through organizations other than Euroclear or Clearstream that are participants in the Depositary’s system or directly through Euroclear or Clearstream, if they are participants in such systems, or indirectly through organizations which are participants in such systems. If such interests are held through Euroclear or Clearstream, Euroclear and Clearstream will hold such interests in the applicable Regulation S Global Note on behalf of their participants through customers’ securities accounts in their respective names on the books of their respective depositaries. Such depositaries, in turn, will hold such interests in the applicable Regulation S Global Note in customers’ securities accounts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89" w:name="page90"/>
    <w:bookmarkEnd w:id="8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depositaries’ names on the books of the Depositary. The Regulation S Global Note may be represented by more than one certificate, if so required by the Depositary’s rules regarding the maximum principal amount to be represented by a single certificate. The aggregate principal amount of the Regulation S Global Note may from time to time be increased or decreased by adjustments made on the records of the Trustee, as custodian for the Depositary or its nominee, as hereinafter provided.</w:t>
      </w:r>
    </w:p>
    <w:p>
      <w:pPr>
        <w:spacing w:after="0" w:line="79" w:lineRule="exact"/>
        <w:rPr>
          <w:sz w:val="20"/>
          <w:szCs w:val="20"/>
          <w:color w:val="auto"/>
        </w:rPr>
      </w:pPr>
    </w:p>
    <w:p>
      <w:pPr>
        <w:ind w:right="40" w:firstLine="921"/>
        <w:spacing w:after="0" w:line="257" w:lineRule="auto"/>
        <w:tabs>
          <w:tab w:leader="none" w:pos="1168"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and until (i) a Note issued as a Transfer Restricted Note is sold under an effective registration statement, (ii) a Note issued as a Transfer Restricted Note is exchanged for an Exchange Note in connection with an effective registration statement pursuant to the Registration Rights Agreement or (iii) the Issuer receives an opinion of counsel satisfactory to it to the effect that neither such legend nor the related restrictions on transfer are required in order to maintain compliance with the provisions of the Securities Act, the Restricted Global Note and the Regulation S Global Note shall bear the “</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 xml:space="preserve">” as set forth in the form of security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80" w:firstLine="921"/>
        <w:spacing w:after="0" w:line="276" w:lineRule="auto"/>
        <w:tabs>
          <w:tab w:leader="none" w:pos="1158"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Exchange Notes exchanged for interests in the Restricted Notes and the Regulation S Notes will be issued in the form of a permanent Global Note deposited with the Trustee as hereinafter provided, including the appropriate legend set forth in the form of security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Exchange Global Note</w:t>
      </w:r>
      <w:r>
        <w:rPr>
          <w:rFonts w:ascii="Arial" w:cs="Arial" w:eastAsia="Arial" w:hAnsi="Arial"/>
          <w:sz w:val="17"/>
          <w:szCs w:val="17"/>
          <w:color w:val="auto"/>
        </w:rPr>
        <w:t>”). The Exchange Global Note will be deposited upon issuance with, or on behalf of, the Trustee as custodian for the Depositary, duly executed by the Issuer and authenticated by the Trustee as hereinafter provided. The Exchange Global Note may be represented by more than one certificate, if so required by the Depositary’s rules regarding the maximum principal amount to be represented by a single certificate.</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Issuance of Additional Notes</w:t>
      </w:r>
      <w:r>
        <w:rPr>
          <w:rFonts w:ascii="Arial" w:cs="Arial" w:eastAsia="Arial" w:hAnsi="Arial"/>
          <w:sz w:val="17"/>
          <w:szCs w:val="17"/>
          <w:color w:val="auto"/>
        </w:rPr>
        <w:t>. The Issuer may, from time to time, issue an unlimited amount of additional Notes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w:t>
      </w:r>
      <w:r>
        <w:rPr>
          <w:rFonts w:ascii="Arial" w:cs="Arial" w:eastAsia="Arial" w:hAnsi="Arial"/>
          <w:sz w:val="17"/>
          <w:szCs w:val="17"/>
          <w:color w:val="auto"/>
        </w:rPr>
        <w:t>”) under the Indenture, which shall be issued in the same form as the Notes issued on the Issue Date and which shall have identical terms as the Notes issued on the Issue Date other than with respect to the issue date and first payment of interest. The Notes issued on the Issue Date shall be limited in aggregate principal amount to $215,398,000, subject to the provisions of Section 306 of the Original Indenture. The Notes issued on the Issue Date and any Additional Notes subsequently issued shall be treated as a single series for purposes of giving of notices, consents, waivers, amendments and taking any other action permitted under the Indenture and for purposes of interest accrual and redemptions.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its option, the Issuer may choose to redeem all or any portion of the Notes, at once or from time to time.</w:t>
      </w:r>
    </w:p>
    <w:p>
      <w:pPr>
        <w:spacing w:after="0" w:line="117"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To redeem the Notes, the Issuer must pay a Redemption Price in an amount determined in accordance with the provisions of paragraph 5 of the form of Note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0" w:name="page91"/>
    <w:bookmarkEnd w:id="90"/>
    <w:p>
      <w:pPr>
        <w:ind w:right="40" w:firstLine="921"/>
        <w:spacing w:after="0" w:line="264" w:lineRule="auto"/>
        <w:tabs>
          <w:tab w:leader="none" w:pos="1158"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redemption pursuant to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shall be made pursuant to the provisions of Article Eleven of the Original Indenture. The actual Redemption Price, calculated as provided in paragraph 5 of the form of Note in Exhibit A hereto, shall be certified in writing to the Trustee by the Company no later than one Business Day prior to each Redemption Date.</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 The Issuer shall not be required to make mandatory redemption or sinking fund payments with respect to the Notes and shall have no obligation to repurchase any Notes at the option of the 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RESTRICTIONS</w:t>
      </w:r>
    </w:p>
    <w:p>
      <w:pPr>
        <w:spacing w:after="0" w:line="21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Unregistered Offering</w:t>
      </w:r>
      <w:r>
        <w:rPr>
          <w:rFonts w:ascii="Arial" w:cs="Arial" w:eastAsia="Arial" w:hAnsi="Arial"/>
          <w:sz w:val="18"/>
          <w:szCs w:val="18"/>
          <w:color w:val="auto"/>
        </w:rPr>
        <w:t>. The initial offering and sale of the Notes shall not be registered under the Securities Act or any state securities laws. The Notes shall be offered pursuant to exemptions from the registration requirements of the Securities Act to QIBs and in reliance on Regulation S promulgated under the Securities Act. For so long as any of the Notes constitute “restricted securities” within the meaning of Rule 144(a)(3) promulgated under the Securities Act, the Issuer shall, if the Issuer is not then subject to the reporting requirements of Section 13 or 15(d) of the Exchange Act, furnish to any Holder or beneficial owner of such Notes, or to any prospective purchaser of such Notes designated by such Holder or beneficial owner, in each case upon the written request of such Holder, beneficial owner or prospective purchaser, the information required to be provided pursuant to Rule 144A(d)(4) promulgated under the Securities Act.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Transfers of Notes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97" w:lineRule="auto"/>
        <w:tabs>
          <w:tab w:leader="none" w:pos="1158"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following provisions shall apply with respect to any proposed transfer of any Transfer Restricted Note prior to the expiration of the holding period applicable to sales of such Notes under Rule 144, and the Security Registrar shall refuse to register any transfer of such Notes not complying with the restrictions set forth in the Restricted Notes Legend and in this Article V. In addition to the requirements set forth in Section 305 of the Indenture, Restricted Transfer Notes that are presented or surrendered for registration of transfer or exchange pursuant to Section 305 of the Indenture shall be accompanied by the following additional information and documents, as applicable, upon which the Security Registrar may conclusively rely:</w:t>
      </w:r>
    </w:p>
    <w:p>
      <w:pPr>
        <w:spacing w:after="0" w:line="50" w:lineRule="exact"/>
        <w:rPr>
          <w:rFonts w:ascii="Arial" w:cs="Arial" w:eastAsia="Arial" w:hAnsi="Arial"/>
          <w:sz w:val="16"/>
          <w:szCs w:val="16"/>
          <w:color w:val="auto"/>
        </w:rPr>
      </w:pPr>
    </w:p>
    <w:p>
      <w:pPr>
        <w:ind w:left="460" w:firstLine="443"/>
        <w:spacing w:after="0" w:line="277"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if such Transfer Restricted Notes are being delivered to the Security Registrar by a Holder for registration in the name of such Holder, without transfer, a certification from such Holder to that effect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left="460" w:right="260" w:firstLine="443"/>
        <w:spacing w:after="0" w:line="308" w:lineRule="auto"/>
        <w:tabs>
          <w:tab w:leader="none" w:pos="1153"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if such Transfer Restricted Notes are being transferred (1) to a QIB in accordance with Rule 144 or (2) pursuant to an effective registration statement under the Securities Act, a certification to that effect from such Holder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1" w:name="page92"/>
    <w:bookmarkEnd w:id="91"/>
    <w:p>
      <w:pPr>
        <w:ind w:left="460" w:right="40" w:firstLine="443"/>
        <w:spacing w:after="0" w:line="277"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such Transfer Restricted Notes are being transferred pursuant to an exemption from registration in accordance with Rule 903 or Rule 904 of Regulation S, certifications to that effect from such Holder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or</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if such Transfer Restricted Notes are being transferred in reliance on and in compliance with (1) an exemption from registration in accordance with Rule 144 under the Securities Act or (2) another exemption from the registration requirements of the Securities Act, a certification to that effect from such Holder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an opinion of counsel, certification or other evidence as may reasonably be required to that effect if the Issuer or the Trustee so requests.</w:t>
      </w:r>
    </w:p>
    <w:p>
      <w:pPr>
        <w:spacing w:after="0" w:line="78" w:lineRule="exact"/>
        <w:rPr>
          <w:rFonts w:ascii="Arial" w:cs="Arial" w:eastAsia="Arial" w:hAnsi="Arial"/>
          <w:sz w:val="18"/>
          <w:szCs w:val="18"/>
          <w:color w:val="auto"/>
        </w:rPr>
      </w:pPr>
    </w:p>
    <w:p>
      <w:pPr>
        <w:jc w:val="both"/>
        <w:ind w:right="140" w:firstLine="921"/>
        <w:spacing w:after="0" w:line="279" w:lineRule="auto"/>
        <w:tabs>
          <w:tab w:leader="none" w:pos="1168"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 Holder of a beneficial interest in Regulation S Global Note who wishes to transfer its interest in such Note to a QIB in accordance with Rule 144A who takes delivery in the form of a beneficial interest in the Restricted Global Note shall deliver to the Security Registrar a certification to that effect (in substantially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upon which the Security Registrar may conclusively rely. After the expiration of the Restricted Period, interests in the Regulation S Global Note may be transferred without requiring the certification set forth in this </w:t>
      </w:r>
      <w:r>
        <w:rPr>
          <w:rFonts w:ascii="Arial" w:cs="Arial" w:eastAsia="Arial" w:hAnsi="Arial"/>
          <w:sz w:val="17"/>
          <w:szCs w:val="17"/>
          <w:u w:val="single" w:color="auto"/>
          <w:color w:val="auto"/>
        </w:rPr>
        <w:t>Section 5.02(b)</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160" w:hanging="239"/>
        <w:spacing w:after="0"/>
        <w:tabs>
          <w:tab w:leader="none" w:pos="11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transfer and exchange of Global Notes or beneficial interests therein shall be effected through the Depositary, in accordance with</w:t>
      </w:r>
    </w:p>
    <w:p>
      <w:pPr>
        <w:spacing w:after="0" w:line="3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Section 305 of the Indenture and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herein (including the restrictions on transfer set forth therein and herein) and the rules and procedures of the Depositary therefor, which shall include restrictions on transfer comparable to those set forth therein and herein to the extent required by the Securities Act; provided, however, that prior to the expiration of the Restricted Period, transfers and exchanges of beneficial interests in the Regulation S Global Note may be made pursuant to such restrictions only (1) to a Person that is not a U.S. person or for the account or benefit of a Person that is not a U.S. person within the meaning of Regulation S under the Securities Act or (2) to a QIB, in each case that hold such interests through Euroclear or Clearstream.</w:t>
      </w:r>
    </w:p>
    <w:p>
      <w:pPr>
        <w:spacing w:after="0" w:line="55" w:lineRule="exact"/>
        <w:rPr>
          <w:sz w:val="20"/>
          <w:szCs w:val="20"/>
          <w:color w:val="auto"/>
        </w:rPr>
      </w:pPr>
    </w:p>
    <w:p>
      <w:pPr>
        <w:ind w:firstLine="921"/>
        <w:spacing w:after="0" w:line="270" w:lineRule="auto"/>
        <w:tabs>
          <w:tab w:leader="none" w:pos="1168"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Notes are issued upon the registration of transfer, exchange or replacement of Notes not bearing the Restricted Notes Legend, the Notes so issued shall not bear such legends. If Notes are issued upon the registration or transfer, exchange or replacement of Notes bearing the Restricted Notes Legend, or if a request is made to remove the Restricted Notes Legend on a Note, the Notes so issued shall bear the Restricted Notes Legend, or the Restricted Notes Legend shall not be removed, as the case may be, unless there is delivered to the Issuer such satisfactory evidence, which may include an opinion of counsel, as may be reasonably required by the Issuer that neither the Restricted Notes Legend nor the restrictions on transfer set forth therein are required to ensure that transfers thereof comply with the provisions of Rule 144A, Rule 144 or Regulation S, that such Notes are not “restricted securities” within the meaning of Rule 144 or that such Notes were transferred pursuant to an effective registration statement under the Securities Act. Upon provision of such satisfactory evidence, the Trustee, at the direction of the Issuer, shall authenticate and deliver a Note that does not bear the Restricted Notes Legend. If a Restricted Notes Legend is removed from the face of a Note and the Note is subsequently held by an Affiliate of the Issuer, the Restricted Notes Legend and the restrictions on transfer set forth therein shall be reinstated.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2" w:name="page93"/>
    <w:bookmarkEnd w:id="92"/>
    <w:p>
      <w:pPr>
        <w:ind w:right="200" w:firstLine="921"/>
        <w:spacing w:after="0" w:line="264" w:lineRule="auto"/>
        <w:tabs>
          <w:tab w:leader="none" w:pos="1158"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herein to the contrary, neither the Trustee nor the Security Registrar shall have any responsibility to receive any letters, opinions or certifications, nor any responsibility to monitor compliance with any transfer restrictions, in connection with any transfer or exchange of any beneficial interest in a Global Note for a beneficial interest in the same Global Note.</w:t>
      </w:r>
    </w:p>
    <w:p>
      <w:pPr>
        <w:spacing w:after="0" w:line="73" w:lineRule="exact"/>
        <w:rPr>
          <w:rFonts w:ascii="Arial" w:cs="Arial" w:eastAsia="Arial" w:hAnsi="Arial"/>
          <w:sz w:val="18"/>
          <w:szCs w:val="18"/>
          <w:color w:val="auto"/>
        </w:rPr>
      </w:pPr>
    </w:p>
    <w:p>
      <w:pPr>
        <w:ind w:right="260" w:firstLine="921"/>
        <w:spacing w:after="0" w:line="302" w:lineRule="auto"/>
        <w:tabs>
          <w:tab w:leader="none" w:pos="1138"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Notwithstanding the foregoing, in the event that any Transfer Restricted Notes are exchanged for an Exchange Notes in connection with an effective registration statement pursuant to the Registration Rights Agreement, the Issuer shall issue and, at the direction of the Issuer, the Trustee shall authenticate the Exchange Notes in exchange for Transfer Restricted Notes accepted for exchange in the Exchange Offer, which Exchange Notes shall not bear the Restricted Notes Legend, and the Security Registrar shall rescind any restriction on the transfer of such Exchange Notes.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Integral Part</w:t>
      </w:r>
      <w:r>
        <w:rPr>
          <w:rFonts w:ascii="Arial" w:cs="Arial" w:eastAsia="Arial" w:hAnsi="Arial"/>
          <w:sz w:val="18"/>
          <w:szCs w:val="18"/>
          <w:color w:val="auto"/>
        </w:rPr>
        <w:t>. This Supplemental Indenture constitutes an integral part of the Indenture.</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Original Indenture, as supplemented and amended by this Supplemental Indenture, is in all respects hereby adopted, ratified and confirmed.</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Supplemental Indenture may be executed in any number of counterparts, each of which when so executed shall be deemed an original; and all such counterparts shall together constitute but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84" w:lineRule="exact"/>
        <w:rPr>
          <w:sz w:val="20"/>
          <w:szCs w:val="20"/>
          <w:color w:val="auto"/>
        </w:rPr>
      </w:pPr>
    </w:p>
    <w:p>
      <w:pPr>
        <w:ind w:right="940" w:firstLine="913"/>
        <w:spacing w:after="0" w:line="282"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AND THE NOTES SHALL BE GOVERNED BY AND</w:t>
      </w:r>
      <w:r>
        <w:rPr>
          <w:rFonts w:ascii="Arial" w:cs="Arial" w:eastAsia="Arial" w:hAnsi="Arial"/>
          <w:sz w:val="18"/>
          <w:szCs w:val="18"/>
          <w:color w:val="auto"/>
        </w:rPr>
        <w:t xml:space="preserve"> </w:t>
      </w:r>
      <w:r>
        <w:rPr>
          <w:rFonts w:ascii="Arial" w:cs="Arial" w:eastAsia="Arial" w:hAnsi="Arial"/>
          <w:sz w:val="18"/>
          <w:szCs w:val="18"/>
          <w:b w:val="1"/>
          <w:bCs w:val="1"/>
          <w:color w:val="auto"/>
        </w:rPr>
        <w:t>CONSTRUED IN ACCORDANCE WITH THE LAWS OF THE STATE OF NEW YORK.</w:t>
      </w:r>
    </w:p>
    <w:p>
      <w:pPr>
        <w:spacing w:after="0" w:line="16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Trustee Makes No Representation; Trustee’s Rights and Duties</w:t>
      </w:r>
      <w:r>
        <w:rPr>
          <w:rFonts w:ascii="Arial" w:cs="Arial" w:eastAsia="Arial" w:hAnsi="Arial"/>
          <w:sz w:val="18"/>
          <w:szCs w:val="18"/>
          <w:color w:val="auto"/>
        </w:rPr>
        <w:t>. The Trustee makes no representation as to the validity or sufficiency of this Supplemental Indenture and shall not be liable in connection therewith. The rights and duties of the Trustee shall be determined by the express provisions of the Original Indenture and, except as expressly set forth in this Supplemental Indenture, nothing in this Supplemental Indenture shall in any way modify or otherwise affect the Trustee’s rights and duties thereunder.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3" w:name="page94"/>
    <w:bookmarkEnd w:id="93"/>
    <w:p>
      <w:pPr>
        <w:ind w:left="3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A.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Jay A. Nutt</w:t>
      </w:r>
    </w:p>
    <w:p>
      <w:pPr>
        <w:spacing w:after="0" w:line="23" w:lineRule="exact"/>
        <w:rPr>
          <w:sz w:val="20"/>
          <w:szCs w:val="20"/>
          <w:color w:val="auto"/>
        </w:rPr>
      </w:pPr>
    </w:p>
    <w:p>
      <w:pPr>
        <w:jc w:val="both"/>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 and Deputy Chief Financial</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as Trustee</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A. Finklea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Steven A. Finklea, CCTS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First Supplemental Indenture</w:t>
      </w:r>
    </w:p>
    <w:p>
      <w:pPr>
        <w:sectPr>
          <w:pgSz w:w="11900" w:h="16838" w:orient="portrait"/>
          <w:cols w:equalWidth="0" w:num="1">
            <w:col w:w="9840"/>
          </w:cols>
          <w:pgMar w:left="1440" w:top="274" w:right="6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42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rPr>
              <w:t>EXHIBIT A</w:t>
            </w:r>
          </w:p>
        </w:tc>
      </w:tr>
      <w:tr>
        <w:trPr>
          <w:trHeight w:val="453"/>
        </w:trPr>
        <w:tc>
          <w:tcPr>
            <w:tcW w:w="1800" w:type="dxa"/>
            <w:vAlign w:val="bottom"/>
          </w:tcPr>
          <w:p>
            <w:pPr>
              <w:spacing w:after="0"/>
              <w:rPr>
                <w:sz w:val="24"/>
                <w:szCs w:val="24"/>
                <w:color w:val="auto"/>
              </w:rPr>
            </w:pPr>
          </w:p>
        </w:tc>
        <w:tc>
          <w:tcPr>
            <w:tcW w:w="7200" w:type="dxa"/>
            <w:vAlign w:val="bottom"/>
          </w:tcPr>
          <w:p>
            <w:pPr>
              <w:jc w:val="center"/>
              <w:ind w:left="550"/>
              <w:spacing w:after="0"/>
              <w:rPr>
                <w:sz w:val="20"/>
                <w:szCs w:val="20"/>
                <w:color w:val="auto"/>
              </w:rPr>
            </w:pPr>
            <w:r>
              <w:rPr>
                <w:rFonts w:ascii="Arial" w:cs="Arial" w:eastAsia="Arial" w:hAnsi="Arial"/>
                <w:sz w:val="18"/>
                <w:szCs w:val="18"/>
                <w:color w:val="auto"/>
                <w:w w:val="92"/>
              </w:rPr>
              <w:t>(Form of Face of Note)</w:t>
            </w:r>
          </w:p>
        </w:tc>
        <w:tc>
          <w:tcPr>
            <w:tcW w:w="14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445"/>
        </w:trPr>
        <w:tc>
          <w:tcPr>
            <w:tcW w:w="1800" w:type="dxa"/>
            <w:vAlign w:val="bottom"/>
          </w:tcPr>
          <w:p>
            <w:pPr>
              <w:spacing w:after="0"/>
              <w:rPr>
                <w:sz w:val="20"/>
                <w:szCs w:val="20"/>
                <w:color w:val="auto"/>
              </w:rPr>
            </w:pPr>
            <w:r>
              <w:rPr>
                <w:rFonts w:ascii="Arial" w:cs="Arial" w:eastAsia="Arial" w:hAnsi="Arial"/>
                <w:sz w:val="18"/>
                <w:szCs w:val="18"/>
                <w:color w:val="auto"/>
              </w:rPr>
              <w:t>CUSIP [•]</w:t>
            </w:r>
            <w:r>
              <w:rPr>
                <w:rFonts w:ascii="Arial" w:cs="Arial" w:eastAsia="Arial" w:hAnsi="Arial"/>
                <w:sz w:val="15"/>
                <w:szCs w:val="15"/>
                <w:color w:val="auto"/>
              </w:rPr>
              <w:t>1</w:t>
            </w:r>
          </w:p>
        </w:tc>
        <w:tc>
          <w:tcPr>
            <w:tcW w:w="7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No.</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ISIN [•]</w:t>
            </w:r>
            <w:r>
              <w:rPr>
                <w:rFonts w:ascii="Arial" w:cs="Arial" w:eastAsia="Arial" w:hAnsi="Arial"/>
                <w:sz w:val="15"/>
                <w:szCs w:val="15"/>
                <w:color w:val="auto"/>
              </w:rPr>
              <w:t>2</w:t>
            </w:r>
          </w:p>
        </w:tc>
        <w:tc>
          <w:tcPr>
            <w:tcW w:w="7200" w:type="dxa"/>
            <w:vAlign w:val="bottom"/>
          </w:tcPr>
          <w:p>
            <w:pPr>
              <w:spacing w:after="0"/>
              <w:rPr>
                <w:sz w:val="20"/>
                <w:szCs w:val="20"/>
                <w:color w:val="auto"/>
              </w:rPr>
            </w:pPr>
          </w:p>
        </w:tc>
        <w:tc>
          <w:tcPr>
            <w:tcW w:w="24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r>
      <w:tr>
        <w:trPr>
          <w:trHeight w:val="432"/>
        </w:trPr>
        <w:tc>
          <w:tcPr>
            <w:tcW w:w="1800" w:type="dxa"/>
            <w:vAlign w:val="bottom"/>
          </w:tcPr>
          <w:p>
            <w:pPr>
              <w:spacing w:after="0"/>
              <w:rPr>
                <w:sz w:val="24"/>
                <w:szCs w:val="24"/>
                <w:color w:val="auto"/>
              </w:rPr>
            </w:pPr>
          </w:p>
        </w:tc>
        <w:tc>
          <w:tcPr>
            <w:tcW w:w="7200" w:type="dxa"/>
            <w:vAlign w:val="bottom"/>
          </w:tcPr>
          <w:p>
            <w:pPr>
              <w:jc w:val="center"/>
              <w:ind w:left="550"/>
              <w:spacing w:after="0"/>
              <w:rPr>
                <w:sz w:val="20"/>
                <w:szCs w:val="20"/>
                <w:color w:val="auto"/>
              </w:rPr>
            </w:pPr>
            <w:r>
              <w:rPr>
                <w:rFonts w:ascii="Arial" w:cs="Arial" w:eastAsia="Arial" w:hAnsi="Arial"/>
                <w:sz w:val="18"/>
                <w:szCs w:val="18"/>
                <w:b w:val="1"/>
                <w:bCs w:val="1"/>
                <w:color w:val="auto"/>
              </w:rPr>
              <w:t>TECHNIPFMC PLC</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7200" w:type="dxa"/>
            <w:vAlign w:val="bottom"/>
          </w:tcPr>
          <w:p>
            <w:pPr>
              <w:jc w:val="center"/>
              <w:ind w:left="550"/>
              <w:spacing w:after="0"/>
              <w:rPr>
                <w:sz w:val="20"/>
                <w:szCs w:val="20"/>
                <w:color w:val="auto"/>
              </w:rPr>
            </w:pPr>
            <w:r>
              <w:rPr>
                <w:rFonts w:ascii="Arial" w:cs="Arial" w:eastAsia="Arial" w:hAnsi="Arial"/>
                <w:sz w:val="18"/>
                <w:szCs w:val="18"/>
                <w:color w:val="auto"/>
                <w:w w:val="89"/>
              </w:rPr>
              <w:t>2.00% Senior Note due 2017</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9000" w:type="dxa"/>
            <w:vAlign w:val="bottom"/>
            <w:gridSpan w:val="2"/>
          </w:tcPr>
          <w:p>
            <w:pPr>
              <w:spacing w:after="0"/>
              <w:rPr>
                <w:sz w:val="20"/>
                <w:szCs w:val="20"/>
                <w:color w:val="auto"/>
              </w:rPr>
            </w:pPr>
            <w:r>
              <w:rPr>
                <w:rFonts w:ascii="Arial" w:cs="Arial" w:eastAsia="Arial" w:hAnsi="Arial"/>
                <w:sz w:val="18"/>
                <w:szCs w:val="18"/>
                <w:color w:val="auto"/>
                <w:w w:val="96"/>
              </w:rPr>
              <w:t>TECHNIPFMC PLC, a public limited company incorporated under the laws of England and Wales, promises to pay to</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 or registered assigns, the</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principal sum of $</w:t>
            </w:r>
          </w:p>
        </w:tc>
        <w:tc>
          <w:tcPr>
            <w:tcW w:w="9620" w:type="dxa"/>
            <w:vAlign w:val="bottom"/>
            <w:gridSpan w:val="3"/>
          </w:tcPr>
          <w:p>
            <w:pPr>
              <w:jc w:val="right"/>
              <w:ind w:right="710"/>
              <w:spacing w:after="0"/>
              <w:rPr>
                <w:sz w:val="20"/>
                <w:szCs w:val="20"/>
                <w:color w:val="auto"/>
              </w:rPr>
            </w:pPr>
            <w:r>
              <w:rPr>
                <w:rFonts w:ascii="Arial" w:cs="Arial" w:eastAsia="Arial" w:hAnsi="Arial"/>
                <w:sz w:val="18"/>
                <w:szCs w:val="18"/>
                <w:color w:val="auto"/>
                <w:w w:val="93"/>
              </w:rPr>
              <w:t>Dollars [or such greater or lesser amount as may be endorsed on the Schedule attached hereto]</w:t>
            </w:r>
            <w:r>
              <w:rPr>
                <w:rFonts w:ascii="Arial" w:cs="Arial" w:eastAsia="Arial" w:hAnsi="Arial"/>
                <w:sz w:val="15"/>
                <w:szCs w:val="15"/>
                <w:color w:val="auto"/>
                <w:w w:val="93"/>
              </w:rPr>
              <w:t>3</w:t>
            </w:r>
            <w:r>
              <w:rPr>
                <w:rFonts w:ascii="Arial" w:cs="Arial" w:eastAsia="Arial" w:hAnsi="Arial"/>
                <w:sz w:val="18"/>
                <w:szCs w:val="18"/>
                <w:color w:val="auto"/>
                <w:w w:val="93"/>
              </w:rPr>
              <w:t xml:space="preserve"> on October 1, 2017.</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 Date: October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 September 15, 2017</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TRUSTEE’S CERTIFICATE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5"/>
          <w:szCs w:val="15"/>
          <w:color w:val="auto"/>
        </w:rPr>
      </w:pPr>
      <w:r>
        <w:rPr>
          <w:rFonts w:ascii="Arial" w:cs="Arial" w:eastAsia="Arial" w:hAnsi="Arial"/>
          <w:sz w:val="18"/>
          <w:szCs w:val="18"/>
          <w:color w:val="auto"/>
        </w:rPr>
        <w:t>CUSIPs: 87854X AA9 (144A); G87110 AA3 (Reg S); 87854X AB7 (Unrestricted).</w:t>
      </w:r>
    </w:p>
    <w:p>
      <w:pPr>
        <w:spacing w:after="0" w:line="2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5"/>
          <w:szCs w:val="15"/>
          <w:color w:val="auto"/>
        </w:rPr>
      </w:pPr>
      <w:r>
        <w:rPr>
          <w:rFonts w:ascii="Arial" w:cs="Arial" w:eastAsia="Arial" w:hAnsi="Arial"/>
          <w:sz w:val="18"/>
          <w:szCs w:val="18"/>
          <w:color w:val="auto"/>
        </w:rPr>
        <w:t>ISINs: US87854XAA90 (144A); USG87110AA38 (Reg S); US87854XAB73 (Unrestricted).</w:t>
      </w:r>
    </w:p>
    <w:p>
      <w:pPr>
        <w:spacing w:after="0" w:line="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ectPr>
          <w:pgSz w:w="11900" w:h="16838" w:orient="portrait"/>
          <w:cols w:equalWidth="0" w:num="1">
            <w:col w:w="11420"/>
          </w:cols>
          <w:pgMar w:left="240" w:top="257"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Back of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 Senior Note due 2017</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GLOBAL SECURITIES LEGEND</w:t>
      </w:r>
      <w:r>
        <w:rPr>
          <w:rFonts w:ascii="Arial" w:cs="Arial" w:eastAsia="Arial" w:hAnsi="Arial"/>
          <w:sz w:val="18"/>
          <w:szCs w:val="18"/>
          <w:b w:val="1"/>
          <w:bCs w:val="1"/>
          <w:color w:val="auto"/>
        </w:rPr>
        <w:t>: 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r>
        <w:rPr>
          <w:rFonts w:ascii="Arial" w:cs="Arial" w:eastAsia="Arial" w:hAnsi="Arial"/>
          <w:sz w:val="15"/>
          <w:szCs w:val="15"/>
          <w:b w:val="1"/>
          <w:bCs w:val="1"/>
          <w:color w:val="auto"/>
        </w:rPr>
        <w:t>4</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RESTRICTED NOTES LEGEND</w:t>
      </w:r>
      <w:r>
        <w:rPr>
          <w:rFonts w:ascii="Arial" w:cs="Arial" w:eastAsia="Arial" w:hAnsi="Arial"/>
          <w:sz w:val="18"/>
          <w:szCs w:val="18"/>
          <w:b w:val="1"/>
          <w:bCs w:val="1"/>
          <w:color w:val="auto"/>
        </w:rPr>
        <w:t>: THIS NOTE HAS NOT BEEN REGISTERED UNDER THE SECURITIES ACT OF 1933, AS AMENDED (THE “</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AND MAY NOT BE OFFERED, SOLD, PLEDGED OR OTHERWISE TRANSFERRED EXCEPT IN ACCORDANCE WITH THE FOLLOWING SENTENCE. BY ITS ACQUISITION HEREOF OR OF A BENEFICIAL INTEREST HEREIN, THE ACQUIROR (1) REPRESENTS THAT (A) IT AND ANY ACCOUNT FOR WHICH IT IS ACTING IS A “QUALIFIED INSTITUTIONAL BUYER” (WITHIN THE MEANING OF RULE 144A UNDER THE SECURITIES ACT) AND THAT IT EXERCISES SOLE INVESTMENT DISCRETION WITH RESPECT TO EACH SUCH ACCOUNT, OR (B) IT IS NOT A “U.S. PERSON” (WITHIN THE MEANING OF REGULATION S UNDER THE SECURITIES ACT) AND (2) AGREES FOR THE BENEFIT OF TECHNIPFMC PLC THAT IT WILL NOT OFFER, SELL, PLEDGE OR OTHERWISE TRANSFER THIS NOTE OR ANY BENEFICIAL INTEREST HEREIN, EXCEPT IN ACCORDANCE WITH THE SECURITIES ACT AND ANY APPLICABLE SECURITIES LAWS OF ANY STATE OF THE UNITED STATES AND ONLY (A) TO TECHNIPFMC PLC, (B) PURSUANT TO A REGISTRATION STATEMENT WHICH HAS BECOME EFFECTIVE UNDER THE SECURITIES ACT, (C) TO A QUALIFIED INSTITUTIONAL BUYER IN COMPLIANCE WITH RULE 144A UNDER THE SECURITIES ACT, (D) IN AN OFFSHORE TRANSACTION IN COMPLIANCE WITH RULE 904 OF REGULATION S UNDER THE SECURITIES ACT, OR</w:t>
      </w:r>
    </w:p>
    <w:p>
      <w:pPr>
        <w:spacing w:after="0" w:line="3" w:lineRule="exact"/>
        <w:rPr>
          <w:sz w:val="20"/>
          <w:szCs w:val="20"/>
          <w:color w:val="auto"/>
        </w:rPr>
      </w:pPr>
    </w:p>
    <w:p>
      <w:pPr>
        <w:ind w:right="40" w:firstLine="8"/>
        <w:spacing w:after="0" w:line="261" w:lineRule="auto"/>
        <w:tabs>
          <w:tab w:leader="none" w:pos="285"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AN EXEMPTION FROM REGISTRATION PROVIDED BY RULE 144 UNDER THE SECURITIES ACT OR ANY OTHER AVAILABLE EXEMPTION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96" w:name="page97"/>
    <w:bookmarkEnd w:id="96"/>
    <w:p>
      <w:pPr>
        <w:ind w:right="10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REGISTRATION OF ANY TRANSFER IN ACCORDANCE WITH (2)(C) ABOVE OR (2)(D) ABOVE, A DULY COMPLETED AND SIGNED CERTIFICATE (THE FORM OF WHICH MAY BE OBTAINED FROM THE TRUSTEE) MUST BE DELIVERED TO THE TRUSTEE. PRIOR TO THE REGISTRATION OF ANY TRANSFER IN ACCORDANCE WITH (E) ABOVE, TECHNIPFMC PLC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w:t>
      </w:r>
      <w:r>
        <w:rPr>
          <w:rFonts w:ascii="Arial" w:cs="Arial" w:eastAsia="Arial" w:hAnsi="Arial"/>
          <w:sz w:val="15"/>
          <w:szCs w:val="15"/>
          <w:b w:val="1"/>
          <w:bCs w:val="1"/>
          <w:color w:val="auto"/>
        </w:rPr>
        <w:t>5</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117" w:lineRule="exact"/>
        <w:rPr>
          <w:sz w:val="20"/>
          <w:szCs w:val="20"/>
          <w:color w:val="auto"/>
        </w:rPr>
      </w:pPr>
    </w:p>
    <w:p>
      <w:pPr>
        <w:ind w:right="20" w:firstLine="921"/>
        <w:spacing w:after="0" w:line="272" w:lineRule="auto"/>
        <w:tabs>
          <w:tab w:leader="none" w:pos="1093"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Interest; Additional Interest</w:t>
      </w:r>
      <w:r>
        <w:rPr>
          <w:rFonts w:ascii="Arial" w:cs="Arial" w:eastAsia="Arial" w:hAnsi="Arial"/>
          <w:sz w:val="17"/>
          <w:szCs w:val="17"/>
          <w:color w:val="auto"/>
        </w:rPr>
        <w:t>. TechnipFMC plc, a public limited company incorporated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or the “</w:t>
      </w:r>
      <w:r>
        <w:rPr>
          <w:rFonts w:ascii="Arial" w:cs="Arial" w:eastAsia="Arial" w:hAnsi="Arial"/>
          <w:sz w:val="17"/>
          <w:szCs w:val="17"/>
          <w:u w:val="single" w:color="auto"/>
          <w:color w:val="auto"/>
        </w:rPr>
        <w:t>Issuer</w:t>
      </w:r>
      <w:r>
        <w:rPr>
          <w:rFonts w:ascii="Arial" w:cs="Arial" w:eastAsia="Arial" w:hAnsi="Arial"/>
          <w:sz w:val="17"/>
          <w:szCs w:val="17"/>
          <w:color w:val="auto"/>
        </w:rPr>
        <w:t>”), promises to pay interest on the principal amount of this Note at 2.00% per annum from April 1, 2017 until maturity. The Issuer shall pay interest on October 1, 2017, or if such day is not a Business Day, on the next succeeding Business Day (the “</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Interest on the Notes shall accrue from April 1, 2017. The Issuer shall pay interest (including post-petition interest in any proceeding under the Bankruptcy Act) on overdue principal and premium, if any, from time to time on demand at the same rate; and it shall pay interest (including post-petition interest in any proceeding under the Bankruptcy Act) on overdue installments of interest (without regard to any applicable grace periods) from time to time on demand at the same rate to the extent lawful. Interest shall be computed on the basis of a 360-day year of twelve 30-day months.</w:t>
      </w:r>
    </w:p>
    <w:p>
      <w:pPr>
        <w:spacing w:after="0" w:line="69" w:lineRule="exact"/>
        <w:rPr>
          <w:rFonts w:ascii="Arial" w:cs="Arial" w:eastAsia="Arial" w:hAnsi="Arial"/>
          <w:sz w:val="17"/>
          <w:szCs w:val="17"/>
          <w:color w:val="auto"/>
        </w:rPr>
      </w:pPr>
    </w:p>
    <w:p>
      <w:pPr>
        <w:ind w:firstLine="921"/>
        <w:spacing w:after="0" w:line="270" w:lineRule="auto"/>
        <w:tabs>
          <w:tab w:leader="none" w:pos="1093"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xml:space="preserve">. The Issuer shall pay interest on the Notes (except Defaulted Interest) to the Persons who are Holders of Notes at the close of business on September 15, 2017, even if such Notes are canceled after such record date and on or before the Interest Payment Date, except as provided in Section 307 of the Original Indenture with respect to Defaulted Interest, and the Issuer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(which initially is the corporate trust office of U.S. Bank National Association at 100 Wall Street, Suite 1600, New York, New York 10005) or, at the option of the Issuer, payment of interest may be made by check mailed to the Holders at their addresses set forth in the register of 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shall be required with respect to principal of, and interest and premium, if any, on, (a) each Global Security and (b) all other Notes aggregating at least $1,000,000 in principal amount the Holder of which shall have provided wire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jc w:val="right"/>
        <w:ind w:left="5580" w:right="5520" w:hanging="5572"/>
        <w:spacing w:after="0" w:line="536" w:lineRule="auto"/>
        <w:tabs>
          <w:tab w:leader="none" w:pos="135" w:val="left"/>
        </w:tabs>
        <w:numPr>
          <w:ilvl w:val="0"/>
          <w:numId w:val="92"/>
        </w:numPr>
        <w:rPr>
          <w:rFonts w:ascii="Arial" w:cs="Arial" w:eastAsia="Arial" w:hAnsi="Arial"/>
          <w:sz w:val="14"/>
          <w:szCs w:val="14"/>
          <w:color w:val="auto"/>
        </w:rPr>
      </w:pPr>
      <w:r>
        <w:rPr>
          <w:rFonts w:ascii="Arial" w:cs="Arial" w:eastAsia="Arial" w:hAnsi="Arial"/>
          <w:sz w:val="16"/>
          <w:szCs w:val="16"/>
          <w:color w:val="auto"/>
        </w:rPr>
        <w:t>To be included in the Restricted Global Note and the Regulation S Global Note. A-3</w:t>
      </w:r>
    </w:p>
    <w:p>
      <w:pPr>
        <w:sectPr>
          <w:pgSz w:w="11900" w:h="16838" w:orient="portrait"/>
          <w:cols w:equalWidth="0" w:num="1">
            <w:col w:w="11400"/>
          </w:cols>
          <w:pgMar w:left="240" w:top="270" w:right="259" w:bottom="1440" w:gutter="0" w:footer="0" w:header="0"/>
        </w:sectPr>
      </w:pPr>
    </w:p>
    <w:bookmarkStart w:id="97" w:name="page98"/>
    <w:bookmarkEnd w:id="97"/>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to the Issuer or the Paying Agent to an account in the United States prior to the applicable record date. Such payment shall be in such coin or currency of the United States of America as at the time of payment is legal tender for payment of public and private debts.</w:t>
      </w:r>
    </w:p>
    <w:p>
      <w:pPr>
        <w:spacing w:after="0" w:line="62" w:lineRule="exact"/>
        <w:rPr>
          <w:sz w:val="20"/>
          <w:szCs w:val="20"/>
          <w:color w:val="auto"/>
        </w:rPr>
      </w:pPr>
    </w:p>
    <w:p>
      <w:pPr>
        <w:ind w:right="60" w:firstLine="921"/>
        <w:spacing w:after="0" w:line="264" w:lineRule="auto"/>
        <w:tabs>
          <w:tab w:leader="none" w:pos="1093"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Paying Agent and Security Registrar</w:t>
      </w:r>
      <w:r>
        <w:rPr>
          <w:rFonts w:ascii="Arial" w:cs="Arial" w:eastAsia="Arial" w:hAnsi="Arial"/>
          <w:sz w:val="18"/>
          <w:szCs w:val="18"/>
          <w:color w:val="auto"/>
        </w:rPr>
        <w:t>. Initially, U.S. Bank National Association, the Trustee under the Indenture, has been appointed to act as Paying Agent and Security Registrar. The Issuer may change any Paying Agent or Security Registrar without notice to any Holder. The Issuer may act in any such capacity.</w:t>
      </w:r>
    </w:p>
    <w:p>
      <w:pPr>
        <w:spacing w:after="0" w:line="73" w:lineRule="exact"/>
        <w:rPr>
          <w:rFonts w:ascii="Arial" w:cs="Arial" w:eastAsia="Arial" w:hAnsi="Arial"/>
          <w:sz w:val="18"/>
          <w:szCs w:val="18"/>
          <w:color w:val="auto"/>
        </w:rPr>
      </w:pPr>
    </w:p>
    <w:p>
      <w:pPr>
        <w:ind w:firstLine="921"/>
        <w:spacing w:after="0" w:line="290" w:lineRule="auto"/>
        <w:tabs>
          <w:tab w:leader="none" w:pos="1093"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 issued the Notes under an Indenture dated as of March 29, 2017 (the “</w:t>
      </w:r>
      <w:r>
        <w:rPr>
          <w:rFonts w:ascii="Arial" w:cs="Arial" w:eastAsia="Arial" w:hAnsi="Arial"/>
          <w:sz w:val="16"/>
          <w:szCs w:val="16"/>
          <w:u w:val="single" w:color="auto"/>
          <w:color w:val="auto"/>
        </w:rPr>
        <w:t>Original Indenture</w:t>
      </w:r>
      <w:r>
        <w:rPr>
          <w:rFonts w:ascii="Arial" w:cs="Arial" w:eastAsia="Arial" w:hAnsi="Arial"/>
          <w:sz w:val="16"/>
          <w:szCs w:val="16"/>
          <w:color w:val="auto"/>
        </w:rPr>
        <w:t>”), as supplemented by the First Supplemental Indenture dated as of March 29, 2017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Original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Issuer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to the extent permitted by law. The Issuer may issue an unlimited principal amount of Additional Notes under the Indenture. Any such Additional Notes that are actually issued shall be treated as issued and outstanding Notes (and as the same series (with identical terms other than with respect to the issue date and first payment of interest) as the initial Notes for the purposes indicated in Section 3.02 of the Supplemental Indenture).</w:t>
      </w:r>
    </w:p>
    <w:p>
      <w:pPr>
        <w:spacing w:after="0" w:line="58" w:lineRule="exact"/>
        <w:rPr>
          <w:rFonts w:ascii="Arial" w:cs="Arial" w:eastAsia="Arial" w:hAnsi="Arial"/>
          <w:sz w:val="16"/>
          <w:szCs w:val="16"/>
          <w:color w:val="auto"/>
        </w:rPr>
      </w:pPr>
    </w:p>
    <w:p>
      <w:pPr>
        <w:ind w:left="1100" w:hanging="179"/>
        <w:spacing w:after="0"/>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Optional Redemption</w:t>
      </w:r>
      <w:r>
        <w:rPr>
          <w:rFonts w:ascii="Arial" w:cs="Arial" w:eastAsia="Arial" w:hAnsi="Arial"/>
          <w:sz w:val="17"/>
          <w:szCs w:val="17"/>
          <w:color w:val="auto"/>
        </w:rPr>
        <w:t>. (a) At its option, the Issuer may choose to redeem all or any portion of the Notes, at once or from time to time.</w:t>
      </w:r>
    </w:p>
    <w:p>
      <w:pPr>
        <w:spacing w:after="0" w:line="129" w:lineRule="exact"/>
        <w:rPr>
          <w:sz w:val="20"/>
          <w:szCs w:val="20"/>
          <w:color w:val="auto"/>
        </w:rPr>
      </w:pPr>
    </w:p>
    <w:p>
      <w:pPr>
        <w:ind w:right="280" w:firstLine="921"/>
        <w:spacing w:after="0" w:line="255" w:lineRule="auto"/>
        <w:tabs>
          <w:tab w:leader="none" w:pos="116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redeem the Notes, the Issuer must pay a Redemption Price equal to the greater of (i) 100% of the principal amount of the Notes to be redeemed and (ii) the sum of the present values of the remaining scheduled payments of principal and interest in respect of the Notes to be redeemed (exclusive of interest accrued to the Redemption Date) discounted to the Redemption Date on a semiannual basis (assuming a 360-day year consisting of twelve 30-day months) at a rate equal to the sum of the Treasury Rate (as defined below) plus 20 basis points, plus in either case, any accrued and unpaid interest to, but excluding, the Redemption Date (subject to the right of Holders on the relevant Regular Record Date to receive interest due on the relevant Interest Payment Date).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Redemption Price, the following definitions shall apply:</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Comparable Treasury Issue</w:t>
      </w:r>
      <w:r>
        <w:rPr>
          <w:rFonts w:ascii="Arial" w:cs="Arial" w:eastAsia="Arial" w:hAnsi="Arial"/>
          <w:sz w:val="18"/>
          <w:szCs w:val="18"/>
          <w:color w:val="auto"/>
        </w:rPr>
        <w:t>” means the United States Treasury security or securities selected by the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the Notes to be redeemed.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74" w:right="279" w:bottom="1440" w:gutter="0" w:footer="0" w:header="0"/>
        </w:sectPr>
      </w:pPr>
    </w:p>
    <w:bookmarkStart w:id="98" w:name="page99"/>
    <w:bookmarkEnd w:id="9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u w:val="single" w:color="auto"/>
          <w:color w:val="auto"/>
        </w:rPr>
        <w:t>Comparable Treasury Price</w:t>
      </w:r>
      <w:r>
        <w:rPr>
          <w:rFonts w:ascii="Arial" w:cs="Arial" w:eastAsia="Arial" w:hAnsi="Arial"/>
          <w:sz w:val="16"/>
          <w:szCs w:val="16"/>
          <w:color w:val="auto"/>
        </w:rPr>
        <w:t>” means, for any Redemption Date, the average of the Reference Treasury Dealer Quotations for such Redemption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Independent Investment Banker</w:t>
      </w:r>
      <w:r>
        <w:rPr>
          <w:rFonts w:ascii="Arial" w:cs="Arial" w:eastAsia="Arial" w:hAnsi="Arial"/>
          <w:sz w:val="16"/>
          <w:szCs w:val="16"/>
          <w:color w:val="auto"/>
        </w:rPr>
        <w:t>” means one of the Reference Treasury Dealers appointed by the Trustee after consultation with the Company.</w:t>
      </w:r>
    </w:p>
    <w:p>
      <w:pPr>
        <w:spacing w:after="0" w:line="24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Reference Treasury Dealer</w:t>
      </w:r>
      <w:r>
        <w:rPr>
          <w:rFonts w:ascii="Arial" w:cs="Arial" w:eastAsia="Arial" w:hAnsi="Arial"/>
          <w:sz w:val="18"/>
          <w:szCs w:val="18"/>
          <w:color w:val="auto"/>
        </w:rPr>
        <w:t xml:space="preserve">” means each of J.P. Morgan Securities LLC and Wells Fargo Securities, LLC or their respective affiliates which are primary U.S. government securities dealers in the United States (a “Primary Treasury Dealer”),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either of the foregoing and its affiliates and subsidiaries shall not be a Primary Treasury Dealer at the appropriate time, the Company shall substitute therefor another Primary Treasury Dealer.</w:t>
      </w:r>
    </w:p>
    <w:p>
      <w:pPr>
        <w:spacing w:after="0" w:line="18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City time, on the third Business Day preceding such Redemption Date.</w:t>
      </w:r>
    </w:p>
    <w:p>
      <w:pPr>
        <w:spacing w:after="0" w:line="18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Treasury Rate</w:t>
      </w:r>
      <w:r>
        <w:rPr>
          <w:rFonts w:ascii="Arial" w:cs="Arial" w:eastAsia="Arial" w:hAnsi="Arial"/>
          <w:sz w:val="16"/>
          <w:szCs w:val="16"/>
          <w:color w:val="auto"/>
        </w:rPr>
        <w:t>” means, with respect to any Redemption Date, the rate per annum equal to the semiannual equivalent yield to maturity (computed by the Company as of the second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election of the Issuer to redeem any Notes need not be evidenced by a Board Resolution.</w:t>
      </w:r>
    </w:p>
    <w:p>
      <w:pPr>
        <w:spacing w:after="0" w:line="117" w:lineRule="exact"/>
        <w:rPr>
          <w:sz w:val="20"/>
          <w:szCs w:val="20"/>
          <w:color w:val="auto"/>
        </w:rPr>
      </w:pPr>
    </w:p>
    <w:p>
      <w:pPr>
        <w:ind w:right="20" w:firstLine="921"/>
        <w:spacing w:after="0" w:line="277" w:lineRule="auto"/>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Mandatory Redemption</w:t>
      </w:r>
      <w:r>
        <w:rPr>
          <w:rFonts w:ascii="Arial" w:cs="Arial" w:eastAsia="Arial" w:hAnsi="Arial"/>
          <w:sz w:val="18"/>
          <w:szCs w:val="18"/>
          <w:color w:val="auto"/>
        </w:rPr>
        <w:t>. The Issuer shall not be required to make mandatory redemption or sinking fund payments with respect to the Notes or to repurchase them at the option of the Holders.</w:t>
      </w:r>
    </w:p>
    <w:p>
      <w:pPr>
        <w:spacing w:after="0" w:line="62" w:lineRule="exact"/>
        <w:rPr>
          <w:rFonts w:ascii="Arial" w:cs="Arial" w:eastAsia="Arial" w:hAnsi="Arial"/>
          <w:sz w:val="18"/>
          <w:szCs w:val="18"/>
          <w:color w:val="auto"/>
        </w:rPr>
      </w:pPr>
    </w:p>
    <w:p>
      <w:pPr>
        <w:jc w:val="both"/>
        <w:ind w:firstLine="921"/>
        <w:spacing w:after="0" w:line="259" w:lineRule="auto"/>
        <w:tabs>
          <w:tab w:leader="none" w:pos="109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Any notice of redemption shall be given at least 30 days but not more than 60 days before the Redemption Date to each Holder whose Notes are to be redeemed. Notes in denominations larger than $2,000 may be redeemed in part but only in whole multiples of $1,000, unless all of the Notes held by a Holder are to be redeemed. On and after the Redemption Date interest shall cease to accrue on Notes or portions thereof called for redemption and with respect to which the Redemption Price has been paid.</w:t>
      </w:r>
    </w:p>
    <w:p>
      <w:pPr>
        <w:spacing w:after="0" w:line="78" w:lineRule="exact"/>
        <w:rPr>
          <w:rFonts w:ascii="Arial" w:cs="Arial" w:eastAsia="Arial" w:hAnsi="Arial"/>
          <w:sz w:val="18"/>
          <w:szCs w:val="18"/>
          <w:color w:val="auto"/>
        </w:rPr>
      </w:pPr>
    </w:p>
    <w:p>
      <w:pPr>
        <w:ind w:left="1100" w:hanging="179"/>
        <w:spacing w:after="0"/>
        <w:tabs>
          <w:tab w:leader="none" w:pos="110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Denominations, Transfer, Exchange</w:t>
      </w:r>
      <w:r>
        <w:rPr>
          <w:rFonts w:ascii="Arial" w:cs="Arial" w:eastAsia="Arial" w:hAnsi="Arial"/>
          <w:sz w:val="16"/>
          <w:szCs w:val="16"/>
          <w:color w:val="auto"/>
        </w:rPr>
        <w:t>. The Notes are in registered form without coupons in denominations of $2,000 and integral multiples of</w:t>
      </w:r>
    </w:p>
    <w:p>
      <w:pPr>
        <w:spacing w:after="0" w:line="46"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$1,000 in excess thereof. The transfer of Notes may be registered and Notes may be exchanged as provided in the Indenture. The Security Registrar and the Trustee may require a Holder, among other things, to furnish appropriate endorsements and transfer documents, and the Issuer may require a Holder to pay any taxes or other governmental charges imposed in relation thereto.</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99" w:name="page100"/>
    <w:bookmarkEnd w:id="99"/>
    <w:p>
      <w:pPr>
        <w:ind w:left="1060" w:hanging="179"/>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Persons Deemed Owners</w:t>
      </w:r>
      <w:r>
        <w:rPr>
          <w:rFonts w:ascii="Arial" w:cs="Arial" w:eastAsia="Arial" w:hAnsi="Arial"/>
          <w:sz w:val="18"/>
          <w:szCs w:val="18"/>
          <w:color w:val="auto"/>
        </w:rPr>
        <w:t>. The registered holder of a Note shall be treated as its owner for all purposes.</w:t>
      </w:r>
    </w:p>
    <w:p>
      <w:pPr>
        <w:spacing w:after="0" w:line="117" w:lineRule="exact"/>
        <w:rPr>
          <w:rFonts w:ascii="Arial" w:cs="Arial" w:eastAsia="Arial" w:hAnsi="Arial"/>
          <w:sz w:val="18"/>
          <w:szCs w:val="18"/>
          <w:color w:val="auto"/>
        </w:rPr>
      </w:pPr>
    </w:p>
    <w:p>
      <w:pPr>
        <w:ind w:left="-40" w:right="20" w:firstLine="921"/>
        <w:spacing w:after="0" w:line="288" w:lineRule="auto"/>
        <w:tabs>
          <w:tab w:leader="none" w:pos="1143"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Amendment, Supplement and Waiver</w:t>
      </w:r>
      <w:r>
        <w:rPr>
          <w:rFonts w:ascii="Arial" w:cs="Arial" w:eastAsia="Arial" w:hAnsi="Arial"/>
          <w:sz w:val="16"/>
          <w:szCs w:val="16"/>
          <w:color w:val="auto"/>
        </w:rPr>
        <w:t>. Subject to certain exceptions, the Indenture may be amended or supplemented with the consent of the Holders of a majority in principal amount of the then Outstanding Securities of each series affected thereby, any past default relating to the Notes may be waived with the consent of the Holders of a majority in principal amount of the then Outstanding Notes, and the Holders of a majority in principal amount of all Outstanding Securities may on behalf of the Holders of all Outstanding Securities waive any other past default under the Indenture. Without the consent of any Holder of a Note, the Indenture may be amended or supplemented for any of the purposes set forth in Section 901 of the Indenture, including to cure any ambiguity, defect or inconsistency, to evidence the succession of another Person to the Company and provide for the assumption by any such successor of the covenants of the Company herein and in the Indenture, to make any change that does not adversely affect the rights under the Indenture of any Holder of the Notes in any material respect, to comply with the requirements of the Commission to effect or maintain the qualification of the Indenture under the Trust Indenture Act, to evidence or provide for the acceptance of appointment under the Indenture of a successor or additional Trustee, to add to the covenants of the Issuer or any additional Events of Default, to secure the Notes or to establish the form or terms of any other series of Securities.</w:t>
      </w:r>
    </w:p>
    <w:p>
      <w:pPr>
        <w:spacing w:after="0" w:line="61" w:lineRule="exact"/>
        <w:rPr>
          <w:rFonts w:ascii="Arial" w:cs="Arial" w:eastAsia="Arial" w:hAnsi="Arial"/>
          <w:sz w:val="16"/>
          <w:szCs w:val="16"/>
          <w:color w:val="auto"/>
        </w:rPr>
      </w:pPr>
    </w:p>
    <w:p>
      <w:pPr>
        <w:ind w:left="-40" w:firstLine="921"/>
        <w:spacing w:after="0" w:line="268" w:lineRule="auto"/>
        <w:tabs>
          <w:tab w:leader="none" w:pos="1136"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Events of Defaults and Acceleration</w:t>
      </w:r>
      <w:r>
        <w:rPr>
          <w:rFonts w:ascii="Arial" w:cs="Arial" w:eastAsia="Arial" w:hAnsi="Arial"/>
          <w:sz w:val="17"/>
          <w:szCs w:val="17"/>
          <w:color w:val="auto"/>
        </w:rPr>
        <w:t>. Events of Default with respect to the Notes include: (i) default for 30 days in the payment when due of interest on the Notes; (ii) default in payment when due of principal of or premium, if any, on the Notes when due at Stated Maturity, upon redemption or otherwise; (iii) default in the performance or breach of any covenant of the Company in the Indenture (other than a covenant referred to in clause (i) or (ii) or included in the Indenture for the sole benefit of a series of Securities other than the Notes), and continuance of such default for a period of 90 days (or, in the case of a default under the covenant in Section 704 of the Indenture, 120 days) after there has been given, by registered or certified mail, to the Company by the Trustee or to the Company and the Trustee by the Holders of at least 25% in principal amount of the Outstanding Securities of all series affected thereby a written notice specifying such default and requiring it to be remedied and stating that such notice is a “Notice of Default” under the Indenture; and (iv) certain events of bankruptcy, insolvency or reorganization with respect to the Issuer. If any Event of Default referred to in clause (i) or (ii) occurs and is continuing, the Trustee or the Holders of at least 25% in principal amount of the then Outstanding Notes may declare all the Notes to be due and payable. If an Event of Default referred to in clause (iii) occurs and is continuing, the Trustee or the Holders of at least 25% in principal amount of all Outstanding Securities of all series affected by such default, including the Notes, may declare all such Securities to be due and payable. Notwithstanding the foregoing, in the case of an Event of Default referred to in clause (iv), all Outstanding Securities shall become due and payable without further action or notice. Holders may not enforce the Indenture or the Notes except as provided in the Indenture.</w:t>
      </w:r>
    </w:p>
    <w:p>
      <w:pPr>
        <w:spacing w:after="0" w:line="79" w:lineRule="exact"/>
        <w:rPr>
          <w:rFonts w:ascii="Arial" w:cs="Arial" w:eastAsia="Arial" w:hAnsi="Arial"/>
          <w:sz w:val="17"/>
          <w:szCs w:val="17"/>
          <w:color w:val="auto"/>
        </w:rPr>
      </w:pPr>
    </w:p>
    <w:p>
      <w:pPr>
        <w:ind w:left="1160" w:hanging="279"/>
        <w:spacing w:after="0"/>
        <w:tabs>
          <w:tab w:leader="none" w:pos="116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80" w:top="274" w:right="259" w:bottom="1440" w:gutter="0" w:footer="0" w:header="0"/>
        </w:sectPr>
      </w:pPr>
    </w:p>
    <w:bookmarkStart w:id="100" w:name="page101"/>
    <w:bookmarkEnd w:id="100"/>
    <w:p>
      <w:pPr>
        <w:ind w:left="-40" w:firstLine="921"/>
        <w:spacing w:after="0" w:line="264" w:lineRule="auto"/>
        <w:tabs>
          <w:tab w:leader="none" w:pos="114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73" w:lineRule="exact"/>
        <w:rPr>
          <w:rFonts w:ascii="Arial" w:cs="Arial" w:eastAsia="Arial" w:hAnsi="Arial"/>
          <w:sz w:val="18"/>
          <w:szCs w:val="18"/>
          <w:color w:val="auto"/>
        </w:rPr>
      </w:pPr>
    </w:p>
    <w:p>
      <w:pPr>
        <w:ind w:left="-40" w:right="20" w:firstLine="921"/>
        <w:spacing w:after="0" w:line="302" w:lineRule="auto"/>
        <w:tabs>
          <w:tab w:leader="none" w:pos="114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CUSIP and ISIN Numbers</w:t>
      </w:r>
      <w:r>
        <w:rPr>
          <w:rFonts w:ascii="Arial" w:cs="Arial" w:eastAsia="Arial" w:hAnsi="Arial"/>
          <w:sz w:val="16"/>
          <w:szCs w:val="16"/>
          <w:color w:val="auto"/>
        </w:rPr>
        <w:t>. Pursuant to a recommendation promulgated by the Committee on Uniform Security Identification Procedures, the Issuer has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Issuer shall furnish to any Holder upon written request and without charge a copy of the Indenture. Requests may be made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11740 Katy Freeway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Energy Tower 3</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Houston, Texas 77079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Agnes Brault, Vice President Treasury and Financing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60"/>
          </w:cols>
          <w:pgMar w:left="280" w:top="274" w:right="259" w:bottom="1440" w:gutter="0" w:footer="0" w:header="0"/>
        </w:sectPr>
      </w:pPr>
    </w:p>
    <w:bookmarkStart w:id="101" w:name="page102"/>
    <w:bookmarkEnd w:id="101"/>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w:t>
      </w:r>
    </w:p>
    <w:p>
      <w:pPr>
        <w:spacing w:after="0" w:line="25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-10160</wp:posOffset>
            </wp:positionV>
            <wp:extent cx="2171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7170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126365</wp:posOffset>
            </wp:positionV>
            <wp:extent cx="2000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6080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(Signature must be guaranteed by a financial institution that is a member of the Securities Transfer Agent Medallion Program</w:t>
      </w:r>
    </w:p>
    <w:p>
      <w:pPr>
        <w:spacing w:after="0" w:line="35" w:lineRule="exact"/>
        <w:rPr>
          <w:sz w:val="20"/>
          <w:szCs w:val="20"/>
          <w:color w:val="auto"/>
        </w:rPr>
      </w:pPr>
    </w:p>
    <w:p>
      <w:pPr>
        <w:jc w:val="both"/>
        <w:ind w:left="1840" w:right="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STAMP</w:t>
      </w:r>
      <w:r>
        <w:rPr>
          <w:rFonts w:ascii="Arial" w:cs="Arial" w:eastAsia="Arial" w:hAnsi="Arial"/>
          <w:sz w:val="17"/>
          <w:szCs w:val="17"/>
          <w:color w:val="auto"/>
        </w:rPr>
        <w:t>”), the Stock Exchange Medallion Program (“</w:t>
      </w:r>
      <w:r>
        <w:rPr>
          <w:rFonts w:ascii="Arial" w:cs="Arial" w:eastAsia="Arial" w:hAnsi="Arial"/>
          <w:sz w:val="17"/>
          <w:szCs w:val="17"/>
          <w:u w:val="single" w:color="auto"/>
          <w:color w:val="auto"/>
        </w:rPr>
        <w:t>SEMP</w:t>
      </w:r>
      <w:r>
        <w:rPr>
          <w:rFonts w:ascii="Arial" w:cs="Arial" w:eastAsia="Arial" w:hAnsi="Arial"/>
          <w:sz w:val="17"/>
          <w:szCs w:val="17"/>
          <w:color w:val="auto"/>
        </w:rPr>
        <w:t>”), the New York Stock Exchange, Inc. Medallion Signature Program (“</w:t>
      </w:r>
      <w:r>
        <w:rPr>
          <w:rFonts w:ascii="Arial" w:cs="Arial" w:eastAsia="Arial" w:hAnsi="Arial"/>
          <w:sz w:val="17"/>
          <w:szCs w:val="17"/>
          <w:u w:val="single" w:color="auto"/>
          <w:color w:val="auto"/>
        </w:rPr>
        <w:t>MSP</w:t>
      </w:r>
      <w:r>
        <w:rPr>
          <w:rFonts w:ascii="Arial" w:cs="Arial" w:eastAsia="Arial" w:hAnsi="Arial"/>
          <w:sz w:val="17"/>
          <w:szCs w:val="17"/>
          <w:color w:val="auto"/>
        </w:rPr>
        <w:t>”) or such other signature guarantee program as may be determined by the Security Registrar in addition to, or in substitution for, STAMP, SEMP or MSP, all in accordance with the Securities Exchange Act of 1934, as amended.)</w:t>
      </w:r>
    </w:p>
    <w:p>
      <w:pPr>
        <w:sectPr>
          <w:pgSz w:w="11900" w:h="16838" w:orient="portrait"/>
          <w:cols w:equalWidth="0" w:num="1">
            <w:col w:w="11420"/>
          </w:cols>
          <w:pgMar w:left="240" w:top="27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 IN THE GLOBAL NOTE</w:t>
      </w:r>
      <w:r>
        <w:rPr>
          <w:rFonts w:ascii="Arial" w:cs="Arial" w:eastAsia="Arial" w:hAnsi="Arial"/>
          <w:sz w:val="15"/>
          <w:szCs w:val="15"/>
          <w:b w:val="1"/>
          <w:bCs w:val="1"/>
          <w:color w:val="auto"/>
        </w:rPr>
        <w:t>6</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original principal amount of this Global Note is $[•]. The following increases or decreases in this Global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Principal</w:t>
            </w:r>
          </w:p>
        </w:tc>
        <w:tc>
          <w:tcPr>
            <w:tcW w:w="1980" w:type="dxa"/>
            <w:vAlign w:val="bottom"/>
          </w:tcPr>
          <w:p>
            <w:pPr>
              <w:jc w:val="center"/>
              <w:spacing w:after="0"/>
              <w:rPr>
                <w:sz w:val="20"/>
                <w:szCs w:val="20"/>
                <w:color w:val="auto"/>
              </w:rPr>
            </w:pPr>
            <w:r>
              <w:rPr>
                <w:rFonts w:ascii="Arial" w:cs="Arial" w:eastAsia="Arial" w:hAnsi="Arial"/>
                <w:sz w:val="14"/>
                <w:szCs w:val="14"/>
                <w:color w:val="auto"/>
                <w:w w:val="92"/>
              </w:rPr>
              <w:t>Signature of</w:t>
            </w:r>
          </w:p>
        </w:tc>
      </w:tr>
      <w:tr>
        <w:trPr>
          <w:trHeight w:val="149"/>
        </w:trPr>
        <w:tc>
          <w:tcPr>
            <w:tcW w:w="2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Amount of</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Amount of</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Amount of</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1"/>
              </w:rPr>
              <w:t>authorized</w:t>
            </w:r>
          </w:p>
        </w:tc>
      </w:tr>
      <w:tr>
        <w:trPr>
          <w:trHeight w:val="149"/>
        </w:trPr>
        <w:tc>
          <w:tcPr>
            <w:tcW w:w="2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decrease in</w:t>
            </w: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increase in</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this Global Note</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6"/>
              </w:rPr>
              <w:t>signatory of</w:t>
            </w:r>
          </w:p>
        </w:tc>
      </w:tr>
      <w:tr>
        <w:trPr>
          <w:trHeight w:val="149"/>
        </w:trPr>
        <w:tc>
          <w:tcPr>
            <w:tcW w:w="2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Principal Amount</w:t>
            </w: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Principal Amount</w:t>
            </w: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following such</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2"/>
              </w:rPr>
              <w:t>Trustee or Note</w:t>
            </w:r>
          </w:p>
        </w:tc>
      </w:tr>
      <w:tr>
        <w:trPr>
          <w:trHeight w:val="18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 of Exchange</w:t>
            </w:r>
          </w:p>
        </w:tc>
        <w:tc>
          <w:tcPr>
            <w:tcW w:w="34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of this Global Note</w:t>
            </w:r>
          </w:p>
        </w:tc>
        <w:tc>
          <w:tcPr>
            <w:tcW w:w="1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of this Global Note</w:t>
            </w:r>
          </w:p>
        </w:tc>
        <w:tc>
          <w:tcPr>
            <w:tcW w:w="22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decrease (or increase)</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ectPr>
          <w:pgSz w:w="11900" w:h="16838" w:orient="portrait"/>
          <w:cols w:equalWidth="0" w:num="1">
            <w:col w:w="11420"/>
          </w:cols>
          <w:pgMar w:left="240" w:top="27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UPON EXCHANGE 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2.00% Senior Notes due 2017 (the “</w:t>
      </w:r>
      <w:r>
        <w:rPr>
          <w:rFonts w:ascii="Arial" w:cs="Arial" w:eastAsia="Arial" w:hAnsi="Arial"/>
          <w:sz w:val="18"/>
          <w:szCs w:val="18"/>
          <w:u w:val="single" w:color="auto"/>
          <w:color w:val="auto"/>
        </w:rPr>
        <w:t>Notes</w:t>
      </w:r>
      <w:r>
        <w:rPr>
          <w:rFonts w:ascii="Arial" w:cs="Arial" w:eastAsia="Arial" w:hAnsi="Arial"/>
          <w:sz w:val="18"/>
          <w:szCs w:val="18"/>
          <w:color w:val="auto"/>
        </w:rPr>
        <w:t>”) of TechnipFMC plc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This Certificate relates to $ principal amount of Notes held in book-entry or definitive form by (the “</w:t>
      </w:r>
      <w:r>
        <w:rPr>
          <w:rFonts w:ascii="Arial" w:cs="Arial" w:eastAsia="Arial" w:hAnsi="Arial"/>
          <w:sz w:val="17"/>
          <w:szCs w:val="17"/>
          <w:u w:val="single" w:color="auto"/>
          <w:color w:val="auto"/>
        </w:rPr>
        <w:t>Transferor</w:t>
      </w:r>
      <w:r>
        <w:rPr>
          <w:rFonts w:ascii="Arial" w:cs="Arial" w:eastAsia="Arial" w:hAnsi="Arial"/>
          <w:sz w:val="17"/>
          <w:szCs w:val="17"/>
          <w:color w:val="auto"/>
        </w:rPr>
        <w:t>”). The Transferor has requested the Security Registrar by written order to exchange or register the transfer of a Note or Notes or beneficial interests therein (the “</w:t>
      </w:r>
      <w:r>
        <w:rPr>
          <w:rFonts w:ascii="Arial" w:cs="Arial" w:eastAsia="Arial" w:hAnsi="Arial"/>
          <w:sz w:val="17"/>
          <w:szCs w:val="17"/>
          <w:u w:val="single" w:color="auto"/>
          <w:color w:val="auto"/>
        </w:rPr>
        <w:t>Transfer</w:t>
      </w:r>
      <w:r>
        <w:rPr>
          <w:rFonts w:ascii="Arial" w:cs="Arial" w:eastAsia="Arial" w:hAnsi="Arial"/>
          <w:sz w:val="17"/>
          <w:szCs w:val="17"/>
          <w:color w:val="auto"/>
        </w:rPr>
        <w:t>”).</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connection with such request and in respect of each such Note or beneficial interest therein, the Transferor does hereby certify that the Transferor is familiar with the Indenture relating to the above-captioned Notes and that the Transfer does not require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because:</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Note or beneficial interest is being acquired for the Transferor’s own account without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86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9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 xml:space="preserve">Such Note or beneficial interest is being transferred to (i) a “qualified institutional buyer” (as defined in Rule 144A under the Securities Act), in accordance with Rule 144A under the Securities Act, that is purchasing for its own account or for the account of another qualified institutional buyer, in each case to whom notice is given that the Transfer is being made in reliance on Rule 144A; or (ii) to a non-U.S. person in an offshore transaction in accordance with Rule 903 or Rule 904 of Regulation S under the Securities Act (and in the case of clause (ii), based upon an opinion of counsel if the Company or the Trustee so requests, together with a certification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Supplemental Indenture setting forth the terms of the Notes pursuant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2286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65"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Such Note or beneficial interest is being transferred pursuant to (i) an exemption from the registration requirements of the Securities Act provided by Rule 144 or (ii) an effective registration statement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2286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42"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Such Note or beneficial interest is being transferred in reliance on and in compliance with another exemption from the registration requirements of the Securities Act (and based upon an opinion of counsel if the Company so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2286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Fill in blank or check appropriate item, as applicable.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TRANSFEROR]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219"/>
          </w:cols>
          <w:pgMar w:left="240" w:top="274"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IN CONNECTION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2.00% Senior Notes due 2017 (the “</w:t>
      </w:r>
      <w:r>
        <w:rPr>
          <w:rFonts w:ascii="Arial" w:cs="Arial" w:eastAsia="Arial" w:hAnsi="Arial"/>
          <w:sz w:val="18"/>
          <w:szCs w:val="18"/>
          <w:u w:val="single" w:color="auto"/>
          <w:color w:val="auto"/>
        </w:rPr>
        <w:t>Notes</w:t>
      </w:r>
      <w:r>
        <w:rPr>
          <w:rFonts w:ascii="Arial" w:cs="Arial" w:eastAsia="Arial" w:hAnsi="Arial"/>
          <w:sz w:val="18"/>
          <w:szCs w:val="18"/>
          <w:color w:val="auto"/>
        </w:rPr>
        <w:t>”) of TechnipFMC plc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460"/>
        <w:spacing w:after="0"/>
        <w:tabs>
          <w:tab w:leader="none" w:pos="2800" w:val="left"/>
        </w:tabs>
        <w:rPr>
          <w:sz w:val="20"/>
          <w:szCs w:val="20"/>
          <w:color w:val="auto"/>
        </w:rPr>
      </w:pPr>
      <w:r>
        <w:rPr>
          <w:rFonts w:ascii="Arial" w:cs="Arial" w:eastAsia="Arial" w:hAnsi="Arial"/>
          <w:sz w:val="18"/>
          <w:szCs w:val="18"/>
          <w:color w:val="auto"/>
        </w:rPr>
        <w:t>This Certificate relates to $</w:t>
      </w:r>
      <w:r>
        <w:rPr>
          <w:sz w:val="20"/>
          <w:szCs w:val="20"/>
          <w:color w:val="auto"/>
        </w:rPr>
        <w:tab/>
      </w:r>
      <w:r>
        <w:rPr>
          <w:rFonts w:ascii="Arial" w:cs="Arial" w:eastAsia="Arial" w:hAnsi="Arial"/>
          <w:sz w:val="16"/>
          <w:szCs w:val="16"/>
          <w:color w:val="auto"/>
        </w:rPr>
        <w:t>principal amount of Notes held in book-entry form by (the “</w:t>
      </w:r>
      <w:r>
        <w:rPr>
          <w:rFonts w:ascii="Arial" w:cs="Arial" w:eastAsia="Arial" w:hAnsi="Arial"/>
          <w:sz w:val="16"/>
          <w:szCs w:val="16"/>
          <w:u w:val="single" w:color="auto"/>
          <w:color w:val="auto"/>
        </w:rPr>
        <w:t>Transferor</w:t>
      </w:r>
      <w:r>
        <w:rPr>
          <w:rFonts w:ascii="Arial" w:cs="Arial" w:eastAsia="Arial" w:hAnsi="Arial"/>
          <w:sz w:val="16"/>
          <w:szCs w:val="16"/>
          <w:color w:val="auto"/>
        </w:rPr>
        <w:t>”).</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The Transferor has requested the Security Registrar by written order to exchange or register the transfer of a Note or Notes or beneficial interests therein (the “</w:t>
      </w:r>
      <w:r>
        <w:rPr>
          <w:rFonts w:ascii="Arial" w:cs="Arial" w:eastAsia="Arial" w:hAnsi="Arial"/>
          <w:sz w:val="18"/>
          <w:szCs w:val="18"/>
          <w:u w:val="single" w:color="auto"/>
          <w:color w:val="auto"/>
        </w:rPr>
        <w:t>Transfer</w:t>
      </w:r>
      <w:r>
        <w:rPr>
          <w:rFonts w:ascii="Arial" w:cs="Arial" w:eastAsia="Arial" w:hAnsi="Arial"/>
          <w:sz w:val="18"/>
          <w:szCs w:val="18"/>
          <w:color w:val="auto"/>
        </w:rPr>
        <w:t>”) for an interest in the Regulation S Global Note to be held with [Euroclear] [Clearstream] through the Depositary (in each case as defined in the Indenture related to the above-referenced Notes).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connection with such request and in respect of each such Note or beneficial interest therein, the Transferor does hereby certify that the Transferor is familiar with such Indenture and that:</w:t>
      </w:r>
    </w:p>
    <w:p>
      <w:pPr>
        <w:spacing w:after="0" w:line="62" w:lineRule="exact"/>
        <w:rPr>
          <w:sz w:val="20"/>
          <w:szCs w:val="20"/>
          <w:color w:val="auto"/>
        </w:rPr>
      </w:pPr>
    </w:p>
    <w:p>
      <w:pPr>
        <w:ind w:right="100" w:firstLine="464"/>
        <w:spacing w:after="0" w:line="277" w:lineRule="auto"/>
        <w:tabs>
          <w:tab w:leader="none" w:pos="70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offer of such Notes or beneficial interests was not made to a person in the United States or for the benefit of a person in the United States (other than an Initial Purchaser);</w:t>
      </w:r>
    </w:p>
    <w:p>
      <w:pPr>
        <w:spacing w:after="0" w:line="62" w:lineRule="exact"/>
        <w:rPr>
          <w:rFonts w:ascii="Arial" w:cs="Arial" w:eastAsia="Arial" w:hAnsi="Arial"/>
          <w:sz w:val="18"/>
          <w:szCs w:val="18"/>
          <w:color w:val="auto"/>
        </w:rPr>
      </w:pPr>
    </w:p>
    <w:p>
      <w:pPr>
        <w:ind w:right="120" w:firstLine="464"/>
        <w:spacing w:after="0" w:line="312" w:lineRule="auto"/>
        <w:tabs>
          <w:tab w:leader="none" w:pos="711"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 the time the buy order was originated, the transferee was outside the United States or the Transferor and any person acting on its behalf reasonably believed that the transferee was outside the United States; or the transaction was executed in, on or through the facilities of a designated offshore securities market and neither the Transferor nor any person acting on its behalf knows that the transaction was prearranged with a buyer in the United States;</w:t>
      </w:r>
    </w:p>
    <w:p>
      <w:pPr>
        <w:spacing w:after="0" w:line="38" w:lineRule="exact"/>
        <w:rPr>
          <w:rFonts w:ascii="Arial" w:cs="Arial" w:eastAsia="Arial" w:hAnsi="Arial"/>
          <w:sz w:val="16"/>
          <w:szCs w:val="16"/>
          <w:color w:val="auto"/>
        </w:rPr>
      </w:pPr>
    </w:p>
    <w:p>
      <w:pPr>
        <w:ind w:right="60" w:firstLine="464"/>
        <w:spacing w:after="0" w:line="277" w:lineRule="auto"/>
        <w:tabs>
          <w:tab w:leader="none" w:pos="701"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directed selling efforts have been made by the Transferor in the United States in contravention of the requirements of Rule 903(a) or Rule 904(a) of Regulation S under the U.S.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as applicable;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 and</w:t>
      </w:r>
    </w:p>
    <w:p>
      <w:pPr>
        <w:spacing w:after="0" w:line="117" w:lineRule="exact"/>
        <w:rPr>
          <w:rFonts w:ascii="Arial" w:cs="Arial" w:eastAsia="Arial" w:hAnsi="Arial"/>
          <w:sz w:val="18"/>
          <w:szCs w:val="18"/>
          <w:color w:val="auto"/>
        </w:rPr>
      </w:pPr>
    </w:p>
    <w:p>
      <w:pPr>
        <w:ind w:right="160" w:firstLine="464"/>
        <w:spacing w:after="0" w:line="259" w:lineRule="auto"/>
        <w:tabs>
          <w:tab w:leader="none" w:pos="701"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the proposed transfer is being made prior to the expiration of a 40-day “distribution compliance period” as defined in Regulation S under the Securities Act, the transfer is being made (a) to a person that is not a U.S. person or for the account or benefit of a person that is not a U.S. person within the meaning of Regulation S under the Securities Act; or (b) to a “qualified institutional buyer” within the meaning of Rule 144A under the Securities Act, in each case that holds such Note or beneficial interests through [Euroclear] [Clearstream].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106" w:name="page107"/>
    <w:bookmarkEnd w:id="10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NAME OF TRANSFEROR]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w:t>
      </w:r>
    </w:p>
    <w:p>
      <w:pPr>
        <w:sectPr>
          <w:pgSz w:w="11900" w:h="16838" w:orient="portrait"/>
          <w:cols w:equalWidth="0" w:num="1">
            <w:col w:w="9019"/>
          </w:cols>
          <w:pgMar w:left="1440" w:top="274"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$459,764,000</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3.45% SENIOR NOTES DUE 2022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SECOND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280670</wp:posOffset>
            </wp:positionV>
            <wp:extent cx="16725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212090</wp:posOffset>
            </wp:positionV>
            <wp:extent cx="16725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400685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9540" w:type="dxa"/>
            <w:vAlign w:val="bottom"/>
            <w:gridSpan w:val="3"/>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17"/>
                <w:szCs w:val="17"/>
                <w:color w:val="auto"/>
              </w:rPr>
            </w:pPr>
          </w:p>
        </w:tc>
      </w:tr>
      <w:tr>
        <w:trPr>
          <w:trHeight w:val="480"/>
        </w:trPr>
        <w:tc>
          <w:tcPr>
            <w:tcW w:w="4760" w:type="dxa"/>
            <w:vAlign w:val="bottom"/>
          </w:tcPr>
          <w:p>
            <w:pPr>
              <w:spacing w:after="0"/>
              <w:rPr>
                <w:sz w:val="20"/>
                <w:szCs w:val="20"/>
                <w:color w:val="auto"/>
              </w:rPr>
            </w:pPr>
            <w:r>
              <w:rPr>
                <w:rFonts w:ascii="Arial" w:cs="Arial" w:eastAsia="Arial" w:hAnsi="Arial"/>
                <w:sz w:val="18"/>
                <w:szCs w:val="18"/>
                <w:color w:val="auto"/>
              </w:rPr>
              <w:t>ARTICLE I ESTABLISHMENT OF NEW SERIES</w:t>
            </w:r>
          </w:p>
        </w:tc>
        <w:tc>
          <w:tcPr>
            <w:tcW w:w="1920" w:type="dxa"/>
            <w:vAlign w:val="bottom"/>
            <w:tcBorders>
              <w:top w:val="single" w:sz="8" w:color="auto"/>
            </w:tcBorders>
          </w:tcPr>
          <w:p>
            <w:pPr>
              <w:spacing w:after="0"/>
              <w:rPr>
                <w:sz w:val="24"/>
                <w:szCs w:val="24"/>
                <w:color w:val="auto"/>
              </w:rPr>
            </w:pPr>
          </w:p>
        </w:tc>
        <w:tc>
          <w:tcPr>
            <w:tcW w:w="28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1.01. Establishment of New Series</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540" w:type="dxa"/>
            <w:vAlign w:val="bottom"/>
            <w:gridSpan w:val="3"/>
          </w:tcPr>
          <w:p>
            <w:pPr>
              <w:spacing w:after="0"/>
              <w:rPr>
                <w:sz w:val="20"/>
                <w:szCs w:val="20"/>
                <w:color w:val="auto"/>
              </w:rPr>
            </w:pPr>
            <w:r>
              <w:rPr>
                <w:rFonts w:ascii="Arial" w:cs="Arial" w:eastAsia="Arial" w:hAnsi="Arial"/>
                <w:sz w:val="18"/>
                <w:szCs w:val="18"/>
                <w:color w:val="auto"/>
              </w:rPr>
              <w:t>ARTICLE II DEFINITIONS</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2.01. Definitions in the Indenture</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540" w:type="dxa"/>
            <w:vAlign w:val="bottom"/>
            <w:gridSpan w:val="3"/>
          </w:tcPr>
          <w:p>
            <w:pPr>
              <w:spacing w:after="0"/>
              <w:rPr>
                <w:sz w:val="20"/>
                <w:szCs w:val="20"/>
                <w:color w:val="auto"/>
              </w:rPr>
            </w:pPr>
            <w:r>
              <w:rPr>
                <w:rFonts w:ascii="Arial" w:cs="Arial" w:eastAsia="Arial" w:hAnsi="Arial"/>
                <w:sz w:val="18"/>
                <w:szCs w:val="18"/>
                <w:color w:val="auto"/>
              </w:rPr>
              <w:t>ARTICLE III THE NOTES</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3.01. Form</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3.02. Issuance of Additional Notes</w:t>
            </w: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540" w:type="dxa"/>
            <w:vAlign w:val="bottom"/>
            <w:gridSpan w:val="3"/>
          </w:tcPr>
          <w:p>
            <w:pPr>
              <w:spacing w:after="0"/>
              <w:rPr>
                <w:sz w:val="20"/>
                <w:szCs w:val="20"/>
                <w:color w:val="auto"/>
              </w:rPr>
            </w:pPr>
            <w:r>
              <w:rPr>
                <w:rFonts w:ascii="Arial" w:cs="Arial" w:eastAsia="Arial" w:hAnsi="Arial"/>
                <w:sz w:val="18"/>
                <w:szCs w:val="18"/>
                <w:color w:val="auto"/>
              </w:rPr>
              <w:t>ARTICLE IV REDEMPTION</w:t>
            </w: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4.01. Optional Redemption.</w:t>
            </w: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4.02. Mandatory Redemption</w:t>
            </w: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540" w:type="dxa"/>
            <w:vAlign w:val="bottom"/>
            <w:gridSpan w:val="3"/>
          </w:tcPr>
          <w:p>
            <w:pPr>
              <w:spacing w:after="0"/>
              <w:rPr>
                <w:sz w:val="20"/>
                <w:szCs w:val="20"/>
                <w:color w:val="auto"/>
              </w:rPr>
            </w:pPr>
            <w:r>
              <w:rPr>
                <w:rFonts w:ascii="Arial" w:cs="Arial" w:eastAsia="Arial" w:hAnsi="Arial"/>
                <w:sz w:val="18"/>
                <w:szCs w:val="18"/>
                <w:color w:val="auto"/>
              </w:rPr>
              <w:t>ARTICLE V MISCELLANEOUS</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5.01. Integral Part</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5.02. Adoption, Ratification and Confirmation</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5.03. Counterparts</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5.04. Governing Law</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540" w:type="dxa"/>
            <w:vAlign w:val="bottom"/>
            <w:gridSpan w:val="3"/>
          </w:tcPr>
          <w:p>
            <w:pPr>
              <w:ind w:left="360"/>
              <w:spacing w:after="0"/>
              <w:rPr>
                <w:sz w:val="20"/>
                <w:szCs w:val="20"/>
                <w:color w:val="auto"/>
              </w:rPr>
            </w:pPr>
            <w:r>
              <w:rPr>
                <w:rFonts w:ascii="Arial" w:cs="Arial" w:eastAsia="Arial" w:hAnsi="Arial"/>
                <w:sz w:val="18"/>
                <w:szCs w:val="18"/>
                <w:color w:val="auto"/>
              </w:rPr>
              <w:t>Section 5.05. Trustee Makes No Representation; Trustee’s Rights and Duties</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45"/>
        </w:trPr>
        <w:tc>
          <w:tcPr>
            <w:tcW w:w="9540" w:type="dxa"/>
            <w:vAlign w:val="bottom"/>
            <w:gridSpan w:val="3"/>
          </w:tcPr>
          <w:p>
            <w:pPr>
              <w:spacing w:after="0"/>
              <w:rPr>
                <w:sz w:val="20"/>
                <w:szCs w:val="20"/>
                <w:color w:val="auto"/>
              </w:rPr>
            </w:pPr>
            <w:r>
              <w:rPr>
                <w:rFonts w:ascii="Arial" w:cs="Arial" w:eastAsia="Arial" w:hAnsi="Arial"/>
                <w:sz w:val="18"/>
                <w:szCs w:val="18"/>
                <w:color w:val="auto"/>
                <w:w w:val="93"/>
              </w:rPr>
              <w:t>EXHIBIT A:Form of Note</w:t>
            </w:r>
          </w:p>
        </w:tc>
        <w:tc>
          <w:tcPr>
            <w:tcW w:w="1820" w:type="dxa"/>
            <w:vAlign w:val="bottom"/>
          </w:tcPr>
          <w:p>
            <w:pPr>
              <w:spacing w:after="0"/>
              <w:rPr>
                <w:sz w:val="24"/>
                <w:szCs w:val="24"/>
                <w:color w:val="auto"/>
              </w:rPr>
            </w:pP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w w:val="92"/>
              </w:rPr>
              <w:t>EXHIBIT B:Form of Certificate to be Delivered Upon Exchange or Registration of Transfer of Notes</w:t>
            </w:r>
          </w:p>
        </w:tc>
        <w:tc>
          <w:tcPr>
            <w:tcW w:w="1820" w:type="dxa"/>
            <w:vAlign w:val="bottom"/>
          </w:tcPr>
          <w:p>
            <w:pPr>
              <w:spacing w:after="0"/>
              <w:rPr>
                <w:sz w:val="18"/>
                <w:szCs w:val="18"/>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w w:val="91"/>
              </w:rPr>
              <w:t>EXHIBIT C:Form of Certificate to be Delivered in Connection with Transfers Pursuant to Regulation S</w:t>
            </w:r>
          </w:p>
        </w:tc>
        <w:tc>
          <w:tcPr>
            <w:tcW w:w="18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57" w:right="299" w:bottom="1440" w:gutter="0" w:footer="0" w:header="0"/>
        </w:sectPr>
      </w:pPr>
    </w:p>
    <w:bookmarkStart w:id="109" w:name="page110"/>
    <w:bookmarkEnd w:id="109"/>
    <w:p>
      <w:pPr>
        <w:ind w:right="1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SECOND SUPPLEMENTAL INDENTURE, dated as of March 29, 2017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between TechnipFMC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or the “</w:t>
      </w:r>
      <w:r>
        <w:rPr>
          <w:rFonts w:ascii="Arial" w:cs="Arial" w:eastAsia="Arial" w:hAnsi="Arial"/>
          <w:sz w:val="18"/>
          <w:szCs w:val="18"/>
          <w:u w:val="single" w:color="auto"/>
          <w:color w:val="auto"/>
        </w:rPr>
        <w:t>Issuer</w:t>
      </w:r>
      <w:r>
        <w:rPr>
          <w:rFonts w:ascii="Arial" w:cs="Arial" w:eastAsia="Arial" w:hAnsi="Arial"/>
          <w:sz w:val="18"/>
          <w:szCs w:val="18"/>
          <w:color w:val="auto"/>
        </w:rPr>
        <w:t>”),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the Issuer has entered into an Indenture, dated as of the date hereof (the “</w:t>
      </w:r>
      <w:r>
        <w:rPr>
          <w:rFonts w:ascii="Arial" w:cs="Arial" w:eastAsia="Arial" w:hAnsi="Arial"/>
          <w:sz w:val="17"/>
          <w:szCs w:val="17"/>
          <w:u w:val="single" w:color="auto"/>
          <w:color w:val="auto"/>
        </w:rPr>
        <w:t>Original Indenture</w:t>
      </w:r>
      <w:r>
        <w:rPr>
          <w:rFonts w:ascii="Arial" w:cs="Arial" w:eastAsia="Arial" w:hAnsi="Arial"/>
          <w:sz w:val="17"/>
          <w:szCs w:val="17"/>
          <w:color w:val="auto"/>
        </w:rPr>
        <w:t>”), with the Trustee, as trustee;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w:t>
      </w:r>
      <w:r>
        <w:rPr>
          <w:rFonts w:ascii="Arial" w:cs="Arial" w:eastAsia="Arial" w:hAnsi="Arial"/>
          <w:sz w:val="18"/>
          <w:szCs w:val="18"/>
          <w:u w:val="single" w:color="auto"/>
          <w:color w:val="auto"/>
        </w:rPr>
        <w:t>Indenture</w:t>
      </w:r>
      <w:r>
        <w:rPr>
          <w:rFonts w:ascii="Arial" w:cs="Arial" w:eastAsia="Arial" w:hAnsi="Arial"/>
          <w:sz w:val="18"/>
          <w:szCs w:val="18"/>
          <w:color w:val="auto"/>
        </w:rPr>
        <w:t>”;</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WHEREAS, under Sections 201, 301 and 901 of the Original Indenture, the form and terms of a new series of Securities (as defined in the Original Indenture) may at any time be established by a supplemental indenture executed by the Issuer and the Trustee;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Issuer proposes to create under the Indenture a new series of Securities; and</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 have been done or performed.</w:t>
      </w:r>
    </w:p>
    <w:p>
      <w:pPr>
        <w:spacing w:after="0" w:line="17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ESTABLISHMENT OF NEW SERIES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Establishment of New Series</w:t>
      </w:r>
      <w:r>
        <w:rPr>
          <w:rFonts w:ascii="Arial" w:cs="Arial" w:eastAsia="Arial" w:hAnsi="Arial"/>
          <w:sz w:val="18"/>
          <w:szCs w:val="18"/>
          <w:color w:val="auto"/>
        </w:rPr>
        <w:t>.</w:t>
      </w:r>
    </w:p>
    <w:p>
      <w:pPr>
        <w:spacing w:after="0" w:line="117" w:lineRule="exact"/>
        <w:rPr>
          <w:sz w:val="20"/>
          <w:szCs w:val="20"/>
          <w:color w:val="auto"/>
        </w:rPr>
      </w:pPr>
    </w:p>
    <w:p>
      <w:pPr>
        <w:ind w:right="200" w:firstLine="921"/>
        <w:spacing w:after="0" w:line="277" w:lineRule="auto"/>
        <w:tabs>
          <w:tab w:leader="none" w:pos="11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There is hereby established a new series of Securities to be issued under the Indenture, to be designated as the Issuer’s 3.45% Senior Notes due 2022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There are to be authenticated and delivered $459,764,000 principal amount of Notes on the Issue Date, and from time to time thereafter there may be authenticated and delivered an unlimited principal amount of Additional Notes.</w:t>
      </w:r>
    </w:p>
    <w:p>
      <w:pPr>
        <w:spacing w:after="0" w:line="62" w:lineRule="exact"/>
        <w:rPr>
          <w:rFonts w:ascii="Arial" w:cs="Arial" w:eastAsia="Arial" w:hAnsi="Arial"/>
          <w:sz w:val="18"/>
          <w:szCs w:val="18"/>
          <w:color w:val="auto"/>
        </w:rPr>
      </w:pPr>
    </w:p>
    <w:p>
      <w:pPr>
        <w:ind w:right="400" w:firstLine="921"/>
        <w:spacing w:after="0" w:line="277" w:lineRule="auto"/>
        <w:tabs>
          <w:tab w:leader="none" w:pos="11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Notes shall be issued initially in the form of one or more Global Securities in substantially the form set out in Exhibit A hereto. The Depositary with respect to the Notes shall be The Depository Trust Company.</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Each Note shall be dated the date of authentication thereof and shall bear interest as provided in paragraph 1 of the form of Note in Exhibit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02" w:lineRule="exact"/>
        <w:rPr>
          <w:rFonts w:ascii="Arial" w:cs="Arial" w:eastAsia="Arial" w:hAnsi="Arial"/>
          <w:sz w:val="16"/>
          <w:szCs w:val="16"/>
          <w:color w:val="auto"/>
        </w:rPr>
      </w:pPr>
    </w:p>
    <w:p>
      <w:pPr>
        <w:ind w:left="1160" w:hanging="239"/>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Additional Amounts shall be payable in relation to the Notes.</w:t>
      </w:r>
    </w:p>
    <w:p>
      <w:pPr>
        <w:sectPr>
          <w:pgSz w:w="11900" w:h="16838" w:orient="portrait"/>
          <w:cols w:equalWidth="0" w:num="1">
            <w:col w:w="11360"/>
          </w:cols>
          <w:pgMar w:left="240" w:top="274" w:right="299" w:bottom="1440" w:gutter="0" w:footer="0" w:header="0"/>
        </w:sectPr>
      </w:pPr>
    </w:p>
    <w:bookmarkStart w:id="110" w:name="page111"/>
    <w:bookmarkEnd w:id="110"/>
    <w:p>
      <w:pPr>
        <w:ind w:right="920" w:firstLine="921"/>
        <w:spacing w:after="0" w:line="277" w:lineRule="auto"/>
        <w:tabs>
          <w:tab w:leader="none" w:pos="11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and to the extent that the provisions of the Original Indenture are duplicative of, or in contradiction with, the provisions of this Supplemental Indenture, the provisions of this Supplemental Indenture shall govern.</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Definitions in the Indenture</w:t>
      </w:r>
      <w:r>
        <w:rPr>
          <w:rFonts w:ascii="Arial" w:cs="Arial" w:eastAsia="Arial" w:hAnsi="Arial"/>
          <w:sz w:val="18"/>
          <w:szCs w:val="18"/>
          <w:color w:val="auto"/>
        </w:rPr>
        <w:t>. All capitalized terms used herein and not otherwise defined below shall have the meanings ascribed thereto in the Original Indenture. The following are additional definitions used in this Supplemental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Additional Notes</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Bankruptcy Act</w:t>
      </w:r>
      <w:r>
        <w:rPr>
          <w:rFonts w:ascii="Arial" w:cs="Arial" w:eastAsia="Arial" w:hAnsi="Arial"/>
          <w:sz w:val="18"/>
          <w:szCs w:val="18"/>
          <w:color w:val="auto"/>
        </w:rPr>
        <w:t>” means Title 11, United States Code, or any similar United States federal or state law (or any similar foreign law) for the relief of debtors.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Euroclear</w:t>
      </w:r>
      <w:r>
        <w:rPr>
          <w:rFonts w:ascii="Arial" w:cs="Arial" w:eastAsia="Arial" w:hAnsi="Arial"/>
          <w:sz w:val="17"/>
          <w:szCs w:val="17"/>
          <w:color w:val="auto"/>
        </w:rPr>
        <w:t>” means Euroclear Bank S.A./N.Y., as operator of Euroclear systems Clearance System or any successor securities clearing agency.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Exchange Notes</w:t>
      </w:r>
      <w:r>
        <w:rPr>
          <w:rFonts w:ascii="Arial" w:cs="Arial" w:eastAsia="Arial" w:hAnsi="Arial"/>
          <w:sz w:val="18"/>
          <w:szCs w:val="18"/>
          <w:color w:val="auto"/>
        </w:rPr>
        <w:t>” means any notes issued in exchange for Notes pursuant to the Registration Rights Agreement or similar agreement.</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Global Security</w:t>
      </w:r>
      <w:r>
        <w:rPr>
          <w:rFonts w:ascii="Arial" w:cs="Arial" w:eastAsia="Arial" w:hAnsi="Arial"/>
          <w:sz w:val="16"/>
          <w:szCs w:val="16"/>
          <w:color w:val="auto"/>
        </w:rPr>
        <w:t>” or “</w:t>
      </w:r>
      <w:r>
        <w:rPr>
          <w:rFonts w:ascii="Arial" w:cs="Arial" w:eastAsia="Arial" w:hAnsi="Arial"/>
          <w:sz w:val="16"/>
          <w:szCs w:val="16"/>
          <w:u w:val="single" w:color="auto"/>
          <w:color w:val="auto"/>
        </w:rPr>
        <w:t>Global Note</w:t>
      </w:r>
      <w:r>
        <w:rPr>
          <w:rFonts w:ascii="Arial" w:cs="Arial" w:eastAsia="Arial" w:hAnsi="Arial"/>
          <w:sz w:val="16"/>
          <w:szCs w:val="16"/>
          <w:color w:val="auto"/>
        </w:rPr>
        <w:t>” means a Note that is executed by the Company and authenticated and delivered by the Trustee to the Depositary or pursuant to the Depositary’s instruction, all in accordance with the Indenture, which shall be registered in the name of the Depositary or its nominee and which shall represent, and shall be denominated in an amount equal to the aggregate principal amount of, all the Outstanding Notes or any portion thereof.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Issue D</w:t>
      </w:r>
      <w:r>
        <w:rPr>
          <w:rFonts w:ascii="Arial" w:cs="Arial" w:eastAsia="Arial" w:hAnsi="Arial"/>
          <w:sz w:val="18"/>
          <w:szCs w:val="18"/>
          <w:i w:val="1"/>
          <w:iCs w:val="1"/>
          <w:color w:val="auto"/>
        </w:rPr>
        <w:t>ate</w:t>
      </w:r>
      <w:r>
        <w:rPr>
          <w:rFonts w:ascii="Arial" w:cs="Arial" w:eastAsia="Arial" w:hAnsi="Arial"/>
          <w:sz w:val="18"/>
          <w:szCs w:val="18"/>
          <w:color w:val="auto"/>
        </w:rPr>
        <w:t>” means the date on which the Notes are initially issued under the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xml:space="preserve">” has the meaning assigned to it in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herein, and includes both the Notes issued on the Issue Date and any Additional Notes.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Registration Rights Agreement</w:t>
      </w:r>
      <w:r>
        <w:rPr>
          <w:rFonts w:ascii="Arial" w:cs="Arial" w:eastAsia="Arial" w:hAnsi="Arial"/>
          <w:sz w:val="18"/>
          <w:szCs w:val="18"/>
          <w:color w:val="auto"/>
        </w:rPr>
        <w:t>” means the registration rights agreement dated as of the date of this Supplemental Indenture, among the Company, Merrill Lynch, Pierce, Fenner &amp; Smith Incorporated and Wells Fargo Securities, LLC.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Restricted Notes Legend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Restricted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herein.</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11" w:name="page112"/>
    <w:bookmarkEnd w:id="1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Transfer Restricted Note</w:t>
      </w:r>
      <w:r>
        <w:rPr>
          <w:rFonts w:ascii="Arial" w:cs="Arial" w:eastAsia="Arial" w:hAnsi="Arial"/>
          <w:sz w:val="18"/>
          <w:szCs w:val="18"/>
          <w:color w:val="auto"/>
        </w:rPr>
        <w:t>” means any Note that bears or is required to bear the Restricted Notes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U.S. Person</w:t>
      </w:r>
      <w:r>
        <w:rPr>
          <w:rFonts w:ascii="Arial" w:cs="Arial" w:eastAsia="Arial" w:hAnsi="Arial"/>
          <w:sz w:val="18"/>
          <w:szCs w:val="18"/>
          <w:color w:val="auto"/>
        </w:rPr>
        <w:t>” means a “U.S. person” as defined in Regulation S.</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w:t>
      </w:r>
      <w:r>
        <w:rPr>
          <w:rFonts w:ascii="Arial" w:cs="Arial" w:eastAsia="Arial" w:hAnsi="Arial"/>
          <w:sz w:val="18"/>
          <w:szCs w:val="18"/>
          <w:color w:val="auto"/>
        </w:rPr>
        <w:t>.</w:t>
      </w:r>
    </w:p>
    <w:p>
      <w:pPr>
        <w:spacing w:after="0" w:line="117" w:lineRule="exact"/>
        <w:rPr>
          <w:sz w:val="20"/>
          <w:szCs w:val="20"/>
          <w:color w:val="auto"/>
        </w:rPr>
      </w:pPr>
    </w:p>
    <w:p>
      <w:pPr>
        <w:ind w:left="-20" w:right="140" w:firstLine="921"/>
        <w:spacing w:after="0" w:line="264" w:lineRule="auto"/>
        <w:tabs>
          <w:tab w:leader="none" w:pos="11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Notes are being offered only to (A) Persons reasonably believed to be QIBs and (B) non-U.S. Persons in reliance on Regulation S. Such Notes may thereafter be transferred to, among others, QIBs, and purchasers in reliance on Regulation S, in each case, in accordance with the procedures described herein.</w:t>
      </w:r>
    </w:p>
    <w:p>
      <w:pPr>
        <w:spacing w:after="0" w:line="73" w:lineRule="exact"/>
        <w:rPr>
          <w:rFonts w:ascii="Arial" w:cs="Arial" w:eastAsia="Arial" w:hAnsi="Arial"/>
          <w:sz w:val="18"/>
          <w:szCs w:val="18"/>
          <w:color w:val="auto"/>
        </w:rPr>
      </w:pPr>
    </w:p>
    <w:p>
      <w:pPr>
        <w:ind w:left="-20" w:right="320" w:firstLine="921"/>
        <w:spacing w:after="0" w:line="273" w:lineRule="auto"/>
        <w:tabs>
          <w:tab w:leader="none" w:pos="114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Notes offered to QIBs in the United States of America (the “</w:t>
      </w:r>
      <w:r>
        <w:rPr>
          <w:rFonts w:ascii="Arial" w:cs="Arial" w:eastAsia="Arial" w:hAnsi="Arial"/>
          <w:sz w:val="17"/>
          <w:szCs w:val="17"/>
          <w:u w:val="single" w:color="auto"/>
          <w:color w:val="auto"/>
        </w:rPr>
        <w:t>Restricted Notes</w:t>
      </w:r>
      <w:r>
        <w:rPr>
          <w:rFonts w:ascii="Arial" w:cs="Arial" w:eastAsia="Arial" w:hAnsi="Arial"/>
          <w:sz w:val="17"/>
          <w:szCs w:val="17"/>
          <w:color w:val="auto"/>
        </w:rPr>
        <w:t xml:space="preserve">”) shall be issued in the form of a permanent global note including appropriate legends as set forth in the form of security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Restricted Global Notes</w:t>
      </w:r>
      <w:r>
        <w:rPr>
          <w:rFonts w:ascii="Arial" w:cs="Arial" w:eastAsia="Arial" w:hAnsi="Arial"/>
          <w:sz w:val="17"/>
          <w:szCs w:val="17"/>
          <w:color w:val="auto"/>
        </w:rPr>
        <w:t>”), deposited with the Trustee, as custodian for the Depositary, duly executed by the Issuer and authenticated by the Trustee as hereinafter provided. The Restricted Global Note may be represented by more than one certificate, if so required by the Depositary’s rules regarding the maximum principal amount to be represented by a single certificate. The aggregate principal amount of the Restricted Global Note may from time to time be increased or decreased by adjustments made on the records of the Trustee, as custodian for the Depositary, or its nominee, as hereinafter provided.</w:t>
      </w:r>
    </w:p>
    <w:p>
      <w:pPr>
        <w:spacing w:after="0" w:line="70" w:lineRule="exact"/>
        <w:rPr>
          <w:rFonts w:ascii="Arial" w:cs="Arial" w:eastAsia="Arial" w:hAnsi="Arial"/>
          <w:sz w:val="17"/>
          <w:szCs w:val="17"/>
          <w:color w:val="auto"/>
        </w:rPr>
      </w:pPr>
    </w:p>
    <w:p>
      <w:pPr>
        <w:ind w:left="-20" w:firstLine="921"/>
        <w:spacing w:after="0" w:line="287" w:lineRule="auto"/>
        <w:tabs>
          <w:tab w:leader="none" w:pos="113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Notes offered to non-U.S. Persons outside the United States of America (the “</w:t>
      </w:r>
      <w:r>
        <w:rPr>
          <w:rFonts w:ascii="Arial" w:cs="Arial" w:eastAsia="Arial" w:hAnsi="Arial"/>
          <w:sz w:val="16"/>
          <w:szCs w:val="16"/>
          <w:u w:val="single" w:color="auto"/>
          <w:color w:val="auto"/>
        </w:rPr>
        <w:t>Regulation S Notes</w:t>
      </w:r>
      <w:r>
        <w:rPr>
          <w:rFonts w:ascii="Arial" w:cs="Arial" w:eastAsia="Arial" w:hAnsi="Arial"/>
          <w:sz w:val="16"/>
          <w:szCs w:val="16"/>
          <w:color w:val="auto"/>
        </w:rPr>
        <w:t xml:space="preserve">”) in reliance on Regulation S shall be issued in the form of a permanent global note including appropriate legends as set forth in the form of security as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Regulation S Global Notes</w:t>
      </w:r>
      <w:r>
        <w:rPr>
          <w:rFonts w:ascii="Arial" w:cs="Arial" w:eastAsia="Arial" w:hAnsi="Arial"/>
          <w:sz w:val="16"/>
          <w:szCs w:val="16"/>
          <w:color w:val="auto"/>
        </w:rPr>
        <w:t>” and, together with the Restricted Global Notes and the Exchange Global Notes, the “</w:t>
      </w:r>
      <w:r>
        <w:rPr>
          <w:rFonts w:ascii="Arial" w:cs="Arial" w:eastAsia="Arial" w:hAnsi="Arial"/>
          <w:sz w:val="16"/>
          <w:szCs w:val="16"/>
          <w:u w:val="single" w:color="auto"/>
          <w:color w:val="auto"/>
        </w:rPr>
        <w:t>Global Notes</w:t>
      </w:r>
      <w:r>
        <w:rPr>
          <w:rFonts w:ascii="Arial" w:cs="Arial" w:eastAsia="Arial" w:hAnsi="Arial"/>
          <w:sz w:val="16"/>
          <w:szCs w:val="16"/>
          <w:color w:val="auto"/>
        </w:rPr>
        <w:t>”). Each Regulation S Global Note will be deposited upon issuance with, or on behalf of, the Trustee as custodian for the Depositary. Prior to the 40th day after the date the Notes are issued (such period through and including such 40th day,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interests in the Regulation S Global Note may only be transferred to non U.S. Persons pursuant to Regulation S, unless exchanged for interests in a Global Note in accordance with the transfer and certification requirements described herein. Investors may hold their interests in the Regulation S Global Note through organizations other than Euroclear or Clearstream that are participants in the Depositary’s system or directly through Euroclear or Clearstream, if they are participants in such systems, or indirectly through organizations which are participants in such systems. If such interests are held through Euroclear or Clearstream, Euroclear and Clearstream will hold such interests in the applicable Regulation S Global Note on behalf of their participants through customers’ securities accounts in their respective names on the books of their respective depositaries. Such depositaries, in turn, will hold such interests in the applicable Regulation S Global Note in customers’ securities accounts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112" w:name="page113"/>
    <w:bookmarkEnd w:id="11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depositaries’ names on the books of the Depositary. The Regulation S Global Note may be represented by more than one certificate, if so required by the Depositary’s rules regarding the maximum principal amount to be represented by a single certificate. The aggregate principal amount of the Regulation S Global Note may from time to time be increased or decreased by adjustments made on the records of the Trustee, as custodian for the Depositary or its nominee, as hereinafter provided.</w:t>
      </w:r>
    </w:p>
    <w:p>
      <w:pPr>
        <w:spacing w:after="0" w:line="79" w:lineRule="exact"/>
        <w:rPr>
          <w:sz w:val="20"/>
          <w:szCs w:val="20"/>
          <w:color w:val="auto"/>
        </w:rPr>
      </w:pPr>
    </w:p>
    <w:p>
      <w:pPr>
        <w:ind w:right="40" w:firstLine="921"/>
        <w:spacing w:after="0" w:line="257" w:lineRule="auto"/>
        <w:tabs>
          <w:tab w:leader="none" w:pos="11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Unless and until (i) a Note issued as a Transfer Restricted Note is sold under an effective registration statement, (ii) a Note issued as a Transfer Restricted Note is exchanged for an Exchange Note in connection with an effective registration statement pursuant to the Registration Rights Agreement or (iii) the Issuer receives an opinion of counsel satisfactory to it to the effect that neither such legend nor the related restrictions on transfer are required in order to maintain compliance with the provisions of the Securities Act, the Restricted Global Note and the Regulation S Global Note shall bear the “</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 xml:space="preserve">” as set forth in the form of security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80" w:firstLine="921"/>
        <w:spacing w:after="0" w:line="276" w:lineRule="auto"/>
        <w:tabs>
          <w:tab w:leader="none" w:pos="115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Exchange Notes exchanged for interests in the Restricted Notes and the Regulation S Notes will be issued in the form of a permanent Global Note deposited with the Trustee as hereinafter provided, including the appropriate legend set forth in the form of security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Exchange Global Note</w:t>
      </w:r>
      <w:r>
        <w:rPr>
          <w:rFonts w:ascii="Arial" w:cs="Arial" w:eastAsia="Arial" w:hAnsi="Arial"/>
          <w:sz w:val="17"/>
          <w:szCs w:val="17"/>
          <w:color w:val="auto"/>
        </w:rPr>
        <w:t>”). The Exchange Global Note will be deposited upon issuance with, or on behalf of, the Trustee as custodian for the Depositary, duly executed by the Issuer and authenticated by the Trustee as hereinafter provided. The Exchange Global Note may be represented by more than one certificate, if so required by the Depositary’s rules regarding the maximum principal amount to be represented by a single certificate.</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Issuance of Additional Notes</w:t>
      </w:r>
      <w:r>
        <w:rPr>
          <w:rFonts w:ascii="Arial" w:cs="Arial" w:eastAsia="Arial" w:hAnsi="Arial"/>
          <w:sz w:val="17"/>
          <w:szCs w:val="17"/>
          <w:color w:val="auto"/>
        </w:rPr>
        <w:t xml:space="preserve"> . The Issuer may, from time to time, issue an unlimited amount of additional Notes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w:t>
      </w:r>
      <w:r>
        <w:rPr>
          <w:rFonts w:ascii="Arial" w:cs="Arial" w:eastAsia="Arial" w:hAnsi="Arial"/>
          <w:sz w:val="17"/>
          <w:szCs w:val="17"/>
          <w:color w:val="auto"/>
        </w:rPr>
        <w:t>”) under the Indenture, which shall be issued in the same form as the Notes issued on the Issue Date and which shall have identical terms as the Notes issued on the Issue Date other than with respect to the issue date and first payment of interest. The Notes issued on the Issue Date shall be limited in aggregate principal amount to $459,764,000, subject to the provisions of Section 306 of the Original Indenture. The Notes issued on the Issue Date and any Additional Notes subsequently issued shall be treated as a single series for purposes of giving of notices, consents, waivers, amendments and taking any other action permitted under the Indenture and for purposes of interest accrual and redemptions.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its option, the Issuer may choose to redeem all or any portion of the Notes, at once or from time to time.</w:t>
      </w:r>
    </w:p>
    <w:p>
      <w:pPr>
        <w:spacing w:after="0" w:line="117"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To redeem the Notes, the Issuer must pay a Redemption Price in an amount determined in accordance with the provisions of paragraph 5 of the form of Note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3" w:name="page114"/>
    <w:bookmarkEnd w:id="113"/>
    <w:p>
      <w:pPr>
        <w:ind w:right="40" w:firstLine="921"/>
        <w:spacing w:after="0" w:line="264" w:lineRule="auto"/>
        <w:tabs>
          <w:tab w:leader="none" w:pos="11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redemption pursuant to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shall be made pursuant to the provisions of Article Eleven of the Original Indenture. The actual Redemption Price, calculated as provided in paragraph 5 of the form of Note in Exhibit A hereto, shall be certified in writing to the Trustee by the Company no later than one Business Day prior to each Redemption Date.</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Mandatory Redemption</w:t>
      </w:r>
      <w:r>
        <w:rPr>
          <w:rFonts w:ascii="Arial" w:cs="Arial" w:eastAsia="Arial" w:hAnsi="Arial"/>
          <w:sz w:val="18"/>
          <w:szCs w:val="18"/>
          <w:color w:val="auto"/>
        </w:rPr>
        <w:t xml:space="preserve"> . The Issuer shall not be required to make mandatory redemption or sinking fund payments with respect to the Notes and shall have no obligation to repurchase any Notes at the option of the 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RESTRICTIONS</w:t>
      </w:r>
    </w:p>
    <w:p>
      <w:pPr>
        <w:spacing w:after="0" w:line="21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Unregistered Offering</w:t>
      </w:r>
      <w:r>
        <w:rPr>
          <w:rFonts w:ascii="Arial" w:cs="Arial" w:eastAsia="Arial" w:hAnsi="Arial"/>
          <w:sz w:val="18"/>
          <w:szCs w:val="18"/>
          <w:color w:val="auto"/>
        </w:rPr>
        <w:t>. The initial offering and sale of the Notes shall not be registered under the Securities Act or any state securities laws. The Notes shall be offered pursuant to exemptions from the registration requirements of the Securities Act to QIBs and in reliance on Regulation S promulgated under the Securities Act. For so long as any of the Notes constitute “restricted securities” within the meaning of Rule 144(a)(3) promulgated under the Securities Act, the Issuer shall, if the Issuer is not then subject to the reporting requirements of Section 13 or 15(d) of the Exchange Act, furnish to any Holder or beneficial owner of such Notes, or to any prospective purchaser of such Notes designated by such Holder or beneficial owner, in each case upon the written request of such Holder, beneficial owner or prospective purchaser, the information required to be provided pursuant to Rule 144A(d)(4) promulgated under the Securities Act.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Transfers of Notes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97" w:lineRule="auto"/>
        <w:tabs>
          <w:tab w:leader="none" w:pos="115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following provisions shall apply with respect to any proposed transfer of any Transfer Restricted Note prior to the expiration of the holding period applicable to sales of such Notes under Rule 144, and the Security Registrar shall refuse to register any transfer of such Notes not complying with the restrictions set forth in the Restricted Notes Legend and in this Article V. In addition to the requirements set forth in Section 305 of the Indenture, Restricted Transfer Notes that are presented or surrendered for registration of transfer or exchange pursuant to Section 305 of the Indenture shall be accompanied by the following additional information and documents, as applicable, upon which the Security Registrar may conclusively rely:</w:t>
      </w:r>
    </w:p>
    <w:p>
      <w:pPr>
        <w:spacing w:after="0" w:line="50" w:lineRule="exact"/>
        <w:rPr>
          <w:rFonts w:ascii="Arial" w:cs="Arial" w:eastAsia="Arial" w:hAnsi="Arial"/>
          <w:sz w:val="16"/>
          <w:szCs w:val="16"/>
          <w:color w:val="auto"/>
        </w:rPr>
      </w:pPr>
    </w:p>
    <w:p>
      <w:pPr>
        <w:ind w:left="460" w:firstLine="443"/>
        <w:spacing w:after="0" w:line="277" w:lineRule="auto"/>
        <w:tabs>
          <w:tab w:leader="none" w:pos="11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if such Transfer Restricted Notes are being delivered to the Security Registrar by a Holder for registration in the name of such Holder, without transfer, a certification from such Holder to that effect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left="460" w:right="260" w:firstLine="443"/>
        <w:spacing w:after="0" w:line="308" w:lineRule="auto"/>
        <w:tabs>
          <w:tab w:leader="none" w:pos="115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if such Transfer Restricted Notes are being transferred (1) to a QIB in accordance with Rule 144 or (2) pursuant to an effective registration statement under the Securities Act, a certification to that effect from such Holder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14" w:name="page115"/>
    <w:bookmarkEnd w:id="114"/>
    <w:p>
      <w:pPr>
        <w:ind w:left="460" w:right="40" w:firstLine="443"/>
        <w:spacing w:after="0" w:line="277"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such Transfer Restricted Notes are being transferred pursuant to an exemption from registration in accordance with Rule 903 or Rule 904 of Regulation S, certifications to that effect from such Holder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or</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such Transfer Restricted Notes are being transferred in reliance on and in compliance with (1) an exemption from registration in accordance with Rule 144 under the Securities Act or (2) another exemption from the registration requirements of the Securities Act, a certification to that effect from such Holder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an opinion of counsel, certification or other evidence as may reasonably be required to that effect if the Issuer or the Trustee so requests.</w:t>
      </w:r>
    </w:p>
    <w:p>
      <w:pPr>
        <w:spacing w:after="0" w:line="78" w:lineRule="exact"/>
        <w:rPr>
          <w:rFonts w:ascii="Arial" w:cs="Arial" w:eastAsia="Arial" w:hAnsi="Arial"/>
          <w:sz w:val="18"/>
          <w:szCs w:val="18"/>
          <w:color w:val="auto"/>
        </w:rPr>
      </w:pPr>
    </w:p>
    <w:p>
      <w:pPr>
        <w:jc w:val="both"/>
        <w:ind w:right="140" w:firstLine="921"/>
        <w:spacing w:after="0" w:line="279" w:lineRule="auto"/>
        <w:tabs>
          <w:tab w:leader="none" w:pos="1168"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A Holder of a beneficial interest in Regulation S Global Note who wishes to transfer its interest in such Note to a QIB in accordance with Rule 144A who takes delivery in the form of a beneficial interest in the Restricted Global Note shall deliver to the Security Registrar a certification to that effect (in substantially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upon which the Security Registrar may conclusively rely. After the expiration of the Restricted Period, interests in the Regulation S Global Note may be transferred without requiring the certification set forth in this </w:t>
      </w:r>
      <w:r>
        <w:rPr>
          <w:rFonts w:ascii="Arial" w:cs="Arial" w:eastAsia="Arial" w:hAnsi="Arial"/>
          <w:sz w:val="17"/>
          <w:szCs w:val="17"/>
          <w:u w:val="single" w:color="auto"/>
          <w:color w:val="auto"/>
        </w:rPr>
        <w:t>Section 5.02(b)</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160" w:hanging="239"/>
        <w:spacing w:after="0"/>
        <w:tabs>
          <w:tab w:leader="none" w:pos="11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transfer and exchange of Global Notes or beneficial interests therein shall be effected through the Depositary, in accordance with</w:t>
      </w:r>
    </w:p>
    <w:p>
      <w:pPr>
        <w:spacing w:after="0" w:line="3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Section 305 of the Indenture and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herein (including the restrictions on transfer set forth therein and herein) and the rules and procedures of the Depositary therefor, which shall include restrictions on transfer comparable to those set forth therein and herein to the extent required by the Securities Act; provided, however, that prior to the expiration of the Restricted Period, transfers and exchanges of beneficial interests in the Regulation S Global Note may be made pursuant to such restrictions only (1) to a Person that is not a U.S. person or for the account or benefit of a Person that is not a U.S. person within the meaning of Regulation S under the Securities Act or (2) to a QIB, in each case that hold such interests through Euroclear or Clearstream.</w:t>
      </w:r>
    </w:p>
    <w:p>
      <w:pPr>
        <w:spacing w:after="0" w:line="55" w:lineRule="exact"/>
        <w:rPr>
          <w:sz w:val="20"/>
          <w:szCs w:val="20"/>
          <w:color w:val="auto"/>
        </w:rPr>
      </w:pPr>
    </w:p>
    <w:p>
      <w:pPr>
        <w:ind w:firstLine="921"/>
        <w:spacing w:after="0" w:line="270" w:lineRule="auto"/>
        <w:tabs>
          <w:tab w:leader="none" w:pos="116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Notes are issued upon the registration of transfer, exchange or replacement of Notes not bearing the Restricted Notes Legend, the Notes so issued shall not bear such legends. If Notes are issued upon the registration or transfer, exchange or replacement of Notes bearing the Restricted Notes Legend, or if a request is made to remove the Restricted Notes Legend on a Note, the Notes so issued shall bear the Restricted Notes Legend, or the Restricted Notes Legend shall not be removed, as the case may be, unless there is delivered to the Issuer such satisfactory evidence, which may include an opinion of counsel, as may be reasonably required by the Issuer that neither the Restricted Notes Legend nor the restrictions on transfer set forth therein are required to ensure that transfers thereof comply with the provisions of Rule 144A, Rule 144 or Regulation S, that such Notes are not “restricted securities” within the meaning of Rule 144 or that such Notes were transferred pursuant to an effective registration statement under the Securities Act. Upon provision of such satisfactory evidence, the Trustee, at the direction of the Issuer, shall authenticate and deliver a Note that does not bear the Restricted Notes Legend. If a Restricted Notes Legend is removed from the face of a Note and the Note is subsequently held by an Affiliate of the Issuer, the Restricted Notes Legend and the restrictions on transfer set forth therein shall be reinstated.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5" w:name="page116"/>
    <w:bookmarkEnd w:id="115"/>
    <w:p>
      <w:pPr>
        <w:ind w:right="200" w:firstLine="921"/>
        <w:spacing w:after="0" w:line="264" w:lineRule="auto"/>
        <w:tabs>
          <w:tab w:leader="none" w:pos="1158"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neither the Trustee nor the Security Registrar shall have any responsibility to receive any letters, opinions or certifications, nor any responsibility to monitor compliance with any transfer restrictions, in connection with any transfer or exchange of any beneficial interest in a Global Note for a beneficial interest in the same Global Note.</w:t>
      </w:r>
    </w:p>
    <w:p>
      <w:pPr>
        <w:spacing w:after="0" w:line="73" w:lineRule="exact"/>
        <w:rPr>
          <w:rFonts w:ascii="Arial" w:cs="Arial" w:eastAsia="Arial" w:hAnsi="Arial"/>
          <w:sz w:val="18"/>
          <w:szCs w:val="18"/>
          <w:color w:val="auto"/>
        </w:rPr>
      </w:pPr>
    </w:p>
    <w:p>
      <w:pPr>
        <w:ind w:right="260" w:firstLine="921"/>
        <w:spacing w:after="0" w:line="302" w:lineRule="auto"/>
        <w:tabs>
          <w:tab w:leader="none" w:pos="113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Notwithstanding the foregoing, in the event that any Transfer Restricted Notes are exchanged for an Exchange Notes in connection with an effective registration statement pursuant to the Registration Rights Agreement, the Issuer shall issue and, at the direction of the Issuer, the Trustee shall authenticate the Exchange Notes in exchange for Transfer Restricted Notes accepted for exchange in the Exchange Offer, which Exchange Notes shall not bear the Restricted Notes Legend, and the Security Registrar shall rescind any restriction on the transfer of such Exchange Notes.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Integral Part</w:t>
      </w:r>
      <w:r>
        <w:rPr>
          <w:rFonts w:ascii="Arial" w:cs="Arial" w:eastAsia="Arial" w:hAnsi="Arial"/>
          <w:sz w:val="18"/>
          <w:szCs w:val="18"/>
          <w:color w:val="auto"/>
        </w:rPr>
        <w:t>. This Supplemental Indenture constitutes an integral part of the Indenture.</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xml:space="preserve"> . The Original Indenture, as supplemented and amended by this Supplemental Indenture, is in all respects hereby adopted, ratified and confirmed.</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 This Supplemental Indenture may be executed in any number of counterparts, each of which when so executed shall be deemed an original; and all such counterparts shall together constitute but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84" w:lineRule="exact"/>
        <w:rPr>
          <w:sz w:val="20"/>
          <w:szCs w:val="20"/>
          <w:color w:val="auto"/>
        </w:rPr>
      </w:pPr>
    </w:p>
    <w:p>
      <w:pPr>
        <w:ind w:right="940" w:firstLine="913"/>
        <w:spacing w:after="0" w:line="282"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AND THE NOTES SHALL BE GOVERNED BY AND</w:t>
      </w:r>
      <w:r>
        <w:rPr>
          <w:rFonts w:ascii="Arial" w:cs="Arial" w:eastAsia="Arial" w:hAnsi="Arial"/>
          <w:sz w:val="18"/>
          <w:szCs w:val="18"/>
          <w:color w:val="auto"/>
        </w:rPr>
        <w:t xml:space="preserve"> </w:t>
      </w:r>
      <w:r>
        <w:rPr>
          <w:rFonts w:ascii="Arial" w:cs="Arial" w:eastAsia="Arial" w:hAnsi="Arial"/>
          <w:sz w:val="18"/>
          <w:szCs w:val="18"/>
          <w:b w:val="1"/>
          <w:bCs w:val="1"/>
          <w:color w:val="auto"/>
        </w:rPr>
        <w:t>CONSTRUED IN ACCORDANCE WITH THE LAWS OF THE STATE OF NEW YORK.</w:t>
      </w:r>
    </w:p>
    <w:p>
      <w:pPr>
        <w:spacing w:after="0" w:line="16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Trustee Makes No Representation; Trustee’s Rights and Duties</w:t>
      </w:r>
      <w:r>
        <w:rPr>
          <w:rFonts w:ascii="Arial" w:cs="Arial" w:eastAsia="Arial" w:hAnsi="Arial"/>
          <w:sz w:val="18"/>
          <w:szCs w:val="18"/>
          <w:color w:val="auto"/>
        </w:rPr>
        <w:t>. The Trustee makes no representation as to the validity or sufficiency of this Supplemental Indenture and shall not be liable in connection therewith. The rights and duties of the Trustee shall be determined by the express provisions of the Original Indenture and, except as expressly set forth in this Supplemental Indenture, nothing in this Supplemental Indenture shall in any way modify or otherwise affect the Trustee’s rights and duties thereunder.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6" w:name="page117"/>
    <w:bookmarkEnd w:id="116"/>
    <w:p>
      <w:pPr>
        <w:ind w:left="3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A. Nutt</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Jay A. Nutt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7"/>
              </w:rPr>
              <w:t>Senior Vice President and Deputy Chief Financial</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as Trustee</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Steven A. Finklea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140"/>
              <w:spacing w:after="0" w:line="195" w:lineRule="exact"/>
              <w:rPr>
                <w:sz w:val="20"/>
                <w:szCs w:val="20"/>
                <w:color w:val="auto"/>
              </w:rPr>
            </w:pPr>
            <w:r>
              <w:rPr>
                <w:rFonts w:ascii="Arial" w:cs="Arial" w:eastAsia="Arial" w:hAnsi="Arial"/>
                <w:sz w:val="18"/>
                <w:szCs w:val="18"/>
                <w:color w:val="auto"/>
              </w:rPr>
              <w:t>Steven A. Finklea, CCTS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Second Supplemental Indenture</w:t>
      </w:r>
    </w:p>
    <w:p>
      <w:pPr>
        <w:sectPr>
          <w:pgSz w:w="11900" w:h="16838" w:orient="portrait"/>
          <w:cols w:equalWidth="0" w:num="1">
            <w:col w:w="10220"/>
          </w:cols>
          <w:pgMar w:left="1440" w:top="274"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85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438"/>
        </w:trPr>
        <w:tc>
          <w:tcPr>
            <w:tcW w:w="2840" w:type="dxa"/>
            <w:vAlign w:val="bottom"/>
          </w:tcPr>
          <w:p>
            <w:pPr>
              <w:spacing w:after="0"/>
              <w:rPr>
                <w:sz w:val="24"/>
                <w:szCs w:val="24"/>
                <w:color w:val="auto"/>
              </w:rPr>
            </w:pPr>
          </w:p>
        </w:tc>
        <w:tc>
          <w:tcPr>
            <w:tcW w:w="7640" w:type="dxa"/>
            <w:vAlign w:val="bottom"/>
          </w:tcPr>
          <w:p>
            <w:pPr>
              <w:ind w:left="2040"/>
              <w:spacing w:after="0"/>
              <w:rPr>
                <w:sz w:val="20"/>
                <w:szCs w:val="20"/>
                <w:color w:val="auto"/>
              </w:rPr>
            </w:pPr>
            <w:r>
              <w:rPr>
                <w:rFonts w:ascii="Arial" w:cs="Arial" w:eastAsia="Arial" w:hAnsi="Arial"/>
                <w:sz w:val="18"/>
                <w:szCs w:val="18"/>
                <w:color w:val="auto"/>
              </w:rPr>
              <w:t>(Form of Face of Note)</w:t>
            </w:r>
          </w:p>
        </w:tc>
        <w:tc>
          <w:tcPr>
            <w:tcW w:w="940" w:type="dxa"/>
            <w:vAlign w:val="bottom"/>
            <w:tcBorders>
              <w:top w:val="single" w:sz="8" w:color="auto"/>
            </w:tcBorders>
          </w:tcPr>
          <w:p>
            <w:pPr>
              <w:spacing w:after="0"/>
              <w:rPr>
                <w:sz w:val="24"/>
                <w:szCs w:val="24"/>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CUSIP [•]</w:t>
            </w:r>
            <w:r>
              <w:rPr>
                <w:rFonts w:ascii="Arial" w:cs="Arial" w:eastAsia="Arial" w:hAnsi="Arial"/>
                <w:sz w:val="15"/>
                <w:szCs w:val="15"/>
                <w:color w:val="auto"/>
              </w:rPr>
              <w:t>1</w:t>
            </w:r>
          </w:p>
        </w:tc>
        <w:tc>
          <w:tcPr>
            <w:tcW w:w="7640" w:type="dxa"/>
            <w:vAlign w:val="bottom"/>
          </w:tcPr>
          <w:p>
            <w:pPr>
              <w:spacing w:after="0"/>
              <w:rPr>
                <w:sz w:val="18"/>
                <w:szCs w:val="18"/>
                <w:color w:val="auto"/>
              </w:rPr>
            </w:pPr>
          </w:p>
        </w:tc>
        <w:tc>
          <w:tcPr>
            <w:tcW w:w="940" w:type="dxa"/>
            <w:vAlign w:val="bottom"/>
          </w:tcPr>
          <w:p>
            <w:pPr>
              <w:jc w:val="right"/>
              <w:ind w:right="490"/>
              <w:spacing w:after="0"/>
              <w:rPr>
                <w:sz w:val="20"/>
                <w:szCs w:val="20"/>
                <w:color w:val="auto"/>
              </w:rPr>
            </w:pPr>
            <w:r>
              <w:rPr>
                <w:rFonts w:ascii="Arial" w:cs="Arial" w:eastAsia="Arial" w:hAnsi="Arial"/>
                <w:sz w:val="18"/>
                <w:szCs w:val="18"/>
                <w:color w:val="auto"/>
              </w:rPr>
              <w:t>No.</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ISIN [•]</w:t>
            </w:r>
            <w:r>
              <w:rPr>
                <w:rFonts w:ascii="Arial" w:cs="Arial" w:eastAsia="Arial" w:hAnsi="Arial"/>
                <w:sz w:val="15"/>
                <w:szCs w:val="15"/>
                <w:color w:val="auto"/>
              </w:rPr>
              <w:t>2</w:t>
            </w:r>
          </w:p>
        </w:tc>
        <w:tc>
          <w:tcPr>
            <w:tcW w:w="85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3.45% Senior Note due 2022</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TECHNIPFMC PLC, a public limited company incorporated under the laws of England and Wales, promises to pay to , or registered assigns, the principal sum of $ Dollars [or such greater or lesser amount as may be endorsed on the Schedule attached hereto]</w:t>
      </w:r>
      <w:r>
        <w:rPr>
          <w:rFonts w:ascii="Arial" w:cs="Arial" w:eastAsia="Arial" w:hAnsi="Arial"/>
          <w:sz w:val="15"/>
          <w:szCs w:val="15"/>
          <w:color w:val="auto"/>
        </w:rPr>
        <w:t>3</w:t>
      </w:r>
      <w:r>
        <w:rPr>
          <w:rFonts w:ascii="Arial" w:cs="Arial" w:eastAsia="Arial" w:hAnsi="Arial"/>
          <w:sz w:val="18"/>
          <w:szCs w:val="18"/>
          <w:color w:val="auto"/>
        </w:rPr>
        <w:t xml:space="preserve"> on October 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April 1 and October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15 and September 15</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-10160</wp:posOffset>
            </wp:positionV>
            <wp:extent cx="22288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-19050</wp:posOffset>
            </wp:positionV>
            <wp:extent cx="20859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-19050</wp:posOffset>
            </wp:positionV>
            <wp:extent cx="2143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TRUSTEE’S CERTIFICATE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Trustee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CUSIPs: 87854X AC5 (144A); G87110 AB1 (Reg S); 87854X AD3 (Unrestricted).</w:t>
      </w:r>
    </w:p>
    <w:p>
      <w:pPr>
        <w:spacing w:after="0" w:line="22"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ISINs: US87854XAC56 (144A); USG87110AB11 (Reg S); US87854XAD30 (Unrestricted).</w:t>
      </w:r>
    </w:p>
    <w:p>
      <w:pPr>
        <w:spacing w:after="0" w:line="9"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ectPr>
          <w:pgSz w:w="11900" w:h="16838" w:orient="portrait"/>
          <w:cols w:equalWidth="0" w:num="1">
            <w:col w:w="11420"/>
          </w:cols>
          <w:pgMar w:left="240" w:top="257" w:right="2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Back of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3.45% Senior Note due 2022</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GLOBAL SECURITIES LEGEND</w:t>
      </w:r>
      <w:r>
        <w:rPr>
          <w:rFonts w:ascii="Arial" w:cs="Arial" w:eastAsia="Arial" w:hAnsi="Arial"/>
          <w:sz w:val="18"/>
          <w:szCs w:val="18"/>
          <w:b w:val="1"/>
          <w:bCs w:val="1"/>
          <w:color w:val="auto"/>
        </w:rPr>
        <w:t>: 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r>
        <w:rPr>
          <w:rFonts w:ascii="Arial" w:cs="Arial" w:eastAsia="Arial" w:hAnsi="Arial"/>
          <w:sz w:val="15"/>
          <w:szCs w:val="15"/>
          <w:b w:val="1"/>
          <w:bCs w:val="1"/>
          <w:color w:val="auto"/>
        </w:rPr>
        <w:t>4</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RESTRICTED NOTES LEGEND</w:t>
      </w:r>
      <w:r>
        <w:rPr>
          <w:rFonts w:ascii="Arial" w:cs="Arial" w:eastAsia="Arial" w:hAnsi="Arial"/>
          <w:sz w:val="18"/>
          <w:szCs w:val="18"/>
          <w:b w:val="1"/>
          <w:bCs w:val="1"/>
          <w:color w:val="auto"/>
        </w:rPr>
        <w:t>: THIS NOTE HAS NOT BEEN REGISTERED UNDER THE SECURITIES ACT OF 1933, AS AMENDED (THE “</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AND MAY NOT BE OFFERED, SOLD, PLEDGED OR OTHERWISE TRANSFERRED EXCEPT IN ACCORDANCE WITH THE FOLLOWING SENTENCE. BY ITS ACQUISITION HEREOF OR OF A BENEFICIAL INTEREST HEREIN, THE ACQUIROR (1) REPRESENTS THAT (A) IT AND ANY ACCOUNT FOR WHICH IT IS ACTING IS A “QUALIFIED INSTITUTIONAL BUYER” (WITHIN THE MEANING OF RULE 144A UNDER THE SECURITIES ACT) AND THAT IT EXERCISES SOLE INVESTMENT DISCRETION WITH RESPECT TO EACH SUCH ACCOUNT, OR (B) IT IS NOT A “U.S. PERSON” (WITHIN THE MEANING OF REGULATION S UNDER THE SECURITIES ACT) AND (2) AGREES FOR THE BENEFIT OF TECHNIPFMC PLC THAT IT WILL NOT OFFER, SELL, PLEDGE OR OTHERWISE TRANSFER THIS NOTE OR ANY BENEFICIAL INTEREST HEREIN, EXCEPT IN ACCORDANCE WITH THE SECURITIES ACT AND ANY APPLICABLE SECURITIES LAWS OF ANY STATE OF THE UNITED STATES AND ONLY (A) TO TECHNIPFMC PLC, (B) PURSUANT TO A REGISTRATION STATEMENT WHICH HAS BECOME EFFECTIVE UNDER THE SECURITIES ACT, (C) TO A QUALIFIED INSTITUTIONAL BUYER IN COMPLIANCE WITH RULE 144A UNDER THE SECURITIES ACT, (D) IN AN OFFSHORE TRANSACTION IN COMPLIANCE WITH RULE 904 OF REGULATION S UNDER THE SECURITIES ACT, OR</w:t>
      </w:r>
    </w:p>
    <w:p>
      <w:pPr>
        <w:spacing w:after="0" w:line="3" w:lineRule="exact"/>
        <w:rPr>
          <w:sz w:val="20"/>
          <w:szCs w:val="20"/>
          <w:color w:val="auto"/>
        </w:rPr>
      </w:pPr>
    </w:p>
    <w:p>
      <w:pPr>
        <w:ind w:right="40" w:firstLine="8"/>
        <w:spacing w:after="0" w:line="261" w:lineRule="auto"/>
        <w:tabs>
          <w:tab w:leader="none" w:pos="285"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PURSUANT TO AN EXEMPTION FROM REGISTRATION PROVIDED BY RULE 144 UNDER THE SECURITIES ACT OR ANY OTHER AVAILABLE EXEMPTION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8"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4" w:right="279" w:bottom="1440" w:gutter="0" w:footer="0" w:header="0"/>
        </w:sectPr>
      </w:pPr>
    </w:p>
    <w:bookmarkStart w:id="119" w:name="page120"/>
    <w:bookmarkEnd w:id="119"/>
    <w:p>
      <w:pPr>
        <w:ind w:right="12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REGISTRATION OF ANY TRANSFER IN ACCORDANCE WITH (2)(C) ABOVE OR (2)(D) ABOVE, A DULY COMPLETED AND SIGNED CERTIFICATE (THE FORM OF WHICH MAY BE OBTAINED FROM THE TRUSTEE) MUST BE DELIVERED TO THE TRUSTEE. PRIOR TO THE REGISTRATION OF ANY TRANSFER IN ACCORDANCE WITH (E) ABOVE, TECHNIPFMC PLC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w:t>
      </w:r>
      <w:r>
        <w:rPr>
          <w:rFonts w:ascii="Arial" w:cs="Arial" w:eastAsia="Arial" w:hAnsi="Arial"/>
          <w:sz w:val="15"/>
          <w:szCs w:val="15"/>
          <w:b w:val="1"/>
          <w:bCs w:val="1"/>
          <w:color w:val="auto"/>
        </w:rPr>
        <w:t>5</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117" w:lineRule="exact"/>
        <w:rPr>
          <w:sz w:val="20"/>
          <w:szCs w:val="20"/>
          <w:color w:val="auto"/>
        </w:rPr>
      </w:pPr>
    </w:p>
    <w:p>
      <w:pPr>
        <w:ind w:firstLine="921"/>
        <w:spacing w:after="0" w:line="288" w:lineRule="auto"/>
        <w:tabs>
          <w:tab w:leader="none" w:pos="109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Interest; Additional Interest</w:t>
      </w:r>
      <w:r>
        <w:rPr>
          <w:rFonts w:ascii="Arial" w:cs="Arial" w:eastAsia="Arial" w:hAnsi="Arial"/>
          <w:sz w:val="16"/>
          <w:szCs w:val="16"/>
          <w:color w:val="auto"/>
        </w:rPr>
        <w:t>. TechnipFMC plc, a public limited company incorporated under the laws of England and Wales (the “</w:t>
      </w:r>
      <w:r>
        <w:rPr>
          <w:rFonts w:ascii="Arial" w:cs="Arial" w:eastAsia="Arial" w:hAnsi="Arial"/>
          <w:sz w:val="16"/>
          <w:szCs w:val="16"/>
          <w:u w:val="single" w:color="auto"/>
          <w:color w:val="auto"/>
        </w:rPr>
        <w:t>Company</w:t>
      </w:r>
      <w:r>
        <w:rPr>
          <w:rFonts w:ascii="Arial" w:cs="Arial" w:eastAsia="Arial" w:hAnsi="Arial"/>
          <w:sz w:val="16"/>
          <w:szCs w:val="16"/>
          <w:color w:val="auto"/>
        </w:rPr>
        <w:t>” or the “</w:t>
      </w:r>
      <w:r>
        <w:rPr>
          <w:rFonts w:ascii="Arial" w:cs="Arial" w:eastAsia="Arial" w:hAnsi="Arial"/>
          <w:sz w:val="16"/>
          <w:szCs w:val="16"/>
          <w:u w:val="single" w:color="auto"/>
          <w:color w:val="auto"/>
        </w:rPr>
        <w:t>Issuer</w:t>
      </w:r>
      <w:r>
        <w:rPr>
          <w:rFonts w:ascii="Arial" w:cs="Arial" w:eastAsia="Arial" w:hAnsi="Arial"/>
          <w:sz w:val="16"/>
          <w:szCs w:val="16"/>
          <w:color w:val="auto"/>
        </w:rPr>
        <w:t>”), promises to pay interest on the principal amount of this Note at 3.45% per annum from April 1, 2017 until maturity. The Issuer shall pay interest semi-annually on April 1 and October 1 of each such year, or if any such day is not a Business Day, on the next succeeding Business Day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Interest on the Notes shall accrue from the most recent date to which interest has been paid or, if no interest has been paid, from April 1, 2017;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there is no existing default in the payment of interest, and if this Note is authenticated between a Regular Record Date referred to on the face hereof and the next succeeding Interest Payment Date, interest shall accrue from such next succeeding Interest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first Interest Payment Date shall be October 1, 2017. The Issuer shall pay interest (including post-petition interest in any proceeding under the Bankruptcy Act) on overdue principal and premium, if any, from time to time on demand at the same rate; and it shall pay interest (including post-petition interest in any proceeding under the Bankruptcy Act) on overdue installments of interest (without regard to any applicable grace periods) from time to time on demand at the same rate to the extent lawful. Interest shall be computed on the basis of a 360-day year of twelve 30-day months.</w:t>
      </w:r>
    </w:p>
    <w:p>
      <w:pPr>
        <w:spacing w:after="0" w:line="61" w:lineRule="exact"/>
        <w:rPr>
          <w:rFonts w:ascii="Arial" w:cs="Arial" w:eastAsia="Arial" w:hAnsi="Arial"/>
          <w:sz w:val="16"/>
          <w:szCs w:val="16"/>
          <w:color w:val="auto"/>
        </w:rPr>
      </w:pPr>
    </w:p>
    <w:p>
      <w:pPr>
        <w:ind w:right="40" w:firstLine="921"/>
        <w:spacing w:after="0" w:line="297" w:lineRule="auto"/>
        <w:tabs>
          <w:tab w:leader="none" w:pos="109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The Issuer shall pay interest on the Notes (except Defaulted Interest) to the Persons who are Holders of Notes at the close of business on the March 15 or September 15 next preceding the Interest Payment Date, even if such Notes are canceled after such record date and on or before such Interest Payment Date, except as provided in Section 307 of the Original Indenture with respect to Defaulted Interest, and the Issuer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(which initially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3" w:lineRule="exact"/>
        <w:rPr>
          <w:sz w:val="20"/>
          <w:szCs w:val="20"/>
          <w:color w:val="auto"/>
        </w:rPr>
      </w:pPr>
    </w:p>
    <w:p>
      <w:pPr>
        <w:ind w:left="5580" w:right="5220" w:hanging="5572"/>
        <w:spacing w:after="0" w:line="536" w:lineRule="auto"/>
        <w:tabs>
          <w:tab w:leader="none" w:pos="460" w:val="left"/>
        </w:tabs>
        <w:numPr>
          <w:ilvl w:val="0"/>
          <w:numId w:val="117"/>
        </w:numPr>
        <w:rPr>
          <w:rFonts w:ascii="Arial" w:cs="Arial" w:eastAsia="Arial" w:hAnsi="Arial"/>
          <w:sz w:val="14"/>
          <w:szCs w:val="14"/>
          <w:color w:val="auto"/>
        </w:rPr>
      </w:pPr>
      <w:r>
        <w:rPr>
          <w:rFonts w:ascii="Arial" w:cs="Arial" w:eastAsia="Arial" w:hAnsi="Arial"/>
          <w:sz w:val="16"/>
          <w:szCs w:val="16"/>
          <w:color w:val="auto"/>
        </w:rPr>
        <w:t>To be included in the Restricted Global Note and the Regulation S Global Note. A-3</w:t>
      </w:r>
    </w:p>
    <w:p>
      <w:pPr>
        <w:sectPr>
          <w:pgSz w:w="11900" w:h="16838" w:orient="portrait"/>
          <w:cols w:equalWidth="0" w:num="1">
            <w:col w:w="11420"/>
          </w:cols>
          <w:pgMar w:left="240" w:top="270" w:right="239" w:bottom="1440" w:gutter="0" w:footer="0" w:header="0"/>
        </w:sectPr>
      </w:pPr>
    </w:p>
    <w:bookmarkStart w:id="120" w:name="page121"/>
    <w:bookmarkEnd w:id="12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corporate trust office of U.S. Bank National Association at 100 Wall Street, Suite 1600, New York, New York 10005) or, at the option of the Issuer, payment of interest may be made by check mailed to the Holders at their addresses set forth in the register of 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shall be required with respect to principal of, and interest and premium, if any, on, (a) each Global Security and (b) all other Notes aggregating at least $1,000,000 in principal amount the Holder of which shall have provided wire transfer instructions to the Issuer or the Paying Agent to an account in the United States prior to the applicable record date. Such payment shall be in such coin or currency of the United States of America as at the time of payment is legal tender for payment of public and private debts.</w:t>
      </w:r>
    </w:p>
    <w:p>
      <w:pPr>
        <w:spacing w:after="0" w:line="70" w:lineRule="exact"/>
        <w:rPr>
          <w:sz w:val="20"/>
          <w:szCs w:val="20"/>
          <w:color w:val="auto"/>
        </w:rPr>
      </w:pPr>
    </w:p>
    <w:p>
      <w:pPr>
        <w:ind w:right="100" w:firstLine="921"/>
        <w:spacing w:after="0" w:line="264" w:lineRule="auto"/>
        <w:tabs>
          <w:tab w:leader="none" w:pos="1093"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Paying Agent and Security Registrar</w:t>
      </w:r>
      <w:r>
        <w:rPr>
          <w:rFonts w:ascii="Arial" w:cs="Arial" w:eastAsia="Arial" w:hAnsi="Arial"/>
          <w:sz w:val="18"/>
          <w:szCs w:val="18"/>
          <w:color w:val="auto"/>
        </w:rPr>
        <w:t>. Initially, U.S. Bank National Association, the Trustee under the Indenture, has been appointed to act as Paying Agent and Security Registrar. The Issuer may change any Paying Agent or Security Registrar without notice to any Holder. The Issuer may act in any such capacity.</w:t>
      </w:r>
    </w:p>
    <w:p>
      <w:pPr>
        <w:spacing w:after="0" w:line="73" w:lineRule="exact"/>
        <w:rPr>
          <w:rFonts w:ascii="Arial" w:cs="Arial" w:eastAsia="Arial" w:hAnsi="Arial"/>
          <w:sz w:val="18"/>
          <w:szCs w:val="18"/>
          <w:color w:val="auto"/>
        </w:rPr>
      </w:pPr>
    </w:p>
    <w:p>
      <w:pPr>
        <w:ind w:right="20" w:firstLine="921"/>
        <w:spacing w:after="0" w:line="286" w:lineRule="auto"/>
        <w:tabs>
          <w:tab w:leader="none" w:pos="1093"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 issued the Notes under an Indenture dated as of March 29, 2017 (the “</w:t>
      </w:r>
      <w:r>
        <w:rPr>
          <w:rFonts w:ascii="Arial" w:cs="Arial" w:eastAsia="Arial" w:hAnsi="Arial"/>
          <w:sz w:val="16"/>
          <w:szCs w:val="16"/>
          <w:u w:val="single" w:color="auto"/>
          <w:color w:val="auto"/>
        </w:rPr>
        <w:t>Original Indenture</w:t>
      </w:r>
      <w:r>
        <w:rPr>
          <w:rFonts w:ascii="Arial" w:cs="Arial" w:eastAsia="Arial" w:hAnsi="Arial"/>
          <w:sz w:val="16"/>
          <w:szCs w:val="16"/>
          <w:color w:val="auto"/>
        </w:rPr>
        <w:t>”), as supplemented by the First Supplemental Indenture dated as of March 29, 2017 (the “</w:t>
      </w:r>
      <w:r>
        <w:rPr>
          <w:rFonts w:ascii="Arial" w:cs="Arial" w:eastAsia="Arial" w:hAnsi="Arial"/>
          <w:sz w:val="16"/>
          <w:szCs w:val="16"/>
          <w:u w:val="single" w:color="auto"/>
          <w:color w:val="auto"/>
        </w:rPr>
        <w:t>First Supplemental Indenture</w:t>
      </w:r>
      <w:r>
        <w:rPr>
          <w:rFonts w:ascii="Arial" w:cs="Arial" w:eastAsia="Arial" w:hAnsi="Arial"/>
          <w:sz w:val="16"/>
          <w:szCs w:val="16"/>
          <w:color w:val="auto"/>
        </w:rPr>
        <w:t>”) and the Second Supplemental Indenture, dated as of March 29, 2017 (the “</w:t>
      </w:r>
      <w:r>
        <w:rPr>
          <w:rFonts w:ascii="Arial" w:cs="Arial" w:eastAsia="Arial" w:hAnsi="Arial"/>
          <w:sz w:val="16"/>
          <w:szCs w:val="16"/>
          <w:u w:val="single" w:color="auto"/>
          <w:color w:val="auto"/>
        </w:rPr>
        <w:t>Second Supplemental Indenture</w:t>
      </w:r>
      <w:r>
        <w:rPr>
          <w:rFonts w:ascii="Arial" w:cs="Arial" w:eastAsia="Arial" w:hAnsi="Arial"/>
          <w:sz w:val="16"/>
          <w:szCs w:val="16"/>
          <w:color w:val="auto"/>
        </w:rPr>
        <w:t>”) and, together with the Original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Issuer and the Trustee. The terms of the Notes include those stated in the Indenture and those made part of the Indenture by reference to the Trust Indenture Act of 1939, as amended (15 U.S. Code</w:t>
      </w:r>
    </w:p>
    <w:p>
      <w:pPr>
        <w:spacing w:after="0" w:line="1" w:lineRule="exact"/>
        <w:rPr>
          <w:rFonts w:ascii="Arial" w:cs="Arial" w:eastAsia="Arial" w:hAnsi="Arial"/>
          <w:sz w:val="16"/>
          <w:szCs w:val="16"/>
          <w:color w:val="auto"/>
        </w:rPr>
      </w:pPr>
    </w:p>
    <w:p>
      <w:pPr>
        <w:ind w:right="60" w:firstLine="8"/>
        <w:spacing w:after="0" w:line="271" w:lineRule="auto"/>
        <w:tabs>
          <w:tab w:leader="none" w:pos="22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to the extent permitted by law. The Issuer may issue an unlimited principal amount of Additional Notes under the Indenture. Any such Additional Notes that are actually issued shall be treated as issued and outstanding Notes (and as the same series (with identical terms other than with respect to the issue date and first payment of interest) as the initial Notes for the purposes indicated in Section 3.02 of the Supplemental Indenture).</w:t>
      </w:r>
    </w:p>
    <w:p>
      <w:pPr>
        <w:spacing w:after="0" w:line="70" w:lineRule="exact"/>
        <w:rPr>
          <w:rFonts w:ascii="Arial" w:cs="Arial" w:eastAsia="Arial" w:hAnsi="Arial"/>
          <w:sz w:val="17"/>
          <w:szCs w:val="17"/>
          <w:color w:val="auto"/>
        </w:rPr>
      </w:pPr>
    </w:p>
    <w:p>
      <w:pPr>
        <w:ind w:left="1100" w:hanging="179"/>
        <w:spacing w:after="0"/>
        <w:tabs>
          <w:tab w:leader="none" w:pos="1100"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Optional Redemption</w:t>
      </w:r>
      <w:r>
        <w:rPr>
          <w:rFonts w:ascii="Arial" w:cs="Arial" w:eastAsia="Arial" w:hAnsi="Arial"/>
          <w:sz w:val="17"/>
          <w:szCs w:val="17"/>
          <w:color w:val="auto"/>
        </w:rPr>
        <w:t>. (a) At its option, the Issuer may choose to redeem all or any portion of the Notes, at once or from time to time.</w:t>
      </w:r>
    </w:p>
    <w:p>
      <w:pPr>
        <w:spacing w:after="0" w:line="129" w:lineRule="exact"/>
        <w:rPr>
          <w:sz w:val="20"/>
          <w:szCs w:val="20"/>
          <w:color w:val="auto"/>
        </w:rPr>
      </w:pPr>
    </w:p>
    <w:p>
      <w:pPr>
        <w:ind w:right="60" w:firstLine="921"/>
        <w:spacing w:after="0" w:line="271" w:lineRule="auto"/>
        <w:tabs>
          <w:tab w:leader="none" w:pos="116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redeem the Notes prior to July 1, 2022, the Issuer must pay a Redemption Price equal to the greater of (i) 100% of the principal amount of the Notes to be redeemed and (ii) the sum of the present values of the remaining scheduled payments of principal and interest in respect of the Notes to be redeemed (exclusive of interest accrued to the Redemption Date) discounted to the Redemption Date on a semiannual basis (assuming a 360-day year consisting of twelve 30-day months) at a rate equal to the sum of the Treasury Rate (as defined below) plus 25 basis points, plus in either case, any accrued and unpaid interest to, but excluding, the Redemption Date (subject to the right of Holders on the relevant Regular Record Date to receive interest due on the relevant Interest Payment Date). To redeem the Notes on or after July 1, 2022, the Issuer must pay a Redemption Price equal to 100% of the principal amount of the Notes to be redeemed plus any accrued and unpaid interest to, but excluding, the Redemption Date (subject to the right of Holders on the relevant Regular Record Date to receive interest due on the relevant Interest Payment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determining the Redemption Price, the following definitions shall apply:</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Comparable Treasury Issue</w:t>
      </w:r>
      <w:r>
        <w:rPr>
          <w:rFonts w:ascii="Arial" w:cs="Arial" w:eastAsia="Arial" w:hAnsi="Arial"/>
          <w:sz w:val="18"/>
          <w:szCs w:val="18"/>
          <w:color w:val="auto"/>
        </w:rPr>
        <w:t>” means the United States Treasury security or securities selected by the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the Notes to be redeemed.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Comparable Treasury Price</w:t>
      </w:r>
      <w:r>
        <w:rPr>
          <w:rFonts w:ascii="Arial" w:cs="Arial" w:eastAsia="Arial" w:hAnsi="Arial"/>
          <w:sz w:val="16"/>
          <w:szCs w:val="16"/>
          <w:color w:val="auto"/>
        </w:rPr>
        <w:t>” means, for any Redemption Date, the average of the Reference Treasury Dealer Quotations for such Redemption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Independent Investment Banker</w:t>
      </w:r>
      <w:r>
        <w:rPr>
          <w:rFonts w:ascii="Arial" w:cs="Arial" w:eastAsia="Arial" w:hAnsi="Arial"/>
          <w:sz w:val="16"/>
          <w:szCs w:val="16"/>
          <w:color w:val="auto"/>
        </w:rPr>
        <w:t>” means one of the Reference Treasury Dealers appointed by the Trustee after consultation with the Company.</w:t>
      </w:r>
    </w:p>
    <w:p>
      <w:pPr>
        <w:spacing w:after="0" w:line="24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Reference Treasury Dealer</w:t>
      </w:r>
      <w:r>
        <w:rPr>
          <w:rFonts w:ascii="Arial" w:cs="Arial" w:eastAsia="Arial" w:hAnsi="Arial"/>
          <w:sz w:val="18"/>
          <w:szCs w:val="18"/>
          <w:color w:val="auto"/>
        </w:rPr>
        <w:t xml:space="preserve">” means each of J.P. Morgan Securities LLC and Wells Fargo Securities, LLC or their respective affiliates which are primary U.S. government securities dealers in the United States (a “Primary Treasury Dealer”),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either of the foregoing and its affiliates and subsidiaries shall not be a Primary Treasury Dealer at the appropriate time, the Company shall substitute therefor another Primary Treasury Dealer.</w:t>
      </w:r>
    </w:p>
    <w:p>
      <w:pPr>
        <w:spacing w:after="0" w:line="18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City time, on the third Business Day preceding such Redemption Date.</w:t>
      </w:r>
    </w:p>
    <w:p>
      <w:pPr>
        <w:spacing w:after="0" w:line="18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Treasury Rate</w:t>
      </w:r>
      <w:r>
        <w:rPr>
          <w:rFonts w:ascii="Arial" w:cs="Arial" w:eastAsia="Arial" w:hAnsi="Arial"/>
          <w:sz w:val="16"/>
          <w:szCs w:val="16"/>
          <w:color w:val="auto"/>
        </w:rPr>
        <w:t>” means, with respect to any Redemption Date, the rate per annum equal to the semiannual equivalent yield to maturity (computed by the Company as of the second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election of the Issuer to redeem any Notes need not be evidenced by a Board Resolution.</w:t>
      </w:r>
    </w:p>
    <w:p>
      <w:pPr>
        <w:spacing w:after="0" w:line="117" w:lineRule="exact"/>
        <w:rPr>
          <w:sz w:val="20"/>
          <w:szCs w:val="20"/>
          <w:color w:val="auto"/>
        </w:rPr>
      </w:pPr>
    </w:p>
    <w:p>
      <w:pPr>
        <w:ind w:right="20" w:firstLine="921"/>
        <w:spacing w:after="0" w:line="277" w:lineRule="auto"/>
        <w:tabs>
          <w:tab w:leader="none" w:pos="109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Mandatory Redemption</w:t>
      </w:r>
      <w:r>
        <w:rPr>
          <w:rFonts w:ascii="Arial" w:cs="Arial" w:eastAsia="Arial" w:hAnsi="Arial"/>
          <w:sz w:val="18"/>
          <w:szCs w:val="18"/>
          <w:color w:val="auto"/>
        </w:rPr>
        <w:t>. The Issuer shall not be required to make mandatory redemption or sinking fund payments with respect to the Notes or to repurchase them at the option of the Holders.</w:t>
      </w:r>
    </w:p>
    <w:p>
      <w:pPr>
        <w:spacing w:after="0" w:line="62" w:lineRule="exact"/>
        <w:rPr>
          <w:rFonts w:ascii="Arial" w:cs="Arial" w:eastAsia="Arial" w:hAnsi="Arial"/>
          <w:sz w:val="18"/>
          <w:szCs w:val="18"/>
          <w:color w:val="auto"/>
        </w:rPr>
      </w:pPr>
    </w:p>
    <w:p>
      <w:pPr>
        <w:ind w:firstLine="921"/>
        <w:spacing w:after="0" w:line="277" w:lineRule="auto"/>
        <w:tabs>
          <w:tab w:leader="none" w:pos="1093"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r>
        <w:rPr>
          <w:rFonts w:ascii="Arial" w:cs="Arial" w:eastAsia="Arial" w:hAnsi="Arial"/>
          <w:sz w:val="18"/>
          <w:szCs w:val="18"/>
          <w:color w:val="auto"/>
        </w:rPr>
        <w:t>. Any notice of redemption shall be given at least 30 days but not more than 60 days before the Redemption Date to each Holder whose Notes are to be redeemed. Notes in denominations larger than $2,000 may be redeemed in part but only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122" w:name="page123"/>
    <w:bookmarkEnd w:id="12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whole multiples of $1,000, unless all of the Notes held by a Holder are to be redeemed. On and after the Redemption Date interest shall cease to accrue on Notes or portions thereof called for redemption and with respect to which the Redemption Price has been paid.</w:t>
      </w:r>
    </w:p>
    <w:p>
      <w:pPr>
        <w:spacing w:after="0" w:line="62" w:lineRule="exact"/>
        <w:rPr>
          <w:sz w:val="20"/>
          <w:szCs w:val="20"/>
          <w:color w:val="auto"/>
        </w:rPr>
      </w:pPr>
    </w:p>
    <w:p>
      <w:pPr>
        <w:jc w:val="both"/>
        <w:ind w:right="200" w:firstLine="921"/>
        <w:spacing w:after="0" w:line="259" w:lineRule="auto"/>
        <w:tabs>
          <w:tab w:leader="none" w:pos="109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The Notes are in registered form without coupons in denominations of $2,000 and integral multiples of $1,000 in excess thereof. The transfer of Notes may be registered and Notes may be exchanged as provided in the Indenture. The Security Registrar and the Trustee may require a Holder, among other things, to furnish appropriate endorsements and transfer documents, and the Issuer may require a Holder to pay any taxes or other governmental charges imposed in relation thereto.</w:t>
      </w:r>
    </w:p>
    <w:p>
      <w:pPr>
        <w:spacing w:after="0" w:line="78" w:lineRule="exact"/>
        <w:rPr>
          <w:rFonts w:ascii="Arial" w:cs="Arial" w:eastAsia="Arial" w:hAnsi="Arial"/>
          <w:sz w:val="18"/>
          <w:szCs w:val="18"/>
          <w:color w:val="auto"/>
        </w:rPr>
      </w:pPr>
    </w:p>
    <w:p>
      <w:pPr>
        <w:ind w:left="1100" w:hanging="179"/>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shall be treated as its owner for all purposes.</w:t>
      </w:r>
    </w:p>
    <w:p>
      <w:pPr>
        <w:spacing w:after="0" w:line="117" w:lineRule="exact"/>
        <w:rPr>
          <w:rFonts w:ascii="Arial" w:cs="Arial" w:eastAsia="Arial" w:hAnsi="Arial"/>
          <w:sz w:val="18"/>
          <w:szCs w:val="18"/>
          <w:color w:val="auto"/>
        </w:rPr>
      </w:pPr>
    </w:p>
    <w:p>
      <w:pPr>
        <w:ind w:right="20" w:firstLine="921"/>
        <w:spacing w:after="0" w:line="288" w:lineRule="auto"/>
        <w:tabs>
          <w:tab w:leader="none" w:pos="118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Amendment, Supplement and Waiver</w:t>
      </w:r>
      <w:r>
        <w:rPr>
          <w:rFonts w:ascii="Arial" w:cs="Arial" w:eastAsia="Arial" w:hAnsi="Arial"/>
          <w:sz w:val="16"/>
          <w:szCs w:val="16"/>
          <w:color w:val="auto"/>
        </w:rPr>
        <w:t>. Subject to certain exceptions, the Indenture may be amended or supplemented with the consent of the Holders of a majority in principal amount of the then Outstanding Securities of each series affected thereby, any past default relating to the Notes may be waived with the consent of the Holders of a majority in principal amount of the then Outstanding Notes, and the Holders of a majority in principal amount of all Outstanding Securities may on behalf of the Holders of all Outstanding Securities waive any other past default under the Indenture. Without the consent of any Holder of a Note, the Indenture may be amended or supplemented for any of the purposes set forth in Section 901 of the Indenture, including to cure any ambiguity, defect or inconsistency, to evidence the succession of another Person to the Company and provide for the assumption by any such successor of the covenants of the Company herein and in the Indenture, to make any change that does not adversely affect the rights under the Indenture of any Holder of the Notes in any material respect, to comply with the requirements of the Commission to effect or maintain the qualification of the Indenture under the Trust Indenture Act, to evidence or provide for the acceptance of appointment under the Indenture of a successor or additional Trustee, to add to the covenants of the Issuer or any additional Events of Default, to secure the Notes or to establish the form or terms of any other series of Securities.</w:t>
      </w:r>
    </w:p>
    <w:p>
      <w:pPr>
        <w:spacing w:after="0" w:line="61" w:lineRule="exact"/>
        <w:rPr>
          <w:rFonts w:ascii="Arial" w:cs="Arial" w:eastAsia="Arial" w:hAnsi="Arial"/>
          <w:sz w:val="16"/>
          <w:szCs w:val="16"/>
          <w:color w:val="auto"/>
        </w:rPr>
      </w:pPr>
    </w:p>
    <w:p>
      <w:pPr>
        <w:ind w:firstLine="921"/>
        <w:spacing w:after="0" w:line="289" w:lineRule="auto"/>
        <w:tabs>
          <w:tab w:leader="none" w:pos="1176"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Events of Defaults and Acceleration</w:t>
      </w:r>
      <w:r>
        <w:rPr>
          <w:rFonts w:ascii="Arial" w:cs="Arial" w:eastAsia="Arial" w:hAnsi="Arial"/>
          <w:sz w:val="16"/>
          <w:szCs w:val="16"/>
          <w:color w:val="auto"/>
        </w:rPr>
        <w:t>. Events of Default with respect to the Notes include: (i) default for 30 days in the payment when due of interest on the Notes; (ii) default in payment when due of principal of or premium, if any, on the Notes when due at Stated Maturity, upon redemption or otherwise; (iii) default in the performance or breach of any covenant of the Company in the Indenture (other than a covenant referred to in clause (i) or (ii) or included in the Indenture for the sole benefit of a series of Securities other than the Notes), and continuance of such default for a period of 90 days (or, in the case of a default under the covenant in Section 704 of the Indenture, 120 days) after there has been given, by registered or certified mail, to the Company by the Trustee or to the Company and the Trustee by the Holders of at least 25% in principal amount of the Outstanding Securities of all series affected thereby a written notice specifying such default and requiring it to be remedied and stating that such notice is a “Notice of Default” under the Indenture; and (iv) certain events of bankruptcy, insolvency or reorganization with respect to the Issuer. If any Event of Default referred to in clause (i) or (ii) occurs and is continuing, the Trustee or the Holders of at least 25% in principal amount of the then Outstanding Notes may declare all the Notes to be due and payable. If an Event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123" w:name="page124"/>
    <w:bookmarkEnd w:id="12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referred to in clause (iii) occurs and is continuing, the Trustee or the Holders of at least 25% in principal amount of all Outstanding Securities of all series affected by such default, including the Notes, may declare all such Securities to be due and payable. Notwithstanding the foregoing, in the case of an Event of Default referred to in clause (iv), all Outstanding Securities shall become due and payable without further action or notice. Holders may not enforce the Indenture or the Notes except as provided in the Indenture.</w:t>
      </w:r>
    </w:p>
    <w:p>
      <w:pPr>
        <w:spacing w:after="0" w:line="79" w:lineRule="exact"/>
        <w:rPr>
          <w:sz w:val="20"/>
          <w:szCs w:val="20"/>
          <w:color w:val="auto"/>
        </w:rPr>
      </w:pPr>
    </w:p>
    <w:p>
      <w:pPr>
        <w:ind w:left="1200" w:hanging="279"/>
        <w:spacing w:after="0"/>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128" w:lineRule="exact"/>
        <w:rPr>
          <w:rFonts w:ascii="Arial" w:cs="Arial" w:eastAsia="Arial" w:hAnsi="Arial"/>
          <w:sz w:val="17"/>
          <w:szCs w:val="17"/>
          <w:color w:val="auto"/>
        </w:rPr>
      </w:pPr>
    </w:p>
    <w:p>
      <w:pPr>
        <w:ind w:firstLine="921"/>
        <w:spacing w:after="0" w:line="264" w:lineRule="auto"/>
        <w:tabs>
          <w:tab w:leader="none" w:pos="118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73" w:lineRule="exact"/>
        <w:rPr>
          <w:rFonts w:ascii="Arial" w:cs="Arial" w:eastAsia="Arial" w:hAnsi="Arial"/>
          <w:sz w:val="18"/>
          <w:szCs w:val="18"/>
          <w:color w:val="auto"/>
        </w:rPr>
      </w:pPr>
    </w:p>
    <w:p>
      <w:pPr>
        <w:ind w:right="20" w:firstLine="921"/>
        <w:spacing w:after="0" w:line="302" w:lineRule="auto"/>
        <w:tabs>
          <w:tab w:leader="none" w:pos="118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CUSIP and ISIN Numbers</w:t>
      </w:r>
      <w:r>
        <w:rPr>
          <w:rFonts w:ascii="Arial" w:cs="Arial" w:eastAsia="Arial" w:hAnsi="Arial"/>
          <w:sz w:val="16"/>
          <w:szCs w:val="16"/>
          <w:color w:val="auto"/>
        </w:rPr>
        <w:t>. Pursuant to a recommendation promulgated by the Committee on Uniform Security Identification Procedures, the Issuer has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Issuer shall furnish to any Holder upon written request and without charge a copy of the Indenture. Requests may be made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11740 Katy Freeway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Energy Tower 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77079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Agnes Brault, Vice President Treasury and Financing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74" w:right="259" w:bottom="1440" w:gutter="0" w:footer="0" w:header="0"/>
        </w:sectPr>
      </w:pPr>
    </w:p>
    <w:bookmarkStart w:id="124" w:name="page125"/>
    <w:bookmarkEnd w:id="124"/>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w:t>
      </w:r>
    </w:p>
    <w:p>
      <w:pPr>
        <w:spacing w:after="0" w:line="25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-10160</wp:posOffset>
            </wp:positionV>
            <wp:extent cx="2171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7170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126365</wp:posOffset>
            </wp:positionV>
            <wp:extent cx="2000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(Signature must be guaranteed by a financial institution that is a member of the Securities Transfer Agent Medallion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-123190</wp:posOffset>
            </wp:positionV>
            <wp:extent cx="61575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4" w:lineRule="exact"/>
        <w:rPr>
          <w:sz w:val="20"/>
          <w:szCs w:val="20"/>
          <w:color w:val="auto"/>
        </w:rPr>
      </w:pPr>
    </w:p>
    <w:p>
      <w:pPr>
        <w:jc w:val="both"/>
        <w:ind w:left="1840" w:right="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STAMP</w:t>
      </w:r>
      <w:r>
        <w:rPr>
          <w:rFonts w:ascii="Arial" w:cs="Arial" w:eastAsia="Arial" w:hAnsi="Arial"/>
          <w:sz w:val="17"/>
          <w:szCs w:val="17"/>
          <w:color w:val="auto"/>
        </w:rPr>
        <w:t>”), the Stock Exchange Medallion Program (“</w:t>
      </w:r>
      <w:r>
        <w:rPr>
          <w:rFonts w:ascii="Arial" w:cs="Arial" w:eastAsia="Arial" w:hAnsi="Arial"/>
          <w:sz w:val="17"/>
          <w:szCs w:val="17"/>
          <w:u w:val="single" w:color="auto"/>
          <w:color w:val="auto"/>
        </w:rPr>
        <w:t>SEMP</w:t>
      </w:r>
      <w:r>
        <w:rPr>
          <w:rFonts w:ascii="Arial" w:cs="Arial" w:eastAsia="Arial" w:hAnsi="Arial"/>
          <w:sz w:val="17"/>
          <w:szCs w:val="17"/>
          <w:color w:val="auto"/>
        </w:rPr>
        <w:t>”), the New York Stock Exchange, Inc. Medallion Signature Program (“</w:t>
      </w:r>
      <w:r>
        <w:rPr>
          <w:rFonts w:ascii="Arial" w:cs="Arial" w:eastAsia="Arial" w:hAnsi="Arial"/>
          <w:sz w:val="17"/>
          <w:szCs w:val="17"/>
          <w:u w:val="single" w:color="auto"/>
          <w:color w:val="auto"/>
        </w:rPr>
        <w:t>MSP</w:t>
      </w:r>
      <w:r>
        <w:rPr>
          <w:rFonts w:ascii="Arial" w:cs="Arial" w:eastAsia="Arial" w:hAnsi="Arial"/>
          <w:sz w:val="17"/>
          <w:szCs w:val="17"/>
          <w:color w:val="auto"/>
        </w:rPr>
        <w:t>”) or such other signature guarantee program as may be determined by the Security Registrar in addition to, or in substitution for, STAMP, SEMP or MSP, all in accordance with the Securities Exchange Act of 1934, as amended.)</w:t>
      </w:r>
    </w:p>
    <w:p>
      <w:pPr>
        <w:sectPr>
          <w:pgSz w:w="11900" w:h="16838" w:orient="portrait"/>
          <w:cols w:equalWidth="0" w:num="1">
            <w:col w:w="11420"/>
          </w:cols>
          <w:pgMar w:left="240" w:top="270"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 IN THE GLOBAL NOTE</w:t>
      </w:r>
      <w:r>
        <w:rPr>
          <w:rFonts w:ascii="Arial" w:cs="Arial" w:eastAsia="Arial" w:hAnsi="Arial"/>
          <w:sz w:val="15"/>
          <w:szCs w:val="15"/>
          <w:b w:val="1"/>
          <w:bCs w:val="1"/>
          <w:color w:val="auto"/>
        </w:rPr>
        <w:t>6</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original principal amount of this Global Note is $[•]. The following increases or decreases in this Global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w:t>
            </w:r>
          </w:p>
        </w:tc>
        <w:tc>
          <w:tcPr>
            <w:tcW w:w="1960" w:type="dxa"/>
            <w:vAlign w:val="bottom"/>
          </w:tcPr>
          <w:p>
            <w:pPr>
              <w:jc w:val="center"/>
              <w:spacing w:after="0"/>
              <w:rPr>
                <w:sz w:val="20"/>
                <w:szCs w:val="20"/>
                <w:color w:val="auto"/>
              </w:rPr>
            </w:pPr>
            <w:r>
              <w:rPr>
                <w:rFonts w:ascii="Arial" w:cs="Arial" w:eastAsia="Arial" w:hAnsi="Arial"/>
                <w:sz w:val="14"/>
                <w:szCs w:val="14"/>
                <w:color w:val="auto"/>
                <w:w w:val="95"/>
              </w:rPr>
              <w:t>Signature of</w:t>
            </w:r>
          </w:p>
        </w:tc>
      </w:tr>
      <w:tr>
        <w:trPr>
          <w:trHeight w:val="149"/>
        </w:trPr>
        <w:tc>
          <w:tcPr>
            <w:tcW w:w="1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Amount of</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Amount of</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1"/>
              </w:rPr>
              <w:t>authorized</w:t>
            </w:r>
          </w:p>
        </w:tc>
      </w:tr>
      <w:tr>
        <w:trPr>
          <w:trHeight w:val="149"/>
        </w:trPr>
        <w:tc>
          <w:tcPr>
            <w:tcW w:w="1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decrease in</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increase in</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this Global Note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3"/>
              </w:rPr>
              <w:t>signatory of</w:t>
            </w:r>
          </w:p>
        </w:tc>
      </w:tr>
      <w:tr>
        <w:trPr>
          <w:trHeight w:val="149"/>
        </w:trPr>
        <w:tc>
          <w:tcPr>
            <w:tcW w:w="1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Principal Amount</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Principal Amount</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following such</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0"/>
              </w:rPr>
              <w:t>Trustee or Note</w:t>
            </w:r>
          </w:p>
        </w:tc>
      </w:tr>
      <w:tr>
        <w:trPr>
          <w:trHeight w:val="174"/>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Date of Exchange</w:t>
            </w:r>
          </w:p>
        </w:tc>
        <w:tc>
          <w:tcPr>
            <w:tcW w:w="196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 (or increase)</w:t>
            </w:r>
          </w:p>
        </w:tc>
        <w:tc>
          <w:tcPr>
            <w:tcW w:w="1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ectPr>
          <w:pgSz w:w="11900" w:h="16838" w:orient="portrait"/>
          <w:cols w:equalWidth="0" w:num="1">
            <w:col w:w="11420"/>
          </w:cols>
          <w:pgMar w:left="240" w:top="27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UPON EXCHANGE 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3.45% Senior Notes due 2022 (the “</w:t>
      </w:r>
      <w:r>
        <w:rPr>
          <w:rFonts w:ascii="Arial" w:cs="Arial" w:eastAsia="Arial" w:hAnsi="Arial"/>
          <w:sz w:val="18"/>
          <w:szCs w:val="18"/>
          <w:u w:val="single" w:color="auto"/>
          <w:color w:val="auto"/>
        </w:rPr>
        <w:t>Notes</w:t>
      </w:r>
      <w:r>
        <w:rPr>
          <w:rFonts w:ascii="Arial" w:cs="Arial" w:eastAsia="Arial" w:hAnsi="Arial"/>
          <w:sz w:val="18"/>
          <w:szCs w:val="18"/>
          <w:color w:val="auto"/>
        </w:rPr>
        <w:t>”) of TechnipFMC plc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This Certificate relates to $ principal amount of Notes held in book-entry or definitive form by (the “</w:t>
      </w:r>
      <w:r>
        <w:rPr>
          <w:rFonts w:ascii="Arial" w:cs="Arial" w:eastAsia="Arial" w:hAnsi="Arial"/>
          <w:sz w:val="18"/>
          <w:szCs w:val="18"/>
          <w:u w:val="single" w:color="auto"/>
          <w:color w:val="auto"/>
        </w:rPr>
        <w:t>Transferor</w:t>
      </w:r>
      <w:r>
        <w:rPr>
          <w:rFonts w:ascii="Arial" w:cs="Arial" w:eastAsia="Arial" w:hAnsi="Arial"/>
          <w:sz w:val="18"/>
          <w:szCs w:val="18"/>
          <w:color w:val="auto"/>
        </w:rPr>
        <w:t>”). The Transferor has requested the Security Registrar by written order to exchange or register the transfer of a Note or Notes or beneficial interests therein (the “</w:t>
      </w: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connection with such request and in respect of each such Note or beneficial interest therein, the Transferor does hereby certify that the Transferor is familiar with the Indenture relating to the above-captioned Notes and that the Transfer does not require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because: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30"/>
              <w:spacing w:after="0"/>
              <w:rPr>
                <w:sz w:val="20"/>
                <w:szCs w:val="20"/>
                <w:color w:val="auto"/>
              </w:rPr>
            </w:pPr>
            <w:r>
              <w:rPr>
                <w:rFonts w:ascii="Arial" w:cs="Arial" w:eastAsia="Arial" w:hAnsi="Arial"/>
                <w:sz w:val="18"/>
                <w:szCs w:val="18"/>
                <w:color w:val="auto"/>
                <w:w w:val="87"/>
              </w:rPr>
              <w:t>_____</w:t>
            </w: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rPr>
              <w:t>Such Note or beneficial interest is being acquired for the Transferor’s own account without transfer.</w:t>
            </w:r>
          </w:p>
        </w:tc>
      </w:tr>
      <w:tr>
        <w:trPr>
          <w:trHeight w:val="310"/>
        </w:trPr>
        <w:tc>
          <w:tcPr>
            <w:tcW w:w="580" w:type="dxa"/>
            <w:vAlign w:val="bottom"/>
          </w:tcPr>
          <w:p>
            <w:pPr>
              <w:jc w:val="right"/>
              <w:ind w:right="30"/>
              <w:spacing w:after="0"/>
              <w:rPr>
                <w:sz w:val="20"/>
                <w:szCs w:val="20"/>
                <w:color w:val="auto"/>
              </w:rPr>
            </w:pPr>
            <w:r>
              <w:rPr>
                <w:rFonts w:ascii="Arial" w:cs="Arial" w:eastAsia="Arial" w:hAnsi="Arial"/>
                <w:sz w:val="18"/>
                <w:szCs w:val="18"/>
                <w:color w:val="auto"/>
                <w:w w:val="87"/>
              </w:rPr>
              <w:t>_____</w:t>
            </w: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w w:val="94"/>
              </w:rPr>
              <w:t>Such Note or beneficial interest is being transferred to (i) a “qualified institutional buyer” (as defined in Rule 144A under the Securities Act), in</w:t>
            </w:r>
          </w:p>
        </w:tc>
      </w:tr>
      <w:tr>
        <w:trPr>
          <w:trHeight w:val="216"/>
        </w:trPr>
        <w:tc>
          <w:tcPr>
            <w:tcW w:w="580" w:type="dxa"/>
            <w:vAlign w:val="bottom"/>
          </w:tcPr>
          <w:p>
            <w:pPr>
              <w:spacing w:after="0"/>
              <w:rPr>
                <w:sz w:val="18"/>
                <w:szCs w:val="18"/>
                <w:color w:val="auto"/>
              </w:rPr>
            </w:pP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w w:val="94"/>
              </w:rPr>
              <w:t>accordance with Rule 144A under the Securities Act, that is purchasing for its own account or for the account of another qualified institutional</w:t>
            </w:r>
          </w:p>
        </w:tc>
      </w:tr>
      <w:tr>
        <w:trPr>
          <w:trHeight w:val="216"/>
        </w:trPr>
        <w:tc>
          <w:tcPr>
            <w:tcW w:w="580" w:type="dxa"/>
            <w:vAlign w:val="bottom"/>
          </w:tcPr>
          <w:p>
            <w:pPr>
              <w:spacing w:after="0"/>
              <w:rPr>
                <w:sz w:val="18"/>
                <w:szCs w:val="18"/>
                <w:color w:val="auto"/>
              </w:rPr>
            </w:pP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w w:val="92"/>
              </w:rPr>
              <w:t>buyer, in each case to whom notice is given that the Transfer is being made in reliance on Rule 144A; or (ii) to a non-U.S. person in an offshore</w:t>
            </w:r>
          </w:p>
        </w:tc>
      </w:tr>
      <w:tr>
        <w:trPr>
          <w:trHeight w:val="216"/>
        </w:trPr>
        <w:tc>
          <w:tcPr>
            <w:tcW w:w="580" w:type="dxa"/>
            <w:vAlign w:val="bottom"/>
          </w:tcPr>
          <w:p>
            <w:pPr>
              <w:spacing w:after="0"/>
              <w:rPr>
                <w:sz w:val="18"/>
                <w:szCs w:val="18"/>
                <w:color w:val="auto"/>
              </w:rPr>
            </w:pP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w w:val="90"/>
              </w:rPr>
              <w:t>transaction in accordance with Rule 903 or Rule 904 of Regulation S under the Securities Act (and in the case of clause (ii), based upon an opinion</w:t>
            </w:r>
          </w:p>
        </w:tc>
      </w:tr>
      <w:tr>
        <w:trPr>
          <w:trHeight w:val="190"/>
        </w:trPr>
        <w:tc>
          <w:tcPr>
            <w:tcW w:w="580" w:type="dxa"/>
            <w:vAlign w:val="bottom"/>
          </w:tcPr>
          <w:p>
            <w:pPr>
              <w:spacing w:after="0"/>
              <w:rPr>
                <w:sz w:val="16"/>
                <w:szCs w:val="16"/>
                <w:color w:val="auto"/>
              </w:rPr>
            </w:pPr>
          </w:p>
        </w:tc>
        <w:tc>
          <w:tcPr>
            <w:tcW w:w="10700" w:type="dxa"/>
            <w:vAlign w:val="bottom"/>
            <w:gridSpan w:val="3"/>
          </w:tcPr>
          <w:p>
            <w:pPr>
              <w:ind w:left="120"/>
              <w:spacing w:after="0" w:line="190" w:lineRule="exact"/>
              <w:rPr>
                <w:sz w:val="20"/>
                <w:szCs w:val="20"/>
                <w:color w:val="auto"/>
              </w:rPr>
            </w:pPr>
            <w:r>
              <w:rPr>
                <w:rFonts w:ascii="Arial" w:cs="Arial" w:eastAsia="Arial" w:hAnsi="Arial"/>
                <w:sz w:val="18"/>
                <w:szCs w:val="18"/>
                <w:color w:val="auto"/>
                <w:w w:val="95"/>
              </w:rPr>
              <w:t>of counsel if the Company or the Trustee so requests, together with a certification in substantially the form of Exhibit C to the Supplemental</w:t>
            </w:r>
          </w:p>
        </w:tc>
      </w:tr>
      <w:tr>
        <w:trPr>
          <w:trHeight w:val="237"/>
        </w:trPr>
        <w:tc>
          <w:tcPr>
            <w:tcW w:w="580" w:type="dxa"/>
            <w:vAlign w:val="bottom"/>
          </w:tcPr>
          <w:p>
            <w:pPr>
              <w:spacing w:after="0"/>
              <w:rPr>
                <w:sz w:val="20"/>
                <w:szCs w:val="20"/>
                <w:color w:val="auto"/>
              </w:rPr>
            </w:pPr>
          </w:p>
        </w:tc>
        <w:tc>
          <w:tcPr>
            <w:tcW w:w="8020" w:type="dxa"/>
            <w:vAlign w:val="bottom"/>
          </w:tcPr>
          <w:p>
            <w:pPr>
              <w:ind w:left="120"/>
              <w:spacing w:after="0"/>
              <w:rPr>
                <w:sz w:val="20"/>
                <w:szCs w:val="20"/>
                <w:color w:val="auto"/>
              </w:rPr>
            </w:pPr>
            <w:r>
              <w:rPr>
                <w:rFonts w:ascii="Arial" w:cs="Arial" w:eastAsia="Arial" w:hAnsi="Arial"/>
                <w:sz w:val="18"/>
                <w:szCs w:val="18"/>
                <w:color w:val="auto"/>
              </w:rPr>
              <w:t>Indenture setting forth the terms of the Notes pursuant to the Indenture).</w:t>
            </w:r>
          </w:p>
        </w:tc>
        <w:tc>
          <w:tcPr>
            <w:tcW w:w="700" w:type="dxa"/>
            <w:vAlign w:val="bottom"/>
            <w:tcBorders>
              <w:top w:val="single" w:sz="8" w:color="auto"/>
            </w:tcBorders>
          </w:tcPr>
          <w:p>
            <w:pPr>
              <w:spacing w:after="0"/>
              <w:rPr>
                <w:sz w:val="20"/>
                <w:szCs w:val="20"/>
                <w:color w:val="auto"/>
              </w:rPr>
            </w:pPr>
          </w:p>
        </w:tc>
        <w:tc>
          <w:tcPr>
            <w:tcW w:w="1980" w:type="dxa"/>
            <w:vAlign w:val="bottom"/>
          </w:tcPr>
          <w:p>
            <w:pPr>
              <w:spacing w:after="0"/>
              <w:rPr>
                <w:sz w:val="20"/>
                <w:szCs w:val="20"/>
                <w:color w:val="auto"/>
              </w:rPr>
            </w:pPr>
          </w:p>
        </w:tc>
      </w:tr>
      <w:tr>
        <w:trPr>
          <w:trHeight w:val="310"/>
        </w:trPr>
        <w:tc>
          <w:tcPr>
            <w:tcW w:w="580" w:type="dxa"/>
            <w:vAlign w:val="bottom"/>
          </w:tcPr>
          <w:p>
            <w:pPr>
              <w:jc w:val="right"/>
              <w:ind w:right="30"/>
              <w:spacing w:after="0"/>
              <w:rPr>
                <w:sz w:val="20"/>
                <w:szCs w:val="20"/>
                <w:color w:val="auto"/>
              </w:rPr>
            </w:pPr>
            <w:r>
              <w:rPr>
                <w:rFonts w:ascii="Arial" w:cs="Arial" w:eastAsia="Arial" w:hAnsi="Arial"/>
                <w:sz w:val="18"/>
                <w:szCs w:val="18"/>
                <w:color w:val="auto"/>
                <w:w w:val="87"/>
              </w:rPr>
              <w:t>_____</w:t>
            </w: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w w:val="91"/>
              </w:rPr>
              <w:t>Such Note or beneficial interest is being transferred pursuant to (i) an exemption from the registration requirements of the Securities Act provided</w:t>
            </w:r>
          </w:p>
        </w:tc>
      </w:tr>
      <w:tr>
        <w:trPr>
          <w:trHeight w:val="230"/>
        </w:trPr>
        <w:tc>
          <w:tcPr>
            <w:tcW w:w="580" w:type="dxa"/>
            <w:vAlign w:val="bottom"/>
          </w:tcPr>
          <w:p>
            <w:pPr>
              <w:spacing w:after="0"/>
              <w:rPr>
                <w:sz w:val="20"/>
                <w:szCs w:val="20"/>
                <w:color w:val="auto"/>
              </w:rPr>
            </w:pP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rPr>
              <w:t>by Rule 144 or (ii) an effective registration statement under the Securities Act.</w:t>
            </w:r>
          </w:p>
        </w:tc>
      </w:tr>
      <w:tr>
        <w:trPr>
          <w:trHeight w:val="310"/>
        </w:trPr>
        <w:tc>
          <w:tcPr>
            <w:tcW w:w="580" w:type="dxa"/>
            <w:vAlign w:val="bottom"/>
          </w:tcPr>
          <w:p>
            <w:pPr>
              <w:jc w:val="right"/>
              <w:ind w:right="30"/>
              <w:spacing w:after="0"/>
              <w:rPr>
                <w:sz w:val="20"/>
                <w:szCs w:val="20"/>
                <w:color w:val="auto"/>
              </w:rPr>
            </w:pPr>
            <w:r>
              <w:rPr>
                <w:rFonts w:ascii="Arial" w:cs="Arial" w:eastAsia="Arial" w:hAnsi="Arial"/>
                <w:sz w:val="18"/>
                <w:szCs w:val="18"/>
                <w:color w:val="auto"/>
                <w:w w:val="87"/>
              </w:rPr>
              <w:t>_____</w:t>
            </w: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w w:val="91"/>
              </w:rPr>
              <w:t>Such Note or beneficial interest is being transferred in reliance on and in compliance with another exemption from the registration requirements of</w:t>
            </w:r>
          </w:p>
        </w:tc>
      </w:tr>
      <w:tr>
        <w:trPr>
          <w:trHeight w:val="230"/>
        </w:trPr>
        <w:tc>
          <w:tcPr>
            <w:tcW w:w="580" w:type="dxa"/>
            <w:vAlign w:val="bottom"/>
          </w:tcPr>
          <w:p>
            <w:pPr>
              <w:spacing w:after="0"/>
              <w:rPr>
                <w:sz w:val="20"/>
                <w:szCs w:val="20"/>
                <w:color w:val="auto"/>
              </w:rPr>
            </w:pPr>
          </w:p>
        </w:tc>
        <w:tc>
          <w:tcPr>
            <w:tcW w:w="10700" w:type="dxa"/>
            <w:vAlign w:val="bottom"/>
            <w:gridSpan w:val="3"/>
          </w:tcPr>
          <w:p>
            <w:pPr>
              <w:ind w:left="120"/>
              <w:spacing w:after="0"/>
              <w:rPr>
                <w:sz w:val="20"/>
                <w:szCs w:val="20"/>
                <w:color w:val="auto"/>
              </w:rPr>
            </w:pPr>
            <w:r>
              <w:rPr>
                <w:rFonts w:ascii="Arial" w:cs="Arial" w:eastAsia="Arial" w:hAnsi="Arial"/>
                <w:sz w:val="18"/>
                <w:szCs w:val="18"/>
                <w:color w:val="auto"/>
              </w:rPr>
              <w:t>the Securities Act (and based upon an opinion of counsel if the Company so requests).</w:t>
            </w:r>
          </w:p>
        </w:tc>
      </w:tr>
      <w:tr>
        <w:trPr>
          <w:trHeight w:val="486"/>
        </w:trPr>
        <w:tc>
          <w:tcPr>
            <w:tcW w:w="580" w:type="dxa"/>
            <w:vAlign w:val="bottom"/>
          </w:tcPr>
          <w:p>
            <w:pPr>
              <w:spacing w:after="0"/>
              <w:rPr>
                <w:sz w:val="24"/>
                <w:szCs w:val="24"/>
                <w:color w:val="auto"/>
              </w:rPr>
            </w:pPr>
          </w:p>
        </w:tc>
        <w:tc>
          <w:tcPr>
            <w:tcW w:w="10700" w:type="dxa"/>
            <w:vAlign w:val="bottom"/>
            <w:gridSpan w:val="3"/>
          </w:tcPr>
          <w:p>
            <w:pPr>
              <w:ind w:left="5000"/>
              <w:spacing w:after="0"/>
              <w:rPr>
                <w:sz w:val="20"/>
                <w:szCs w:val="20"/>
                <w:color w:val="auto"/>
              </w:rPr>
            </w:pPr>
            <w:r>
              <w:rPr>
                <w:rFonts w:ascii="Arial" w:cs="Arial" w:eastAsia="Arial" w:hAnsi="Arial"/>
                <w:sz w:val="18"/>
                <w:szCs w:val="18"/>
                <w:color w:val="auto"/>
              </w:rPr>
              <w:t>B-1</w:t>
            </w:r>
          </w:p>
        </w:tc>
      </w:tr>
    </w:tbl>
    <w:p>
      <w:pPr>
        <w:sectPr>
          <w:pgSz w:w="11900" w:h="16838" w:orient="portrait"/>
          <w:cols w:equalWidth="0" w:num="1">
            <w:col w:w="11420"/>
          </w:cols>
          <w:pgMar w:left="240" w:top="270"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Fill in blank or check appropriate item, as applicable.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[INSERT NAME OF TRANSFEROR]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219"/>
          </w:cols>
          <w:pgMar w:left="240" w:top="274"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TO BE DELIVERED IN CONNECTION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3.45% Senior Notes due 2022 (the “</w:t>
      </w:r>
      <w:r>
        <w:rPr>
          <w:rFonts w:ascii="Arial" w:cs="Arial" w:eastAsia="Arial" w:hAnsi="Arial"/>
          <w:sz w:val="18"/>
          <w:szCs w:val="18"/>
          <w:u w:val="single" w:color="auto"/>
          <w:color w:val="auto"/>
        </w:rPr>
        <w:t>Notes</w:t>
      </w:r>
      <w:r>
        <w:rPr>
          <w:rFonts w:ascii="Arial" w:cs="Arial" w:eastAsia="Arial" w:hAnsi="Arial"/>
          <w:sz w:val="18"/>
          <w:szCs w:val="18"/>
          <w:color w:val="auto"/>
        </w:rPr>
        <w:t>”) of TechnipFMC plc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460"/>
        <w:spacing w:after="0"/>
        <w:tabs>
          <w:tab w:leader="none" w:pos="3340" w:val="left"/>
        </w:tabs>
        <w:rPr>
          <w:sz w:val="20"/>
          <w:szCs w:val="20"/>
          <w:color w:val="auto"/>
        </w:rPr>
      </w:pPr>
      <w:r>
        <w:rPr>
          <w:rFonts w:ascii="Arial" w:cs="Arial" w:eastAsia="Arial" w:hAnsi="Arial"/>
          <w:sz w:val="18"/>
          <w:szCs w:val="18"/>
          <w:color w:val="auto"/>
        </w:rPr>
        <w:t>This Certificate relates to $</w:t>
      </w:r>
      <w:r>
        <w:rPr>
          <w:sz w:val="20"/>
          <w:szCs w:val="20"/>
          <w:color w:val="auto"/>
        </w:rPr>
        <w:tab/>
      </w:r>
      <w:r>
        <w:rPr>
          <w:rFonts w:ascii="Arial" w:cs="Arial" w:eastAsia="Arial" w:hAnsi="Arial"/>
          <w:sz w:val="16"/>
          <w:szCs w:val="16"/>
          <w:color w:val="auto"/>
        </w:rPr>
        <w:t>principal amount of Notes held in book-entry form by (the “</w:t>
      </w:r>
      <w:r>
        <w:rPr>
          <w:rFonts w:ascii="Arial" w:cs="Arial" w:eastAsia="Arial" w:hAnsi="Arial"/>
          <w:sz w:val="16"/>
          <w:szCs w:val="16"/>
          <w:u w:val="single" w:color="auto"/>
          <w:color w:val="auto"/>
        </w:rPr>
        <w:t>Transferor</w:t>
      </w:r>
      <w:r>
        <w:rPr>
          <w:rFonts w:ascii="Arial" w:cs="Arial" w:eastAsia="Arial" w:hAnsi="Arial"/>
          <w:sz w:val="16"/>
          <w:szCs w:val="16"/>
          <w:color w:val="auto"/>
        </w:rPr>
        <w:t>”).</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The Transferor has requested the Security Registrar by written order to exchange or register the transfer of a Note or Notes or beneficial interests therein (the “</w:t>
      </w:r>
      <w:r>
        <w:rPr>
          <w:rFonts w:ascii="Arial" w:cs="Arial" w:eastAsia="Arial" w:hAnsi="Arial"/>
          <w:sz w:val="18"/>
          <w:szCs w:val="18"/>
          <w:u w:val="single" w:color="auto"/>
          <w:color w:val="auto"/>
        </w:rPr>
        <w:t>Transfer</w:t>
      </w:r>
      <w:r>
        <w:rPr>
          <w:rFonts w:ascii="Arial" w:cs="Arial" w:eastAsia="Arial" w:hAnsi="Arial"/>
          <w:sz w:val="18"/>
          <w:szCs w:val="18"/>
          <w:color w:val="auto"/>
        </w:rPr>
        <w:t>”) for an interest in the Regulation S Global Note to be held with [Euroclear] [Clearstream] through the Depositary (in each case as defined in the Indenture related to the above-referenced Notes).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connection with such request and in respect of each such Note or beneficial interest therein, the Transferor does hereby certify that the Transferor is familiar with such Indenture and that:</w:t>
      </w:r>
    </w:p>
    <w:p>
      <w:pPr>
        <w:spacing w:after="0" w:line="62" w:lineRule="exact"/>
        <w:rPr>
          <w:sz w:val="20"/>
          <w:szCs w:val="20"/>
          <w:color w:val="auto"/>
        </w:rPr>
      </w:pPr>
    </w:p>
    <w:p>
      <w:pPr>
        <w:ind w:right="100" w:firstLine="464"/>
        <w:spacing w:after="0" w:line="277"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offer of such Notes or beneficial interests was not made to a person in the United States or for the benefit of a person in the United States (other than an Initial Purchaser);</w:t>
      </w:r>
    </w:p>
    <w:p>
      <w:pPr>
        <w:spacing w:after="0" w:line="62" w:lineRule="exact"/>
        <w:rPr>
          <w:rFonts w:ascii="Arial" w:cs="Arial" w:eastAsia="Arial" w:hAnsi="Arial"/>
          <w:sz w:val="18"/>
          <w:szCs w:val="18"/>
          <w:color w:val="auto"/>
        </w:rPr>
      </w:pPr>
    </w:p>
    <w:p>
      <w:pPr>
        <w:ind w:right="120" w:firstLine="464"/>
        <w:spacing w:after="0" w:line="312" w:lineRule="auto"/>
        <w:tabs>
          <w:tab w:leader="none" w:pos="71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at the time the buy order was originated, the transferee was outside the United States or the Transferor and any person acting on its behalf reasonably believed that the transferee was outside the United States; or the transaction was executed in, on or through the facilities of a designated offshore securities market and neither the Transferor nor any person acting on its behalf knows that the transaction was prearranged with a buyer in the United States;</w:t>
      </w:r>
    </w:p>
    <w:p>
      <w:pPr>
        <w:spacing w:after="0" w:line="38" w:lineRule="exact"/>
        <w:rPr>
          <w:rFonts w:ascii="Arial" w:cs="Arial" w:eastAsia="Arial" w:hAnsi="Arial"/>
          <w:sz w:val="16"/>
          <w:szCs w:val="16"/>
          <w:color w:val="auto"/>
        </w:rPr>
      </w:pPr>
    </w:p>
    <w:p>
      <w:pPr>
        <w:ind w:right="60" w:firstLine="464"/>
        <w:spacing w:after="0" w:line="277"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directed selling efforts have been made by the Transferor in the United States in contravention of the requirements of Rule 903(a) or Rule 904(a) of Regulation S under the U.S.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as applicable;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 and</w:t>
      </w:r>
    </w:p>
    <w:p>
      <w:pPr>
        <w:spacing w:after="0" w:line="117" w:lineRule="exact"/>
        <w:rPr>
          <w:rFonts w:ascii="Arial" w:cs="Arial" w:eastAsia="Arial" w:hAnsi="Arial"/>
          <w:sz w:val="18"/>
          <w:szCs w:val="18"/>
          <w:color w:val="auto"/>
        </w:rPr>
      </w:pPr>
    </w:p>
    <w:p>
      <w:pPr>
        <w:ind w:right="160" w:firstLine="464"/>
        <w:spacing w:after="0" w:line="259"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proposed transfer is being made prior to the expiration of a 40-day “distribution compliance period” as defined in Regulation S under the Securities Act, the transfer is being made (a) to a person that is not a U.S. person or for the account or benefit of a person that is not a U.S. person within the meaning of Regulation S under the Securities Act; or (b) to a “qualified institutional buyer” within the meaning of Rule 144A under the Securities Act, in each case that holds such Note or beneficial interests through [Euroclear] [Clearstream].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129" w:name="page130"/>
    <w:bookmarkEnd w:id="12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[INSERT NAME OF TRANSFEROR]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-130810</wp:posOffset>
            </wp:positionV>
            <wp:extent cx="26930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w:t>
      </w:r>
    </w:p>
    <w:p>
      <w:pPr>
        <w:sectPr>
          <w:pgSz w:w="11900" w:h="16838" w:orient="portrait"/>
          <w:cols w:equalWidth="0" w:num="1">
            <w:col w:w="9019"/>
          </w:cols>
          <w:pgMar w:left="1440" w:top="274"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left="1760" w:right="2960"/>
        <w:spacing w:after="0" w:line="275" w:lineRule="auto"/>
        <w:rPr>
          <w:sz w:val="20"/>
          <w:szCs w:val="20"/>
          <w:color w:val="auto"/>
        </w:rPr>
      </w:pPr>
      <w:r>
        <w:rPr>
          <w:rFonts w:ascii="Arial" w:cs="Arial" w:eastAsia="Arial" w:hAnsi="Arial"/>
          <w:sz w:val="18"/>
          <w:szCs w:val="18"/>
          <w:b w:val="1"/>
          <w:bCs w:val="1"/>
          <w:color w:val="auto"/>
        </w:rPr>
        <w:t>MERRILL LYNCH, PIERCE, FENNER &amp; SMITH INCORPORATED WELLS FARGO SECURITIES, LLC, as Dealer Managers</w:t>
      </w:r>
    </w:p>
    <w:p>
      <w:pPr>
        <w:spacing w:after="0" w:line="39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22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this 29th day of March, 2017, by and among TechnipFMC plc, an England and Wales private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Merrill Lynch, Pierce, Fenner &amp; Smith Incorporated (“</w:t>
      </w:r>
      <w:r>
        <w:rPr>
          <w:rFonts w:ascii="Arial" w:cs="Arial" w:eastAsia="Arial" w:hAnsi="Arial"/>
          <w:sz w:val="18"/>
          <w:szCs w:val="18"/>
          <w:u w:val="single" w:color="auto"/>
          <w:color w:val="auto"/>
        </w:rPr>
        <w:t>Merrill Lynch</w:t>
      </w:r>
      <w:r>
        <w:rPr>
          <w:rFonts w:ascii="Arial" w:cs="Arial" w:eastAsia="Arial" w:hAnsi="Arial"/>
          <w:sz w:val="18"/>
          <w:szCs w:val="18"/>
          <w:color w:val="auto"/>
        </w:rPr>
        <w:t>”) and Wells Fargo Securities, LLC (“</w:t>
      </w:r>
      <w:r>
        <w:rPr>
          <w:rFonts w:ascii="Arial" w:cs="Arial" w:eastAsia="Arial" w:hAnsi="Arial"/>
          <w:sz w:val="18"/>
          <w:szCs w:val="18"/>
          <w:u w:val="single" w:color="auto"/>
          <w:color w:val="auto"/>
        </w:rPr>
        <w:t>Wells Fargo</w:t>
      </w:r>
      <w:r>
        <w:rPr>
          <w:rFonts w:ascii="Arial" w:cs="Arial" w:eastAsia="Arial" w:hAnsi="Arial"/>
          <w:sz w:val="18"/>
          <w:szCs w:val="18"/>
          <w:color w:val="auto"/>
        </w:rPr>
        <w:t>” and, together with Merrill Lynch, the “</w:t>
      </w:r>
      <w:r>
        <w:rPr>
          <w:rFonts w:ascii="Arial" w:cs="Arial" w:eastAsia="Arial" w:hAnsi="Arial"/>
          <w:sz w:val="18"/>
          <w:szCs w:val="18"/>
          <w:u w:val="single" w:color="auto"/>
          <w:color w:val="auto"/>
        </w:rPr>
        <w:t>Dealer Managers</w:t>
      </w:r>
      <w:r>
        <w:rPr>
          <w:rFonts w:ascii="Arial" w:cs="Arial" w:eastAsia="Arial" w:hAnsi="Arial"/>
          <w:sz w:val="18"/>
          <w:szCs w:val="18"/>
          <w:color w:val="auto"/>
        </w:rPr>
        <w:t>”).</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is made pursuant to the Offering Memorandum and Consent Solicitation Statement dated February 28, 2017 (as amended or supplemented, the “</w:t>
      </w:r>
      <w:r>
        <w:rPr>
          <w:rFonts w:ascii="Arial" w:cs="Arial" w:eastAsia="Arial" w:hAnsi="Arial"/>
          <w:sz w:val="17"/>
          <w:szCs w:val="17"/>
          <w:u w:val="single" w:color="auto"/>
          <w:color w:val="auto"/>
        </w:rPr>
        <w:t>Offering Memorandum</w:t>
      </w:r>
      <w:r>
        <w:rPr>
          <w:rFonts w:ascii="Arial" w:cs="Arial" w:eastAsia="Arial" w:hAnsi="Arial"/>
          <w:sz w:val="17"/>
          <w:szCs w:val="17"/>
          <w:color w:val="auto"/>
        </w:rPr>
        <w:t>”), which provides for the offer by the Company to exchange any and all of the outstanding 2.00% Senior Notes due 2017 (the “</w:t>
      </w:r>
      <w:r>
        <w:rPr>
          <w:rFonts w:ascii="Arial" w:cs="Arial" w:eastAsia="Arial" w:hAnsi="Arial"/>
          <w:sz w:val="17"/>
          <w:szCs w:val="17"/>
          <w:u w:val="single" w:color="auto"/>
          <w:color w:val="auto"/>
        </w:rPr>
        <w:t>Existing 2017 Notes</w:t>
      </w:r>
      <w:r>
        <w:rPr>
          <w:rFonts w:ascii="Arial" w:cs="Arial" w:eastAsia="Arial" w:hAnsi="Arial"/>
          <w:sz w:val="17"/>
          <w:szCs w:val="17"/>
          <w:color w:val="auto"/>
        </w:rPr>
        <w:t>”) and the 3.45% Senior Notes due 2022 (the “</w:t>
      </w:r>
      <w:r>
        <w:rPr>
          <w:rFonts w:ascii="Arial" w:cs="Arial" w:eastAsia="Arial" w:hAnsi="Arial"/>
          <w:sz w:val="17"/>
          <w:szCs w:val="17"/>
          <w:u w:val="single" w:color="auto"/>
          <w:color w:val="auto"/>
        </w:rPr>
        <w:t>Existing 2022 Notes</w:t>
      </w:r>
      <w:r>
        <w:rPr>
          <w:rFonts w:ascii="Arial" w:cs="Arial" w:eastAsia="Arial" w:hAnsi="Arial"/>
          <w:sz w:val="17"/>
          <w:szCs w:val="17"/>
          <w:color w:val="auto"/>
        </w:rPr>
        <w:t>” and, together with the Existing 2017 Notes, the “</w:t>
      </w:r>
      <w:r>
        <w:rPr>
          <w:rFonts w:ascii="Arial" w:cs="Arial" w:eastAsia="Arial" w:hAnsi="Arial"/>
          <w:sz w:val="17"/>
          <w:szCs w:val="17"/>
          <w:u w:val="single" w:color="auto"/>
          <w:color w:val="auto"/>
        </w:rPr>
        <w:t>Existing FMCTI Notes</w:t>
      </w:r>
      <w:r>
        <w:rPr>
          <w:rFonts w:ascii="Arial" w:cs="Arial" w:eastAsia="Arial" w:hAnsi="Arial"/>
          <w:sz w:val="17"/>
          <w:szCs w:val="17"/>
          <w:color w:val="auto"/>
        </w:rPr>
        <w:t>”) issued by FMC Technologies, Inc., a Delaware corporation and a wholly-owned subsidiary of the Company (“</w:t>
      </w:r>
      <w:r>
        <w:rPr>
          <w:rFonts w:ascii="Arial" w:cs="Arial" w:eastAsia="Arial" w:hAnsi="Arial"/>
          <w:sz w:val="17"/>
          <w:szCs w:val="17"/>
          <w:u w:val="single" w:color="auto"/>
          <w:color w:val="auto"/>
        </w:rPr>
        <w:t>FMCTI</w:t>
      </w:r>
      <w:r>
        <w:rPr>
          <w:rFonts w:ascii="Arial" w:cs="Arial" w:eastAsia="Arial" w:hAnsi="Arial"/>
          <w:sz w:val="17"/>
          <w:szCs w:val="17"/>
          <w:color w:val="auto"/>
        </w:rPr>
        <w:t>”), in exchange for newly issued 2.00% Senior Notes due 2017 (the “</w:t>
      </w:r>
      <w:r>
        <w:rPr>
          <w:rFonts w:ascii="Arial" w:cs="Arial" w:eastAsia="Arial" w:hAnsi="Arial"/>
          <w:sz w:val="17"/>
          <w:szCs w:val="17"/>
          <w:u w:val="single" w:color="auto"/>
          <w:color w:val="auto"/>
        </w:rPr>
        <w:t>New 2017 Notes</w:t>
      </w:r>
      <w:r>
        <w:rPr>
          <w:rFonts w:ascii="Arial" w:cs="Arial" w:eastAsia="Arial" w:hAnsi="Arial"/>
          <w:sz w:val="17"/>
          <w:szCs w:val="17"/>
          <w:color w:val="auto"/>
        </w:rPr>
        <w:t>”) and 3.45% Senior Notes due 2022 (the “</w:t>
      </w:r>
      <w:r>
        <w:rPr>
          <w:rFonts w:ascii="Arial" w:cs="Arial" w:eastAsia="Arial" w:hAnsi="Arial"/>
          <w:sz w:val="17"/>
          <w:szCs w:val="17"/>
          <w:u w:val="single" w:color="auto"/>
          <w:color w:val="auto"/>
        </w:rPr>
        <w:t>New 2022 Notes</w:t>
      </w:r>
      <w:r>
        <w:rPr>
          <w:rFonts w:ascii="Arial" w:cs="Arial" w:eastAsia="Arial" w:hAnsi="Arial"/>
          <w:sz w:val="17"/>
          <w:szCs w:val="17"/>
          <w:color w:val="auto"/>
        </w:rPr>
        <w:t>” and, together with the New 2017 Notes, the “</w:t>
      </w:r>
      <w:r>
        <w:rPr>
          <w:rFonts w:ascii="Arial" w:cs="Arial" w:eastAsia="Arial" w:hAnsi="Arial"/>
          <w:sz w:val="17"/>
          <w:szCs w:val="17"/>
          <w:u w:val="single" w:color="auto"/>
          <w:color w:val="auto"/>
        </w:rPr>
        <w:t>New TechnipFMC Notes</w:t>
      </w:r>
      <w:r>
        <w:rPr>
          <w:rFonts w:ascii="Arial" w:cs="Arial" w:eastAsia="Arial" w:hAnsi="Arial"/>
          <w:sz w:val="17"/>
          <w:szCs w:val="17"/>
          <w:color w:val="auto"/>
        </w:rPr>
        <w:t>”), respectively, in each case maturing on the same date as the applicable series of Existing FMCTI Notes for which they are exchanged and cash, on the terms and subject to the conditions set forth in the Offering Memorandum. The New TechnipFMC Notes are to be issued under an indenture, dated as of March 29, 2017, between the Company and U.S. Bank National Association (the “</w:t>
      </w:r>
      <w:r>
        <w:rPr>
          <w:rFonts w:ascii="Arial" w:cs="Arial" w:eastAsia="Arial" w:hAnsi="Arial"/>
          <w:sz w:val="17"/>
          <w:szCs w:val="17"/>
          <w:u w:val="single" w:color="auto"/>
          <w:color w:val="auto"/>
        </w:rPr>
        <w:t>Trustee</w:t>
      </w:r>
      <w:r>
        <w:rPr>
          <w:rFonts w:ascii="Arial" w:cs="Arial" w:eastAsia="Arial" w:hAnsi="Arial"/>
          <w:sz w:val="17"/>
          <w:szCs w:val="17"/>
          <w:color w:val="auto"/>
        </w:rPr>
        <w:t>”) (as may be supplemented or amended from time to time in accordance with the terms thereof, the “</w:t>
      </w:r>
      <w:r>
        <w:rPr>
          <w:rFonts w:ascii="Arial" w:cs="Arial" w:eastAsia="Arial" w:hAnsi="Arial"/>
          <w:sz w:val="17"/>
          <w:szCs w:val="17"/>
          <w:u w:val="single" w:color="auto"/>
          <w:color w:val="auto"/>
        </w:rPr>
        <w:t>Indenture</w:t>
      </w:r>
      <w:r>
        <w:rPr>
          <w:rFonts w:ascii="Arial" w:cs="Arial" w:eastAsia="Arial" w:hAnsi="Arial"/>
          <w:sz w:val="17"/>
          <w:szCs w:val="17"/>
          <w:color w:val="auto"/>
        </w:rPr>
        <w:t>”). The execution of this Agreement is a condition to the consummation of the Original Exchange Offer (as defined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221" w:lineRule="exact"/>
        <w:rPr>
          <w:sz w:val="20"/>
          <w:szCs w:val="20"/>
          <w:color w:val="auto"/>
        </w:rPr>
      </w:pPr>
    </w:p>
    <w:p>
      <w:pPr>
        <w:ind w:left="460" w:right="2900" w:hanging="452"/>
        <w:spacing w:after="0" w:line="407" w:lineRule="auto"/>
        <w:tabs>
          <w:tab w:leader="none" w:pos="18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capitalized defined terms shall have the following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 “affiliate” as that term is defined in Rule 405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shall mean an “automatic shelf registration statement” as that term is defined in Rule 405 under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and shall also include the Company’s successors.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 Managers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Dealer Manager Agreement</w:t>
      </w:r>
      <w:r>
        <w:rPr>
          <w:rFonts w:ascii="Arial" w:cs="Arial" w:eastAsia="Arial" w:hAnsi="Arial"/>
          <w:sz w:val="18"/>
          <w:szCs w:val="18"/>
          <w:color w:val="auto"/>
        </w:rPr>
        <w:t>” means the Dealer Manager Agreement, dated February 28, 2017, by and among the Company, FMCTI and the Dealer Managers.</w:t>
      </w:r>
    </w:p>
    <w:p>
      <w:pPr>
        <w:sectPr>
          <w:pgSz w:w="11900" w:h="16838" w:orient="portrait"/>
          <w:cols w:equalWidth="0" w:num="1">
            <w:col w:w="11400"/>
          </w:cols>
          <w:pgMar w:left="240" w:top="270" w:right="259" w:bottom="1440" w:gutter="0" w:footer="0" w:header="0"/>
        </w:sectPr>
      </w:pPr>
    </w:p>
    <w:bookmarkStart w:id="132" w:name="page133"/>
    <w:bookmarkEnd w:id="132"/>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Depositary</w:t>
      </w:r>
      <w:r>
        <w:rPr>
          <w:rFonts w:ascii="Arial" w:cs="Arial" w:eastAsia="Arial" w:hAnsi="Arial"/>
          <w:sz w:val="18"/>
          <w:szCs w:val="18"/>
          <w:color w:val="auto"/>
        </w:rPr>
        <w:t xml:space="preserve">” shall mean The Depository Trust Company, or any other depositary appointed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depositary must have an address in the Borough of Manhattan, in the City of New York.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shall have the meaning set forth in the Dealer Manager Agreement.</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w:t>
      </w:r>
      <w:r>
        <w:rPr>
          <w:rFonts w:ascii="Arial" w:cs="Arial" w:eastAsia="Arial" w:hAnsi="Arial"/>
          <w:sz w:val="18"/>
          <w:szCs w:val="18"/>
          <w:color w:val="auto"/>
        </w:rPr>
        <w:t xml:space="preserve">” means the offer by the Company to exchange each Series of Registrable Securities for the corresponding Series of Exchange Securities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 Registration Statement</w:t>
      </w:r>
      <w:r>
        <w:rPr>
          <w:rFonts w:ascii="Arial" w:cs="Arial" w:eastAsia="Arial" w:hAnsi="Arial"/>
          <w:sz w:val="18"/>
          <w:szCs w:val="18"/>
          <w:color w:val="auto"/>
        </w:rPr>
        <w:t>” shall mean an exchange offer registration statement on Form S-4 (or, if applicable, on another appropriate form), and all amendments and supplements to such registration statement, including the Prospectus contained therein, all exhibits thereto and all material incorporated or deemed incorporated by reference therein.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Securities</w:t>
      </w:r>
      <w:r>
        <w:rPr>
          <w:rFonts w:ascii="Arial" w:cs="Arial" w:eastAsia="Arial" w:hAnsi="Arial"/>
          <w:sz w:val="16"/>
          <w:szCs w:val="16"/>
          <w:color w:val="auto"/>
        </w:rPr>
        <w:t>” shall mean with respect to each series of New TechnipFMC Notes, a new series of notes maturing on the same date and bearing interest at the same rate per annum as the corresponding series of New TechnipFMC Notes (each such series of Exchange Securities, a “</w:t>
      </w:r>
      <w:r>
        <w:rPr>
          <w:rFonts w:ascii="Arial" w:cs="Arial" w:eastAsia="Arial" w:hAnsi="Arial"/>
          <w:sz w:val="16"/>
          <w:szCs w:val="16"/>
          <w:u w:val="single" w:color="auto"/>
          <w:color w:val="auto"/>
        </w:rPr>
        <w:t>Series of 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in each case issued by the Company under the Indenture, containing terms identical to the applicable series of New TechnipFMC Notes in all material respects (except for references to certain additional interest rate provisions, restrictions on transfers and restrictive legends), to be offered to Holders of the applicable series of New TechnipFMC Notes in exchange for the corresponding Series of Registrable Securities pursuant to the Exchange Offer.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FMCTI</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mean each Person who becomes the registered owner of Registrable Securities under the Indenture and each Participating Broker-Dealer that holds Exchange Securities for so long as such Participating Broker-Dealer is required to deliver a Prospectus meeting the requirements of the Securities Act in connection with any resale of such Exchange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Holders</w:t>
      </w:r>
      <w:r>
        <w:rPr>
          <w:rFonts w:ascii="Arial" w:cs="Arial" w:eastAsia="Arial" w:hAnsi="Arial"/>
          <w:sz w:val="18"/>
          <w:szCs w:val="18"/>
          <w:color w:val="auto"/>
        </w:rPr>
        <w:t xml:space="preserve">” shall mean the Holders of a majority of the aggregate principal amount of Outstanding (as defined in the Indenture) Registrable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whenever the consent or approval of Holders of a specified percentage of Registrable Securities is required hereunder, Registrable Securities held by the Company or any Affiliate of the Company shall be disregarded in determining whether such consent or approval was given by the Holders of such required percentage amount.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Merrill Lynch</w:t>
      </w:r>
      <w:r>
        <w:rPr>
          <w:rFonts w:ascii="Arial" w:cs="Arial" w:eastAsia="Arial" w:hAnsi="Arial"/>
          <w:sz w:val="18"/>
          <w:szCs w:val="18"/>
          <w:color w:val="auto"/>
        </w:rPr>
        <w:t>” shall have the meaning set forth in the preamble.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New TechnipFMC Notes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FMCTI Notes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Exchange Offer</w:t>
      </w:r>
      <w:r>
        <w:rPr>
          <w:rFonts w:ascii="Arial" w:cs="Arial" w:eastAsia="Arial" w:hAnsi="Arial"/>
          <w:sz w:val="18"/>
          <w:szCs w:val="18"/>
          <w:color w:val="auto"/>
        </w:rPr>
        <w:t>” means the offer by the Company to exchange any and all outstanding Existing FMCTI Notes for New TechnipFMC Notes, on the terms and subject to the conditions set forth in the Offering Memorandum.</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Broker-Dealers</w:t>
      </w:r>
      <w:r>
        <w:rPr>
          <w:rFonts w:ascii="Arial" w:cs="Arial" w:eastAsia="Arial" w:hAnsi="Arial"/>
          <w:sz w:val="18"/>
          <w:szCs w:val="18"/>
          <w:color w:val="auto"/>
        </w:rPr>
        <w:t>” shall mean the Dealer Managers and any other broker-dealer which makes a market in the New TechnipFMC Notes and exchanges Registrable Securities in the Exchange Offer for Exchange Securities.</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(general or limited), corporation, limited liability company, trust or unincorporated organization, or a government or agency or political subdivision thereof.</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shall mean the prospectus included in a Registration Statement, including any preliminary prospectus, and any such prospectus as amended or supplemented by any prospectus supplement, including any such prospectus supplement with respect to the terms of the offering of any portion of the Registrable Securities covered by a Shelf Registration Statement, and by all other amendments and supplements to a prospectus, including post-effective amendments, and in each case including all material incorporated or deemed incorporated by reference therein.</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shall mean the New TechnipFMC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New TechnipFMC Notes shall cease to be Registrable Securities when (i) a Registration Statement with respect to such New TechnipFMC Notes shall have been declared or otherwise become effective under the Securities Act and such New TechnipFMC Notes shall have been disposed of pursuant to such Registration Statement, (ii) such New TechnipFMC Notes may be resold without restriction pursuant to Rule l44 (or any similar provision then in force, but not Rule 144A) under the Securities Act, (iii) such New TechnipFMC Notes shall have ceased to be outstanding or (iv) the Exchange Offer is consummated (except in the case of New TechnipFMC Notes which may not be exchanged in the Exchange Offer)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New 2017 Notes shall cease to be Registrable Securities upon the date that is 173 calendar days following the Exchange Date. Each of the series of New TechnipFMC Notes may be referred to herein as a “</w:t>
      </w:r>
      <w:r>
        <w:rPr>
          <w:rFonts w:ascii="Arial" w:cs="Arial" w:eastAsia="Arial" w:hAnsi="Arial"/>
          <w:sz w:val="16"/>
          <w:szCs w:val="16"/>
          <w:u w:val="single" w:color="auto"/>
          <w:color w:val="auto"/>
        </w:rPr>
        <w:t>Series of Registrable Securities.</w:t>
      </w:r>
      <w:r>
        <w:rPr>
          <w:rFonts w:ascii="Arial" w:cs="Arial" w:eastAsia="Arial" w:hAnsi="Arial"/>
          <w:sz w:val="16"/>
          <w:szCs w:val="16"/>
          <w:color w:val="auto"/>
        </w:rPr>
        <w: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Default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mean any and all expenses incident to performance of or compliance by the Company with this Agreement, including without limitation: (i) all SEC or the Financial Industry Regulatory Authority (“</w:t>
      </w:r>
      <w:r>
        <w:rPr>
          <w:rFonts w:ascii="Arial" w:cs="Arial" w:eastAsia="Arial" w:hAnsi="Arial"/>
          <w:sz w:val="18"/>
          <w:szCs w:val="18"/>
          <w:u w:val="single" w:color="auto"/>
          <w:color w:val="auto"/>
        </w:rPr>
        <w:t>FINRA</w:t>
      </w:r>
      <w:r>
        <w:rPr>
          <w:rFonts w:ascii="Arial" w:cs="Arial" w:eastAsia="Arial" w:hAnsi="Arial"/>
          <w:sz w:val="18"/>
          <w:szCs w:val="18"/>
          <w:color w:val="auto"/>
        </w:rPr>
        <w:t>”) registration and filing fees, (ii) all fees and expenses incurred in connection with compliance with state securities or blue sky laws, (iii) all expenses of any Persons in preparing or assisting in preparing, word processing, printing and distributing any Registration Statement, any Prospectus, any amendments or supplements thereto, any underwriting agreements, securities sales agreements and other documents relating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4" w:name="page135"/>
    <w:bookmarkEnd w:id="13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performance of and compliance with this Agreement, (iv) all rating agency fees, (vi) the fees and disbursements of counsel for the Company and of the independent public accountants of the Company, including the expenses of any special audits or “cold comfort” letters required by or incident to such performance and compliance, (vi) the fees and expenses of the Trustee, and any escrow agent or custodian, (vii) the reasonable fees and expenses of counsel to the Dealer Managers in connection therewith, (viii) any fees and disbursements of the underwriters customarily required to be paid by issuers or sellers of securities and the fees and expenses of any special experts retained by the Company in connection with any Registration Statement, but excluding underwriting discounts and commissions and transfer taxes, if any, relating to the sale or disposition of Registrable Securities by a Holder.</w:t>
      </w:r>
    </w:p>
    <w:p>
      <w:pPr>
        <w:spacing w:after="0" w:line="16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shall mean any registration statement of the Company which covers any of the Exchange Securities or Registrable Securities pursuant to the provisions of this Agreement, and all amendments and supplements to any such Registration Statement, including post-effective amendments, in each case including the Prospectus contained therein, all exhibits thereto and all material incorporated or deemed incorporated by reference therein.</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 or any successor agency or government body performing the functions currently performed by the United States Securities and Exchange Commission.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xml:space="preserve">” shall mean a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shall mean a “shelf” registration statement of the Company pursuant to the provisions of </w:t>
      </w:r>
      <w:r>
        <w:rPr>
          <w:rFonts w:ascii="Arial" w:cs="Arial" w:eastAsia="Arial" w:hAnsi="Arial"/>
          <w:sz w:val="18"/>
          <w:szCs w:val="18"/>
          <w:u w:val="single" w:color="auto"/>
          <w:color w:val="auto"/>
        </w:rPr>
        <w:t>Section 2.2</w:t>
      </w:r>
      <w:r>
        <w:rPr>
          <w:rFonts w:ascii="Arial" w:cs="Arial" w:eastAsia="Arial" w:hAnsi="Arial"/>
          <w:sz w:val="18"/>
          <w:szCs w:val="18"/>
          <w:color w:val="auto"/>
        </w:rPr>
        <w:t>, including an Automatic Shelf Registration Statement, if applicable, which covers all of the Registrable Securities on an appropriate form under Rule 415 under the Securities Act, or any similar rule that may be adopted by the SEC, and all amendments and supplements to such Registration Statement, including post-effective amendments, in each case including the Prospectus contained therein, all exhibits thereto and all material incorporated or deemed incorporated by reference therein.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shall have the meaning set forth in the preamble and shall also include any successor trustee under the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shall have the meaning set forth in the preamble.</w:t>
      </w:r>
    </w:p>
    <w:p>
      <w:pPr>
        <w:spacing w:after="0" w:line="329"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Under the Securities Act.</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Exchange Offer</w:t>
      </w:r>
      <w:r>
        <w:rPr>
          <w:rFonts w:ascii="Arial" w:cs="Arial" w:eastAsia="Arial" w:hAnsi="Arial"/>
          <w:sz w:val="18"/>
          <w:szCs w:val="18"/>
          <w:color w:val="auto"/>
        </w:rPr>
        <w:t>. Unless the Exchange Offer would violate applicable law or any applicable interpretation of the staff of the SEC, the Company shall, for the benefit of the Holders, at the Company’s cost, use its commercially reasonable efforts to (A) prepare and not later than 180 calendar days following the Exchange Date, file with the SEC an Exchange Offer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35" w:name="page136"/>
    <w:bookmarkEnd w:id="13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on an appropriate form under the Securities Act with respect to a proposed Exchange Offer and the issuance and delivery to the Holders, in exchange for each Series of Registrable Securities, of a like principal amount of the corresponding Series of Exchange Securities, (B) cause the Exchange Offer Registration Statement to be declared effective under the Securities Act within 255 calendar days of the Exchange Date, (C) keep the Exchange Offer Registration Statement effective until the closing of the Exchange Offer and (D) cause the Exchange Offer to be consummated not later than 365 calendar days following the Exchange Date. After the effectiveness of the Exchange Offer Registration Statement, the Company shall promptly commence the Exchange Offer, it being the objective of such Exchange Offer to enable each Holder eligible and electing to exchange Registrable Securities for Exchange Securities (assuming that such Holder (a) is not an Affiliate of the Company, (b) is not a broker-dealer who tendered Existing FMCTI Notes acquired directly from FMCTI for its own account in exchange for New TechnipFMC Notes, (c) is acquiring the Exchange Securities in the ordinary course of such Holder’s business and (d) is not engaged in and does not intend to engage in and has no arrangements or understandings with any Person to participate in the distribution of the Exchange Securities) to transfer such Exchange Securities from and after their receipt without any limitations or restrictions under the Securities Act and under state securities or blue sky laws.</w:t>
      </w:r>
    </w:p>
    <w:p>
      <w:pPr>
        <w:spacing w:after="0" w:line="18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order to participate in the Exchange Offer, each Holder must represent to the Company at the time of the consummation of the Exchange Offer (which representation shall be contained in the letter of transmittal or other document accompanying the Exchange Offer Registration Statement) that it (i) is not an Affiliate of the Company, (ii) is not a broker-dealer who tendered Existing FMCTI Notes acquired directly from FMCTI for its own account in exchange for New TechnipFMC Notes, (iii) is acquiring the Exchange Securities in the ordinary course of such Holder’s business and (iv) is not engaged in and does not intend to engage in and has no arrangements or understandings with any Person to participate in the distribution of the Exchange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Exchange Offer, the Company shall:</w:t>
      </w:r>
    </w:p>
    <w:p>
      <w:pPr>
        <w:spacing w:after="0" w:line="117" w:lineRule="exact"/>
        <w:rPr>
          <w:sz w:val="20"/>
          <w:szCs w:val="20"/>
          <w:color w:val="auto"/>
        </w:rPr>
      </w:pPr>
    </w:p>
    <w:p>
      <w:pPr>
        <w:ind w:left="460" w:right="740" w:firstLine="443"/>
        <w:spacing w:after="0" w:line="277" w:lineRule="auto"/>
        <w:tabs>
          <w:tab w:leader="none" w:pos="114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make available to each Holder a copy of the Prospectus forming part of the Exchange Offer Registration Statement, together with an appropriate letter of transmittal and related documents;</w:t>
      </w:r>
    </w:p>
    <w:p>
      <w:pPr>
        <w:spacing w:after="0" w:line="62" w:lineRule="exact"/>
        <w:rPr>
          <w:rFonts w:ascii="Arial" w:cs="Arial" w:eastAsia="Arial" w:hAnsi="Arial"/>
          <w:sz w:val="18"/>
          <w:szCs w:val="18"/>
          <w:color w:val="auto"/>
        </w:rPr>
      </w:pPr>
    </w:p>
    <w:p>
      <w:pPr>
        <w:ind w:left="460" w:right="540" w:firstLine="443"/>
        <w:spacing w:after="0" w:line="342" w:lineRule="auto"/>
        <w:tabs>
          <w:tab w:leader="none" w:pos="115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keep the Exchange Offer open for acceptance for a period of not less than 20 business days after the date notice thereof is mailed to the Holders (or longer at the option of the Company or if required by applicable law) (such period referred to herein as the “</w:t>
      </w:r>
      <w:r>
        <w:rPr>
          <w:rFonts w:ascii="Arial" w:cs="Arial" w:eastAsia="Arial" w:hAnsi="Arial"/>
          <w:sz w:val="16"/>
          <w:szCs w:val="16"/>
          <w:u w:val="single" w:color="auto"/>
          <w:color w:val="auto"/>
        </w:rPr>
        <w:t>Exchange Period</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140" w:hanging="237"/>
        <w:spacing w:after="0"/>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utilize the services of the Depositary for the Exchange Offer;</w:t>
      </w:r>
    </w:p>
    <w:p>
      <w:pPr>
        <w:spacing w:after="0" w:line="117" w:lineRule="exact"/>
        <w:rPr>
          <w:rFonts w:ascii="Arial" w:cs="Arial" w:eastAsia="Arial" w:hAnsi="Arial"/>
          <w:sz w:val="18"/>
          <w:szCs w:val="18"/>
          <w:color w:val="auto"/>
        </w:rPr>
      </w:pPr>
    </w:p>
    <w:p>
      <w:pPr>
        <w:ind w:left="460" w:right="360" w:firstLine="443"/>
        <w:spacing w:after="0" w:line="259" w:lineRule="auto"/>
        <w:tabs>
          <w:tab w:leader="none" w:pos="11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permit Holders to withdraw tendered Registrable Securities at any time prior to the expiration of the Exchange Period, by sending to the institution specified in the letter of transmittal or other applicable notice, a telegram, telex, facsimile transmission or letter setting forth the name of such Holder, the principal amount of Registrable Securities delivered for exchange, and a statement that such Holder is withdrawing such Holder’s election to have such Registrable Securities exchanged;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6" w:name="page137"/>
    <w:bookmarkEnd w:id="13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 otherwise comply in all material respects with all applicable laws relating to the Exchange Offer.</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Exchange Securities shall be issued under (i) the Indenture or (ii) an indenture identical in all material respects to the Indenture and which, in either case, has been qualified under the Trust Indenture Act, or is exempt from such qualification. The Indenture or such indenture shall provide that the Exchange Securities and the New TechnipFMC Notes shall vote and consent together on all matters as one class and that none of the Exchange Securities or the New TechnipFMC Notes will have the right to vote or consent as a separate class on any matter.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soon as reasonably practicable after the expiration of the Exchange Offer, the Company shall:</w:t>
      </w:r>
    </w:p>
    <w:p>
      <w:pPr>
        <w:spacing w:after="0" w:line="117" w:lineRule="exact"/>
        <w:rPr>
          <w:sz w:val="20"/>
          <w:szCs w:val="20"/>
          <w:color w:val="auto"/>
        </w:rPr>
      </w:pPr>
    </w:p>
    <w:p>
      <w:pPr>
        <w:ind w:left="920" w:right="280" w:firstLine="421"/>
        <w:spacing w:after="0" w:line="308" w:lineRule="auto"/>
        <w:tabs>
          <w:tab w:leader="none" w:pos="155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accept for exchange all Registrable Securities duly tendered and not validly withdrawn pursuant to the Exchange Offer in accordance with the terms of the Exchange Offer Registration Statement and the letter of transmittal which shall be an exhibit thereto;</w:t>
      </w:r>
    </w:p>
    <w:p>
      <w:pPr>
        <w:spacing w:after="0" w:line="38" w:lineRule="exact"/>
        <w:rPr>
          <w:rFonts w:ascii="Arial" w:cs="Arial" w:eastAsia="Arial" w:hAnsi="Arial"/>
          <w:sz w:val="17"/>
          <w:szCs w:val="17"/>
          <w:color w:val="auto"/>
        </w:rPr>
      </w:pPr>
    </w:p>
    <w:p>
      <w:pPr>
        <w:ind w:left="1600" w:hanging="259"/>
        <w:spacing w:after="0"/>
        <w:tabs>
          <w:tab w:leader="none" w:pos="16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deliver to the Trustee for cancellation all Registrable Securities so accepted for exchange; and</w:t>
      </w:r>
    </w:p>
    <w:p>
      <w:pPr>
        <w:spacing w:after="0" w:line="117" w:lineRule="exact"/>
        <w:rPr>
          <w:rFonts w:ascii="Arial" w:cs="Arial" w:eastAsia="Arial" w:hAnsi="Arial"/>
          <w:sz w:val="18"/>
          <w:szCs w:val="18"/>
          <w:color w:val="auto"/>
        </w:rPr>
      </w:pPr>
    </w:p>
    <w:p>
      <w:pPr>
        <w:ind w:left="920" w:firstLine="421"/>
        <w:spacing w:after="0" w:line="264" w:lineRule="auto"/>
        <w:tabs>
          <w:tab w:leader="none" w:pos="1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cause the Trustee promptly to authenticate and deliver Exchange Securities to each Holder of Registrable Securities so accepted for exchange in a principal amount equal to the principal amount of the corresponding Series of Registrable Securities of such Holder so accepted for exchange.</w:t>
      </w:r>
    </w:p>
    <w:p>
      <w:pPr>
        <w:spacing w:after="0" w:line="18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Interest on each Exchange Security will accrue from the last date on which interest was paid on the Registrable Security surrendered in exchange therefor or, if no interest has been paid on the Registrable Security, from the date of original issuance. The Exchange Offer shall not be subject to any conditions, other than (i) that the Exchange Offer, or the making of any exchange by a Holder, does not violate applicable law or any applicable interpretation of the staff of the SEC, (ii) the due tendering of Registrable Securities in accordance with the Exchange Offer, (iii) that each Holder of Registrable Securities exchanged in the Exchange Offer shall have represented that it (A) is not an Affiliate of the Company, (B) is not a broker-dealer who tendered Existing FMCTI Notes acquired directly from FMCTI for its own account in exchange for New TechnipFMC Notes, (C) will acquire the Exchange Securities in the ordinary course of such Holder’s business and (D) is not engaged in and does not intend to engage in and has no arrangements or understandings with any Person to participate in the distribution of the Exchange Securities and shall have made such other representations as may be reasonably necessary under applicable SEC rules, regulations or interpretations to render the use of Form S-4 or other appropriate form under the Securities Act available and (iv) that no action or proceeding shall have been instituted or threatened in any court or by or before any governmental agency with respect to the Exchange Offer which, in the Company’s judgment, would reasonably be expected to impair the ability of the Company to proceed with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37" w:name="page138"/>
    <w:bookmarkEnd w:id="137"/>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Offer. The Company will use its commercially reasonable efforts to cause the registrar for each Series of Registrable Securities to furnish the Dealer Managers with the names and addresses of the Holders to whom the Exchange Offer is made, and the Dealer Managers shall have the right to contact such Holders and otherwise facilitate the tender of Registrable Securities in the Exchange Offer.</w:t>
      </w:r>
    </w:p>
    <w:p>
      <w:pPr>
        <w:spacing w:after="0" w:line="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Shelf Registration</w:t>
      </w:r>
      <w:r>
        <w:rPr>
          <w:rFonts w:ascii="Arial" w:cs="Arial" w:eastAsia="Arial" w:hAnsi="Arial"/>
          <w:sz w:val="18"/>
          <w:szCs w:val="18"/>
          <w:color w:val="auto"/>
        </w:rPr>
        <w:t xml:space="preserve">. (i) If, because of any changes in law, SEC rules or regulations or applicable interpretations thereof by the staff of the SEC, the Company determines upon the advice of its counsel that it is not permitted to effect the Exchange Offer as contemplated by </w:t>
      </w:r>
      <w:r>
        <w:rPr>
          <w:rFonts w:ascii="Arial" w:cs="Arial" w:eastAsia="Arial" w:hAnsi="Arial"/>
          <w:sz w:val="18"/>
          <w:szCs w:val="18"/>
          <w:u w:val="single" w:color="auto"/>
          <w:color w:val="auto"/>
        </w:rPr>
        <w:t>Section 2.1</w:t>
      </w:r>
      <w:r>
        <w:rPr>
          <w:rFonts w:ascii="Arial" w:cs="Arial" w:eastAsia="Arial" w:hAnsi="Arial"/>
          <w:sz w:val="18"/>
          <w:szCs w:val="18"/>
          <w:color w:val="auto"/>
        </w:rPr>
        <w:t>, (ii) if for any other reason the Exchange Offer is not consummated within 365 days after the original Exchange Date, or (iii) if a Holder notifies the Company in writing prior to the 20th day following the consummation of the Exchange Offer that it is not permitted by applicable law to participate in the Exchange Offer or participates in the Exchange Offer and does not receive fully tradable Exchange Securities pursuant to the Exchange Offer, then in case of each of clauses (i) through (iii) the Company shall, at its reasonable cost:</w:t>
      </w:r>
    </w:p>
    <w:p>
      <w:pPr>
        <w:spacing w:after="0" w:line="85" w:lineRule="exact"/>
        <w:rPr>
          <w:sz w:val="20"/>
          <w:szCs w:val="20"/>
          <w:color w:val="auto"/>
        </w:rPr>
      </w:pPr>
    </w:p>
    <w:p>
      <w:pPr>
        <w:ind w:left="460" w:firstLine="443"/>
        <w:spacing w:after="0" w:line="270" w:lineRule="auto"/>
        <w:tabs>
          <w:tab w:leader="none" w:pos="1143"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As promptly as practicable, but no later than 90 days after being required to do so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file with the SEC, and thereafter shall use its commercially reasonable efforts to cause to become effective as promptly as practicable but no later than 270 days after being required to do so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a Shelf Registration Statement relating to the offer and sale of the Registrable Securities by the Holders from time to time in accordance with the methods of distribution elected by the Majority Holders participating in the Shelf Registration and set forth in such Shelf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shall require the filing of a Shelf Registration Statement prior to the deadline for filing the Exchange Offer Registration Statement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 Holder shall be entitled to be named as a selling security holder in the Shelf Registration Statement or to use the Prospectus forming a part thereof for resales of Registrable Securities unless such Holder has signed and returned to the Company a notice and questionnaire as distributed by the Company consenting to such Holder’s inclusion in the Prospectus as a selling security holder, evidencing such Holder’s agreement to be bound by the applicable provisions of this Agreement and providing such further information to the Company as the Company may reasonably request.</w:t>
      </w:r>
    </w:p>
    <w:p>
      <w:pPr>
        <w:spacing w:after="0" w:line="69" w:lineRule="exact"/>
        <w:rPr>
          <w:rFonts w:ascii="Arial" w:cs="Arial" w:eastAsia="Arial" w:hAnsi="Arial"/>
          <w:sz w:val="17"/>
          <w:szCs w:val="17"/>
          <w:color w:val="auto"/>
        </w:rPr>
      </w:pPr>
    </w:p>
    <w:p>
      <w:pPr>
        <w:ind w:left="460" w:right="240" w:firstLine="443"/>
        <w:spacing w:after="0" w:line="259" w:lineRule="auto"/>
        <w:tabs>
          <w:tab w:leader="none" w:pos="115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Use its commercially reasonable efforts to keep the Shelf Registration Statement continuously effective in order to permit the Prospectus forming part thereof to be usable by Holders for a period of one year from the Exchange Date, or for such shorter period that will terminate when all Registrable Securities covered by the Shelf Registration Statement have been sold pursuant to the Shelf Registration Statement or cease to be outstanding or otherwise to be Registrable Securities.</w:t>
      </w:r>
    </w:p>
    <w:p>
      <w:pPr>
        <w:spacing w:after="0" w:line="78" w:lineRule="exact"/>
        <w:rPr>
          <w:rFonts w:ascii="Arial" w:cs="Arial" w:eastAsia="Arial" w:hAnsi="Arial"/>
          <w:sz w:val="18"/>
          <w:szCs w:val="18"/>
          <w:color w:val="auto"/>
        </w:rPr>
      </w:pPr>
    </w:p>
    <w:p>
      <w:pPr>
        <w:ind w:left="460" w:right="40" w:firstLine="443"/>
        <w:spacing w:after="0" w:line="288" w:lineRule="auto"/>
        <w:tabs>
          <w:tab w:leader="none" w:pos="114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Notwithstanding any other provisions hereof, use its commercially reasonable efforts to ensure that (i) any Shelf Registration Statement and any amendment thereto, at the time each such registration statement or amendment thereto becomes effective, and any Prospectus as of the date thereof forming part thereof and any supplement thereto complies in all material respects with the Securities Act and the rules and regulations thereunder,</w:t>
      </w:r>
    </w:p>
    <w:p>
      <w:pPr>
        <w:ind w:left="720" w:hanging="256"/>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Shelf Registration Statement and any amendment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8" w:name="page139"/>
    <w:bookmarkEnd w:id="138"/>
    <w:p>
      <w:pPr>
        <w:ind w:left="46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does not, when it becomes effective, contain an untrue statement of a material fact or omit to state a material fact required to be stated therein or necessary to make the statements therein not misleading and (iii) any Prospectus forming part of any Shelf Registration Statement, and any supplement to such Prospectus (as amended or supplemented from time to time) (each, as of the date thereof), does not include an untrue statement of a material fact or omit to state a material fact necessary in order to make the statements, in the light of the circumstances under which they were made, not misleading.</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The Company further agrees, if necessary, to supplement or amend the Shelf Registration Statement, as required by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and to furnish to the Holders of Registrable Securities copies of any such supplement or amendment promptly after its being used or filed with the SEC (other than with respect to any such supplement or amendment resulting solely from the incorporation by reference of any report filed under the Securities Exchange Act). In the event that the Exchange Offer is consummated within 365 days after the Exchange Date, the Company shall have no obligation to file a Shelf Registration Statement pursuant to </w:t>
      </w:r>
      <w:r>
        <w:rPr>
          <w:rFonts w:ascii="Arial" w:cs="Arial" w:eastAsia="Arial" w:hAnsi="Arial"/>
          <w:sz w:val="18"/>
          <w:szCs w:val="18"/>
          <w:u w:val="single" w:color="auto"/>
          <w:color w:val="auto"/>
        </w:rPr>
        <w:t>Section 2.2(ii)</w:t>
      </w:r>
      <w:r>
        <w:rPr>
          <w:rFonts w:ascii="Arial" w:cs="Arial" w:eastAsia="Arial" w:hAnsi="Arial"/>
          <w:sz w:val="18"/>
          <w:szCs w:val="18"/>
          <w:color w:val="auto"/>
        </w:rPr>
        <w:t>.</w:t>
      </w:r>
    </w:p>
    <w:p>
      <w:pPr>
        <w:spacing w:after="0" w:line="8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The Company shall pay all Registration Expenses in connection with the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Each Holder shall pay all underwriting discounts and commissions and transfer taxes, if any, relating to the sale or disposition of such Holder’s Registrable Securities pursuant to the Shelf Registration Statement.</w:t>
      </w:r>
    </w:p>
    <w:p>
      <w:pPr>
        <w:spacing w:after="0" w:line="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Effectiveness</w:t>
      </w:r>
      <w:r>
        <w:rPr>
          <w:rFonts w:ascii="Arial" w:cs="Arial" w:eastAsia="Arial" w:hAnsi="Arial"/>
          <w:sz w:val="17"/>
          <w:szCs w:val="17"/>
          <w:color w:val="auto"/>
        </w:rPr>
        <w:t xml:space="preserve">. An Exchange Offer Registration Statement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will not be deemed to have become effective unless it has been declared effective by the SEC, and a Shelf Registration Statement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will not be deemed to have become effective unless it has been declared effective by the SEC or has otherwise become effective under Rule 462 under the Securities Act or any other applicable rule;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after such Registration Statement has been declared effective or has otherwise become effective, the offering of Registrable Securities pursuant to an Exchange Offer Registration Statement or a Shelf Registration Statement is interfered with by any stop order, injunction or other order or requirement of the SEC or any other governmental agency or court, such Registration Statement will be deemed not to have become effective during the period of such interference, until the offering of Registrable Securities pursuant to such Registration Statement may legally resume.</w:t>
      </w:r>
    </w:p>
    <w:p>
      <w:pPr>
        <w:spacing w:after="0" w:line="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Interest</w:t>
      </w:r>
      <w:r>
        <w:rPr>
          <w:rFonts w:ascii="Arial" w:cs="Arial" w:eastAsia="Arial" w:hAnsi="Arial"/>
          <w:sz w:val="17"/>
          <w:szCs w:val="17"/>
          <w:color w:val="auto"/>
        </w:rPr>
        <w:t>. The Company agrees that in the event that (a) (i) if required, the Exchange Offer is not consummated on or prior to the 365</w:t>
      </w:r>
      <w:r>
        <w:rPr>
          <w:rFonts w:ascii="Arial" w:cs="Arial" w:eastAsia="Arial" w:hAnsi="Arial"/>
          <w:sz w:val="14"/>
          <w:szCs w:val="14"/>
          <w:color w:val="auto"/>
        </w:rPr>
        <w:t>th</w:t>
      </w:r>
      <w:r>
        <w:rPr>
          <w:rFonts w:ascii="Arial" w:cs="Arial" w:eastAsia="Arial" w:hAnsi="Arial"/>
          <w:sz w:val="17"/>
          <w:szCs w:val="17"/>
          <w:color w:val="auto"/>
        </w:rPr>
        <w:t xml:space="preserve"> calendar day following the Exchange Date or (ii) if required, a Shelf Registration Statement has not become effective on or prior to the 270</w:t>
      </w:r>
      <w:r>
        <w:rPr>
          <w:rFonts w:ascii="Arial" w:cs="Arial" w:eastAsia="Arial" w:hAnsi="Arial"/>
          <w:sz w:val="14"/>
          <w:szCs w:val="14"/>
          <w:color w:val="auto"/>
        </w:rPr>
        <w:t>th</w:t>
      </w:r>
      <w:r>
        <w:rPr>
          <w:rFonts w:ascii="Arial" w:cs="Arial" w:eastAsia="Arial" w:hAnsi="Arial"/>
          <w:sz w:val="17"/>
          <w:szCs w:val="17"/>
          <w:color w:val="auto"/>
        </w:rPr>
        <w:t xml:space="preserve"> calendar day following the date on which the Company became obligated to file such Shelf Registration Statement under </w:t>
      </w:r>
      <w:r>
        <w:rPr>
          <w:rFonts w:ascii="Arial" w:cs="Arial" w:eastAsia="Arial" w:hAnsi="Arial"/>
          <w:sz w:val="17"/>
          <w:szCs w:val="17"/>
          <w:u w:val="single" w:color="auto"/>
          <w:color w:val="auto"/>
        </w:rPr>
        <w:t>Section 2.2</w:t>
      </w:r>
      <w:r>
        <w:rPr>
          <w:rFonts w:ascii="Arial" w:cs="Arial" w:eastAsia="Arial" w:hAnsi="Arial"/>
          <w:sz w:val="17"/>
          <w:szCs w:val="17"/>
          <w:color w:val="auto"/>
        </w:rPr>
        <w:t>, or (b) if required, the Shelf Registration Statement has been filed and is declared or otherwise becomes effective but ceases to be effective or usable for a period of time that exceeds 120 days in the aggregate in any 12-month period in which it is required to be effective hereunder (each such event referred to in the preceding clauses (a) and (b), a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Default</w:t>
      </w:r>
      <w:r>
        <w:rPr>
          <w:rFonts w:ascii="Arial" w:cs="Arial" w:eastAsia="Arial" w:hAnsi="Arial"/>
          <w:sz w:val="17"/>
          <w:szCs w:val="17"/>
          <w:color w:val="auto"/>
        </w:rPr>
        <w:t>”), the interest rate borne by the New TechnipFMC Notes affected thereby shall be increased (“</w:t>
      </w:r>
      <w:r>
        <w:rPr>
          <w:rFonts w:ascii="Arial" w:cs="Arial" w:eastAsia="Arial" w:hAnsi="Arial"/>
          <w:sz w:val="17"/>
          <w:szCs w:val="17"/>
          <w:u w:val="single" w:color="auto"/>
          <w:color w:val="auto"/>
        </w:rPr>
        <w:t>Additional Interest</w:t>
      </w:r>
      <w:r>
        <w:rPr>
          <w:rFonts w:ascii="Arial" w:cs="Arial" w:eastAsia="Arial" w:hAnsi="Arial"/>
          <w:sz w:val="17"/>
          <w:szCs w:val="17"/>
          <w:color w:val="auto"/>
        </w:rPr>
        <w:t>”) immediately upon occurrence of a Registration Default by one-quarter of one percent (0.25%) per annum with respect to the first 90-day period while one or more Registration Defaults is continuing and will increase to a maximum of one-half of one percent (0.50%) per annum Additional Interest thereafter while one or more Registration Defaults is continuing until all Registration Defaults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9" w:name="page140"/>
    <w:bookmarkEnd w:id="13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have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Additional Interest shall accrue only for those days that a Registration Default occurs and is continuing, including the date on which any Registration Default shall occur but not including the date on which all Registration Defaults have been cured. Such Additional Interest shall be calculated based on a year consisting of 360 days comprised of twelve 30-day months. Following the cure of all Registration Defaults the accrual of Additional Interest will cease, the interest rate will revert to the original rate and, upon any subsequent Registration Default following any such cure of all Registration Defaults, Additional Interest will begin accruing again at one-quarter of one percent (0.25%) per annum and will increase to a maximum of one-half of one percent (0.50%) per annum as provided above until all Registration Defaults have been cured. Additional Interest shall not be payable with respect to Registration Defaults for any period during which a Shelf Registration Statement is effective and usable by the Holders. Any Additional Interest shall constitute liquidated damages and shall be the exclusive remedy, monetary or otherwise, available to any Holder of New TechnipFMC Notes with respect to any Registration Default. The Company shall notify the Trustee within five business days after each and every date on which an event occurs in respect of which Additional Interest is required to be paid (an “</w:t>
      </w:r>
      <w:r>
        <w:rPr>
          <w:rFonts w:ascii="Arial" w:cs="Arial" w:eastAsia="Arial" w:hAnsi="Arial"/>
          <w:sz w:val="16"/>
          <w:szCs w:val="16"/>
          <w:u w:val="single" w:color="auto"/>
          <w:color w:val="auto"/>
        </w:rPr>
        <w:t>Event Date</w:t>
      </w:r>
      <w:r>
        <w:rPr>
          <w:rFonts w:ascii="Arial" w:cs="Arial" w:eastAsia="Arial" w:hAnsi="Arial"/>
          <w:sz w:val="16"/>
          <w:szCs w:val="16"/>
          <w:color w:val="auto"/>
        </w:rPr>
        <w:t>”). Additional Interest shall be paid by depositing with the Trustee, in trust, for the benefit of the Holders of Registrable Securities, on or before the applicable semi-annual interest payment date, immediately available funds in sums sufficient to pay the Additional Interest then due. The Additional Interest due shall be payable on each interest payment date to the record Holder of New TechnipFMC Notes affected thereby entitled to receive the interest payment to be paid on such date as set forth in the Indenture. Each obligation to pay Additional Interest shall be deemed to accrue from and including the day following the applicable Event Date.</w:t>
      </w:r>
    </w:p>
    <w:p>
      <w:pPr>
        <w:spacing w:after="0" w:line="17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Notwithstanding anything else contained herein, no Additional Interest shall be payable in relation to the applicable Shelf Registration Statement or the related Prospectus if (i) such Additional Interest is payable solely as a result of (x) the filing of a post-effective amendment to such Shelf Registration Statement to incorporate annual audited or, if required by the rules and regulations under the Securities Act, quarterly unaudited financial information with respect to the Company where such post-effective amendment is not yet effective and needs to be declared or otherwise become effective to permit Holders to use the related Prospectus or (y) the Company notifies the Holder to suspend use (on one or more occasions) of the Shelf Registration Statement and the related Prospectus for a period not to exceed an aggregate of 120 days in any calendar year because of the occurrence of any material event or development with respect to the Company that, in the reasonable judgment of the Company, would be detrimental to the Company if so disclosed or would otherwise materially adversely affect a financing, acquisition, disposition, merger or other material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no event shall the Company be required to disclose the business purpose for such suspension. Notwithstanding the foregoing, the Company shall not be required to pay Additional Interest with respect to the New TechnipFMC Notes to any Holder if the failure arises from the Company’s failure to file, or cause to become effective, a Shelf Registration Statement within the time periods specified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by reason of the failure of such Holder to provide such information as (i) the Company may reasonably request, with reasonable prior written notice, for use in the Shelf Registration Statement or any Prospectus included therein to the extent the Company reasonably determines that such information is required to be included therein by applicable law, (ii) FINRA or the SEC may request in connection with such Shelf Registration Statement or (iii) is required to comply with the agreements of such Holder as contained herein to the extent compliance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0" w:name="page141"/>
    <w:bookmarkEnd w:id="140"/>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is necessary for the Shelf Registration Statement to be declared or otherwise become effective, including, without limitation, a signed notice and questionnaire as distributed by the Company consenting to such Holder’s inclusion in the Prospectus as a selling security holder, evidencing such Holder’s agreement to be bound by the applicable provisions of this Agreement and providing such further information to the Company as the Company may reasonably request.</w:t>
      </w:r>
    </w:p>
    <w:p>
      <w:pPr>
        <w:spacing w:after="0" w:line="183" w:lineRule="exact"/>
        <w:rPr>
          <w:sz w:val="20"/>
          <w:szCs w:val="20"/>
          <w:color w:val="auto"/>
        </w:rPr>
      </w:pPr>
    </w:p>
    <w:p>
      <w:pPr>
        <w:ind w:right="40" w:firstLine="8"/>
        <w:spacing w:after="0" w:line="282" w:lineRule="auto"/>
        <w:tabs>
          <w:tab w:leader="none" w:pos="1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Procedures</w:t>
      </w:r>
      <w:r>
        <w:rPr>
          <w:rFonts w:ascii="Arial" w:cs="Arial" w:eastAsia="Arial" w:hAnsi="Arial"/>
          <w:sz w:val="18"/>
          <w:szCs w:val="18"/>
          <w:color w:val="auto"/>
        </w:rPr>
        <w:t>. In connection with the obligations of the Company with respect to Registration Statements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2.1</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w:t>
      </w:r>
    </w:p>
    <w:p>
      <w:pPr>
        <w:spacing w:after="0" w:line="57" w:lineRule="exact"/>
        <w:rPr>
          <w:rFonts w:ascii="Arial" w:cs="Arial" w:eastAsia="Arial" w:hAnsi="Arial"/>
          <w:sz w:val="18"/>
          <w:szCs w:val="18"/>
          <w:b w:val="1"/>
          <w:bCs w:val="1"/>
          <w:color w:val="auto"/>
        </w:rPr>
      </w:pPr>
    </w:p>
    <w:p>
      <w:pPr>
        <w:ind w:left="460" w:right="40" w:firstLine="443"/>
        <w:spacing w:after="0" w:line="255" w:lineRule="auto"/>
        <w:tabs>
          <w:tab w:leader="none" w:pos="114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prepare and file with the SEC a Registration Statement, within the relevant time period specified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on the appropriate form under the Securities Act, which form (i) shall be selected by the Company, (ii) shall, in the case of a Shelf Registration, be available for the sale of the Registrable Securities by the eligible selling Holders thereof, and (iii) shall, at the time of effectiveness, comply as to form in all material respects with the requirements of the applicable form and include or incorporate by reference all financial statements required by the SEC to be filed therewith or incorporated by reference therein, and use its commercially reasonable efforts to cause such Registration Statement to become effective and remain effective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60" w:firstLine="443"/>
        <w:spacing w:after="0" w:line="271" w:lineRule="auto"/>
        <w:tabs>
          <w:tab w:leader="none" w:pos="1153"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subject to the limitations contained in the third paragraph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prepare and file with the SEC such amendments and post-effective amendments to each Registration Statement as may be necessary under applicable law to keep such Registration Statement effective for the applicable period; and cause each Prospectus to be supplemented by any required prospectus supplement, and as so supplemented to be filed pursuant to Rule 424 (or any similar provision then in force) under the Securities Act and comply with the provisions of the Securities Act, the Securities Exchange Act and the rules and regulations thereunder applicable to them with respect to the disposition of all securities covered by each Registration Statement during the applicable period in accordance with the intended method or methods of distribution by the selling Holders thereof (including sales by any Participating Broker-Dealer);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contained herein shall imply that the Company is liable for any action or inaction of any Holder, including any Participating Broker-Dealer;</w:t>
      </w:r>
    </w:p>
    <w:p>
      <w:pPr>
        <w:spacing w:after="0" w:line="70" w:lineRule="exact"/>
        <w:rPr>
          <w:rFonts w:ascii="Arial" w:cs="Arial" w:eastAsia="Arial" w:hAnsi="Arial"/>
          <w:sz w:val="17"/>
          <w:szCs w:val="17"/>
          <w:color w:val="auto"/>
        </w:rPr>
      </w:pPr>
    </w:p>
    <w:p>
      <w:pPr>
        <w:ind w:left="460" w:right="140" w:firstLine="443"/>
        <w:spacing w:after="0" w:line="271" w:lineRule="auto"/>
        <w:tabs>
          <w:tab w:leader="none" w:pos="1143"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 the case of a Shelf Registration, (i) notify each Holder of Registrable Securities, at least three business days prior to filing, that a Shelf Registration Statement (except in the case of an Automatic Shelf Registration Statement, in which case at least three business days prior to the inclusion of information regarding selling security holders in the Prospectus forming a part of such Automatic Shelf Registration Statement) with respect to the Registrable Securities is being filed and advise such Holders that the distribution of Registrable Securities will be made in accordance with the method selected by the Majority Holders participating in the Shelf Registration; (ii) furnish to each Holder of Registrable Securities, if any, without charge, as many copies of each Prospectus, including each preliminary Prospectus, and any amendment or supplement thereto and such other documents as such Holder or underwriter may reasonably request, including financial statements and schedules and, if the Holder so requests, all exhibits in order to facilitate the public sale or other disposition of the Registrable Securities; and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41" w:name="page142"/>
    <w:bookmarkEnd w:id="141"/>
    <w:p>
      <w:pPr>
        <w:ind w:right="320" w:firstLine="4"/>
        <w:spacing w:after="0" w:line="342" w:lineRule="auto"/>
        <w:tabs>
          <w:tab w:leader="none" w:pos="315"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consent to the use of the Prospectus or any amendment or supplement thereto by each of the selling Holders of Registrable Securities in connection with the offering and sale of the Registrable Securities covered by the Prospectus or any amendment or supplement thereto;</w:t>
      </w:r>
    </w:p>
    <w:p>
      <w:pPr>
        <w:spacing w:after="0" w:line="15" w:lineRule="exact"/>
        <w:rPr>
          <w:rFonts w:ascii="Arial" w:cs="Arial" w:eastAsia="Arial" w:hAnsi="Arial"/>
          <w:sz w:val="16"/>
          <w:szCs w:val="16"/>
          <w:color w:val="auto"/>
        </w:rPr>
      </w:pPr>
    </w:p>
    <w:p>
      <w:pPr>
        <w:ind w:right="40" w:firstLine="443"/>
        <w:spacing w:after="0" w:line="253" w:lineRule="auto"/>
        <w:tabs>
          <w:tab w:leader="none" w:pos="69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in the case of a Shelf Registration, use its commercially reasonable efforts to register or qualify the Registrable Securities under all applicable state securities or “blue sky” laws of such jurisdictions as any Holder of Registrable Securities covered by a Shelf Registration Statement shall reasonably request by the time the Shelf Registration Statement is declared effective by the SEC or otherwise becomes effective, and do any and all other acts and things which may be reasonably necessary or advisable to enable each such Holder to consummate the disposition in each such jurisdiction of such Registrable Securities owned by such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Company shall not be required to (i) qualify as a foreign limited partnership or as a dealer in securities in any jurisdiction where it would not otherwise be required to qualify but for this </w:t>
      </w:r>
      <w:r>
        <w:rPr>
          <w:rFonts w:ascii="Arial" w:cs="Arial" w:eastAsia="Arial" w:hAnsi="Arial"/>
          <w:sz w:val="18"/>
          <w:szCs w:val="18"/>
          <w:u w:val="single" w:color="auto"/>
          <w:color w:val="auto"/>
        </w:rPr>
        <w:t>Section 3(d)</w:t>
      </w:r>
      <w:r>
        <w:rPr>
          <w:rFonts w:ascii="Arial" w:cs="Arial" w:eastAsia="Arial" w:hAnsi="Arial"/>
          <w:sz w:val="18"/>
          <w:szCs w:val="18"/>
          <w:color w:val="auto"/>
        </w:rPr>
        <w:t>, (ii) take any action which would subject it to general service of process or taxation in any such jurisdiction where it is not then so subject or (iii) make any changes to its certificate of incorporation or by-laws (or other organizational documents) or any agreement between it and holders of its ownership interests;</w:t>
      </w:r>
    </w:p>
    <w:p>
      <w:pPr>
        <w:spacing w:after="0" w:line="89" w:lineRule="exact"/>
        <w:rPr>
          <w:rFonts w:ascii="Arial" w:cs="Arial" w:eastAsia="Arial" w:hAnsi="Arial"/>
          <w:sz w:val="18"/>
          <w:szCs w:val="18"/>
          <w:color w:val="auto"/>
        </w:rPr>
      </w:pPr>
    </w:p>
    <w:p>
      <w:pPr>
        <w:ind w:firstLine="443"/>
        <w:spacing w:after="0" w:line="268" w:lineRule="auto"/>
        <w:tabs>
          <w:tab w:leader="none" w:pos="683"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notify promptly counsel for the Holders, counsel for the Trustee and counsel for the Dealer Managers and, with respect to clauses (i), (iii), (iv) and (v) of this paragraph only, each Holder of Registrable Securities under a Shelf Registration or any Participating Broker-Dealer who has notified the Company that it is utilizing the Exchange Offer Registration Statement as provided in paragraph (f) below and, if requested by such Holder or Participating Broker-Dealer, confirm such advice in writing promptly (i) when a Registration Statement (other than an Automatic Shelf Registration Statement) has become effective and when any post-effective amendments and supplements thereto become effective, (ii) of any request by the SEC or any state securities authority for post-effective amendments and supplements to a Registration Statement and Prospectus or for additional information after the Registration Statement has become effective, (iii) of the issuance by the SEC or any state securities authority of any stop order suspending the effectiveness of a Registration Statement or the initiation of any proceedings for that purpose, (iv) of the happening of any event or the discovery of any facts during the period a Shelf Registration Statement is effective that requires any change in the Registration Statement or Prospectus so that, as of such date, the statements therein are not misleading and do not omit to state a material fact required to be stated therein to make the statements therein not misleading (in the case of the Prospectus, in the light of the circumstances under which they were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notice need not identify the event that requires such change, and (v) of the receipt by the Company of any notification with respect to the suspension of the qualification of the Registrable Securities or the Exchange Securities, as the case may be, for sale in any jurisdiction or the initiation or threatening of any proceeding for such purpose;</w:t>
      </w:r>
    </w:p>
    <w:p>
      <w:pPr>
        <w:spacing w:after="0" w:line="77" w:lineRule="exact"/>
        <w:rPr>
          <w:rFonts w:ascii="Arial" w:cs="Arial" w:eastAsia="Arial" w:hAnsi="Arial"/>
          <w:sz w:val="17"/>
          <w:szCs w:val="17"/>
          <w:color w:val="auto"/>
        </w:rPr>
      </w:pPr>
    </w:p>
    <w:p>
      <w:pPr>
        <w:ind w:right="120" w:firstLine="443"/>
        <w:spacing w:after="0" w:line="277" w:lineRule="auto"/>
        <w:tabs>
          <w:tab w:leader="none" w:pos="66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the case of the Exchange Offer Registration Statement (i) include in the Exchange Offer Registration Statement a Section entitled “Plan of Distribution” which Section shall be reasonably acceptable to the Dealer Managers on behalf of the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42" w:name="page143"/>
    <w:bookmarkEnd w:id="14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Participating Broker-Dealers, and which shall contain a summary statement of the positions taken or policies made by the staff of the SEC with respect to the potential “underwriter” status of any broker-dealer that holds Registrable Securities acquired for its own account as a result of market-making activities or other trading activities and that will be the beneficial owner (as defined in Rule 13d-3 under the Securities Exchange Act) of Exchange Securities to be received by such broker-dealer in the Exchange Offer, whether such positions or policies have been publicly disseminated by the staff of the SEC or such positions or policies, in the reasonable judgment of the Dealer Managers on behalf of the Participating Broker-Dealers and their counsel, represent the prevailing views of the staff of the SEC, including a statement that any such broker-dealer who receives Exchange Securities for Registrable Securities pursuant to the Exchange Offer may be deemed a statutory underwriter and must deliver a prospectus meeting the requirements of the Securities Act in connection with any resale of such Exchange Securities, (ii) furnish to each Participating Broker-Dealer who has delivered to the Company the notice referred to in </w:t>
      </w:r>
      <w:r>
        <w:rPr>
          <w:rFonts w:ascii="Arial" w:cs="Arial" w:eastAsia="Arial" w:hAnsi="Arial"/>
          <w:sz w:val="16"/>
          <w:szCs w:val="16"/>
          <w:u w:val="single" w:color="auto"/>
          <w:color w:val="auto"/>
        </w:rPr>
        <w:t>Section 3(e)</w:t>
      </w:r>
      <w:r>
        <w:rPr>
          <w:rFonts w:ascii="Arial" w:cs="Arial" w:eastAsia="Arial" w:hAnsi="Arial"/>
          <w:sz w:val="16"/>
          <w:szCs w:val="16"/>
          <w:color w:val="auto"/>
        </w:rPr>
        <w:t>, without charge, as many copies of each Prospectus included in the Exchange Offer Registration Statement, including any preliminary Prospectus, and any amendment or supplement thereto, as such Participating Broker-Dealer may reasonably request, (iii) hereby consent to the use of the Prospectus forming part of the Exchange Offer Registration Statement or any amendment or supplement thereto, by any Person subject to the prospectus delivery requirements of the SEC, including all Participating Broker-Dealers, in connection with the sale or transfer of the Exchange Securities covered by the Prospectus or any amendment or supplement thereto, and (iv) include in the transmittal letter or similar documentation to be executed by an exchange offeree in order to participate in the Exchange Offer (x) the following provision:</w:t>
      </w:r>
    </w:p>
    <w:p>
      <w:pPr>
        <w:spacing w:after="0" w:line="64"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“If the exchange offeree is a broker-dealer holding Registrable Securities acquired for its own account as a result of market-making activities or other trading activities, it will deliver a prospectus meeting the requirements of the Securities Act in connection with any resale of Exchange Securities received in respect of such Registrable Securities pursuant to the Exchange Offer;” and</w:t>
      </w:r>
    </w:p>
    <w:p>
      <w:pPr>
        <w:spacing w:after="0" w:line="73" w:lineRule="exact"/>
        <w:rPr>
          <w:sz w:val="20"/>
          <w:szCs w:val="20"/>
          <w:color w:val="auto"/>
        </w:rPr>
      </w:pPr>
    </w:p>
    <w:p>
      <w:pPr>
        <w:ind w:firstLine="4"/>
        <w:spacing w:after="0" w:line="264"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statement to the effect that by a broker-dealer making the acknowledgment described in clause (x) and by delivering a Prospectus in connection with the exchange of Registrable Securities, the broker-dealer will not be deemed to admit that it is an underwriter within the meaning of the Securities Act;</w:t>
      </w:r>
    </w:p>
    <w:p>
      <w:pPr>
        <w:spacing w:after="0" w:line="73" w:lineRule="exact"/>
        <w:rPr>
          <w:rFonts w:ascii="Arial" w:cs="Arial" w:eastAsia="Arial" w:hAnsi="Arial"/>
          <w:sz w:val="18"/>
          <w:szCs w:val="18"/>
          <w:color w:val="auto"/>
        </w:rPr>
      </w:pPr>
    </w:p>
    <w:p>
      <w:pPr>
        <w:ind w:right="100" w:firstLine="443"/>
        <w:spacing w:after="0" w:line="264" w:lineRule="auto"/>
        <w:tabs>
          <w:tab w:leader="none" w:pos="69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 in the case of an Exchange Offer, furnish counsel for the Dealer Managers and the Trustee and (ii) in the case of a Shelf Registration, furnish counsel for the Holders copies of any comment letters received from the SEC or any other request by the SEC or any state securities authority for amendments or supplements to a Registration Statement or Prospectus or for additional information;</w:t>
      </w:r>
    </w:p>
    <w:p>
      <w:pPr>
        <w:spacing w:after="0" w:line="73" w:lineRule="exact"/>
        <w:rPr>
          <w:rFonts w:ascii="Arial" w:cs="Arial" w:eastAsia="Arial" w:hAnsi="Arial"/>
          <w:sz w:val="18"/>
          <w:szCs w:val="18"/>
          <w:color w:val="auto"/>
        </w:rPr>
      </w:pPr>
    </w:p>
    <w:p>
      <w:pPr>
        <w:ind w:right="480" w:firstLine="443"/>
        <w:spacing w:after="0" w:line="277" w:lineRule="auto"/>
        <w:tabs>
          <w:tab w:leader="none" w:pos="69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make every reasonable effort to obtain the withdrawal of any order suspending the effectiveness of a Registration Statement as soon as practicable;</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700" w:top="274" w:right="319" w:bottom="1440" w:gutter="0" w:footer="0" w:header="0"/>
        </w:sectPr>
      </w:pPr>
    </w:p>
    <w:bookmarkStart w:id="143" w:name="page144"/>
    <w:bookmarkEnd w:id="143"/>
    <w:p>
      <w:pPr>
        <w:ind w:right="60" w:firstLine="443"/>
        <w:spacing w:after="0" w:line="264" w:lineRule="auto"/>
        <w:tabs>
          <w:tab w:leader="none" w:pos="6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Shelf Registration, furnish to each Holder of Registrable Securities upon request, and each underwriter, if any, without charge, at least one conformed copy of each Registration Statement and any post-effective amendment thereto, including financial statements and schedules (without documents incorporated therein by reference and all exhibits thereto, unless requested);</w:t>
      </w:r>
    </w:p>
    <w:p>
      <w:pPr>
        <w:spacing w:after="0" w:line="73" w:lineRule="exact"/>
        <w:rPr>
          <w:rFonts w:ascii="Arial" w:cs="Arial" w:eastAsia="Arial" w:hAnsi="Arial"/>
          <w:sz w:val="18"/>
          <w:szCs w:val="18"/>
          <w:color w:val="auto"/>
        </w:rPr>
      </w:pPr>
    </w:p>
    <w:p>
      <w:pPr>
        <w:jc w:val="both"/>
        <w:ind w:firstLine="443"/>
        <w:spacing w:after="0" w:line="279" w:lineRule="auto"/>
        <w:tabs>
          <w:tab w:leader="none" w:pos="65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the case of a Shelf Registration, cooperate with the selling Holders of Registrable Securities to facilitate the timely preparation and delivery of certificates representing Registrable Securities to be sold and not bearing any restrictive legends; and enable such Registrable Securities to be in such denominations (consistent with the provisions of the Indenture) and registered in such names as the selling Holders or the underwriters, if any, may reasonably request at least three business days prior to the closing of any sale of Registrable Securities;</w:t>
      </w:r>
    </w:p>
    <w:p>
      <w:pPr>
        <w:spacing w:after="0" w:line="63" w:lineRule="exact"/>
        <w:rPr>
          <w:rFonts w:ascii="Arial" w:cs="Arial" w:eastAsia="Arial" w:hAnsi="Arial"/>
          <w:sz w:val="17"/>
          <w:szCs w:val="17"/>
          <w:color w:val="auto"/>
        </w:rPr>
      </w:pPr>
    </w:p>
    <w:p>
      <w:pPr>
        <w:ind w:firstLine="443"/>
        <w:spacing w:after="0" w:line="270" w:lineRule="auto"/>
        <w:tabs>
          <w:tab w:leader="none" w:pos="69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in the case of a Shelf Registration, upon the occurrence of any event or the discovery of any facts, each as contemplated by </w:t>
      </w:r>
      <w:r>
        <w:rPr>
          <w:rFonts w:ascii="Arial" w:cs="Arial" w:eastAsia="Arial" w:hAnsi="Arial"/>
          <w:sz w:val="17"/>
          <w:szCs w:val="17"/>
          <w:u w:val="single" w:color="auto"/>
          <w:color w:val="auto"/>
        </w:rPr>
        <w:t>Section 3(e)(iv)</w:t>
      </w:r>
      <w:r>
        <w:rPr>
          <w:rFonts w:ascii="Arial" w:cs="Arial" w:eastAsia="Arial" w:hAnsi="Arial"/>
          <w:sz w:val="17"/>
          <w:szCs w:val="17"/>
          <w:color w:val="auto"/>
        </w:rPr>
        <w:t>, as promptly as practicable after the occurrence of such an event, use its commercially reasonable efforts to prepare a supplement or post-effective amendment to the Registration Statement or the related Prospectus or any document incorporated therein by reference or file any other required document so that, as thereafter delivered to the purchasers of the Registrable Securities or Participating Broker-Dealers, such Prospectus will not contain at the time of such delivery an untrue statement of a material fact or omit to state a material fact necessary to make the statements therein, in the light of the circumstances under which they were made, not misleading; at such time as such public disclosure is otherwise made or the Company determines that such disclosure is not necessary, in each case to correct any misstatement of a material fact or to include any omitted material fact, the Company agrees promptly to notify each Holder of such determination and to furnish each Holder such number of copies of the Prospectus as amended or supplemented, as such Holder may reasonably request;</w:t>
      </w:r>
    </w:p>
    <w:p>
      <w:pPr>
        <w:spacing w:after="0" w:line="73" w:lineRule="exact"/>
        <w:rPr>
          <w:rFonts w:ascii="Arial" w:cs="Arial" w:eastAsia="Arial" w:hAnsi="Arial"/>
          <w:sz w:val="17"/>
          <w:szCs w:val="17"/>
          <w:color w:val="auto"/>
        </w:rPr>
      </w:pPr>
    </w:p>
    <w:p>
      <w:pPr>
        <w:jc w:val="both"/>
        <w:ind w:right="200" w:firstLine="443"/>
        <w:spacing w:after="0" w:line="264" w:lineRule="auto"/>
        <w:tabs>
          <w:tab w:leader="none" w:pos="6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obtain a CUSIP number for each Series of Exchange Securities not later than the effective date of a Registration Statement, and provide the Trustee with printed certificates for each Series of Exchange Securities or each Series of Registrable Securities, as the case may be, in a form eligible for deposit with the Depositary;</w:t>
      </w:r>
    </w:p>
    <w:p>
      <w:pPr>
        <w:spacing w:after="0" w:line="73" w:lineRule="exact"/>
        <w:rPr>
          <w:rFonts w:ascii="Arial" w:cs="Arial" w:eastAsia="Arial" w:hAnsi="Arial"/>
          <w:sz w:val="18"/>
          <w:szCs w:val="18"/>
          <w:color w:val="auto"/>
        </w:rPr>
      </w:pPr>
    </w:p>
    <w:p>
      <w:pPr>
        <w:ind w:firstLine="443"/>
        <w:spacing w:after="0" w:line="297" w:lineRule="auto"/>
        <w:tabs>
          <w:tab w:leader="none" w:pos="74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unless the Indenture has been qualified under the Trust Indenture Act, (i) cause the Indenture to be qualified under the Trust Indenture Act in connection with the registration of the Exchange Securities or Registrable Securities, as the case may be, (ii) cooperate with the Trustee and the Holders to effect such changes to the Indenture as may be required for the Indenture to be so qualified in accordance with the terms of the Trust Indenture Act and (iii) execute, and use its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44" w:name="page145"/>
    <w:bookmarkEnd w:id="144"/>
    <w:p>
      <w:pPr>
        <w:ind w:right="40" w:firstLine="443"/>
        <w:spacing w:after="0" w:line="255" w:lineRule="auto"/>
        <w:tabs>
          <w:tab w:leader="none" w:pos="6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case of a Shelf Registration, enter into agreements (including, if requested, an underwriting agreement in customary form containing customary representations, warranties, terms and conditions;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enter into such agreement more than once with respect to each Series of Registrable Securities and may delay entering into such agreement until the consummation of any underwritten public offering which the Company may have then undertaken) and take all other customary and appropriate actions in order to expedite or facilitate the disposition of such Registrable Securities and in such connection whether or not an underwriting agreement is entered into and whether or not the registration is an underwritten registration;</w:t>
      </w:r>
    </w:p>
    <w:p>
      <w:pPr>
        <w:spacing w:after="0" w:line="85" w:lineRule="exact"/>
        <w:rPr>
          <w:rFonts w:ascii="Arial" w:cs="Arial" w:eastAsia="Arial" w:hAnsi="Arial"/>
          <w:sz w:val="18"/>
          <w:szCs w:val="18"/>
          <w:color w:val="auto"/>
        </w:rPr>
      </w:pPr>
    </w:p>
    <w:p>
      <w:pPr>
        <w:ind w:firstLine="443"/>
        <w:spacing w:after="0" w:line="287" w:lineRule="auto"/>
        <w:tabs>
          <w:tab w:leader="none" w:pos="69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in the case of a Shelf Registration or if a Prospectus is required to be delivered by any Participating Broker-Dealer in the case of an Exchange Offer, make available for inspection by a representative of the Holders of the Registrable Securities, any underwriters participating in any disposition pursuant to a Shelf Registration Statement, any Participating Broker-Dealer and counsel for the Holders, all relevant financial and other records, pertinent corporate documents and properties of the Company reasonably requested by any such Persons, and use commercially reasonable efforts to have the respective officers, directors, employees, and any other agents of the Company supply all relevant information reasonably requested by any such representative, underwriter, Participating Broker-Dealer or counsel for the Holders in connection with a Registration Statement, in each case, as is customary for similar due diligence investigations;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information that is designated in writing by the Company, in good faith, as confidential at the time of delivery of such information shall be kept confidential by the Holders, any underwriter, any Participating Broker-Dealer and any of their respective representatives, unless such disclosure is made in connection with a court proceeding or required by law, or such information becomes available to the public generally or through a third party without an accompanying obligation of confidentiality,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prior notice shall be provided as practicable to the Company of the potential disclosure of any information in connection with a court proceeding or required by law to permit the Company to obtain a protective order or take such other action to prevent disclosure of such information;</w:t>
      </w:r>
    </w:p>
    <w:p>
      <w:pPr>
        <w:spacing w:after="0" w:line="60" w:lineRule="exact"/>
        <w:rPr>
          <w:rFonts w:ascii="Arial" w:cs="Arial" w:eastAsia="Arial" w:hAnsi="Arial"/>
          <w:sz w:val="16"/>
          <w:szCs w:val="16"/>
          <w:color w:val="auto"/>
        </w:rPr>
      </w:pPr>
    </w:p>
    <w:p>
      <w:pPr>
        <w:ind w:right="40" w:firstLine="443"/>
        <w:spacing w:after="0" w:line="254" w:lineRule="auto"/>
        <w:tabs>
          <w:tab w:leader="none" w:pos="6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reasonable time prior to the filing of any Exchange Offer Registration Statement or Shelf Registration Statement (other than an Automatic Shelf Registration Statement), any Prospectus forming a part thereof, any amendment to an Exchange Offer Registration Statement or Shelf Registration Statement or amendment or supplement to such Prospectus (other than with respect to any such amendment or supplement resulting solely from the incorporation by reference of any report filed under the Securities Exchange Act), provide copies of such document to the Dealer Managers and the Trustee, counsel for the Holders, if any, and make such changes in any Shelf Registration Statement, any Prospectus forming a part thereof or amendment or supplement thereto prior to the filing thereof as counsel for the Holders may reasonably request within three business days of being sent a draft thereof and make the representatives of the Company available for discussion of such documents as shall be reasonably requested by the Dealer Managers or the Trustee;</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45" w:name="page146"/>
    <w:bookmarkEnd w:id="145"/>
    <w:p>
      <w:pPr>
        <w:jc w:val="both"/>
        <w:ind w:left="460" w:right="240" w:firstLine="443"/>
        <w:spacing w:after="0" w:line="264"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Shelf Registration, use its commercially reasonable efforts to cause the Registrable Securities to be rated by the appropriate rating agencies, if so requested by the Majority Holders, or if requested by the underwriter or underwriters of an underwritten offering of Registrable Securities, if any;</w:t>
      </w:r>
    </w:p>
    <w:p>
      <w:pPr>
        <w:spacing w:after="0" w:line="73" w:lineRule="exact"/>
        <w:rPr>
          <w:rFonts w:ascii="Arial" w:cs="Arial" w:eastAsia="Arial" w:hAnsi="Arial"/>
          <w:sz w:val="18"/>
          <w:szCs w:val="18"/>
          <w:color w:val="auto"/>
        </w:rPr>
      </w:pPr>
    </w:p>
    <w:p>
      <w:pPr>
        <w:ind w:left="460" w:right="320" w:firstLine="443"/>
        <w:spacing w:after="0" w:line="264" w:lineRule="auto"/>
        <w:tabs>
          <w:tab w:leader="none" w:pos="112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otherwise comply with all applicable rules and regulations of the SEC and make available to its security holders, as soon as reasonably practicable, an earnings statement covering at least 12 months which shall satisfy the provisions of Section 11(a) of the Securities Act and Rule 158 thereunder; and</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cooperate and assist in any filings required to be made with FINRA.</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the case of a Shelf Registration Statement, the Company may (as a condition to the participation of such Holder and the beneficial owner of Registrable Securities in the Shelf Registration and in addition to any other conditions to such participation set forth in this Agreement) require each Holder of Registrable Securities to furnish to the Company prior to the 30</w:t>
      </w:r>
      <w:r>
        <w:rPr>
          <w:rFonts w:ascii="Arial" w:cs="Arial" w:eastAsia="Arial" w:hAnsi="Arial"/>
          <w:sz w:val="15"/>
          <w:szCs w:val="15"/>
          <w:color w:val="auto"/>
        </w:rPr>
        <w:t>th</w:t>
      </w:r>
      <w:r>
        <w:rPr>
          <w:rFonts w:ascii="Arial" w:cs="Arial" w:eastAsia="Arial" w:hAnsi="Arial"/>
          <w:sz w:val="18"/>
          <w:szCs w:val="18"/>
          <w:color w:val="auto"/>
        </w:rPr>
        <w:t xml:space="preserve"> day following the Company’s filing of such request for information with the Trustee for delivery to the Holders such information regarding the Holder and the proposed distribution by such Holder or beneficial owner of such Registrable Securities as the Company may from time to time reasonably request in writing.</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In the case of a Shelf Registration Statement, each Holder agrees that, upon receipt of any notice from the Company of the happening of any event or the discovery of any facts, each of the kind described in </w:t>
      </w:r>
      <w:r>
        <w:rPr>
          <w:rFonts w:ascii="Arial" w:cs="Arial" w:eastAsia="Arial" w:hAnsi="Arial"/>
          <w:sz w:val="16"/>
          <w:szCs w:val="16"/>
          <w:u w:val="single" w:color="auto"/>
          <w:color w:val="auto"/>
        </w:rPr>
        <w:t>Section 3(e)(iv)</w:t>
      </w:r>
      <w:r>
        <w:rPr>
          <w:rFonts w:ascii="Arial" w:cs="Arial" w:eastAsia="Arial" w:hAnsi="Arial"/>
          <w:sz w:val="16"/>
          <w:szCs w:val="16"/>
          <w:color w:val="auto"/>
        </w:rPr>
        <w:t xml:space="preserve">, such Holder will forthwith discontinue disposition of Registrable Securities pursuant to a Registration Statement until such Holder’s receipt of the copies of the supplemented or amended Prospectus contemplated by </w:t>
      </w:r>
      <w:r>
        <w:rPr>
          <w:rFonts w:ascii="Arial" w:cs="Arial" w:eastAsia="Arial" w:hAnsi="Arial"/>
          <w:sz w:val="16"/>
          <w:szCs w:val="16"/>
          <w:u w:val="single" w:color="auto"/>
          <w:color w:val="auto"/>
        </w:rPr>
        <w:t>Section 3(k)</w:t>
      </w:r>
      <w:r>
        <w:rPr>
          <w:rFonts w:ascii="Arial" w:cs="Arial" w:eastAsia="Arial" w:hAnsi="Arial"/>
          <w:sz w:val="16"/>
          <w:szCs w:val="16"/>
          <w:color w:val="auto"/>
        </w:rPr>
        <w:t>, and, if so directed by the Company, such Holder will deliver to the Company (at its expense) all copies in such Holder’s possession, other than permanent file copies then in such Holder’s possession, of the Prospectus covering such Registrable Securities current at the time of receipt of such notice.</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any of the Registrable Securities covered by any Shelf Registration Statement are to be sold in an underwritten offering, the underwriter or underwriters and manager or managers that will manage such offering will be selected by the Majority Holders of such Registrable Securities included in such offering and shall be acceptable to the Company. No Holder of Registrable Securities may participate in any underwritten registration hereunder unless such Holder (a) agrees to sell such 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297" w:lineRule="exact"/>
        <w:rPr>
          <w:sz w:val="20"/>
          <w:szCs w:val="20"/>
          <w:color w:val="auto"/>
        </w:rPr>
      </w:pPr>
    </w:p>
    <w:p>
      <w:pPr>
        <w:ind w:left="180" w:hanging="172"/>
        <w:spacing w:after="0"/>
        <w:tabs>
          <w:tab w:leader="none" w:pos="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Contribution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60" w:right="100" w:firstLine="443"/>
        <w:spacing w:after="0" w:line="264" w:lineRule="auto"/>
        <w:tabs>
          <w:tab w:leader="none" w:pos="114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agrees to indemnify and hold harmless each Holder (including the Dealer Managers, if applicable, and each Participating Broker-Dealer) and each Person, if any, who controls any Holder within the meaning of Section 15 of the Securities Act or Section 20 of the Securities Exchange Act as follows:</w:t>
      </w:r>
    </w:p>
    <w:p>
      <w:pPr>
        <w:spacing w:after="0" w:line="73" w:lineRule="exact"/>
        <w:rPr>
          <w:rFonts w:ascii="Arial" w:cs="Arial" w:eastAsia="Arial" w:hAnsi="Arial"/>
          <w:sz w:val="18"/>
          <w:szCs w:val="18"/>
          <w:color w:val="auto"/>
        </w:rPr>
      </w:pPr>
    </w:p>
    <w:p>
      <w:pPr>
        <w:ind w:left="920" w:firstLine="421"/>
        <w:spacing w:after="0" w:line="277" w:lineRule="auto"/>
        <w:tabs>
          <w:tab w:leader="none" w:pos="1555" w:val="left"/>
        </w:tabs>
        <w:numPr>
          <w:ilvl w:val="2"/>
          <w:numId w:val="138"/>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as incurred, arising out of any untrue statement or alleged untrue statement of a material fact contained in any Registration Statement pursuant to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46" w:name="page147"/>
    <w:bookmarkEnd w:id="146"/>
    <w:p>
      <w:pPr>
        <w:ind w:left="920"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 were registered under the Securities Act or the omission or alleged omission therefrom of a material fact required to be stated therein or necessary to make the statements therein not misleading, or arising out of any untrue statement or alleged untrue statement of a material fact contained in any Prospectus or the omission or alleged omission therefrom of a material fact necessary in order to make the statements therein, in the light of the circumstances under which they were made, not misleading;</w:t>
      </w:r>
    </w:p>
    <w:p>
      <w:pPr>
        <w:spacing w:after="0" w:line="63" w:lineRule="exact"/>
        <w:rPr>
          <w:sz w:val="20"/>
          <w:szCs w:val="20"/>
          <w:color w:val="auto"/>
        </w:rPr>
      </w:pPr>
    </w:p>
    <w:p>
      <w:pPr>
        <w:jc w:val="both"/>
        <w:ind w:left="920" w:firstLine="421"/>
        <w:spacing w:after="0" w:line="259" w:lineRule="auto"/>
        <w:tabs>
          <w:tab w:leader="none" w:pos="16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against any and all loss, liability, claim, damage and expense,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settlement is effected with the written consent of the Company; and</w:t>
      </w:r>
    </w:p>
    <w:p>
      <w:pPr>
        <w:spacing w:after="0" w:line="78" w:lineRule="exact"/>
        <w:rPr>
          <w:rFonts w:ascii="Arial" w:cs="Arial" w:eastAsia="Arial" w:hAnsi="Arial"/>
          <w:sz w:val="18"/>
          <w:szCs w:val="18"/>
          <w:color w:val="auto"/>
        </w:rPr>
      </w:pPr>
    </w:p>
    <w:p>
      <w:pPr>
        <w:ind w:left="920" w:right="40" w:firstLine="421"/>
        <w:spacing w:after="0" w:line="279" w:lineRule="auto"/>
        <w:tabs>
          <w:tab w:leader="none" w:pos="16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against any and all expense, as incurred (including the reasonable fees and disbursements of counsel chosen by any indemnified party),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subparagraph (i) or (ii) above;</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indemnity agreement shall not apply to any loss, liability, claim, damage or expense to the extent arising out of any untrue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omission or alleged untrue statement or omission made in reliance upon and in conformity with written information furnished to the Company by the Holder or any underwriter expressly for use in a Registration Statement or any Prospectus.</w:t>
      </w:r>
    </w:p>
    <w:p>
      <w:pPr>
        <w:spacing w:after="0" w:line="73" w:lineRule="exact"/>
        <w:rPr>
          <w:sz w:val="20"/>
          <w:szCs w:val="20"/>
          <w:color w:val="auto"/>
        </w:rPr>
      </w:pPr>
    </w:p>
    <w:p>
      <w:pPr>
        <w:ind w:left="460" w:firstLine="443"/>
        <w:spacing w:after="0" w:line="293" w:lineRule="auto"/>
        <w:tabs>
          <w:tab w:leader="none" w:pos="115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Each Holder severally, but not jointly, agrees to indemnify and hold harmless the Company and the other selling Holders, and each of their respective directors and officers, and each Person, if any, who controls the Company or any other selling Holder within the meaning of Section 15 of the Securities Act or Section 20 of the Securities Exchange Act, against any and all loss, liability, claim, damage and expense described in the indemnity contained in </w:t>
      </w:r>
      <w:r>
        <w:rPr>
          <w:rFonts w:ascii="Arial" w:cs="Arial" w:eastAsia="Arial" w:hAnsi="Arial"/>
          <w:sz w:val="16"/>
          <w:szCs w:val="16"/>
          <w:u w:val="single" w:color="auto"/>
          <w:color w:val="auto"/>
        </w:rPr>
        <w:t>Section 4(a)</w:t>
      </w:r>
      <w:r>
        <w:rPr>
          <w:rFonts w:ascii="Arial" w:cs="Arial" w:eastAsia="Arial" w:hAnsi="Arial"/>
          <w:sz w:val="16"/>
          <w:szCs w:val="16"/>
          <w:color w:val="auto"/>
        </w:rPr>
        <w:t>, as incurred, but only with respect to untrue statements or omissions, or alleged untrue statements or omissions, made in the Shelf Registration Statement or any Prospectus included therein in reliance upon and in conformity with written information with respect to such Holder furnished to the Company by such Holder expressly for use in the Shelf Registration Statement or such Prospectus.</w:t>
      </w:r>
    </w:p>
    <w:p>
      <w:pPr>
        <w:spacing w:after="0" w:line="56" w:lineRule="exact"/>
        <w:rPr>
          <w:rFonts w:ascii="Arial" w:cs="Arial" w:eastAsia="Arial" w:hAnsi="Arial"/>
          <w:sz w:val="16"/>
          <w:szCs w:val="16"/>
          <w:color w:val="auto"/>
        </w:rPr>
      </w:pPr>
    </w:p>
    <w:p>
      <w:pPr>
        <w:ind w:left="460" w:right="420" w:firstLine="443"/>
        <w:spacing w:after="0" w:line="312" w:lineRule="auto"/>
        <w:tabs>
          <w:tab w:leader="none" w:pos="114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indemnified party shall give notice as promptly as reasonably practicable to each indemnifying party of any action or proceeding commenced against it in respect of which indemnity may be sought hereunder, but failure so to notify an indemnifying party shall not relieve such indemnifying party from any liability hereunder to the extent it is not materially prejudiced as a result thereof and in any event shall not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47" w:name="page148"/>
    <w:bookmarkEnd w:id="147"/>
    <w:p>
      <w:pPr>
        <w:ind w:left="4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relieve it from any liability which it may have otherwise than on account of this indemnity agreement; the indemnifying party shall assume the defense of such action or proceeding with counsel reasonably satisfactory to such indemnified party, and shall not be liable to such indemnified party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for any legal expenses subsequently incurred by such indemnified party in connection with the defense thereof. An indemnified party may participate at its own expense in the defense of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counsel to the indemnified party shall not (except with the consent of the indemnifying party) also be counsel to the indemnifying party. In no event shall the indemnifying party or parties be liable for the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80" w:lineRule="exact"/>
        <w:rPr>
          <w:sz w:val="20"/>
          <w:szCs w:val="20"/>
          <w:color w:val="auto"/>
        </w:rPr>
      </w:pPr>
    </w:p>
    <w:p>
      <w:pPr>
        <w:ind w:left="460" w:firstLine="443"/>
        <w:spacing w:after="0" w:line="293" w:lineRule="auto"/>
        <w:tabs>
          <w:tab w:leader="none" w:pos="115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in such proportion as is appropriate to reflect the relative fault of the Company on the one hand and the Holders on the other hand in connection with the statements or omissions which resulted in such losses, liabilities, claims, damages or expenses, and the relative benefit received by the indemnified party, on the one hand, and the indemnifying party, on the other hand, in connection with the Exchange Offer and the Shelf Registration, as well as any other relevant equitable considerations.</w:t>
      </w:r>
    </w:p>
    <w:p>
      <w:pPr>
        <w:spacing w:after="0" w:line="16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relative fault of the Company on the one hand and the Holders on the other hand shall be determined by reference to, among other things, whether any such untrue or alleged untrue statement of a material fact or omission or alleged omission to state a material fact relates to information supplied by the Company or the Holders and the parties’ relative intent, knowledge, access to information and opportunity to correct or prevent such statement or omission.</w:t>
      </w:r>
    </w:p>
    <w:p>
      <w:pPr>
        <w:spacing w:after="0" w:line="14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The Company and the Holders agree that it would not be just and equitable if contribution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above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aggregate amount of losses, liabilities, claims, damages and expenses incurred by an indemnified party and referred to above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48" w:name="page149"/>
    <w:bookmarkEnd w:id="148"/>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1"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 xml:space="preserve">No Person guilty of fraudulent misrepresentation (within the meaning of </w:t>
      </w:r>
      <w:r>
        <w:rPr>
          <w:rFonts w:ascii="Arial" w:cs="Arial" w:eastAsia="Arial" w:hAnsi="Arial"/>
          <w:sz w:val="18"/>
          <w:szCs w:val="18"/>
          <w:u w:val="single" w:color="auto"/>
          <w:color w:val="auto"/>
        </w:rPr>
        <w:t>Section 11(f)</w:t>
      </w:r>
      <w:r>
        <w:rPr>
          <w:rFonts w:ascii="Arial" w:cs="Arial" w:eastAsia="Arial" w:hAnsi="Arial"/>
          <w:sz w:val="18"/>
          <w:szCs w:val="18"/>
          <w:color w:val="auto"/>
        </w:rPr>
        <w:t xml:space="preserve"> of the Securities Act) shall be entitled to contribution from any Person who was not guilty of such fraudulent misrepresentation.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4</w:t>
      </w:r>
      <w:r>
        <w:rPr>
          <w:rFonts w:ascii="Arial" w:cs="Arial" w:eastAsia="Arial" w:hAnsi="Arial"/>
          <w:sz w:val="18"/>
          <w:szCs w:val="18"/>
          <w:color w:val="auto"/>
        </w:rPr>
        <w:t>, each Person, if any, who controls a Holder within the meaning of Section 15 of the Securities Act or Section 20 of the Securities Exchange Act shall have the same rights to contribution as such Holder, and each director of the Company, and each Person, if any, who controls the Company within the meaning of Section 15 of the Securities Act or Section 20 of the Securities Exchange Act shall have the same rights to contribution as the Company.</w:t>
      </w:r>
    </w:p>
    <w:p>
      <w:pPr>
        <w:spacing w:after="0" w:line="183" w:lineRule="exact"/>
        <w:rPr>
          <w:sz w:val="20"/>
          <w:szCs w:val="20"/>
          <w:color w:val="auto"/>
        </w:rPr>
      </w:pPr>
    </w:p>
    <w:p>
      <w:pPr>
        <w:ind w:left="180" w:hanging="172"/>
        <w:spacing w:after="0"/>
        <w:tabs>
          <w:tab w:leader="none" w:pos="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has not entered into and the Company will not after the date of this Agreement enter into any agreement which is inconsistent with the rights granted to the Holders of Registrable Securities in this Agreement or otherwise conflicts with the provisions hereof. The rights granted to the Holders hereunder do not and will not for the term of this Agreement in any way conflict with the rights granted to the holders of the Company’s other issued and outstanding securities under any such agreements.</w:t>
      </w:r>
    </w:p>
    <w:p>
      <w:pPr>
        <w:spacing w:after="0" w:line="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in aggregate principal amount of the outstanding Registrable Securities affected by such amendment, modification, supplement, waiver or departure.</w:t>
      </w:r>
    </w:p>
    <w:p>
      <w:pPr>
        <w:spacing w:after="0" w:line="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provided for or permitted hereunder shall be made in writing by hand delivery, registered first-class mail, telex, telecopier, or any courier guaranteeing overnight delivery (a) if to a Holder, at the most current address given by such Holder to the Company by means of a notice given in accordance with the provisions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which address initially is the address set forth in the Dealer Manager Agreement with respect to the Dealer Managers; and (b) if to the Company, initially at the Company’s address set forth in the Dealer Manager Agreement, and thereafter at such other address of which notice is given in accordance with the provisions of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All such notices and communications shall be deemed to have been duly given: at the time delivered by hand, if personally delivered; two business days after being deposited in the mail, postage prepaid, if mailed; when answer red back, if telexed; when receipt is acknowledged, if telecopied; and on the next business day if timely delivered to an air courier guaranteeing overnight delivery.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49" w:name="page150"/>
    <w:bookmarkEnd w:id="149"/>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Copies of all such notices, demands, or other communications shall be concurrently delivered by the Person giving the same to the Trustee under the Indenture, at the address specified in such Indenture.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Successor and Assigns</w:t>
      </w:r>
      <w:r>
        <w:rPr>
          <w:rFonts w:ascii="Arial" w:cs="Arial" w:eastAsia="Arial" w:hAnsi="Arial"/>
          <w:sz w:val="18"/>
          <w:szCs w:val="18"/>
          <w:color w:val="auto"/>
        </w:rPr>
        <w:t xml:space="preserve">. This Agreement shall inure to the benefit of and be binding upon the successors, assigns and transferees of each of the parties, including, without limitation and without the need for an express assignment, subsequent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herein shall be deemed to permit any assignment, transfer or other disposition of Registrable Securities in violation of the terms of the Dealer Manager Agreement, any note or global note representing such Registrable Securities or the Indenture.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including the restrictions on resale set forth in this Agreement and, if applicable, the Dealer Manager Agreement, and such person shall be entitled to receive the benefits hereof.</w:t>
      </w:r>
    </w:p>
    <w:p>
      <w:pPr>
        <w:spacing w:after="0" w:line="8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Enforcement; Third Party Beneficiaries</w:t>
      </w:r>
      <w:r>
        <w:rPr>
          <w:rFonts w:ascii="Arial" w:cs="Arial" w:eastAsia="Arial" w:hAnsi="Arial"/>
          <w:sz w:val="18"/>
          <w:szCs w:val="18"/>
          <w:color w:val="auto"/>
        </w:rPr>
        <w:t>. Each of the Dealer Managers (even if each Dealer Manager is not a Holder of Registrable Securities) and the Trustee shall have the right to enforce the agreements made hereunder by the Company for the benefit of the Holders hereunder. Each Holder of Registrable Securities shall be a third party beneficiary to the agreements made hereunder between the Company, on the one hand, and the Trustee and the Dealer Managers, on the other hand, and shall have the right to enforce such agreements directly to the extent it deems such enforcement necessary or advisable to protect its rights hereunder.</w:t>
      </w:r>
    </w:p>
    <w:p>
      <w:pPr>
        <w:spacing w:after="0" w:line="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Restriction on Resales</w:t>
      </w:r>
      <w:r>
        <w:rPr>
          <w:rFonts w:ascii="Arial" w:cs="Arial" w:eastAsia="Arial" w:hAnsi="Arial"/>
          <w:sz w:val="18"/>
          <w:szCs w:val="18"/>
          <w:color w:val="auto"/>
        </w:rPr>
        <w:t>. Until the expiration of one year after the original issuance of the New TechnipFMC Notes, the Company will not, and will cause its “affiliates” (as such term is defined in Rule 144(a)(1) under the Securities Act) not to, resell any New TechnipFMC Notes which are “restricted securities” (as such term is defined under Rule 144(a)(3) under the Securities Act) that have been reacquired by any of them and shall immediately upon any purchase of any such New TechnipFMC Notes submit such to the Trustee for cancellation.</w:t>
      </w:r>
    </w:p>
    <w:p>
      <w:pPr>
        <w:spacing w:after="0" w:line="79"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convenience of reference only and shall not limit or otherwise affect the meaning hereof.</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 WITHOUT REGARD TO THE PRINCIPLES OF CONFLICT OF LAWS THEREOF. THE PARTIES HERETO CONSENT TO THE JURISDICTION OF THE COURTS OF THE STATE OF NEW YORK AND THE FEDERAL COURTS LOCATED IN THE BOROUGH OF MANHATTAN, CITY OF NEW YORK IN ANY SUIT, ACTION OR PROCEEDING</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150" w:name="page151"/>
    <w:bookmarkEnd w:id="15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TO THIS AGREEMENT (EXCEPT THAT A JUDGMENT OBTAINED IN SUCH COURTS MAY BE ENFORCED IN ANY JURISDICTION). THE PARTIES IRREVOCABLY AND UNCONDITIONALLY WAIVE ANY OBJECTION TO THE LAYING OF VENUE OR ANY SUIT, ACTION OR PROCEEDING ARISING OUT OF OR RELATING TO THIS AGREEMENT OR THE TRANSACTIONS CONTEMPLATED HEREBY IN THE COURTS OF THE STATE OF NEW YORK AND THE FEDERAL COURTS LOCATED IN THE BOROUGH OF MANHATTAN, CITY OF NEW YORK AND IRREVOCABLY AND UNCONDITIONALLY WAIVE AND AGREE NOT TO PLEAD OR CLAIM IN ANY SUCH COURT THAT ANY SUCH SUIT, ACTION OR PROCEEDING HAS BEEN BROUGHT IN AN INCONVENIENT FORUM. THE COMPANY IRREVOCABLY APPOINTS C T CORPORATION, LOCATED AT 111 EIGHTH AVENUE, NEW YORK, NY 10011, AS ITS AGENT IN THE BOROUGH OF MANHATTAN, CITY OF NEW YORK TO RECEIVE SERVICE OF PROCESS OR OTHER LEGAL SUMMONS FOR PURPOSES OF ANY SUCH SUIT, ACTION OR PROCEEDING THAT MAY BE INSTITUTED IN ANY STATE OR FEDERAL COURT IN THE CITY AND COUNTY OF NEW YORK, AND AGREES THAT SERVICE OF PROCESS UPON SUCH AGENT, AND WRITTEN NOTICE OF SAID SERVICE TO THE COMPANY BY ANY MANNER PERMITTED BY APPLICABLE LAW,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SIX YEARS FROM THE DATE OF THIS AGREEMENT. ANY RIGHT TO TRIAL BY JURY WITH RESPECT TO ANY CLAIM OR PROCEEDING RELATED TO OR ANY CLAIM OR PROCEEDING RELATED TO OR ARISING OUT OF THIS AGREEMENT OR ANY TRANSACTION OR CONDUCT IN CONNECTION HEREWITH, IS WAIVED.</w:t>
      </w:r>
    </w:p>
    <w:p>
      <w:pPr>
        <w:spacing w:after="0" w:line="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Maturity of the New 2017 Notes</w:t>
      </w:r>
      <w:r>
        <w:rPr>
          <w:rFonts w:ascii="Arial" w:cs="Arial" w:eastAsia="Arial" w:hAnsi="Arial"/>
          <w:sz w:val="18"/>
          <w:szCs w:val="18"/>
          <w:color w:val="auto"/>
        </w:rPr>
        <w:t xml:space="preserve">. Notwithstanding anything to the contrary in this Agreement, the obligations of the Company under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this Agreement with respect to the New 2017 Notes shall expire upon the maturity of such notes.</w:t>
      </w:r>
    </w:p>
    <w:p>
      <w:pPr>
        <w:spacing w:after="0" w:line="62"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be of no further force or effect when there shall no longer be any Registrable Securities outstanding; provided, that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survive any such termination.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 first written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Jay. A Nutt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Jay. A Nutt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 and Deputy Chief Financial</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ind w:left="340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960"/>
          </w:cols>
          <w:pgMar w:left="700" w:top="270"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Confirmed and accepted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Scott</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David Scott</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Carolyn Hurley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Carolyn Hurley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right"/>
        <w:ind w:right="2659"/>
        <w:spacing w:after="0"/>
        <w:rPr>
          <w:sz w:val="20"/>
          <w:szCs w:val="20"/>
          <w:color w:val="auto"/>
        </w:rPr>
      </w:pPr>
      <w:r>
        <w:rPr>
          <w:rFonts w:ascii="Arial" w:cs="Arial" w:eastAsia="Arial" w:hAnsi="Arial"/>
          <w:sz w:val="18"/>
          <w:szCs w:val="18"/>
          <w:i w:val="1"/>
          <w:iCs w:val="1"/>
          <w:color w:val="auto"/>
        </w:rPr>
        <w:t>[Signature Page to Registration Rights Agreement]</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1)"/>
      <w:numFmt w:val="decimal"/>
      <w:start w:val="1"/>
    </w:lvl>
  </w:abstractNum>
  <w:abstractNum w:abstractNumId="2">
    <w:nsid w:val="168E121F"/>
    <w:multiLevelType w:val="hybridMultilevel"/>
    <w:lvl w:ilvl="0">
      <w:lvlJc w:val="left"/>
      <w:lvlText w:val="(%1)"/>
      <w:numFmt w:val="decimal"/>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1)"/>
      <w:numFmt w:val="decimal"/>
      <w:start w:val="1"/>
    </w:lvl>
  </w:abstractNum>
  <w:abstractNum w:abstractNumId="5">
    <w:nsid w:val="5DC79EA8"/>
    <w:multiLevelType w:val="hybridMultilevel"/>
    <w:lvl w:ilvl="0">
      <w:lvlJc w:val="left"/>
      <w:lvlText w:val="(%1)"/>
      <w:numFmt w:val="decimal"/>
      <w:start w:val="7"/>
    </w:lvl>
  </w:abstractNum>
  <w:abstractNum w:abstractNumId="6">
    <w:nsid w:val="540A471C"/>
    <w:multiLevelType w:val="hybridMultilevel"/>
    <w:lvl w:ilvl="0">
      <w:lvlJc w:val="left"/>
      <w:lvlText w:val="(%1)"/>
      <w:numFmt w:val="decimal"/>
      <w:start w:val="1"/>
    </w:lvl>
  </w:abstractNum>
  <w:abstractNum w:abstractNumId="7">
    <w:nsid w:val="7BD3EE7B"/>
    <w:multiLevelType w:val="hybridMultilevel"/>
    <w:lvl w:ilvl="0">
      <w:lvlJc w:val="left"/>
      <w:lvlText w:val="(%1)"/>
      <w:numFmt w:val="decimal"/>
      <w:start w:val="2"/>
    </w:lvl>
  </w:abstractNum>
  <w:abstractNum w:abstractNumId="8">
    <w:nsid w:val="51D9C564"/>
    <w:multiLevelType w:val="hybridMultilevel"/>
    <w:lvl w:ilvl="0">
      <w:lvlJc w:val="left"/>
      <w:lvlText w:val="(%1)"/>
      <w:numFmt w:val="lowerLetter"/>
      <w:start w:val="1"/>
    </w:lvl>
  </w:abstractNum>
  <w:abstractNum w:abstractNumId="9">
    <w:nsid w:val="613EFDC5"/>
    <w:multiLevelType w:val="hybridMultilevel"/>
    <w:lvl w:ilvl="0">
      <w:lvlJc w:val="left"/>
      <w:lvlText w:val="(%1)"/>
      <w:numFmt w:val="lowerLetter"/>
      <w:start w:val="2"/>
    </w:lvl>
  </w:abstractNum>
  <w:abstractNum w:abstractNumId="10">
    <w:nsid w:val="BF72B14"/>
    <w:multiLevelType w:val="hybridMultilevel"/>
    <w:lvl w:ilvl="0">
      <w:lvlJc w:val="left"/>
      <w:lvlText w:val="(%1)"/>
      <w:numFmt w:val="decimal"/>
      <w:start w:val="1"/>
    </w:lvl>
  </w:abstractNum>
  <w:abstractNum w:abstractNumId="11">
    <w:nsid w:val="11447B73"/>
    <w:multiLevelType w:val="hybridMultilevel"/>
    <w:lvl w:ilvl="0">
      <w:lvlJc w:val="left"/>
      <w:lvlText w:val="(%1)"/>
      <w:numFmt w:val="decimal"/>
      <w:start w:val="1"/>
    </w:lvl>
  </w:abstractNum>
  <w:abstractNum w:abstractNumId="12">
    <w:nsid w:val="42963E5A"/>
    <w:multiLevelType w:val="hybridMultilevel"/>
    <w:lvl w:ilvl="0">
      <w:lvlJc w:val="left"/>
      <w:lvlText w:val="(%1)"/>
      <w:numFmt w:val="decimal"/>
      <w:start w:val="6"/>
    </w:lvl>
  </w:abstractNum>
  <w:abstractNum w:abstractNumId="13">
    <w:nsid w:val="A0382C5"/>
    <w:multiLevelType w:val="hybridMultilevel"/>
    <w:lvl w:ilvl="0">
      <w:lvlJc w:val="left"/>
      <w:lvlText w:val="(%1)"/>
      <w:numFmt w:val="decimal"/>
      <w:start w:val="14"/>
    </w:lvl>
  </w:abstractNum>
  <w:abstractNum w:abstractNumId="14">
    <w:nsid w:val="8F2B15E"/>
    <w:multiLevelType w:val="hybridMultilevel"/>
    <w:lvl w:ilvl="0">
      <w:lvlJc w:val="left"/>
      <w:lvlText w:val="%1"/>
      <w:numFmt w:val="lowerLetter"/>
      <w:start w:val="1"/>
    </w:lvl>
    <w:lvl w:ilvl="1">
      <w:lvlJc w:val="left"/>
      <w:lvlText w:val="(%2)"/>
      <w:numFmt w:val="lowerLetter"/>
      <w:start w:val="1"/>
    </w:lvl>
  </w:abstractNum>
  <w:abstractNum w:abstractNumId="15">
    <w:nsid w:val="1A32234B"/>
    <w:multiLevelType w:val="hybridMultilevel"/>
    <w:lvl w:ilvl="0">
      <w:lvlJc w:val="left"/>
      <w:lvlText w:val="(%1)"/>
      <w:numFmt w:val="lowerLetter"/>
      <w:start w:val="61"/>
    </w:lvl>
    <w:lvl w:ilvl="1">
      <w:lvlJc w:val="left"/>
      <w:lvlText w:val="%2"/>
      <w:numFmt w:val="lowerLetter"/>
      <w:start w:val="1"/>
    </w:lvl>
  </w:abstractNum>
  <w:abstractNum w:abstractNumId="16">
    <w:nsid w:val="3B0FD379"/>
    <w:multiLevelType w:val="hybridMultilevel"/>
    <w:lvl w:ilvl="0">
      <w:lvlJc w:val="left"/>
      <w:lvlText w:val="(%1)"/>
      <w:numFmt w:val="decimal"/>
      <w:start w:val="1"/>
    </w:lvl>
  </w:abstractNum>
  <w:abstractNum w:abstractNumId="17">
    <w:nsid w:val="68EB2F63"/>
    <w:multiLevelType w:val="hybridMultilevel"/>
    <w:lvl w:ilvl="0">
      <w:lvlJc w:val="left"/>
      <w:lvlText w:val="(%1)"/>
      <w:numFmt w:val="decimal"/>
      <w:start w:val="2"/>
    </w:lvl>
  </w:abstractNum>
  <w:abstractNum w:abstractNumId="18">
    <w:nsid w:val="4962813B"/>
    <w:multiLevelType w:val="hybridMultilevel"/>
    <w:lvl w:ilvl="0">
      <w:lvlJc w:val="left"/>
      <w:lvlText w:val="(%1)"/>
      <w:numFmt w:val="lowerLetter"/>
      <w:start w:val="1"/>
    </w:lvl>
  </w:abstractNum>
  <w:abstractNum w:abstractNumId="19">
    <w:nsid w:val="60B6DF70"/>
    <w:multiLevelType w:val="hybridMultilevel"/>
    <w:lvl w:ilvl="0">
      <w:lvlJc w:val="left"/>
      <w:lvlText w:val="(%1)"/>
      <w:numFmt w:val="lowerLetter"/>
      <w:start w:val="2"/>
    </w:lvl>
  </w:abstractNum>
  <w:abstractNum w:abstractNumId="20">
    <w:nsid w:val="6A5EE64"/>
    <w:multiLevelType w:val="hybridMultilevel"/>
    <w:lvl w:ilvl="0">
      <w:lvlJc w:val="left"/>
      <w:lvlText w:val="(%1)"/>
      <w:numFmt w:val="lowerLetter"/>
      <w:start w:val="3"/>
    </w:lvl>
    <w:lvl w:ilvl="1">
      <w:lvlJc w:val="left"/>
      <w:lvlText w:val="(%2)"/>
      <w:numFmt w:val="lowerRoman"/>
      <w:start w:val="1"/>
    </w:lvl>
  </w:abstractNum>
  <w:abstractNum w:abstractNumId="21">
    <w:nsid w:val="14330624"/>
    <w:multiLevelType w:val="hybridMultilevel"/>
    <w:lvl w:ilvl="0">
      <w:lvlJc w:val="left"/>
      <w:lvlText w:val="(%1)"/>
      <w:numFmt w:val="lowerRoman"/>
      <w:start w:val="3"/>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1)"/>
      <w:numFmt w:val="decimal"/>
      <w:start w:val="2"/>
    </w:lvl>
  </w:abstractNum>
  <w:abstractNum w:abstractNumId="24">
    <w:nsid w:val="71EA1109"/>
    <w:multiLevelType w:val="hybridMultilevel"/>
    <w:lvl w:ilvl="0">
      <w:lvlJc w:val="left"/>
      <w:lvlText w:val="(%1)"/>
      <w:numFmt w:val="decimal"/>
      <w:start w:val="1"/>
    </w:lvl>
    <w:lvl w:ilvl="1">
      <w:lvlJc w:val="left"/>
      <w:lvlText w:val="(%2)"/>
      <w:numFmt w:val="upperLetter"/>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lowerRoman"/>
      <w:start w:val="1"/>
    </w:lvl>
  </w:abstractNum>
  <w:abstractNum w:abstractNumId="27">
    <w:nsid w:val="6EB5BD4"/>
    <w:multiLevelType w:val="hybridMultilevel"/>
    <w:lvl w:ilvl="0">
      <w:lvlJc w:val="left"/>
      <w:lvlText w:val="(%1)"/>
      <w:numFmt w:val="decimal"/>
      <w:start w:val="1"/>
    </w:lvl>
  </w:abstractNum>
  <w:abstractNum w:abstractNumId="28">
    <w:nsid w:val="6F6DD9AC"/>
    <w:multiLevelType w:val="hybridMultilevel"/>
    <w:lvl w:ilvl="0">
      <w:lvlJc w:val="left"/>
      <w:lvlText w:val="(%1)"/>
      <w:numFmt w:val="decimal"/>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1)"/>
      <w:numFmt w:val="lowerLetter"/>
      <w:start w:val="2"/>
    </w:lvl>
  </w:abstractNum>
  <w:abstractNum w:abstractNumId="32">
    <w:nsid w:val="4C04A8AF"/>
    <w:multiLevelType w:val="hybridMultilevel"/>
    <w:lvl w:ilvl="0">
      <w:lvlJc w:val="left"/>
      <w:lvlText w:val="(%1)"/>
      <w:numFmt w:val="decimal"/>
      <w:start w:val="1"/>
    </w:lvl>
  </w:abstractNum>
  <w:abstractNum w:abstractNumId="33">
    <w:nsid w:val="1716703B"/>
    <w:multiLevelType w:val="hybridMultilevel"/>
    <w:lvl w:ilvl="0">
      <w:lvlJc w:val="left"/>
      <w:lvlText w:val="(%1)"/>
      <w:numFmt w:val="lowerLetter"/>
      <w:start w:val="4"/>
    </w:lvl>
  </w:abstractNum>
  <w:abstractNum w:abstractNumId="34">
    <w:nsid w:val="14E17E33"/>
    <w:multiLevelType w:val="hybridMultilevel"/>
    <w:lvl w:ilvl="0">
      <w:lvlJc w:val="left"/>
      <w:lvlText w:val="(%1)"/>
      <w:numFmt w:val="lowerLetter"/>
      <w:start w:val="1"/>
    </w:lvl>
  </w:abstractNum>
  <w:abstractNum w:abstractNumId="35">
    <w:nsid w:val="3222E7CD"/>
    <w:multiLevelType w:val="hybridMultilevel"/>
    <w:lvl w:ilvl="0">
      <w:lvlJc w:val="left"/>
      <w:lvlText w:val="(%1)"/>
      <w:numFmt w:val="lowerLetter"/>
      <w:start w:val="5"/>
    </w:lvl>
  </w:abstractNum>
  <w:abstractNum w:abstractNumId="36">
    <w:nsid w:val="74DE0EE3"/>
    <w:multiLevelType w:val="hybridMultilevel"/>
    <w:lvl w:ilvl="0">
      <w:lvlJc w:val="left"/>
      <w:lvlText w:val="(%1)"/>
      <w:numFmt w:val="decimal"/>
      <w:start w:val="1"/>
    </w:lvl>
  </w:abstractNum>
  <w:abstractNum w:abstractNumId="37">
    <w:nsid w:val="68EBC550"/>
    <w:multiLevelType w:val="hybridMultilevel"/>
    <w:lvl w:ilvl="0">
      <w:lvlJc w:val="left"/>
      <w:lvlText w:val="(%1)"/>
      <w:numFmt w:val="lowerLetter"/>
      <w:start w:val="1"/>
    </w:lvl>
  </w:abstractNum>
  <w:abstractNum w:abstractNumId="38">
    <w:nsid w:val="2DF6D648"/>
    <w:multiLevelType w:val="hybridMultilevel"/>
    <w:lvl w:ilvl="0">
      <w:lvlJc w:val="left"/>
      <w:lvlText w:val="(%1)"/>
      <w:numFmt w:val="lowerLetter"/>
      <w:start w:val="1"/>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1)"/>
      <w:numFmt w:val="lowerLetter"/>
      <w:start w:val="5"/>
    </w:lvl>
  </w:abstractNum>
  <w:abstractNum w:abstractNumId="41">
    <w:nsid w:val="39EE015C"/>
    <w:multiLevelType w:val="hybridMultilevel"/>
    <w:lvl w:ilvl="0">
      <w:lvlJc w:val="left"/>
      <w:lvlText w:val="(%1)"/>
      <w:numFmt w:val="lowerLetter"/>
      <w:start w:val="6"/>
    </w:lvl>
  </w:abstractNum>
  <w:abstractNum w:abstractNumId="42">
    <w:nsid w:val="57FC4FBB"/>
    <w:multiLevelType w:val="hybridMultilevel"/>
    <w:lvl w:ilvl="0">
      <w:lvlJc w:val="left"/>
      <w:lvlText w:val="(%1)"/>
      <w:numFmt w:val="lowerLetter"/>
      <w:start w:val="1"/>
    </w:lvl>
  </w:abstractNum>
  <w:abstractNum w:abstractNumId="43">
    <w:nsid w:val="CC1016F"/>
    <w:multiLevelType w:val="hybridMultilevel"/>
    <w:lvl w:ilvl="0">
      <w:lvlJc w:val="left"/>
      <w:lvlText w:val="(%1)"/>
      <w:numFmt w:val="lowerLetter"/>
      <w:start w:val="3"/>
    </w:lvl>
  </w:abstractNum>
  <w:abstractNum w:abstractNumId="44">
    <w:nsid w:val="43F18422"/>
    <w:multiLevelType w:val="hybridMultilevel"/>
    <w:lvl w:ilvl="0">
      <w:lvlJc w:val="left"/>
      <w:lvlText w:val="(%1)"/>
      <w:numFmt w:val="lowerLetter"/>
      <w:start w:val="1"/>
    </w:lvl>
  </w:abstractNum>
  <w:abstractNum w:abstractNumId="45">
    <w:nsid w:val="60EF0119"/>
    <w:multiLevelType w:val="hybridMultilevel"/>
    <w:lvl w:ilvl="0">
      <w:lvlJc w:val="left"/>
      <w:lvlText w:val="(%1)"/>
      <w:numFmt w:val="lowerLetter"/>
      <w:start w:val="1"/>
    </w:lvl>
  </w:abstractNum>
  <w:abstractNum w:abstractNumId="46">
    <w:nsid w:val="26F324BA"/>
    <w:multiLevelType w:val="hybridMultilevel"/>
    <w:lvl w:ilvl="0">
      <w:lvlJc w:val="left"/>
      <w:lvlText w:val="(%1)"/>
      <w:numFmt w:val="lowerLetter"/>
      <w:start w:val="2"/>
    </w:lvl>
  </w:abstractNum>
  <w:abstractNum w:abstractNumId="47">
    <w:nsid w:val="7F01579B"/>
    <w:multiLevelType w:val="hybridMultilevel"/>
    <w:lvl w:ilvl="0">
      <w:lvlJc w:val="left"/>
      <w:lvlText w:val="(%1)"/>
      <w:numFmt w:val="lowerLetter"/>
      <w:start w:val="1"/>
    </w:lvl>
  </w:abstractNum>
  <w:abstractNum w:abstractNumId="48">
    <w:nsid w:val="49DA307D"/>
    <w:multiLevelType w:val="hybridMultilevel"/>
    <w:lvl w:ilvl="0">
      <w:lvlJc w:val="left"/>
      <w:lvlText w:val="(%1)"/>
      <w:numFmt w:val="decimal"/>
      <w:start w:val="1"/>
    </w:lvl>
  </w:abstractNum>
  <w:abstractNum w:abstractNumId="49">
    <w:nsid w:val="7055A5F5"/>
    <w:multiLevelType w:val="hybridMultilevel"/>
    <w:lvl w:ilvl="0">
      <w:lvlJc w:val="left"/>
      <w:lvlText w:val="(%1)"/>
      <w:numFmt w:val="lowerLetter"/>
      <w:start w:val="4"/>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1)"/>
      <w:numFmt w:val="decimal"/>
      <w:start w:val="1"/>
    </w:lvl>
  </w:abstractNum>
  <w:abstractNum w:abstractNumId="52">
    <w:nsid w:val="488AC1A"/>
    <w:multiLevelType w:val="hybridMultilevel"/>
    <w:lvl w:ilvl="0">
      <w:lvlJc w:val="left"/>
      <w:lvlText w:val="(%1)"/>
      <w:numFmt w:val="decimal"/>
      <w:start w:val="1"/>
    </w:lvl>
  </w:abstractNum>
  <w:abstractNum w:abstractNumId="53">
    <w:nsid w:val="5FB8011C"/>
    <w:multiLevelType w:val="hybridMultilevel"/>
    <w:lvl w:ilvl="0">
      <w:lvlJc w:val="left"/>
      <w:lvlText w:val="(%1)"/>
      <w:numFmt w:val="decimal"/>
      <w:start w:val="7"/>
    </w:lvl>
  </w:abstractNum>
  <w:abstractNum w:abstractNumId="54">
    <w:nsid w:val="6AA78F7F"/>
    <w:multiLevelType w:val="hybridMultilevel"/>
    <w:lvl w:ilvl="0">
      <w:lvlJc w:val="left"/>
      <w:lvlText w:val="(%1)"/>
      <w:numFmt w:val="decimal"/>
      <w:start w:val="1"/>
    </w:lvl>
  </w:abstractNum>
  <w:abstractNum w:abstractNumId="55">
    <w:nsid w:val="7672BD23"/>
    <w:multiLevelType w:val="hybridMultilevel"/>
    <w:lvl w:ilvl="0">
      <w:lvlJc w:val="left"/>
      <w:lvlText w:val="(%1)"/>
      <w:numFmt w:val="decimal"/>
      <w:start w:val="2"/>
    </w:lvl>
  </w:abstractNum>
  <w:abstractNum w:abstractNumId="56">
    <w:nsid w:val="6FC75AF8"/>
    <w:multiLevelType w:val="hybridMultilevel"/>
    <w:lvl w:ilvl="0">
      <w:lvlJc w:val="left"/>
      <w:lvlText w:val="(%1)"/>
      <w:numFmt w:val="decimal"/>
      <w:start w:val="1"/>
    </w:lvl>
  </w:abstractNum>
  <w:abstractNum w:abstractNumId="57">
    <w:nsid w:val="6A5F7029"/>
    <w:multiLevelType w:val="hybridMultilevel"/>
    <w:lvl w:ilvl="0">
      <w:lvlJc w:val="left"/>
      <w:lvlText w:val="(%1)"/>
      <w:numFmt w:val="lowerLetter"/>
      <w:start w:val="1"/>
    </w:lvl>
  </w:abstractNum>
  <w:abstractNum w:abstractNumId="58">
    <w:nsid w:val="7D5E18F8"/>
    <w:multiLevelType w:val="hybridMultilevel"/>
    <w:lvl w:ilvl="0">
      <w:lvlJc w:val="left"/>
      <w:lvlText w:val="(%1)"/>
      <w:numFmt w:val="decimal"/>
      <w:start w:val="1"/>
    </w:lvl>
  </w:abstractNum>
  <w:abstractNum w:abstractNumId="59">
    <w:nsid w:val="5F3534A4"/>
    <w:multiLevelType w:val="hybridMultilevel"/>
    <w:lvl w:ilvl="0">
      <w:lvlJc w:val="left"/>
      <w:lvlText w:val="(%1)"/>
      <w:numFmt w:val="lowerRoman"/>
      <w:start w:val="1"/>
    </w:lvl>
  </w:abstractNum>
  <w:abstractNum w:abstractNumId="60">
    <w:nsid w:val="73A1821B"/>
    <w:multiLevelType w:val="hybridMultilevel"/>
    <w:lvl w:ilvl="0">
      <w:lvlJc w:val="left"/>
      <w:lvlText w:val="%1"/>
      <w:numFmt w:val="decimal"/>
      <w:start w:val="1"/>
    </w:lvl>
    <w:lvl w:ilvl="1">
      <w:lvlJc w:val="left"/>
      <w:lvlText w:val="(%2)"/>
      <w:numFmt w:val="decimal"/>
      <w:start w:val="5"/>
    </w:lvl>
  </w:abstractNum>
  <w:abstractNum w:abstractNumId="61">
    <w:nsid w:val="7DE67713"/>
    <w:multiLevelType w:val="hybridMultilevel"/>
    <w:lvl w:ilvl="0">
      <w:lvlJc w:val="left"/>
      <w:lvlText w:val="(%1)"/>
      <w:numFmt w:val="decimal"/>
      <w:start w:val="30"/>
    </w:lvl>
    <w:lvl w:ilvl="1">
      <w:lvlJc w:val="left"/>
      <w:lvlText w:val="(%2)"/>
      <w:numFmt w:val="decimal"/>
      <w:start w:val="6"/>
    </w:lvl>
  </w:abstractNum>
  <w:abstractNum w:abstractNumId="62">
    <w:nsid w:val="555C55B5"/>
    <w:multiLevelType w:val="hybridMultilevel"/>
    <w:lvl w:ilvl="0">
      <w:lvlJc w:val="left"/>
      <w:lvlText w:val="(%1)"/>
      <w:numFmt w:val="lowerLetter"/>
      <w:start w:val="3"/>
    </w:lvl>
  </w:abstractNum>
  <w:abstractNum w:abstractNumId="63">
    <w:nsid w:val="3FA62ACA"/>
    <w:multiLevelType w:val="hybridMultilevel"/>
    <w:lvl w:ilvl="0">
      <w:lvlJc w:val="left"/>
      <w:lvlText w:val="(%1)"/>
      <w:numFmt w:val="lowerLetter"/>
      <w:start w:val="5"/>
    </w:lvl>
  </w:abstractNum>
  <w:abstractNum w:abstractNumId="64">
    <w:nsid w:val="14FCE74E"/>
    <w:multiLevelType w:val="hybridMultilevel"/>
    <w:lvl w:ilvl="0">
      <w:lvlJc w:val="left"/>
      <w:lvlText w:val="(%1)"/>
      <w:numFmt w:val="lowerLetter"/>
      <w:start w:val="1"/>
    </w:lvl>
  </w:abstractNum>
  <w:abstractNum w:abstractNumId="65">
    <w:nsid w:val="6A3DD3E8"/>
    <w:multiLevelType w:val="hybridMultilevel"/>
    <w:lvl w:ilvl="0">
      <w:lvlJc w:val="left"/>
      <w:lvlText w:val="(%1)"/>
      <w:numFmt w:val="lowerLetter"/>
      <w:start w:val="4"/>
    </w:lvl>
  </w:abstractNum>
  <w:abstractNum w:abstractNumId="66">
    <w:nsid w:val="71C91298"/>
    <w:multiLevelType w:val="hybridMultilevel"/>
    <w:lvl w:ilvl="0">
      <w:lvlJc w:val="left"/>
      <w:lvlText w:val="(%1)"/>
      <w:numFmt w:val="decimal"/>
      <w:start w:val="1"/>
    </w:lvl>
  </w:abstractNum>
  <w:abstractNum w:abstractNumId="67">
    <w:nsid w:val="9DAF632"/>
    <w:multiLevelType w:val="hybridMultilevel"/>
    <w:lvl w:ilvl="0">
      <w:lvlJc w:val="left"/>
      <w:lvlText w:val="(%1)"/>
      <w:numFmt w:val="lowerLetter"/>
      <w:start w:val="1"/>
    </w:lvl>
  </w:abstractNum>
  <w:abstractNum w:abstractNumId="68">
    <w:nsid w:val="53299938"/>
    <w:multiLevelType w:val="hybridMultilevel"/>
    <w:lvl w:ilvl="0">
      <w:lvlJc w:val="left"/>
      <w:lvlText w:val="(%1)"/>
      <w:numFmt w:val="decimal"/>
      <w:start w:val="1"/>
    </w:lvl>
  </w:abstractNum>
  <w:abstractNum w:abstractNumId="69">
    <w:nsid w:val="1FBFE8E0"/>
    <w:multiLevelType w:val="hybridMultilevel"/>
    <w:lvl w:ilvl="0">
      <w:lvlJc w:val="left"/>
      <w:lvlText w:val="(%1)"/>
      <w:numFmt w:val="decimal"/>
      <w:start w:val="1"/>
    </w:lvl>
  </w:abstractNum>
  <w:abstractNum w:abstractNumId="70">
    <w:nsid w:val="5092CA79"/>
    <w:multiLevelType w:val="hybridMultilevel"/>
    <w:lvl w:ilvl="0">
      <w:lvlJc w:val="left"/>
      <w:lvlText w:val="(%1)"/>
      <w:numFmt w:val="lowerLetter"/>
      <w:start w:val="35"/>
    </w:lvl>
    <w:lvl w:ilvl="1">
      <w:lvlJc w:val="left"/>
      <w:lvlText w:val="(%2)"/>
      <w:numFmt w:val="lowerLetter"/>
      <w:start w:val="2"/>
    </w:lvl>
  </w:abstractNum>
  <w:abstractNum w:abstractNumId="71">
    <w:nsid w:val="1D545C4D"/>
    <w:multiLevelType w:val="hybridMultilevel"/>
    <w:lvl w:ilvl="0">
      <w:lvlJc w:val="left"/>
      <w:lvlText w:val="(%1)"/>
      <w:numFmt w:val="lowerLetter"/>
      <w:start w:val="1"/>
    </w:lvl>
  </w:abstractNum>
  <w:abstractNum w:abstractNumId="72">
    <w:nsid w:val="59ADEA3D"/>
    <w:multiLevelType w:val="hybridMultilevel"/>
    <w:lvl w:ilvl="0">
      <w:lvlJc w:val="left"/>
      <w:lvlText w:val="(%1)"/>
      <w:numFmt w:val="lowerLetter"/>
      <w:start w:val="1"/>
    </w:lvl>
  </w:abstractNum>
  <w:abstractNum w:abstractNumId="73">
    <w:nsid w:val="288F1A34"/>
    <w:multiLevelType w:val="hybridMultilevel"/>
    <w:lvl w:ilvl="0">
      <w:lvlJc w:val="left"/>
      <w:lvlText w:val="(%1)"/>
      <w:numFmt w:val="lowerLetter"/>
      <w:start w:val="3"/>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1)"/>
      <w:numFmt w:val="lowerLetter"/>
      <w:start w:val="6"/>
    </w:lvl>
  </w:abstractNum>
  <w:abstractNum w:abstractNumId="76">
    <w:nsid w:val="97E1B4E"/>
    <w:multiLevelType w:val="hybridMultilevel"/>
    <w:lvl w:ilvl="0">
      <w:lvlJc w:val="left"/>
      <w:lvlText w:val="(%1)"/>
      <w:numFmt w:val="lowerLetter"/>
      <w:start w:val="1"/>
    </w:lvl>
  </w:abstractNum>
  <w:abstractNum w:abstractNumId="77">
    <w:nsid w:val="51088277"/>
    <w:multiLevelType w:val="hybridMultilevel"/>
    <w:lvl w:ilvl="0">
      <w:lvlJc w:val="left"/>
      <w:lvlText w:val="(%1)"/>
      <w:numFmt w:val="lowerLetter"/>
      <w:start w:val="4"/>
    </w:lvl>
  </w:abstractNum>
  <w:abstractNum w:abstractNumId="78">
    <w:nsid w:val="1CA0C5FA"/>
    <w:multiLevelType w:val="hybridMultilevel"/>
    <w:lvl w:ilvl="0">
      <w:lvlJc w:val="left"/>
      <w:lvlText w:val="(%1)"/>
      <w:numFmt w:val="lowerLetter"/>
      <w:start w:val="1"/>
    </w:lvl>
  </w:abstractNum>
  <w:abstractNum w:abstractNumId="79">
    <w:nsid w:val="53584BCB"/>
    <w:multiLevelType w:val="hybridMultilevel"/>
    <w:lvl w:ilvl="0">
      <w:lvlJc w:val="left"/>
      <w:lvlText w:val="(%1)"/>
      <w:numFmt w:val="lowerLetter"/>
      <w:start w:val="3"/>
    </w:lvl>
  </w:abstractNum>
  <w:abstractNum w:abstractNumId="80">
    <w:nsid w:val="415E286C"/>
    <w:multiLevelType w:val="hybridMultilevel"/>
    <w:lvl w:ilvl="0">
      <w:lvlJc w:val="left"/>
      <w:lvlText w:val="%1"/>
      <w:numFmt w:val="decimal"/>
      <w:start w:val="1"/>
    </w:lvl>
    <w:lvl w:ilvl="1">
      <w:lvlJc w:val="left"/>
      <w:lvlText w:val="(%2)"/>
      <w:numFmt w:val="lowerLetter"/>
      <w:start w:val="1"/>
    </w:lvl>
  </w:abstractNum>
  <w:abstractNum w:abstractNumId="81">
    <w:nsid w:val="7C58FD05"/>
    <w:multiLevelType w:val="hybridMultilevel"/>
    <w:lvl w:ilvl="0">
      <w:lvlJc w:val="left"/>
      <w:lvlText w:val="(%1)"/>
      <w:numFmt w:val="decimal"/>
      <w:start w:val="1"/>
    </w:lvl>
    <w:lvl w:ilvl="1">
      <w:lvlJc w:val="left"/>
      <w:lvlText w:val="%2"/>
      <w:numFmt w:val="lowerLetter"/>
      <w:start w:val="1"/>
    </w:lvl>
  </w:abstractNum>
  <w:abstractNum w:abstractNumId="82">
    <w:nsid w:val="23D86AAC"/>
    <w:multiLevelType w:val="hybridMultilevel"/>
    <w:lvl w:ilvl="0">
      <w:lvlJc w:val="left"/>
      <w:lvlText w:val="(%1)"/>
      <w:numFmt w:val="decimal"/>
      <w:start w:val="3"/>
    </w:lvl>
    <w:lvl w:ilvl="1">
      <w:lvlJc w:val="left"/>
      <w:lvlText w:val="(%2)"/>
      <w:numFmt w:val="lowerLetter"/>
      <w:start w:val="2"/>
    </w:lvl>
  </w:abstractNum>
  <w:abstractNum w:abstractNumId="83">
    <w:nsid w:val="45E6D486"/>
    <w:multiLevelType w:val="hybridMultilevel"/>
    <w:lvl w:ilvl="0">
      <w:lvlJc w:val="left"/>
      <w:lvlText w:val="(%1)"/>
      <w:numFmt w:val="lowerLetter"/>
      <w:start w:val="4"/>
    </w:lvl>
  </w:abstractNum>
  <w:abstractNum w:abstractNumId="84">
    <w:nsid w:val="5C10FE21"/>
    <w:multiLevelType w:val="hybridMultilevel"/>
    <w:lvl w:ilvl="0">
      <w:lvlJc w:val="left"/>
      <w:lvlText w:val="(%1)"/>
      <w:numFmt w:val="lowerLetter"/>
      <w:start w:val="5"/>
    </w:lvl>
  </w:abstractNum>
  <w:abstractNum w:abstractNumId="85">
    <w:nsid w:val="E7FFA2B"/>
    <w:multiLevelType w:val="hybridMultilevel"/>
    <w:lvl w:ilvl="0">
      <w:lvlJc w:val="left"/>
      <w:lvlText w:val="1"/>
      <w:numFmt w:val="bullet"/>
      <w:start w:val="1"/>
    </w:lvl>
  </w:abstractNum>
  <w:abstractNum w:abstractNumId="86">
    <w:nsid w:val="3C5991AA"/>
    <w:multiLevelType w:val="hybridMultilevel"/>
    <w:lvl w:ilvl="0">
      <w:lvlJc w:val="left"/>
      <w:lvlText w:val="2"/>
      <w:numFmt w:val="bullet"/>
      <w:start w:val="1"/>
    </w:lvl>
  </w:abstractNum>
  <w:abstractNum w:abstractNumId="87">
    <w:nsid w:val="4BD8591A"/>
    <w:multiLevelType w:val="hybridMultilevel"/>
    <w:lvl w:ilvl="0">
      <w:lvlJc w:val="left"/>
      <w:lvlText w:val="3"/>
      <w:numFmt w:val="bullet"/>
      <w:start w:val="1"/>
    </w:lvl>
  </w:abstractNum>
  <w:abstractNum w:abstractNumId="88">
    <w:nsid w:val="78DF6A55"/>
    <w:multiLevelType w:val="hybridMultilevel"/>
    <w:lvl w:ilvl="0">
      <w:lvlJc w:val="left"/>
      <w:lvlText w:val="(%1)"/>
      <w:numFmt w:val="upperLetter"/>
      <w:start w:val="5"/>
    </w:lvl>
  </w:abstractNum>
  <w:abstractNum w:abstractNumId="89">
    <w:nsid w:val="39B7AAA2"/>
    <w:multiLevelType w:val="hybridMultilevel"/>
    <w:lvl w:ilvl="0">
      <w:lvlJc w:val="left"/>
      <w:lvlText w:val="4"/>
      <w:numFmt w:val="bullet"/>
      <w:start w:val="1"/>
    </w:lvl>
  </w:abstractNum>
  <w:abstractNum w:abstractNumId="90">
    <w:nsid w:val="2B0D8DBE"/>
    <w:multiLevelType w:val="hybridMultilevel"/>
    <w:lvl w:ilvl="0">
      <w:lvlJc w:val="left"/>
      <w:lvlText w:val="%1."/>
      <w:numFmt w:val="decimal"/>
      <w:start w:val="1"/>
    </w:lvl>
  </w:abstractNum>
  <w:abstractNum w:abstractNumId="91">
    <w:nsid w:val="6C80EC70"/>
    <w:multiLevelType w:val="hybridMultilevel"/>
    <w:lvl w:ilvl="0">
      <w:lvlJc w:val="left"/>
      <w:lvlText w:val="5"/>
      <w:numFmt w:val="bullet"/>
      <w:start w:val="1"/>
    </w:lvl>
  </w:abstractNum>
  <w:abstractNum w:abstractNumId="92">
    <w:nsid w:val="379E21B5"/>
    <w:multiLevelType w:val="hybridMultilevel"/>
    <w:lvl w:ilvl="0">
      <w:lvlJc w:val="left"/>
      <w:lvlText w:val="%1."/>
      <w:numFmt w:val="decimal"/>
      <w:start w:val="3"/>
    </w:lvl>
  </w:abstractNum>
  <w:abstractNum w:abstractNumId="93">
    <w:nsid w:val="69E373"/>
    <w:multiLevelType w:val="hybridMultilevel"/>
    <w:lvl w:ilvl="0">
      <w:lvlJc w:val="left"/>
      <w:lvlText w:val="(%1)"/>
      <w:numFmt w:val="lowerLetter"/>
      <w:start w:val="2"/>
    </w:lvl>
  </w:abstractNum>
  <w:abstractNum w:abstractNumId="94">
    <w:nsid w:val="2C27173B"/>
    <w:multiLevelType w:val="hybridMultilevel"/>
    <w:lvl w:ilvl="0">
      <w:lvlJc w:val="left"/>
      <w:lvlText w:val="%1."/>
      <w:numFmt w:val="decimal"/>
      <w:start w:val="6"/>
    </w:lvl>
  </w:abstractNum>
  <w:abstractNum w:abstractNumId="95">
    <w:nsid w:val="4C9B0904"/>
    <w:multiLevelType w:val="hybridMultilevel"/>
    <w:lvl w:ilvl="0">
      <w:lvlJc w:val="left"/>
      <w:lvlText w:val="%1."/>
      <w:numFmt w:val="decimal"/>
      <w:start w:val="9"/>
    </w:lvl>
  </w:abstractNum>
  <w:abstractNum w:abstractNumId="96">
    <w:nsid w:val="6AA7B75C"/>
    <w:multiLevelType w:val="hybridMultilevel"/>
    <w:lvl w:ilvl="0">
      <w:lvlJc w:val="left"/>
      <w:lvlText w:val="%1."/>
      <w:numFmt w:val="decimal"/>
      <w:start w:val="13"/>
    </w:lvl>
  </w:abstractNum>
  <w:abstractNum w:abstractNumId="97">
    <w:nsid w:val="1DF029D3"/>
    <w:multiLevelType w:val="hybridMultilevel"/>
    <w:lvl w:ilvl="0">
      <w:lvlJc w:val="left"/>
      <w:lvlText w:val="6"/>
      <w:numFmt w:val="bullet"/>
      <w:start w:val="1"/>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6"/>
    </w:lvl>
  </w:abstractNum>
  <w:abstractNum w:abstractNumId="101">
    <w:nsid w:val="2708C9AF"/>
    <w:multiLevelType w:val="hybridMultilevel"/>
    <w:lvl w:ilvl="0">
      <w:lvlJc w:val="left"/>
      <w:lvlText w:val="(%1)"/>
      <w:numFmt w:val="lowerLetter"/>
      <w:start w:val="1"/>
    </w:lvl>
  </w:abstractNum>
  <w:abstractNum w:abstractNumId="102">
    <w:nsid w:val="5B25ACE2"/>
    <w:multiLevelType w:val="hybridMultilevel"/>
    <w:lvl w:ilvl="0">
      <w:lvlJc w:val="left"/>
      <w:lvlText w:val="(%1)"/>
      <w:numFmt w:val="lowerLetter"/>
      <w:start w:val="4"/>
    </w:lvl>
  </w:abstractNum>
  <w:abstractNum w:abstractNumId="103">
    <w:nsid w:val="175DFCF0"/>
    <w:multiLevelType w:val="hybridMultilevel"/>
    <w:lvl w:ilvl="0">
      <w:lvlJc w:val="left"/>
      <w:lvlText w:val="(%1)"/>
      <w:numFmt w:val="lowerLetter"/>
      <w:start w:val="1"/>
    </w:lvl>
  </w:abstractNum>
  <w:abstractNum w:abstractNumId="104">
    <w:nsid w:val="4F97E3E4"/>
    <w:multiLevelType w:val="hybridMultilevel"/>
    <w:lvl w:ilvl="0">
      <w:lvlJc w:val="left"/>
      <w:lvlText w:val="(%1)"/>
      <w:numFmt w:val="lowerLetter"/>
      <w:start w:val="3"/>
    </w:lvl>
  </w:abstractNum>
  <w:abstractNum w:abstractNumId="105">
    <w:nsid w:val="53B0A9E"/>
    <w:multiLevelType w:val="hybridMultilevel"/>
    <w:lvl w:ilvl="0">
      <w:lvlJc w:val="left"/>
      <w:lvlText w:val="%1"/>
      <w:numFmt w:val="decimal"/>
      <w:start w:val="1"/>
    </w:lvl>
    <w:lvl w:ilvl="1">
      <w:lvlJc w:val="left"/>
      <w:lvlText w:val="(%2)"/>
      <w:numFmt w:val="lowerLetter"/>
      <w:start w:val="1"/>
    </w:lvl>
  </w:abstractNum>
  <w:abstractNum w:abstractNumId="106">
    <w:nsid w:val="34FD6B4F"/>
    <w:multiLevelType w:val="hybridMultilevel"/>
    <w:lvl w:ilvl="0">
      <w:lvlJc w:val="left"/>
      <w:lvlText w:val="(%1)"/>
      <w:numFmt w:val="decimal"/>
      <w:start w:val="1"/>
    </w:lvl>
    <w:lvl w:ilvl="1">
      <w:lvlJc w:val="left"/>
      <w:lvlText w:val="%2"/>
      <w:numFmt w:val="lowerLetter"/>
      <w:start w:val="1"/>
    </w:lvl>
  </w:abstractNum>
  <w:abstractNum w:abstractNumId="107">
    <w:nsid w:val="5915FF32"/>
    <w:multiLevelType w:val="hybridMultilevel"/>
    <w:lvl w:ilvl="0">
      <w:lvlJc w:val="left"/>
      <w:lvlText w:val="(%1)"/>
      <w:numFmt w:val="decimal"/>
      <w:start w:val="3"/>
    </w:lvl>
    <w:lvl w:ilvl="1">
      <w:lvlJc w:val="left"/>
      <w:lvlText w:val="(%2)"/>
      <w:numFmt w:val="lowerLetter"/>
      <w:start w:val="2"/>
    </w:lvl>
  </w:abstractNum>
  <w:abstractNum w:abstractNumId="108">
    <w:nsid w:val="56438D15"/>
    <w:multiLevelType w:val="hybridMultilevel"/>
    <w:lvl w:ilvl="0">
      <w:lvlJc w:val="left"/>
      <w:lvlText w:val="(%1)"/>
      <w:numFmt w:val="lowerLetter"/>
      <w:start w:val="4"/>
    </w:lvl>
  </w:abstractNum>
  <w:abstractNum w:abstractNumId="109">
    <w:nsid w:val="519E3149"/>
    <w:multiLevelType w:val="hybridMultilevel"/>
    <w:lvl w:ilvl="0">
      <w:lvlJc w:val="left"/>
      <w:lvlText w:val="(%1)"/>
      <w:numFmt w:val="lowerLetter"/>
      <w:start w:val="5"/>
    </w:lvl>
  </w:abstractNum>
  <w:abstractNum w:abstractNumId="110">
    <w:nsid w:val="2C6E4AFD"/>
    <w:multiLevelType w:val="hybridMultilevel"/>
    <w:lvl w:ilvl="0">
      <w:lvlJc w:val="left"/>
      <w:lvlText w:val="1"/>
      <w:numFmt w:val="bullet"/>
      <w:start w:val="1"/>
    </w:lvl>
  </w:abstractNum>
  <w:abstractNum w:abstractNumId="111">
    <w:nsid w:val="17A1B582"/>
    <w:multiLevelType w:val="hybridMultilevel"/>
    <w:lvl w:ilvl="0">
      <w:lvlJc w:val="left"/>
      <w:lvlText w:val="2"/>
      <w:numFmt w:val="bullet"/>
      <w:start w:val="1"/>
    </w:lvl>
  </w:abstractNum>
  <w:abstractNum w:abstractNumId="112">
    <w:nsid w:val="4DF72E4E"/>
    <w:multiLevelType w:val="hybridMultilevel"/>
    <w:lvl w:ilvl="0">
      <w:lvlJc w:val="left"/>
      <w:lvlText w:val="3"/>
      <w:numFmt w:val="bullet"/>
      <w:start w:val="1"/>
    </w:lvl>
  </w:abstractNum>
  <w:abstractNum w:abstractNumId="113">
    <w:nsid w:val="5046B5A9"/>
    <w:multiLevelType w:val="hybridMultilevel"/>
    <w:lvl w:ilvl="0">
      <w:lvlJc w:val="left"/>
      <w:lvlText w:val="(%1)"/>
      <w:numFmt w:val="upperLetter"/>
      <w:start w:val="5"/>
    </w:lvl>
  </w:abstractNum>
  <w:abstractNum w:abstractNumId="114">
    <w:nsid w:val="5D888A08"/>
    <w:multiLevelType w:val="hybridMultilevel"/>
    <w:lvl w:ilvl="0">
      <w:lvlJc w:val="left"/>
      <w:lvlText w:val="4"/>
      <w:numFmt w:val="bullet"/>
      <w:start w:val="1"/>
    </w:lvl>
  </w:abstractNum>
  <w:abstractNum w:abstractNumId="115">
    <w:nsid w:val="2A082C70"/>
    <w:multiLevelType w:val="hybridMultilevel"/>
    <w:lvl w:ilvl="0">
      <w:lvlJc w:val="left"/>
      <w:lvlText w:val="%1."/>
      <w:numFmt w:val="decimal"/>
      <w:start w:val="1"/>
    </w:lvl>
  </w:abstractNum>
  <w:abstractNum w:abstractNumId="116">
    <w:nsid w:val="5EC6AFD4"/>
    <w:multiLevelType w:val="hybridMultilevel"/>
    <w:lvl w:ilvl="0">
      <w:lvlJc w:val="left"/>
      <w:lvlText w:val="5"/>
      <w:numFmt w:val="bullet"/>
      <w:start w:val="1"/>
    </w:lvl>
  </w:abstractNum>
  <w:abstractNum w:abstractNumId="117">
    <w:nsid w:val="19E21BB2"/>
    <w:multiLevelType w:val="hybridMultilevel"/>
    <w:lvl w:ilvl="0">
      <w:lvlJc w:val="left"/>
      <w:lvlText w:val="§§"/>
      <w:numFmt w:val="bullet"/>
      <w:start w:val="1"/>
    </w:lvl>
    <w:lvl w:ilvl="1">
      <w:lvlJc w:val="left"/>
      <w:lvlText w:val="%2."/>
      <w:numFmt w:val="decimal"/>
      <w:start w:val="3"/>
    </w:lvl>
  </w:abstractNum>
  <w:abstractNum w:abstractNumId="118">
    <w:nsid w:val="75E0858A"/>
    <w:multiLevelType w:val="hybridMultilevel"/>
    <w:lvl w:ilvl="0">
      <w:lvlJc w:val="left"/>
      <w:lvlText w:val="§§"/>
      <w:numFmt w:val="bullet"/>
      <w:start w:val="1"/>
    </w:lvl>
    <w:lvl w:ilvl="1">
      <w:lvlJc w:val="left"/>
      <w:lvlText w:val="%2."/>
      <w:numFmt w:val="decimal"/>
      <w:start w:val="5"/>
    </w:lvl>
  </w:abstractNum>
  <w:abstractNum w:abstractNumId="119">
    <w:nsid w:val="57A61A29"/>
    <w:multiLevelType w:val="hybridMultilevel"/>
    <w:lvl w:ilvl="0">
      <w:lvlJc w:val="left"/>
      <w:lvlText w:val="(%1)"/>
      <w:numFmt w:val="lowerLetter"/>
      <w:start w:val="2"/>
    </w:lvl>
  </w:abstractNum>
  <w:abstractNum w:abstractNumId="120">
    <w:nsid w:val="5399C654"/>
    <w:multiLevelType w:val="hybridMultilevel"/>
    <w:lvl w:ilvl="0">
      <w:lvlJc w:val="left"/>
      <w:lvlText w:val="%1."/>
      <w:numFmt w:val="decimal"/>
      <w:start w:val="6"/>
    </w:lvl>
  </w:abstractNum>
  <w:abstractNum w:abstractNumId="121">
    <w:nsid w:val="20EE1348"/>
    <w:multiLevelType w:val="hybridMultilevel"/>
    <w:lvl w:ilvl="0">
      <w:lvlJc w:val="left"/>
      <w:lvlText w:val="%1."/>
      <w:numFmt w:val="decimal"/>
      <w:start w:val="8"/>
    </w:lvl>
  </w:abstractNum>
  <w:abstractNum w:abstractNumId="122">
    <w:nsid w:val="4427069A"/>
    <w:multiLevelType w:val="hybridMultilevel"/>
    <w:lvl w:ilvl="0">
      <w:lvlJc w:val="left"/>
      <w:lvlText w:val="%1."/>
      <w:numFmt w:val="decimal"/>
      <w:start w:val="12"/>
    </w:lvl>
  </w:abstractNum>
  <w:abstractNum w:abstractNumId="123">
    <w:nsid w:val="B37E80A"/>
    <w:multiLevelType w:val="hybridMultilevel"/>
    <w:lvl w:ilvl="0">
      <w:lvlJc w:val="left"/>
      <w:lvlText w:val="6"/>
      <w:numFmt w:val="bullet"/>
      <w:start w:val="1"/>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1."/>
      <w:numFmt w:val="decimal"/>
      <w:start w:val="1"/>
    </w:lvl>
  </w:abstractNum>
  <w:abstractNum w:abstractNumId="126">
    <w:nsid w:val="57D2F10E"/>
    <w:multiLevelType w:val="hybridMultilevel"/>
    <w:lvl w:ilvl="0">
      <w:lvlJc w:val="left"/>
      <w:lvlText w:val="%1."/>
      <w:numFmt w:val="decimal"/>
      <w:start w:val="2"/>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1)"/>
      <w:numFmt w:val="lowerRoman"/>
      <w:start w:val="1"/>
    </w:lvl>
  </w:abstractNum>
  <w:abstractNum w:abstractNumId="129">
    <w:nsid w:val="2E48F044"/>
    <w:multiLevelType w:val="hybridMultilevel"/>
    <w:lvl w:ilvl="0">
      <w:lvlJc w:val="left"/>
      <w:lvlText w:val="%1"/>
      <w:numFmt w:val="lowerLetter"/>
      <w:start w:val="1"/>
    </w:lvl>
    <w:lvl w:ilvl="1">
      <w:lvlJc w:val="left"/>
      <w:lvlText w:val="(%2)"/>
      <w:numFmt w:val="lowerLetter"/>
      <w:start w:val="1"/>
    </w:lvl>
  </w:abstractNum>
  <w:abstractNum w:abstractNumId="130">
    <w:nsid w:val="49D0FEAC"/>
    <w:multiLevelType w:val="hybridMultilevel"/>
    <w:lvl w:ilvl="0">
      <w:lvlJc w:val="left"/>
      <w:lvlText w:val="(%1)"/>
      <w:numFmt w:val="lowerLetter"/>
      <w:start w:val="35"/>
    </w:lvl>
    <w:lvl w:ilvl="1">
      <w:lvlJc w:val="left"/>
      <w:lvlText w:val="%2"/>
      <w:numFmt w:val="lowerLetter"/>
      <w:start w:val="1"/>
    </w:lvl>
  </w:abstractNum>
  <w:abstractNum w:abstractNumId="131">
    <w:nsid w:val="4BEE5A5B"/>
    <w:multiLevelType w:val="hybridMultilevel"/>
    <w:lvl w:ilvl="0">
      <w:lvlJc w:val="left"/>
      <w:lvlText w:val="%1."/>
      <w:numFmt w:val="decimal"/>
      <w:start w:val="3"/>
    </w:lvl>
    <w:lvl w:ilvl="1">
      <w:lvlJc w:val="left"/>
      <w:lvlText w:val="(%2)"/>
      <w:numFmt w:val="lowerLetter"/>
      <w:start w:val="1"/>
    </w:lvl>
  </w:abstractNum>
  <w:abstractNum w:abstractNumId="132">
    <w:nsid w:val="5551B9F3"/>
    <w:multiLevelType w:val="hybridMultilevel"/>
    <w:lvl w:ilvl="0">
      <w:lvlJc w:val="left"/>
      <w:lvlText w:val="(%1)"/>
      <w:numFmt w:val="lowerLetter"/>
      <w:start w:val="61"/>
    </w:lvl>
    <w:lvl w:ilvl="1">
      <w:lvlJc w:val="left"/>
      <w:lvlText w:val="(%2)"/>
      <w:numFmt w:val="lowerLetter"/>
      <w:start w:val="4"/>
    </w:lvl>
  </w:abstractNum>
  <w:abstractNum w:abstractNumId="133">
    <w:nsid w:val="24F6AB8E"/>
    <w:multiLevelType w:val="hybridMultilevel"/>
    <w:lvl w:ilvl="0">
      <w:lvlJc w:val="left"/>
      <w:lvlText w:val="(%1)"/>
      <w:numFmt w:val="lowerLetter"/>
      <w:start w:val="25"/>
    </w:lvl>
    <w:lvl w:ilvl="1">
      <w:lvlJc w:val="left"/>
      <w:lvlText w:val="(%2)"/>
      <w:numFmt w:val="lowerLetter"/>
      <w:start w:val="7"/>
    </w:lvl>
  </w:abstractNum>
  <w:abstractNum w:abstractNumId="134">
    <w:nsid w:val="634C574C"/>
    <w:multiLevelType w:val="hybridMultilevel"/>
    <w:lvl w:ilvl="0">
      <w:lvlJc w:val="left"/>
      <w:lvlText w:val="(%1)"/>
      <w:numFmt w:val="lowerLetter"/>
      <w:start w:val="9"/>
    </w:lvl>
  </w:abstractNum>
  <w:abstractNum w:abstractNumId="135">
    <w:nsid w:val="24E99DD7"/>
    <w:multiLevelType w:val="hybridMultilevel"/>
    <w:lvl w:ilvl="0">
      <w:lvlJc w:val="left"/>
      <w:lvlText w:val="(%1)"/>
      <w:numFmt w:val="lowerLetter"/>
      <w:start w:val="14"/>
    </w:lvl>
  </w:abstractNum>
  <w:abstractNum w:abstractNumId="136">
    <w:nsid w:val="2A31B62D"/>
    <w:multiLevelType w:val="hybridMultilevel"/>
    <w:lvl w:ilvl="0">
      <w:lvlJc w:val="left"/>
      <w:lvlText w:val="(%1)"/>
      <w:numFmt w:val="lowerLetter"/>
      <w:start w:val="17"/>
    </w:lvl>
  </w:abstractNum>
  <w:abstractNum w:abstractNumId="137">
    <w:nsid w:val="1849C29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38">
    <w:nsid w:val="7DFF9D09"/>
    <w:multiLevelType w:val="hybridMultilevel"/>
    <w:lvl w:ilvl="0">
      <w:lvlJc w:val="left"/>
      <w:lvlText w:val="(%1)"/>
      <w:numFmt w:val="lowerRoman"/>
      <w:start w:val="2"/>
    </w:lvl>
  </w:abstractNum>
  <w:abstractNum w:abstractNumId="139">
    <w:nsid w:val="754342"/>
    <w:multiLevelType w:val="hybridMultilevel"/>
    <w:lvl w:ilvl="0">
      <w:lvlJc w:val="left"/>
      <w:lvlText w:val="(%1)"/>
      <w:numFmt w:val="lowerLetter"/>
      <w:start w:val="2"/>
    </w:lvl>
  </w:abstractNum>
  <w:abstractNum w:abstractNumId="140">
    <w:nsid w:val="69E7F3E5"/>
    <w:multiLevelType w:val="hybridMultilevel"/>
    <w:lvl w:ilvl="0">
      <w:lvlJc w:val="left"/>
      <w:lvlText w:val="(%1)"/>
      <w:numFmt w:val="lowerLetter"/>
      <w:start w:val="4"/>
    </w:lvl>
  </w:abstractNum>
  <w:abstractNum w:abstractNumId="141">
    <w:nsid w:val="2A6DE80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2019-12-08T06:28:12Z</dcterms:created>
  <dcterms:modified xsi:type="dcterms:W3CDTF">2019-12-08T06:28:12Z</dcterms:modified>
</cp:coreProperties>
</file>