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534670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-218440</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57" w:lineRule="exact"/>
        <w:rPr>
          <w:sz w:val="24"/>
          <w:szCs w:val="24"/>
          <w:color w:val="auto"/>
        </w:rPr>
      </w:pPr>
    </w:p>
    <w:p>
      <w:pPr>
        <w:ind w:left="1500" w:hanging="533"/>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 w:lineRule="exact"/>
        <w:rPr>
          <w:sz w:val="24"/>
          <w:szCs w:val="24"/>
          <w:color w:val="auto"/>
        </w:rPr>
      </w:pPr>
    </w:p>
    <w:p>
      <w:pPr>
        <w:ind w:left="1500" w:hanging="533"/>
        <w:spacing w:after="0"/>
        <w:tabs>
          <w:tab w:leader="none" w:pos="15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4"/>
          <w:szCs w:val="14"/>
          <w:b w:val="1"/>
          <w:bCs w:val="1"/>
          <w:color w:val="auto"/>
        </w:rPr>
        <w:t>001-37983</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TechnipFMC plc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5"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4180" w:type="dxa"/>
            <w:vAlign w:val="bottom"/>
          </w:tcPr>
          <w:p>
            <w:pPr>
              <w:jc w:val="center"/>
              <w:ind w:right="17"/>
              <w:spacing w:after="0"/>
              <w:rPr>
                <w:sz w:val="20"/>
                <w:szCs w:val="20"/>
                <w:color w:val="auto"/>
              </w:rPr>
            </w:pPr>
            <w:r>
              <w:rPr>
                <w:rFonts w:ascii="Arial" w:cs="Arial" w:eastAsia="Arial" w:hAnsi="Arial"/>
                <w:sz w:val="18"/>
                <w:szCs w:val="18"/>
                <w:b w:val="1"/>
                <w:bCs w:val="1"/>
                <w:color w:val="auto"/>
                <w:w w:val="99"/>
              </w:rPr>
              <w:t>England and Wales</w:t>
            </w:r>
          </w:p>
        </w:tc>
        <w:tc>
          <w:tcPr>
            <w:tcW w:w="4720" w:type="dxa"/>
            <w:vAlign w:val="bottom"/>
          </w:tcPr>
          <w:p>
            <w:pPr>
              <w:jc w:val="right"/>
              <w:ind w:right="601"/>
              <w:spacing w:after="0"/>
              <w:rPr>
                <w:sz w:val="20"/>
                <w:szCs w:val="20"/>
                <w:color w:val="auto"/>
              </w:rPr>
            </w:pPr>
            <w:r>
              <w:rPr>
                <w:rFonts w:ascii="Arial" w:cs="Arial" w:eastAsia="Arial" w:hAnsi="Arial"/>
                <w:sz w:val="18"/>
                <w:szCs w:val="18"/>
                <w:b w:val="1"/>
                <w:bCs w:val="1"/>
                <w:color w:val="auto"/>
              </w:rPr>
              <w:t>98-1283037</w:t>
            </w:r>
          </w:p>
        </w:tc>
      </w:tr>
      <w:tr>
        <w:trPr>
          <w:trHeight w:val="218"/>
        </w:trPr>
        <w:tc>
          <w:tcPr>
            <w:tcW w:w="4180" w:type="dxa"/>
            <w:vAlign w:val="bottom"/>
          </w:tcPr>
          <w:p>
            <w:pPr>
              <w:jc w:val="center"/>
              <w:ind w:right="17"/>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720" w:type="dxa"/>
            <w:vAlign w:val="bottom"/>
          </w:tcPr>
          <w:p>
            <w:pPr>
              <w:jc w:val="right"/>
              <w:spacing w:after="0"/>
              <w:rPr>
                <w:sz w:val="20"/>
                <w:szCs w:val="20"/>
                <w:color w:val="auto"/>
              </w:rPr>
            </w:pPr>
            <w:r>
              <w:rPr>
                <w:rFonts w:ascii="Arial" w:cs="Arial" w:eastAsia="Arial" w:hAnsi="Arial"/>
                <w:sz w:val="14"/>
                <w:szCs w:val="14"/>
                <w:b w:val="1"/>
                <w:bCs w:val="1"/>
                <w:color w:val="auto"/>
              </w:rPr>
              <w:t>(I.R.S. Employer Identification No.)</w:t>
            </w:r>
          </w:p>
        </w:tc>
      </w:tr>
      <w:tr>
        <w:trPr>
          <w:trHeight w:val="340"/>
        </w:trPr>
        <w:tc>
          <w:tcPr>
            <w:tcW w:w="4180" w:type="dxa"/>
            <w:vAlign w:val="bottom"/>
          </w:tcPr>
          <w:p>
            <w:pPr>
              <w:jc w:val="center"/>
              <w:ind w:right="37"/>
              <w:spacing w:after="0"/>
              <w:rPr>
                <w:sz w:val="20"/>
                <w:szCs w:val="20"/>
                <w:color w:val="auto"/>
              </w:rPr>
            </w:pPr>
            <w:r>
              <w:rPr>
                <w:rFonts w:ascii="Arial" w:cs="Arial" w:eastAsia="Arial" w:hAnsi="Arial"/>
                <w:sz w:val="18"/>
                <w:szCs w:val="18"/>
                <w:b w:val="1"/>
                <w:bCs w:val="1"/>
                <w:color w:val="auto"/>
                <w:w w:val="99"/>
              </w:rPr>
              <w:t>One St. Paul’s Churchyard</w:t>
            </w:r>
          </w:p>
        </w:tc>
        <w:tc>
          <w:tcPr>
            <w:tcW w:w="4720" w:type="dxa"/>
            <w:vAlign w:val="bottom"/>
          </w:tcPr>
          <w:p>
            <w:pPr>
              <w:spacing w:after="0"/>
              <w:rPr>
                <w:sz w:val="24"/>
                <w:szCs w:val="24"/>
                <w:color w:val="auto"/>
              </w:rPr>
            </w:pPr>
          </w:p>
        </w:tc>
      </w:tr>
      <w:tr>
        <w:trPr>
          <w:trHeight w:val="239"/>
        </w:trPr>
        <w:tc>
          <w:tcPr>
            <w:tcW w:w="4180" w:type="dxa"/>
            <w:vAlign w:val="bottom"/>
          </w:tcPr>
          <w:p>
            <w:pPr>
              <w:jc w:val="center"/>
              <w:ind w:right="17"/>
              <w:spacing w:after="0"/>
              <w:rPr>
                <w:sz w:val="20"/>
                <w:szCs w:val="20"/>
                <w:color w:val="auto"/>
              </w:rPr>
            </w:pPr>
            <w:r>
              <w:rPr>
                <w:rFonts w:ascii="Arial" w:cs="Arial" w:eastAsia="Arial" w:hAnsi="Arial"/>
                <w:sz w:val="18"/>
                <w:szCs w:val="18"/>
                <w:b w:val="1"/>
                <w:bCs w:val="1"/>
                <w:color w:val="auto"/>
              </w:rPr>
              <w:t>London, United Kingdom</w:t>
            </w:r>
          </w:p>
        </w:tc>
        <w:tc>
          <w:tcPr>
            <w:tcW w:w="4720" w:type="dxa"/>
            <w:vAlign w:val="bottom"/>
          </w:tcPr>
          <w:p>
            <w:pPr>
              <w:jc w:val="right"/>
              <w:ind w:right="621"/>
              <w:spacing w:after="0"/>
              <w:rPr>
                <w:sz w:val="20"/>
                <w:szCs w:val="20"/>
                <w:color w:val="auto"/>
              </w:rPr>
            </w:pPr>
            <w:r>
              <w:rPr>
                <w:rFonts w:ascii="Arial" w:cs="Arial" w:eastAsia="Arial" w:hAnsi="Arial"/>
                <w:sz w:val="18"/>
                <w:szCs w:val="18"/>
                <w:b w:val="1"/>
                <w:bCs w:val="1"/>
                <w:color w:val="auto"/>
              </w:rPr>
              <w:t>EC4M 8AP</w:t>
            </w:r>
          </w:p>
        </w:tc>
      </w:tr>
      <w:tr>
        <w:trPr>
          <w:trHeight w:val="218"/>
        </w:trPr>
        <w:tc>
          <w:tcPr>
            <w:tcW w:w="4180" w:type="dxa"/>
            <w:vAlign w:val="bottom"/>
          </w:tcPr>
          <w:p>
            <w:pPr>
              <w:jc w:val="center"/>
              <w:ind w:right="17"/>
              <w:spacing w:after="0"/>
              <w:rPr>
                <w:sz w:val="20"/>
                <w:szCs w:val="20"/>
                <w:color w:val="auto"/>
              </w:rPr>
            </w:pPr>
            <w:r>
              <w:rPr>
                <w:rFonts w:ascii="Arial" w:cs="Arial" w:eastAsia="Arial" w:hAnsi="Arial"/>
                <w:sz w:val="14"/>
                <w:szCs w:val="14"/>
                <w:b w:val="1"/>
                <w:bCs w:val="1"/>
                <w:color w:val="auto"/>
              </w:rPr>
              <w:t>(Address of principal executive offices)</w:t>
            </w:r>
          </w:p>
        </w:tc>
        <w:tc>
          <w:tcPr>
            <w:tcW w:w="4720" w:type="dxa"/>
            <w:vAlign w:val="bottom"/>
          </w:tcPr>
          <w:p>
            <w:pPr>
              <w:jc w:val="right"/>
              <w:ind w:right="741"/>
              <w:spacing w:after="0"/>
              <w:rPr>
                <w:sz w:val="20"/>
                <w:szCs w:val="20"/>
                <w:color w:val="auto"/>
              </w:rPr>
            </w:pPr>
            <w:r>
              <w:rPr>
                <w:rFonts w:ascii="Arial" w:cs="Arial" w:eastAsia="Arial" w:hAnsi="Arial"/>
                <w:sz w:val="14"/>
                <w:szCs w:val="14"/>
                <w:b w:val="1"/>
                <w:bCs w:val="1"/>
                <w:color w:val="auto"/>
              </w:rPr>
              <w:t>(Zip Code)</w:t>
            </w:r>
          </w:p>
        </w:tc>
      </w:tr>
      <w:tr>
        <w:trPr>
          <w:trHeight w:val="206"/>
        </w:trPr>
        <w:tc>
          <w:tcPr>
            <w:tcW w:w="4180" w:type="dxa"/>
            <w:vAlign w:val="bottom"/>
          </w:tcPr>
          <w:p>
            <w:pPr>
              <w:spacing w:after="0"/>
              <w:rPr>
                <w:sz w:val="17"/>
                <w:szCs w:val="17"/>
                <w:color w:val="auto"/>
              </w:rPr>
            </w:pPr>
          </w:p>
        </w:tc>
        <w:tc>
          <w:tcPr>
            <w:tcW w:w="4720" w:type="dxa"/>
            <w:vAlign w:val="bottom"/>
          </w:tcPr>
          <w:p>
            <w:pPr>
              <w:jc w:val="right"/>
              <w:ind w:right="3341"/>
              <w:spacing w:after="0"/>
              <w:rPr>
                <w:sz w:val="20"/>
                <w:szCs w:val="20"/>
                <w:color w:val="auto"/>
              </w:rPr>
            </w:pPr>
            <w:r>
              <w:rPr>
                <w:rFonts w:ascii="Arial" w:cs="Arial" w:eastAsia="Arial" w:hAnsi="Arial"/>
                <w:sz w:val="14"/>
                <w:szCs w:val="14"/>
                <w:b w:val="1"/>
                <w:bCs w:val="1"/>
                <w:color w:val="auto"/>
              </w:rPr>
              <w:t>+44 203-429-3950</w:t>
            </w:r>
          </w:p>
        </w:tc>
      </w:tr>
    </w:tbl>
    <w:p>
      <w:pPr>
        <w:jc w:val="center"/>
        <w:ind w:right="-19"/>
        <w:spacing w:after="0" w:line="233" w:lineRule="auto"/>
        <w:rPr>
          <w:sz w:val="20"/>
          <w:szCs w:val="20"/>
          <w:color w:val="auto"/>
        </w:rPr>
      </w:pPr>
      <w:r>
        <w:rPr>
          <w:rFonts w:ascii="Arial" w:cs="Arial" w:eastAsia="Arial" w:hAnsi="Arial"/>
          <w:sz w:val="14"/>
          <w:szCs w:val="14"/>
          <w:b w:val="1"/>
          <w:bCs w:val="1"/>
          <w:color w:val="auto"/>
        </w:rPr>
        <w:t>(Registrant’s telephone number, including area code)</w:t>
      </w:r>
    </w:p>
    <w:p>
      <w:pPr>
        <w:ind w:left="292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93" w:lineRule="exact"/>
        <w:rPr>
          <w:sz w:val="24"/>
          <w:szCs w:val="24"/>
          <w:color w:val="auto"/>
        </w:rPr>
      </w:pPr>
    </w:p>
    <w:p>
      <w:pPr>
        <w:jc w:val="both"/>
        <w:ind w:right="1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ind w:right="3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820" w:type="dxa"/>
            <w:vAlign w:val="bottom"/>
          </w:tcPr>
          <w:p>
            <w:pPr>
              <w:spacing w:after="0"/>
              <w:rPr>
                <w:sz w:val="22"/>
                <w:szCs w:val="22"/>
                <w:color w:val="auto"/>
              </w:rPr>
            </w:pPr>
          </w:p>
        </w:tc>
        <w:tc>
          <w:tcPr>
            <w:tcW w:w="2480" w:type="dxa"/>
            <w:vAlign w:val="bottom"/>
          </w:tcPr>
          <w:p>
            <w:pPr>
              <w:ind w:left="222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spacing w:after="0"/>
              <w:rPr>
                <w:sz w:val="22"/>
                <w:szCs w:val="22"/>
                <w:color w:val="auto"/>
              </w:rPr>
            </w:pPr>
          </w:p>
        </w:tc>
        <w:tc>
          <w:tcPr>
            <w:tcW w:w="1520" w:type="dxa"/>
            <w:vAlign w:val="bottom"/>
            <w:vMerge w:val="restart"/>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80" w:type="dxa"/>
            <w:vAlign w:val="bottom"/>
          </w:tcPr>
          <w:p>
            <w:pPr>
              <w:spacing w:after="0"/>
              <w:rPr>
                <w:sz w:val="17"/>
                <w:szCs w:val="17"/>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80" w:type="dxa"/>
            <w:vAlign w:val="bottom"/>
          </w:tcPr>
          <w:p>
            <w:pPr>
              <w:ind w:left="222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52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446"/>
        </w:trPr>
        <w:tc>
          <w:tcPr>
            <w:tcW w:w="3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52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28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360"/>
        <w:spacing w:after="0" w:line="28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3240" w:type="dxa"/>
            <w:vAlign w:val="bottom"/>
            <w:gridSpan w:val="2"/>
          </w:tcPr>
          <w:p>
            <w:pPr>
              <w:jc w:val="center"/>
              <w:ind w:right="2860"/>
              <w:spacing w:after="0"/>
              <w:rPr>
                <w:sz w:val="20"/>
                <w:szCs w:val="20"/>
                <w:color w:val="auto"/>
              </w:rPr>
            </w:pPr>
            <w:r>
              <w:rPr>
                <w:rFonts w:ascii="Arial" w:cs="Arial" w:eastAsia="Arial" w:hAnsi="Arial"/>
                <w:sz w:val="14"/>
                <w:szCs w:val="14"/>
                <w:b w:val="1"/>
                <w:bCs w:val="1"/>
                <w:color w:val="auto"/>
              </w:rPr>
              <w:t>Class</w:t>
            </w:r>
          </w:p>
        </w:tc>
        <w:tc>
          <w:tcPr>
            <w:tcW w:w="4300" w:type="dxa"/>
            <w:vAlign w:val="bottom"/>
            <w:gridSpan w:val="3"/>
          </w:tcPr>
          <w:p>
            <w:pPr>
              <w:jc w:val="center"/>
              <w:ind w:left="1028"/>
              <w:spacing w:after="0"/>
              <w:rPr>
                <w:sz w:val="20"/>
                <w:szCs w:val="20"/>
                <w:color w:val="auto"/>
              </w:rPr>
            </w:pPr>
            <w:r>
              <w:rPr>
                <w:rFonts w:ascii="Arial" w:cs="Arial" w:eastAsia="Arial" w:hAnsi="Arial"/>
                <w:sz w:val="14"/>
                <w:szCs w:val="14"/>
                <w:b w:val="1"/>
                <w:bCs w:val="1"/>
                <w:color w:val="auto"/>
              </w:rPr>
              <w:t>Outstanding at October 30, 2018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080" w:type="dxa"/>
            <w:vAlign w:val="bottom"/>
            <w:gridSpan w:val="3"/>
          </w:tcPr>
          <w:p>
            <w:pPr>
              <w:jc w:val="center"/>
              <w:ind w:left="908"/>
              <w:spacing w:after="0"/>
              <w:rPr>
                <w:sz w:val="20"/>
                <w:szCs w:val="20"/>
                <w:color w:val="auto"/>
              </w:rPr>
            </w:pPr>
            <w:r>
              <w:rPr>
                <w:rFonts w:ascii="Arial" w:cs="Arial" w:eastAsia="Arial" w:hAnsi="Arial"/>
                <w:sz w:val="14"/>
                <w:szCs w:val="14"/>
                <w:b w:val="1"/>
                <w:bCs w:val="1"/>
                <w:color w:val="auto"/>
              </w:rPr>
              <w:t>Ordinary shares, $1.00 par value per share</w:t>
            </w:r>
          </w:p>
        </w:tc>
        <w:tc>
          <w:tcPr>
            <w:tcW w:w="38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452,633,699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3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1"/>
        </w:trPr>
        <w:tc>
          <w:tcPr>
            <w:tcW w:w="3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954" w:right="25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60" w:type="dxa"/>
            <w:vAlign w:val="bottom"/>
            <w:gridSpan w:val="3"/>
          </w:tcPr>
          <w:p>
            <w:pPr>
              <w:ind w:left="60"/>
              <w:spacing w:after="0"/>
              <w:rPr>
                <w:sz w:val="20"/>
                <w:szCs w:val="20"/>
                <w:color w:val="auto"/>
              </w:rPr>
            </w:pPr>
            <w:r>
              <w:rPr>
                <w:rFonts w:ascii="Arial" w:cs="Arial" w:eastAsia="Arial" w:hAnsi="Arial"/>
                <w:sz w:val="18"/>
                <w:szCs w:val="18"/>
                <w:b w:val="1"/>
                <w:bCs w:val="1"/>
                <w:color w:val="auto"/>
              </w:rPr>
              <w:t>TABLE OF CONTENTS</w:t>
            </w:r>
          </w:p>
        </w:tc>
        <w:tc>
          <w:tcPr>
            <w:tcW w:w="2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2560" w:type="dxa"/>
            <w:vAlign w:val="bottom"/>
            <w:gridSpan w:val="5"/>
            <w:shd w:val="clear" w:color="auto" w:fill="CCEEFF"/>
          </w:tcPr>
          <w:p>
            <w:pPr>
              <w:ind w:left="2200"/>
              <w:spacing w:after="0"/>
              <w:rPr>
                <w:sz w:val="20"/>
                <w:szCs w:val="20"/>
                <w:color w:val="auto"/>
              </w:rPr>
            </w:pPr>
            <w:r>
              <w:rPr>
                <w:rFonts w:ascii="Arial" w:cs="Arial" w:eastAsia="Arial" w:hAnsi="Arial"/>
                <w:sz w:val="14"/>
                <w:szCs w:val="14"/>
                <w:color w:val="auto"/>
              </w:rPr>
              <w:t>Page</w:t>
            </w:r>
          </w:p>
        </w:tc>
      </w:tr>
      <w:tr>
        <w:trPr>
          <w:trHeight w:val="176"/>
        </w:trPr>
        <w:tc>
          <w:tcPr>
            <w:tcW w:w="8860" w:type="dxa"/>
            <w:vAlign w:val="bottom"/>
            <w:tcBorders>
              <w:top w:val="single" w:sz="8" w:color="CCEEFF"/>
            </w:tcBorders>
            <w:gridSpan w:val="30"/>
          </w:tcPr>
          <w:p>
            <w:pPr>
              <w:ind w:left="40"/>
              <w:spacing w:after="0"/>
              <w:rPr>
                <w:rFonts w:ascii="Arial" w:cs="Arial" w:eastAsia="Arial" w:hAnsi="Arial"/>
                <w:sz w:val="14"/>
                <w:szCs w:val="14"/>
                <w:color w:val="0000EE"/>
              </w:rPr>
            </w:pPr>
            <w:hyperlink w:anchor="page5">
              <w:r>
                <w:rPr>
                  <w:rFonts w:ascii="Arial" w:cs="Arial" w:eastAsia="Arial" w:hAnsi="Arial"/>
                  <w:sz w:val="14"/>
                  <w:szCs w:val="14"/>
                  <w:color w:val="0000EE"/>
                </w:rPr>
                <w:t>PART I - Financial Information</w:t>
              </w:r>
            </w:hyperlink>
          </w:p>
        </w:tc>
        <w:tc>
          <w:tcPr>
            <w:tcW w:w="22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gridSpan w:val="3"/>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20" w:type="dxa"/>
            <w:vAlign w:val="bottom"/>
            <w:tcBorders>
              <w:top w:val="single" w:sz="8" w:color="CCEEFF"/>
            </w:tcBorders>
          </w:tcPr>
          <w:p>
            <w:pPr>
              <w:spacing w:after="0"/>
              <w:rPr>
                <w:sz w:val="15"/>
                <w:szCs w:val="15"/>
                <w:color w:val="auto"/>
              </w:rPr>
            </w:pPr>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8"/>
            <w:shd w:val="clear" w:color="auto" w:fill="CCEEFF"/>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Item 1. Financial Statements (unaudited)</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8"/>
          </w:tcPr>
          <w:p>
            <w:pPr>
              <w:ind w:left="320"/>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Statements of Income</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Comprehensive Income</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24"/>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Condensed Consolidated Balance Sheets</w:t>
              </w:r>
            </w:hyperlink>
          </w:p>
        </w:tc>
        <w:tc>
          <w:tcPr>
            <w:tcW w:w="4160" w:type="dxa"/>
            <w:vAlign w:val="bottom"/>
            <w:gridSpan w:val="3"/>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40" w:type="dxa"/>
            <w:vAlign w:val="bottom"/>
            <w:gridSpan w:val="20"/>
            <w:shd w:val="clear" w:color="auto" w:fill="CCEEFF"/>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Condensed Consolidated Statements of Cash Flows</w:t>
              </w:r>
            </w:hyperlink>
          </w:p>
        </w:tc>
        <w:tc>
          <w:tcPr>
            <w:tcW w:w="4920" w:type="dxa"/>
            <w:vAlign w:val="bottom"/>
            <w:gridSpan w:val="7"/>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7"/>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Condensed Consolidated Statements of Changes in Stockholders’ Equity</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580" w:type="dxa"/>
            <w:vAlign w:val="bottom"/>
            <w:gridSpan w:val="21"/>
            <w:shd w:val="clear" w:color="auto" w:fill="CCEEFF"/>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Notes to Condensed Consolidated Financial Statements</w:t>
              </w:r>
            </w:hyperlink>
          </w:p>
        </w:tc>
        <w:tc>
          <w:tcPr>
            <w:tcW w:w="4680" w:type="dxa"/>
            <w:vAlign w:val="bottom"/>
            <w:gridSpan w:val="6"/>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0">
              <w:r>
                <w:rPr>
                  <w:rFonts w:ascii="Arial" w:cs="Arial" w:eastAsia="Arial" w:hAnsi="Arial"/>
                  <w:sz w:val="14"/>
                  <w:szCs w:val="14"/>
                  <w:color w:val="0000EE"/>
                </w:rPr>
                <w:t>10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8"/>
          </w:tcPr>
          <w:p>
            <w:pPr>
              <w:spacing w:after="0"/>
              <w:rPr>
                <w:rFonts w:ascii="Arial" w:cs="Arial" w:eastAsia="Arial" w:hAnsi="Arial"/>
                <w:sz w:val="14"/>
                <w:szCs w:val="14"/>
                <w:color w:val="0000EE"/>
              </w:rPr>
            </w:pPr>
            <w:hyperlink w:anchor="page45">
              <w:r>
                <w:rPr>
                  <w:rFonts w:ascii="Arial" w:cs="Arial" w:eastAsia="Arial" w:hAnsi="Arial"/>
                  <w:sz w:val="14"/>
                  <w:szCs w:val="14"/>
                  <w:color w:val="0000EE"/>
                </w:rPr>
                <w:t>Item 2. Management’s Discussion and Analysis of Financial Condition and Results of Operations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5">
              <w:r>
                <w:rPr>
                  <w:rFonts w:ascii="Arial" w:cs="Arial" w:eastAsia="Arial" w:hAnsi="Arial"/>
                  <w:sz w:val="14"/>
                  <w:szCs w:val="14"/>
                  <w:color w:val="0000EE"/>
                </w:rPr>
                <w:t>45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45">
              <w:r>
                <w:rPr>
                  <w:rFonts w:ascii="Arial" w:cs="Arial" w:eastAsia="Arial" w:hAnsi="Arial"/>
                  <w:sz w:val="14"/>
                  <w:szCs w:val="14"/>
                  <w:color w:val="0000EE"/>
                </w:rPr>
                <w:t>Business Outlook</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5">
              <w:r>
                <w:rPr>
                  <w:rFonts w:ascii="Arial" w:cs="Arial" w:eastAsia="Arial" w:hAnsi="Arial"/>
                  <w:sz w:val="14"/>
                  <w:szCs w:val="14"/>
                  <w:color w:val="0000EE"/>
                </w:rPr>
                <w:t>45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7"/>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Consolidated Results of Operations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6">
              <w:r>
                <w:rPr>
                  <w:rFonts w:ascii="Arial" w:cs="Arial" w:eastAsia="Arial" w:hAnsi="Arial"/>
                  <w:sz w:val="14"/>
                  <w:szCs w:val="14"/>
                  <w:color w:val="0000EE"/>
                </w:rPr>
                <w:t>46</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50">
              <w:r>
                <w:rPr>
                  <w:rFonts w:ascii="Arial" w:cs="Arial" w:eastAsia="Arial" w:hAnsi="Arial"/>
                  <w:sz w:val="14"/>
                  <w:szCs w:val="14"/>
                  <w:color w:val="0000EE"/>
                </w:rPr>
                <w:t>Segment Results of Operations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0">
              <w:r>
                <w:rPr>
                  <w:rFonts w:ascii="Arial" w:cs="Arial" w:eastAsia="Arial" w:hAnsi="Arial"/>
                  <w:sz w:val="14"/>
                  <w:szCs w:val="14"/>
                  <w:color w:val="0000EE"/>
                </w:rPr>
                <w:t>50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7"/>
          </w:tcPr>
          <w:p>
            <w:pPr>
              <w:spacing w:after="0"/>
              <w:rPr>
                <w:rFonts w:ascii="Arial" w:cs="Arial" w:eastAsia="Arial" w:hAnsi="Arial"/>
                <w:sz w:val="14"/>
                <w:szCs w:val="14"/>
                <w:color w:val="0000EE"/>
              </w:rPr>
            </w:pPr>
            <w:hyperlink w:anchor="page54">
              <w:r>
                <w:rPr>
                  <w:rFonts w:ascii="Arial" w:cs="Arial" w:eastAsia="Arial" w:hAnsi="Arial"/>
                  <w:sz w:val="14"/>
                  <w:szCs w:val="14"/>
                  <w:color w:val="0000EE"/>
                </w:rPr>
                <w:t>Inbound Orders and Order Backlog</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4">
              <w:r>
                <w:rPr>
                  <w:rFonts w:ascii="Arial" w:cs="Arial" w:eastAsia="Arial" w:hAnsi="Arial"/>
                  <w:sz w:val="14"/>
                  <w:szCs w:val="14"/>
                  <w:color w:val="0000EE"/>
                </w:rPr>
                <w:t>54</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Liquidity and Capital Resources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5">
              <w:r>
                <w:rPr>
                  <w:rFonts w:ascii="Arial" w:cs="Arial" w:eastAsia="Arial" w:hAnsi="Arial"/>
                  <w:sz w:val="14"/>
                  <w:szCs w:val="14"/>
                  <w:color w:val="0000EE"/>
                </w:rPr>
                <w:t>55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14"/>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Critical Accounting Estimates</w:t>
              </w:r>
            </w:hyperlink>
          </w:p>
        </w:tc>
        <w:tc>
          <w:tcPr>
            <w:tcW w:w="6240" w:type="dxa"/>
            <w:vAlign w:val="bottom"/>
            <w:gridSpan w:val="13"/>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7">
              <w:r>
                <w:rPr>
                  <w:rFonts w:ascii="Arial" w:cs="Arial" w:eastAsia="Arial" w:hAnsi="Arial"/>
                  <w:sz w:val="14"/>
                  <w:szCs w:val="14"/>
                  <w:color w:val="0000EE"/>
                </w:rPr>
                <w:t>57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7"/>
            <w:shd w:val="clear" w:color="auto" w:fill="CCEEFF"/>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Other Matters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8"/>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Item 3. Quantitative and Qualitative Disclosures About Market Risk</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8"/>
            <w:shd w:val="clear" w:color="auto" w:fill="CCEEFF"/>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4. Controls and Procedures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60" w:type="dxa"/>
            <w:vAlign w:val="bottom"/>
            <w:gridSpan w:val="30"/>
          </w:tcPr>
          <w:p>
            <w:pPr>
              <w:ind w:left="40"/>
              <w:spacing w:after="0"/>
              <w:rPr>
                <w:rFonts w:ascii="Arial" w:cs="Arial" w:eastAsia="Arial" w:hAnsi="Arial"/>
                <w:sz w:val="14"/>
                <w:szCs w:val="14"/>
                <w:color w:val="0000EE"/>
              </w:rPr>
            </w:pPr>
            <w:hyperlink w:anchor="page60">
              <w:r>
                <w:rPr>
                  <w:rFonts w:ascii="Arial" w:cs="Arial" w:eastAsia="Arial" w:hAnsi="Arial"/>
                  <w:sz w:val="14"/>
                  <w:szCs w:val="14"/>
                  <w:color w:val="0000EE"/>
                </w:rPr>
                <w:t>PART II - Other Information</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gridSpan w:val="10"/>
            <w:shd w:val="clear" w:color="auto" w:fill="CCEEFF"/>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1. Legal Proceedings</w:t>
              </w:r>
            </w:hyperlink>
          </w:p>
        </w:tc>
        <w:tc>
          <w:tcPr>
            <w:tcW w:w="6900" w:type="dxa"/>
            <w:vAlign w:val="bottom"/>
            <w:gridSpan w:val="18"/>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10"/>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1A. Risk Factors</w:t>
              </w:r>
            </w:hyperlink>
          </w:p>
        </w:tc>
        <w:tc>
          <w:tcPr>
            <w:tcW w:w="6900" w:type="dxa"/>
            <w:vAlign w:val="bottom"/>
            <w:gridSpan w:val="18"/>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360" w:type="dxa"/>
            <w:vAlign w:val="bottom"/>
            <w:gridSpan w:val="24"/>
            <w:shd w:val="clear" w:color="auto" w:fill="CCEEFF"/>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2. Unregistered Sales of Equity Securities and Use of Proceeds</w:t>
              </w:r>
            </w:hyperlink>
          </w:p>
        </w:tc>
        <w:tc>
          <w:tcPr>
            <w:tcW w:w="4220" w:type="dxa"/>
            <w:vAlign w:val="bottom"/>
            <w:gridSpan w:val="4"/>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gridSpan w:val="24"/>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3. Defaults Upon Senior Securities</w:t>
              </w:r>
            </w:hyperlink>
          </w:p>
        </w:tc>
        <w:tc>
          <w:tcPr>
            <w:tcW w:w="4220" w:type="dxa"/>
            <w:vAlign w:val="bottom"/>
            <w:gridSpan w:val="4"/>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8"/>
            <w:shd w:val="clear" w:color="auto" w:fill="CCEEFF"/>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Item 4. Mine Safety Disclosures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0">
              <w:r>
                <w:rPr>
                  <w:rFonts w:ascii="Arial" w:cs="Arial" w:eastAsia="Arial" w:hAnsi="Arial"/>
                  <w:sz w:val="14"/>
                  <w:szCs w:val="14"/>
                  <w:color w:val="0000EE"/>
                </w:rPr>
                <w:t>60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11"/>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Item 5. Other Information</w:t>
              </w:r>
            </w:hyperlink>
          </w:p>
        </w:tc>
        <w:tc>
          <w:tcPr>
            <w:tcW w:w="6560" w:type="dxa"/>
            <w:vAlign w:val="bottom"/>
            <w:gridSpan w:val="17"/>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61">
              <w:r>
                <w:rPr>
                  <w:rFonts w:ascii="Arial" w:cs="Arial" w:eastAsia="Arial" w:hAnsi="Arial"/>
                  <w:sz w:val="14"/>
                  <w:szCs w:val="14"/>
                  <w:color w:val="0000EE"/>
                </w:rPr>
                <w:t>61</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8"/>
            <w:shd w:val="clear" w:color="auto" w:fill="CCEEFF"/>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Item 6. Exhibits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1">
              <w:r>
                <w:rPr>
                  <w:rFonts w:ascii="Arial" w:cs="Arial" w:eastAsia="Arial" w:hAnsi="Arial"/>
                  <w:sz w:val="14"/>
                  <w:szCs w:val="14"/>
                  <w:color w:val="0000EE"/>
                </w:rPr>
                <w:t>61</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gridSpan w:val="2"/>
          </w:tcPr>
          <w:p>
            <w:pPr>
              <w:spacing w:after="0"/>
              <w:rPr>
                <w:rFonts w:ascii="Arial" w:cs="Arial" w:eastAsia="Arial" w:hAnsi="Arial"/>
                <w:sz w:val="14"/>
                <w:szCs w:val="14"/>
                <w:color w:val="0000EE"/>
              </w:rPr>
            </w:pPr>
            <w:hyperlink w:anchor="page62">
              <w:r>
                <w:rPr>
                  <w:rFonts w:ascii="Arial" w:cs="Arial" w:eastAsia="Arial" w:hAnsi="Arial"/>
                  <w:sz w:val="14"/>
                  <w:szCs w:val="14"/>
                  <w:color w:val="0000EE"/>
                </w:rPr>
                <w:t>Signature</w:t>
              </w:r>
            </w:hyperlink>
          </w:p>
        </w:tc>
        <w:tc>
          <w:tcPr>
            <w:tcW w:w="360" w:type="dxa"/>
            <w:vAlign w:val="bottom"/>
          </w:tcPr>
          <w:p>
            <w:pPr>
              <w:spacing w:after="0"/>
              <w:rPr>
                <w:sz w:val="15"/>
                <w:szCs w:val="15"/>
                <w:color w:val="auto"/>
              </w:rPr>
            </w:pPr>
          </w:p>
        </w:tc>
        <w:tc>
          <w:tcPr>
            <w:tcW w:w="7600" w:type="dxa"/>
            <w:vAlign w:val="bottom"/>
            <w:gridSpan w:val="25"/>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62">
              <w:r>
                <w:rPr>
                  <w:rFonts w:ascii="Arial" w:cs="Arial" w:eastAsia="Arial" w:hAnsi="Arial"/>
                  <w:sz w:val="14"/>
                  <w:szCs w:val="14"/>
                  <w:color w:val="0000EE"/>
                </w:rPr>
                <w:t>62</w:t>
              </w:r>
            </w:hyperlink>
          </w:p>
        </w:tc>
      </w:tr>
      <w:tr>
        <w:trPr>
          <w:trHeight w:val="20"/>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150" w:lineRule="exact"/>
        <w:rPr>
          <w:sz w:val="20"/>
          <w:szCs w:val="20"/>
          <w:color w:val="auto"/>
        </w:rPr>
      </w:pPr>
    </w:p>
    <w:p>
      <w:pPr>
        <w:ind w:left="340" w:right="4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remedial measures to address the Company’s material weaknesses could be insufficient or additional issues relating to disclosure controls and procedures or internal control over financial reporting could be identified;</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71" w:lineRule="exact"/>
        <w:rPr>
          <w:rFonts w:ascii="Arial" w:cs="Arial" w:eastAsia="Arial" w:hAnsi="Arial"/>
          <w:sz w:val="18"/>
          <w:szCs w:val="18"/>
          <w:color w:val="auto"/>
        </w:rPr>
      </w:pPr>
    </w:p>
    <w:p>
      <w:pPr>
        <w:ind w:left="340" w:right="1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142" w:lineRule="exact"/>
        <w:rPr>
          <w:rFonts w:ascii="Arial" w:cs="Arial" w:eastAsia="Arial" w:hAnsi="Arial"/>
          <w:sz w:val="18"/>
          <w:szCs w:val="18"/>
          <w:color w:val="auto"/>
        </w:rPr>
      </w:pPr>
    </w:p>
    <w:p>
      <w:pPr>
        <w:ind w:left="340" w:right="6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asset construction projects that may affect revenues;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71" w:lineRule="exact"/>
        <w:rPr>
          <w:rFonts w:ascii="Arial" w:cs="Arial" w:eastAsia="Arial" w:hAnsi="Arial"/>
          <w:sz w:val="18"/>
          <w:szCs w:val="18"/>
          <w:color w:val="auto"/>
        </w:rPr>
      </w:pPr>
    </w:p>
    <w:p>
      <w:pPr>
        <w:ind w:left="340" w:right="4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environmental regulations, that may increase our costs, limit the demand for our products and services or restrict our operations;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1" w:lineRule="exact"/>
        <w:rPr>
          <w:rFonts w:ascii="Arial" w:cs="Arial" w:eastAsia="Arial" w:hAnsi="Arial"/>
          <w:sz w:val="18"/>
          <w:szCs w:val="18"/>
          <w:color w:val="auto"/>
        </w:rPr>
      </w:pPr>
    </w:p>
    <w:p>
      <w:pPr>
        <w:ind w:left="340" w:right="28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the United Kingdom’s referendum on withdrawal from the European Union;</w:t>
      </w:r>
    </w:p>
    <w:p>
      <w:pPr>
        <w:spacing w:after="0" w:line="171" w:lineRule="exact"/>
        <w:rPr>
          <w:rFonts w:ascii="Arial" w:cs="Arial" w:eastAsia="Arial" w:hAnsi="Arial"/>
          <w:sz w:val="18"/>
          <w:szCs w:val="18"/>
          <w:color w:val="auto"/>
        </w:rPr>
      </w:pPr>
    </w:p>
    <w:p>
      <w:pPr>
        <w:ind w:left="340" w:right="9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court approval of “distributable profits” and stockholder approval of certain capital structure decisions;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76" w:right="259" w:bottom="1440" w:gutter="0" w:footer="0" w:header="0"/>
        </w:sectPr>
      </w:pPr>
    </w:p>
    <w:bookmarkStart w:id="3" w:name="page4"/>
    <w:bookmarkEnd w:id="3"/>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dividends or repurchase shares in accordance with our announced capital allocation plan;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71" w:lineRule="exact"/>
        <w:rPr>
          <w:rFonts w:ascii="Arial" w:cs="Arial" w:eastAsia="Arial" w:hAnsi="Arial"/>
          <w:sz w:val="18"/>
          <w:szCs w:val="18"/>
          <w:color w:val="auto"/>
        </w:rPr>
      </w:pPr>
    </w:p>
    <w:p>
      <w:pPr>
        <w:ind w:left="340" w:right="10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4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merger-related costs;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 including related to cyber attacks;</w:t>
      </w:r>
    </w:p>
    <w:p>
      <w:pPr>
        <w:spacing w:after="0" w:line="171"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tax liabilities, the impact of changes in the U.S. federal tax code as a result of recent U.S. federal tax legislation and uncertainty as to how some of those changes may be applied, or other changes in U.S. federal or international tax laws or interpretations to which we are subject; and</w:t>
      </w:r>
    </w:p>
    <w:p>
      <w:pPr>
        <w:spacing w:after="0" w:line="147"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United States Securities and Exchange Commission and in our filings with the Autorité des marchés financiers or the U.K. Financial Conduct Authority.</w:t>
      </w:r>
    </w:p>
    <w:p>
      <w:pPr>
        <w:spacing w:after="0" w:line="14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2,487.9</w:t>
            </w:r>
          </w:p>
        </w:tc>
        <w:tc>
          <w:tcPr>
            <w:tcW w:w="12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3,374.9</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7,159.2</w:t>
            </w:r>
          </w:p>
        </w:tc>
        <w:tc>
          <w:tcPr>
            <w:tcW w:w="100" w:type="dxa"/>
            <w:vAlign w:val="bottom"/>
          </w:tcPr>
          <w:p>
            <w:pPr>
              <w:spacing w:after="0"/>
              <w:rPr>
                <w:sz w:val="22"/>
                <w:szCs w:val="22"/>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9,301.0</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1,907.3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1,928.2</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Lease and other revenue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3,143.8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4,140.9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9,229.9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11,373.9</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2,046.6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2,841.3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5,846.0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7,728.4</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1,559.9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1,781.9</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Cost of lease and other revenue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100.2</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806.5</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143.6</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14)</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 (Note 2)</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87.2</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2,863.7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8,527.2</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10,704.6</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from equity affiliates (Note 9)</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751.9</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516.4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511.4</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 (Note 16)</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261.7</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loss attributable to noncontrolling interests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337.7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per share attributable to TechnipFMC plc (Note 6)</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0.73</w:t>
            </w:r>
          </w:p>
        </w:tc>
        <w:tc>
          <w:tcPr>
            <w:tcW w:w="100" w:type="dxa"/>
            <w:vAlign w:val="bottom"/>
          </w:tcPr>
          <w:p>
            <w:pPr>
              <w:spacing w:after="0"/>
              <w:rPr>
                <w:sz w:val="22"/>
                <w:szCs w:val="22"/>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0.57</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0.57</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 (Note 6)</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454.5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467.2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466.8</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468.3</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Foreign currency translation adjustments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 (losses) arising during the period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Reclassification adjustment for net gains included in net income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gains (losses) on foreign currency translation adjustments</w:t>
            </w:r>
            <w:r>
              <w:rPr>
                <w:rFonts w:ascii="Arial" w:cs="Arial" w:eastAsia="Arial" w:hAnsi="Arial"/>
                <w:sz w:val="17"/>
                <w:szCs w:val="17"/>
                <w:b w:val="1"/>
                <w:bCs w:val="1"/>
                <w:color w:val="auto"/>
                <w:vertAlign w:val="superscript"/>
              </w:rPr>
              <w:t>(a)</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Net gains (losses) on hedging instruments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Net gain (losses) arising during the period</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74.9</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74.3</w:t>
            </w:r>
          </w:p>
        </w:tc>
      </w:tr>
      <w:tr>
        <w:trPr>
          <w:trHeight w:val="250"/>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gain (loss) on hedging instruments</w:t>
            </w:r>
            <w:r>
              <w:rPr>
                <w:rFonts w:ascii="Arial" w:cs="Arial" w:eastAsia="Arial" w:hAnsi="Arial"/>
                <w:sz w:val="17"/>
                <w:szCs w:val="17"/>
                <w:b w:val="1"/>
                <w:bCs w:val="1"/>
                <w:color w:val="auto"/>
                <w:vertAlign w:val="superscript"/>
              </w:rPr>
              <w:t>(b)</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149.2</w:t>
            </w:r>
          </w:p>
        </w:tc>
      </w:tr>
      <w:tr>
        <w:trPr>
          <w:trHeight w:val="284"/>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94"/>
        </w:trPr>
        <w:tc>
          <w:tcPr>
            <w:tcW w:w="5620" w:type="dxa"/>
            <w:vAlign w:val="bottom"/>
          </w:tcPr>
          <w:p>
            <w:pPr>
              <w:ind w:left="280"/>
              <w:spacing w:after="0"/>
              <w:rPr>
                <w:sz w:val="20"/>
                <w:szCs w:val="20"/>
                <w:color w:val="auto"/>
              </w:rPr>
            </w:pPr>
            <w:r>
              <w:rPr>
                <w:rFonts w:ascii="Arial" w:cs="Arial" w:eastAsia="Arial" w:hAnsi="Arial"/>
                <w:sz w:val="14"/>
                <w:szCs w:val="14"/>
                <w:color w:val="auto"/>
              </w:rPr>
              <w:t>Reclassification adjustment for amortization of prior service cost included in net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8"/>
        </w:trPr>
        <w:tc>
          <w:tcPr>
            <w:tcW w:w="5620" w:type="dxa"/>
            <w:vAlign w:val="bottom"/>
          </w:tcPr>
          <w:p>
            <w:pPr>
              <w:ind w:left="280"/>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0.4</w:t>
            </w:r>
          </w:p>
        </w:tc>
      </w:tr>
      <w:tr>
        <w:trPr>
          <w:trHeight w:val="20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amortization of net actuarial loss included in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w:t>
            </w: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5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7"/>
                <w:szCs w:val="17"/>
                <w:b w:val="1"/>
                <w:bCs w:val="1"/>
                <w:color w:val="auto"/>
                <w:vertAlign w:val="superscript"/>
              </w:rPr>
              <w:t>(c)</w:t>
            </w: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5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(loss), net of tax</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(309.4)</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112.3</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374.0</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6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nil and $(0.9) for the three months ended September 30, 2018 and 2017, respectively, and $(0.5) and $(4.8) for the nine months ended September 30, 2018 and 2017, respectively.</w:t>
      </w:r>
    </w:p>
    <w:p>
      <w:pPr>
        <w:spacing w:after="0" w:line="32" w:lineRule="exact"/>
        <w:rPr>
          <w:rFonts w:ascii="Arial" w:cs="Arial" w:eastAsia="Arial" w:hAnsi="Arial"/>
          <w:sz w:val="14"/>
          <w:szCs w:val="14"/>
          <w:color w:val="auto"/>
        </w:rPr>
      </w:pPr>
    </w:p>
    <w:p>
      <w:pPr>
        <w:ind w:left="340" w:right="20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$(4.1) and $(12.1) for the three months ended September 30, 2018 and 2017, respectively, and $4.8 and $(49.4) for the nine months ended September 30, 2018 and 2017, respectively.</w:t>
      </w:r>
    </w:p>
    <w:p>
      <w:pPr>
        <w:spacing w:after="0" w:line="32"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$(0.3) and $0.7 for the three months ended September 30, 2018 and 2017, respectively, and $(0.5) and $1.1 for the nine months ended September 30, 2018 and 2017,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3"/>
                <w:szCs w:val="13"/>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b w:val="1"/>
                <w:bCs w:val="1"/>
                <w:color w:val="auto"/>
              </w:rPr>
              <w:t>December 31,</w:t>
            </w:r>
          </w:p>
        </w:tc>
      </w:tr>
      <w:tr>
        <w:trPr>
          <w:trHeight w:val="178"/>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 except par value data)</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Assets</w:t>
            </w: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5,553.3</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6,737.4</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Trade receivables, net of allowances of $118.9 in 2018 and $117.4 in 2017</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2,079.3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1,484.4</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Contract assets</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1,286.9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1,755.5</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 net (Note 7)</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987.0</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Derivative financial instruments (Note 17)</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97.0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78.3</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taxes receivable</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337.0</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Advances paid to suppliers</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391.3</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assets (Note 8)</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830.9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1,206.2</w:t>
            </w:r>
          </w:p>
        </w:tc>
      </w:tr>
      <w:tr>
        <w:trPr>
          <w:trHeight w:val="249"/>
        </w:trPr>
        <w:tc>
          <w:tcPr>
            <w:tcW w:w="858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21"/>
                <w:szCs w:val="21"/>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11,563.2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12,977.1</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Investments in equity affiliates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272.5</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Property, plant and equipment, net of accumulated depreciation of $2,070.7 in 2018 and $1,947.9 in 2017</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3,670.5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3,871.5</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Goodwill</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9,003.4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8,929.8</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Intangible assets, net of accumulated amortization of $618.3 in 2018 and $486.9 in 2017</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1,223.1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1,333.8</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454.7</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Derivative financial instruments (Note 17)</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94.9</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332.7</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329.4</w:t>
            </w:r>
          </w:p>
        </w:tc>
      </w:tr>
      <w:tr>
        <w:trPr>
          <w:trHeight w:val="275"/>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26,660.0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28,263.7</w:t>
            </w:r>
          </w:p>
        </w:tc>
      </w:tr>
      <w:tr>
        <w:trPr>
          <w:trHeight w:val="265"/>
        </w:trPr>
        <w:tc>
          <w:tcPr>
            <w:tcW w:w="85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2"/>
        </w:trPr>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Liabilities and equity</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Short-term debt and current portion of long-term debt (Note 11)</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77.1</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Accounts payable, trade</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2,800.9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3,958.7</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Contract liabilities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3,711.9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3,314.2</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Accrued payroll</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375.5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402.2</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17)</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69.0</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Income taxes payable</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208.2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320.3</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liabilities (Note 8)</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1,435.8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1,687.9</w:t>
            </w:r>
          </w:p>
        </w:tc>
      </w:tr>
      <w:tr>
        <w:trPr>
          <w:trHeight w:val="249"/>
        </w:trPr>
        <w:tc>
          <w:tcPr>
            <w:tcW w:w="8580" w:type="dxa"/>
            <w:vAlign w:val="bottom"/>
          </w:tcPr>
          <w:p>
            <w:pPr>
              <w:ind w:left="500"/>
              <w:spacing w:after="0"/>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21"/>
                <w:szCs w:val="21"/>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8,702.8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9,829.4</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 less current portion (Note 11)</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4,017.1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3,777.9</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Accrued pension and other post-retirement benefits, less current portion</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230.1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282.0</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17)</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68.1</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351.8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419.7</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413.0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477.2</w:t>
            </w: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13,796.0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14,854.3</w:t>
            </w:r>
          </w:p>
        </w:tc>
      </w:tr>
      <w:tr>
        <w:trPr>
          <w:trHeight w:val="257"/>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Commitments and contingent liabilities (Note 15)</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Mezzanine equity</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57"/>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Redeemable noncontrolling interest</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6"/>
        </w:trPr>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Stockholders’ equity (Note 12)</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64"/>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7"/>
              </w:rPr>
              <w:t>Ordinary shares, $1.00 par value; 618.3 shares and 525.0 shares authorized in 2018 and 2017, respectively; 452.9 shares and 465.1 shares issued</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and outstanding in 2018 and 2017, respectively; 12.3 and 2.1 shares canceled in 2018 and 2017, respectively</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465.1</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Ordinary shares held in employee benefit trust, at cost; 0.1 shares in 2018 and 2017</w:t>
            </w:r>
          </w:p>
        </w:tc>
        <w:tc>
          <w:tcPr>
            <w:tcW w:w="16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Capital in excess of par value of ordinary shares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10,247.1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10,483.3</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Retained earnings</w:t>
            </w:r>
          </w:p>
        </w:tc>
        <w:tc>
          <w:tcPr>
            <w:tcW w:w="160" w:type="dxa"/>
            <w:vAlign w:val="bottom"/>
          </w:tcPr>
          <w:p>
            <w:pPr>
              <w:spacing w:after="0"/>
              <w:rPr>
                <w:sz w:val="22"/>
                <w:szCs w:val="22"/>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3,421.1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3,448.0</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(1,313.9)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r>
      <w:tr>
        <w:trPr>
          <w:trHeight w:val="249"/>
        </w:trPr>
        <w:tc>
          <w:tcPr>
            <w:tcW w:w="8580" w:type="dxa"/>
            <w:vAlign w:val="bottom"/>
          </w:tcPr>
          <w:p>
            <w:pPr>
              <w:ind w:left="500"/>
              <w:spacing w:after="0"/>
              <w:rPr>
                <w:sz w:val="20"/>
                <w:szCs w:val="20"/>
                <w:color w:val="auto"/>
              </w:rPr>
            </w:pPr>
            <w:r>
              <w:rPr>
                <w:rFonts w:ascii="Arial" w:cs="Arial" w:eastAsia="Arial" w:hAnsi="Arial"/>
                <w:sz w:val="13"/>
                <w:szCs w:val="13"/>
                <w:color w:val="auto"/>
              </w:rPr>
              <w:t>Total TechnipFMC plc stockholders’ equity</w:t>
            </w:r>
          </w:p>
        </w:tc>
        <w:tc>
          <w:tcPr>
            <w:tcW w:w="160" w:type="dxa"/>
            <w:vAlign w:val="bottom"/>
          </w:tcPr>
          <w:p>
            <w:pPr>
              <w:spacing w:after="0"/>
              <w:rPr>
                <w:sz w:val="21"/>
                <w:szCs w:val="21"/>
                <w:color w:val="auto"/>
              </w:rPr>
            </w:pPr>
          </w:p>
        </w:tc>
        <w:tc>
          <w:tcPr>
            <w:tcW w:w="1220" w:type="dxa"/>
            <w:vAlign w:val="bottom"/>
          </w:tcPr>
          <w:p>
            <w:pPr>
              <w:jc w:val="right"/>
              <w:ind w:right="57"/>
              <w:spacing w:after="0"/>
              <w:rPr>
                <w:sz w:val="20"/>
                <w:szCs w:val="20"/>
                <w:color w:val="auto"/>
              </w:rPr>
            </w:pPr>
            <w:r>
              <w:rPr>
                <w:rFonts w:ascii="Arial" w:cs="Arial" w:eastAsia="Arial" w:hAnsi="Arial"/>
                <w:sz w:val="13"/>
                <w:szCs w:val="13"/>
                <w:color w:val="auto"/>
              </w:rPr>
              <w:t>12,804.8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13,387.9</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Noncontrolling interests</w:t>
            </w: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21.5</w:t>
            </w: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equity</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12,824.3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13,409.4</w:t>
            </w:r>
          </w:p>
        </w:tc>
      </w:tr>
      <w:tr>
        <w:trPr>
          <w:trHeight w:val="21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26,660.0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28,263.7</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420"/>
          </w:cols>
          <w:pgMar w:left="240" w:top="576"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Nine Months Ended</w:t>
            </w:r>
          </w:p>
        </w:tc>
      </w:tr>
      <w:tr>
        <w:trPr>
          <w:trHeight w:val="222"/>
        </w:trPr>
        <w:tc>
          <w:tcPr>
            <w:tcW w:w="8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335.7</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261.7</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(loss) to cash provided (required)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276.3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276.8</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184.9</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225.8</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(259.6)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198.0</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(938.2)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(1,195.3)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Other current assets and liabilities, net</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416.6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217.3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 and liabilities, net</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(182.6)</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90.6</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(344.7)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279.0</w:t>
            </w:r>
          </w:p>
        </w:tc>
      </w:tr>
      <w:tr>
        <w:trPr>
          <w:trHeight w:val="283"/>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(170.4)</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Cash acquired in merger of FMC Technologies, Inc. and Technip S.A.</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1,479.2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Cash divested from deconsolidation</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sale of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50"/>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(358.2)</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1,334.4</w:t>
            </w:r>
          </w:p>
        </w:tc>
      </w:tr>
      <w:tr>
        <w:trPr>
          <w:trHeight w:val="283"/>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required by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Net decrease in short-term debt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increase (decrease) in commercial paper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Repayments of long-term debt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Payments related to taxes withheld on share-based compensation</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treasury shares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(384.2)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Dividends paid</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(179.2)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Settlements of mandatorily redeemable financial liability</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5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required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(403.0)</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(1,056.1)</w:t>
            </w:r>
          </w:p>
        </w:tc>
      </w:tr>
      <w:tr>
        <w:trPr>
          <w:trHeight w:val="250"/>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69.5</w:t>
            </w:r>
          </w:p>
        </w:tc>
      </w:tr>
      <w:tr>
        <w:trPr>
          <w:trHeight w:val="25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Increase (decrease) in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(1,184.1)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626.8</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6,737.4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6,269.3</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5,553.3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6,896.1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7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Ordinary</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Treasury and</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Employee</w:t>
            </w:r>
          </w:p>
        </w:tc>
        <w:tc>
          <w:tcPr>
            <w:tcW w:w="14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Stockholders’</w:t>
            </w:r>
          </w:p>
        </w:tc>
      </w:tr>
      <w:tr>
        <w:trPr>
          <w:trHeight w:val="178"/>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160" w:type="dxa"/>
            <w:vAlign w:val="bottom"/>
            <w:gridSpan w:val="3"/>
          </w:tcPr>
          <w:p>
            <w:pPr>
              <w:ind w:left="40"/>
              <w:spacing w:after="0"/>
              <w:rPr>
                <w:sz w:val="20"/>
                <w:szCs w:val="20"/>
                <w:color w:val="auto"/>
              </w:rPr>
            </w:pPr>
            <w:r>
              <w:rPr>
                <w:rFonts w:ascii="Arial" w:cs="Arial" w:eastAsia="Arial" w:hAnsi="Arial"/>
                <w:sz w:val="13"/>
                <w:szCs w:val="13"/>
                <w:b w:val="1"/>
                <w:bCs w:val="1"/>
                <w:color w:val="auto"/>
              </w:rPr>
              <w:t>Ordinary Shares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Trust</w:t>
            </w:r>
          </w:p>
        </w:tc>
        <w:tc>
          <w:tcPr>
            <w:tcW w:w="14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Interest</w:t>
            </w:r>
          </w:p>
        </w:tc>
        <w:tc>
          <w:tcPr>
            <w:tcW w:w="160" w:type="dxa"/>
            <w:vAlign w:val="bottom"/>
          </w:tcPr>
          <w:p>
            <w:pPr>
              <w:spacing w:after="0"/>
              <w:rPr>
                <w:sz w:val="15"/>
                <w:szCs w:val="15"/>
                <w:color w:val="auto"/>
              </w:rPr>
            </w:pPr>
          </w:p>
        </w:tc>
        <w:tc>
          <w:tcPr>
            <w:tcW w:w="1080" w:type="dxa"/>
            <w:vAlign w:val="bottom"/>
          </w:tcPr>
          <w:p>
            <w:pPr>
              <w:jc w:val="center"/>
              <w:ind w:right="97"/>
              <w:spacing w:after="0"/>
              <w:rPr>
                <w:sz w:val="20"/>
                <w:szCs w:val="20"/>
                <w:color w:val="auto"/>
              </w:rPr>
            </w:pPr>
            <w:r>
              <w:rPr>
                <w:rFonts w:ascii="Arial" w:cs="Arial" w:eastAsia="Arial" w:hAnsi="Arial"/>
                <w:sz w:val="13"/>
                <w:szCs w:val="13"/>
                <w:b w:val="1"/>
                <w:bCs w:val="1"/>
                <w:color w:val="auto"/>
              </w:rPr>
              <w:t>Equity</w:t>
            </w:r>
          </w:p>
        </w:tc>
      </w:tr>
      <w:tr>
        <w:trPr>
          <w:trHeight w:val="257"/>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465.1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10,483.3</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3,448.0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13,409.4</w:t>
            </w:r>
          </w:p>
        </w:tc>
      </w:tr>
      <w:tr>
        <w:trPr>
          <w:trHeight w:val="156"/>
        </w:trPr>
        <w:tc>
          <w:tcPr>
            <w:tcW w:w="2380" w:type="dxa"/>
            <w:vAlign w:val="bottom"/>
          </w:tcPr>
          <w:p>
            <w:pPr>
              <w:ind w:left="160"/>
              <w:spacing w:after="0"/>
              <w:rPr>
                <w:sz w:val="20"/>
                <w:szCs w:val="20"/>
                <w:color w:val="auto"/>
              </w:rPr>
            </w:pPr>
            <w:r>
              <w:rPr>
                <w:rFonts w:ascii="Arial" w:cs="Arial" w:eastAsia="Arial" w:hAnsi="Arial"/>
                <w:sz w:val="13"/>
                <w:szCs w:val="13"/>
                <w:color w:val="auto"/>
              </w:rPr>
              <w:t>Adoption of accounting standards</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2380" w:type="dxa"/>
            <w:vAlign w:val="bottom"/>
          </w:tcPr>
          <w:p>
            <w:pPr>
              <w:ind w:left="160"/>
              <w:spacing w:after="0"/>
              <w:rPr>
                <w:sz w:val="20"/>
                <w:szCs w:val="20"/>
                <w:color w:val="auto"/>
              </w:rPr>
            </w:pPr>
            <w:r>
              <w:rPr>
                <w:rFonts w:ascii="Arial" w:cs="Arial" w:eastAsia="Arial" w:hAnsi="Arial"/>
                <w:sz w:val="13"/>
                <w:szCs w:val="13"/>
                <w:color w:val="auto"/>
              </w:rPr>
              <w:t>(Note 4)</w:t>
            </w:r>
          </w:p>
        </w:tc>
        <w:tc>
          <w:tcPr>
            <w:tcW w:w="36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(91.4)</w:t>
            </w:r>
          </w:p>
        </w:tc>
      </w:tr>
      <w:tr>
        <w:trPr>
          <w:trHeight w:val="278"/>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335.7</w:t>
            </w:r>
          </w:p>
        </w:tc>
      </w:tr>
      <w:tr>
        <w:trPr>
          <w:trHeight w:val="262"/>
        </w:trPr>
        <w:tc>
          <w:tcPr>
            <w:tcW w:w="2380" w:type="dxa"/>
            <w:vAlign w:val="bottom"/>
          </w:tcPr>
          <w:p>
            <w:pPr>
              <w:ind w:left="160"/>
              <w:spacing w:after="0"/>
              <w:rPr>
                <w:sz w:val="20"/>
                <w:szCs w:val="20"/>
                <w:color w:val="auto"/>
              </w:rPr>
            </w:pPr>
            <w:r>
              <w:rPr>
                <w:rFonts w:ascii="Arial" w:cs="Arial" w:eastAsia="Arial" w:hAnsi="Arial"/>
                <w:sz w:val="13"/>
                <w:szCs w:val="13"/>
                <w:color w:val="auto"/>
              </w:rPr>
              <w:t>Other comprehensive income (loss)</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(310.2)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(309.4)</w:t>
            </w:r>
          </w:p>
        </w:tc>
      </w:tr>
      <w:tr>
        <w:trPr>
          <w:trHeight w:val="278"/>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(278.0)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(384.2)</w:t>
            </w:r>
          </w:p>
        </w:tc>
      </w:tr>
      <w:tr>
        <w:trPr>
          <w:trHeight w:val="262"/>
        </w:trPr>
        <w:tc>
          <w:tcPr>
            <w:tcW w:w="2380" w:type="dxa"/>
            <w:vAlign w:val="bottom"/>
          </w:tcPr>
          <w:p>
            <w:pPr>
              <w:ind w:left="160"/>
              <w:spacing w:after="0"/>
              <w:rPr>
                <w:sz w:val="20"/>
                <w:szCs w:val="20"/>
                <w:color w:val="auto"/>
              </w:rPr>
            </w:pPr>
            <w:r>
              <w:rPr>
                <w:rFonts w:ascii="Arial" w:cs="Arial" w:eastAsia="Arial" w:hAnsi="Arial"/>
                <w:sz w:val="13"/>
                <w:szCs w:val="13"/>
                <w:color w:val="auto"/>
              </w:rPr>
              <w:t>Issuance of ordinary shares</w:t>
            </w:r>
          </w:p>
        </w:tc>
        <w:tc>
          <w:tcPr>
            <w:tcW w:w="3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0.2</w:t>
            </w:r>
          </w:p>
        </w:tc>
      </w:tr>
      <w:tr>
        <w:trPr>
          <w:trHeight w:val="164"/>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sales of ordinary shares for</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benefit trust</w:t>
            </w:r>
          </w:p>
        </w:tc>
        <w:tc>
          <w:tcPr>
            <w:tcW w:w="3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w:t>
            </w:r>
          </w:p>
        </w:tc>
      </w:tr>
      <w:tr>
        <w:trPr>
          <w:trHeight w:val="262"/>
        </w:trPr>
        <w:tc>
          <w:tcPr>
            <w:tcW w:w="2380" w:type="dxa"/>
            <w:vAlign w:val="bottom"/>
          </w:tcPr>
          <w:p>
            <w:pPr>
              <w:ind w:left="160"/>
              <w:spacing w:after="0"/>
              <w:rPr>
                <w:sz w:val="20"/>
                <w:szCs w:val="20"/>
                <w:color w:val="auto"/>
              </w:rPr>
            </w:pPr>
            <w:r>
              <w:rPr>
                <w:rFonts w:ascii="Arial" w:cs="Arial" w:eastAsia="Arial" w:hAnsi="Arial"/>
                <w:sz w:val="13"/>
                <w:szCs w:val="13"/>
                <w:color w:val="auto"/>
              </w:rPr>
              <w:t>Dividends</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(179.2)</w:t>
            </w:r>
          </w:p>
        </w:tc>
      </w:tr>
      <w:tr>
        <w:trPr>
          <w:trHeight w:val="278"/>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3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41.7</w:t>
            </w:r>
          </w:p>
        </w:tc>
      </w:tr>
      <w:tr>
        <w:trPr>
          <w:trHeight w:val="264"/>
        </w:trPr>
        <w:tc>
          <w:tcPr>
            <w:tcW w:w="2380" w:type="dxa"/>
            <w:vAlign w:val="bottom"/>
          </w:tcPr>
          <w:p>
            <w:pPr>
              <w:ind w:left="160"/>
              <w:spacing w:after="0"/>
              <w:rPr>
                <w:sz w:val="20"/>
                <w:szCs w:val="20"/>
                <w:color w:val="auto"/>
              </w:rPr>
            </w:pPr>
            <w:r>
              <w:rPr>
                <w:rFonts w:ascii="Arial" w:cs="Arial" w:eastAsia="Arial" w:hAnsi="Arial"/>
                <w:sz w:val="13"/>
                <w:szCs w:val="13"/>
                <w:color w:val="auto"/>
              </w:rPr>
              <w:t>Other</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(0.9)</w:t>
            </w:r>
          </w:p>
        </w:tc>
      </w:tr>
      <w:tr>
        <w:trPr>
          <w:trHeight w:val="242"/>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2018</w:t>
            </w:r>
          </w:p>
        </w:tc>
        <w:tc>
          <w:tcPr>
            <w:tcW w:w="3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10,247.1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12,824.3</w:t>
            </w:r>
          </w:p>
        </w:tc>
      </w:tr>
      <w:tr>
        <w:trPr>
          <w:trHeight w:val="20"/>
        </w:trPr>
        <w:tc>
          <w:tcPr>
            <w:tcW w:w="2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576"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SUMMARY OF SIGNIFICANT ACCOUNTING POLICIES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or the “Company”)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2017.</w:t>
      </w:r>
    </w:p>
    <w:p>
      <w:pPr>
        <w:spacing w:after="0" w:line="15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ended December 31, 2018.</w:t>
      </w:r>
    </w:p>
    <w:p>
      <w:pPr>
        <w:spacing w:after="0" w:line="134"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consolidated financial statements include the accounts of TechnipFMC and its majority-owned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Intercompany accounts and transactions are eliminated in consolidation.</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GAAP requires management to make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affect the 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of fair value in business combinations and estimates related to income taxes.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Investments in the common stock of unconsolidated affiliates - </w:t>
      </w:r>
      <w:r>
        <w:rPr>
          <w:rFonts w:ascii="Arial" w:cs="Arial" w:eastAsia="Arial" w:hAnsi="Arial"/>
          <w:sz w:val="18"/>
          <w:szCs w:val="18"/>
          <w:color w:val="auto"/>
        </w:rPr>
        <w:t>The equity method of accounting is used to account for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affiliates where we have the ability to exert significant influence over the affiliates’ operating and financial policies. The cost method of accounting is used where significant influence over the affiliate is not present. For certain construction joint ventures, we use the proportionate consolidation method, whereby our proportionate share of each entity’s assets, liabilities, revenues and expenses are included in the appropriate classifications in the accompanying consolidated financial statements. Intercompany balances and transactions have been eliminated in preparing the accompanying consolidated financial statements.</w:t>
      </w:r>
    </w:p>
    <w:p>
      <w:pPr>
        <w:spacing w:after="0" w:line="1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155"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cost minus impairment, if any, plus or minus changes resulting from observable price changes in orderly transactions for the identical or a similar investment of the same issuer.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0" w:name="page11"/>
    <w:bookmarkEnd w:id="10"/>
    <w:p>
      <w:pPr>
        <w:spacing w:after="0" w:line="252" w:lineRule="auto"/>
        <w:rPr>
          <w:sz w:val="20"/>
          <w:szCs w:val="20"/>
          <w:color w:val="auto"/>
        </w:rPr>
      </w:pPr>
      <w:r>
        <w:rPr>
          <w:rFonts w:ascii="Arial" w:cs="Arial" w:eastAsia="Arial" w:hAnsi="Arial"/>
          <w:sz w:val="18"/>
          <w:szCs w:val="18"/>
          <w:color w:val="auto"/>
        </w:rPr>
        <w:t>We determine whether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that most significantly affect the VIE’s economic performance and (ii) the obligation to absorb significant losses of or the right to receive significant benefits from the VIE. If we are deemed to be the primary beneficiary, the VIE is consolidated and the other party’s equity interest in the VIE is accounted for as a noncontrolling interest. Our unconsolidated VIEs are accounted for using the equity method of accounting.</w:t>
      </w:r>
    </w:p>
    <w:p>
      <w:pPr>
        <w:spacing w:after="0" w:line="1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Business combinations - </w:t>
      </w:r>
      <w:r>
        <w:rPr>
          <w:rFonts w:ascii="Arial" w:cs="Arial" w:eastAsia="Arial" w:hAnsi="Arial"/>
          <w:sz w:val="18"/>
          <w:szCs w:val="18"/>
          <w:color w:val="auto"/>
        </w:rPr>
        <w:t>Business combinations are accounted for using the acquisition method of accounting. Under the acquisition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assets, assumed liabilities and identifiable intangible assets based on their estimated fair values. Any excess of the purchase price over the estimated fair values of the net assets acquired is recorded as goodwill. Transaction-related costs are expensed as incurred.</w:t>
      </w:r>
    </w:p>
    <w:p>
      <w:pPr>
        <w:spacing w:after="0" w:line="1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The majority of our revenue is derived from long-term contracts that can span several years. We account for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Accounting Standard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modified retrospective method. See Note 4 to our condensed consolidated financial statements of this Quarterly Report for further discussion of the adoption, including the impact on our 2018 financial statements.</w:t>
      </w:r>
    </w:p>
    <w:p>
      <w:pPr>
        <w:spacing w:after="0" w:line="12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Contract costs to obtain a contract - </w:t>
      </w:r>
      <w:r>
        <w:rPr>
          <w:rFonts w:ascii="Arial" w:cs="Arial" w:eastAsia="Arial" w:hAnsi="Arial"/>
          <w:sz w:val="18"/>
          <w:szCs w:val="18"/>
          <w:color w:val="auto"/>
        </w:rPr>
        <w:t>Our incremental direct costs of obtaining a contract are deferred and amortized over the period of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a longer period, generally the estimated life of the customer relationship, if renewals are expected and the renewal commission is not commensurate with the initial commission. We classify deferred commissions as current or noncurrent based on the timing of when we expect to recognize the expense. The current and noncurrent portions of deferred commissions are included in other current assets and other assets</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in our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commissions is included in selling, general and administrative expenses.</w:t>
      </w:r>
    </w:p>
    <w:p>
      <w:pPr>
        <w:spacing w:after="0" w:line="15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Cash equivalents are highly-liquid, short-term instruments with original maturities of generally three months or less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their date of purchase.</w:t>
      </w:r>
    </w:p>
    <w:p>
      <w:pPr>
        <w:spacing w:after="0" w:line="108" w:lineRule="exact"/>
        <w:rPr>
          <w:sz w:val="20"/>
          <w:szCs w:val="20"/>
          <w:color w:val="auto"/>
        </w:rPr>
      </w:pPr>
    </w:p>
    <w:p>
      <w:pPr>
        <w:ind w:right="560"/>
        <w:spacing w:after="0" w:line="313" w:lineRule="auto"/>
        <w:rPr>
          <w:sz w:val="20"/>
          <w:szCs w:val="20"/>
          <w:color w:val="auto"/>
        </w:rPr>
      </w:pPr>
      <w:r>
        <w:rPr>
          <w:rFonts w:ascii="Arial" w:cs="Arial" w:eastAsia="Arial" w:hAnsi="Arial"/>
          <w:sz w:val="17"/>
          <w:szCs w:val="17"/>
          <w:i w:val="1"/>
          <w:iCs w:val="1"/>
          <w:color w:val="auto"/>
        </w:rPr>
        <w:t xml:space="preserve">Trade receivables, net of allowances - </w:t>
      </w:r>
      <w:r>
        <w:rPr>
          <w:rFonts w:ascii="Arial" w:cs="Arial" w:eastAsia="Arial" w:hAnsi="Arial"/>
          <w:sz w:val="17"/>
          <w:szCs w:val="17"/>
          <w:color w:val="auto"/>
        </w:rPr>
        <w:t>An allowance for doubtful accounts is provided on receivables equal to the estimated uncollectible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This estimate is based on historical collection experience and a specific review of each customer’s receivables balance.</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net realizable value, except as it relates to inventory measured using the last-in, first-out (“LIFO”) method, for which the inventories are stated at the lower of cost or market. Inventory costs include those costs directly attributable to products, including all manufacturing overhead, but excluding costs to distribute. Cost for a significant portion of the U.S. domiciled inventories is determined on the LIFO method. The first-in, first-out or weighted average methods are used to determine the cost for the remaining inventories. Write-downs on inventories are recorded when the net realizable value of inventories is lower than their net book value.</w:t>
      </w:r>
    </w:p>
    <w:p>
      <w:pPr>
        <w:spacing w:after="0" w:line="13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Depreciation is principally provided on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over the estimated useful lives of the assets (vessels - 10 to 30 years; buildings - 10 to 50 years; and machinery and equipment - 3 to 20 years). Gains and losses are realized upon the sale or retirement of assets and are recorded in other income (expense), net, on our consolidated statements of income. Maintenance and repair costs are expensed as incurred. Expenditures that extend the useful lives of property, plant and equipment are capitalized and depreciated over the estimated new remaining life of the asset.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8" w:right="239" w:bottom="1440" w:gutter="0" w:footer="0" w:header="0"/>
        </w:sectPr>
      </w:pPr>
    </w:p>
    <w:bookmarkStart w:id="11" w:name="page12"/>
    <w:bookmarkEnd w:id="11"/>
    <w:p>
      <w:pPr>
        <w:ind w:right="20"/>
        <w:spacing w:after="0" w:line="258" w:lineRule="auto"/>
        <w:rPr>
          <w:sz w:val="20"/>
          <w:szCs w:val="20"/>
          <w:color w:val="auto"/>
        </w:rPr>
      </w:pPr>
      <w:r>
        <w:rPr>
          <w:rFonts w:ascii="Arial" w:cs="Arial" w:eastAsia="Arial" w:hAnsi="Arial"/>
          <w:sz w:val="18"/>
          <w:szCs w:val="18"/>
          <w:i w:val="1"/>
          <w:iCs w:val="1"/>
          <w:color w:val="auto"/>
        </w:rPr>
        <w:t xml:space="preserve">Impairment of property, plant and equipment - </w:t>
      </w:r>
      <w:r>
        <w:rPr>
          <w:rFonts w:ascii="Arial" w:cs="Arial" w:eastAsia="Arial" w:hAnsi="Arial"/>
          <w:sz w:val="18"/>
          <w:szCs w:val="18"/>
          <w:color w:val="auto"/>
        </w:rPr>
        <w:t>Property, plant and equipment are reviewed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Goodwill is not subject to amortization but is tested for impairment on an annual basis (or more frequently if impairment indicators</w:t>
      </w:r>
      <w:r>
        <w:rPr>
          <w:rFonts w:ascii="Arial" w:cs="Arial" w:eastAsia="Arial" w:hAnsi="Arial"/>
          <w:sz w:val="18"/>
          <w:szCs w:val="18"/>
          <w:i w:val="1"/>
          <w:iCs w:val="1"/>
          <w:color w:val="auto"/>
        </w:rPr>
        <w:t xml:space="preserve"> </w:t>
      </w:r>
      <w:r>
        <w:rPr>
          <w:rFonts w:ascii="Arial" w:cs="Arial" w:eastAsia="Arial" w:hAnsi="Arial"/>
          <w:sz w:val="18"/>
          <w:szCs w:val="18"/>
          <w:color w:val="auto"/>
        </w:rPr>
        <w:t>arise) by comparing the estimated fair value of each reporting unit to its carrying value, including goodwill. A reporting unit is defined as an operating segment or one level below the operating segment. We have established October 31 as the date of our annual test for impairment of goodwill. Reporting units with goodwill are tested for impairment using a quantitative impairment test known as the income approach, which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If the fair value of the reporting unit is less than its carrying amount as a result of this method, then an impairment loss is recorded.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1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Our acquired intangible assets are generally amortized on a straight-line basis over their estimated useful lives,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range from 2 to 20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1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3 to 10 years. For Internet website costs, the estimated useful lives do not exceed 3 years.</w:t>
      </w:r>
    </w:p>
    <w:p>
      <w:pPr>
        <w:spacing w:after="0" w:line="1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Debt instruments - </w:t>
      </w:r>
      <w:r>
        <w:rPr>
          <w:rFonts w:ascii="Arial" w:cs="Arial" w:eastAsia="Arial" w:hAnsi="Arial"/>
          <w:sz w:val="18"/>
          <w:szCs w:val="18"/>
          <w:color w:val="auto"/>
        </w:rPr>
        <w:t>Debt instruments include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premiums on debt instruments are included in the cost of debt in the consolidated balance sheets, as an adjustment to the nominal amount of the debt. Loan origination costs for revolving credit facilities are recorded as an asset and amortized over the life of the underlying debt.</w:t>
      </w:r>
    </w:p>
    <w:p>
      <w:pPr>
        <w:spacing w:after="0" w:line="126"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i w:val="1"/>
          <w:iCs w:val="1"/>
          <w:color w:val="auto"/>
        </w:rPr>
        <w:t xml:space="preserve">Fair value measurements - </w:t>
      </w:r>
      <w:r>
        <w:rPr>
          <w:rFonts w:ascii="Arial" w:cs="Arial" w:eastAsia="Arial" w:hAnsi="Arial"/>
          <w:sz w:val="18"/>
          <w:szCs w:val="18"/>
          <w:color w:val="auto"/>
        </w:rPr>
        <w:t>Fair value is defined as the price that would be received to sell an asset or paid to transfer a liability (an exit price)</w:t>
      </w:r>
      <w:r>
        <w:rPr>
          <w:rFonts w:ascii="Arial" w:cs="Arial" w:eastAsia="Arial" w:hAnsi="Arial"/>
          <w:sz w:val="18"/>
          <w:szCs w:val="18"/>
          <w:i w:val="1"/>
          <w:iCs w:val="1"/>
          <w:color w:val="auto"/>
        </w:rPr>
        <w:t xml:space="preserve"> </w:t>
      </w:r>
      <w:r>
        <w:rPr>
          <w:rFonts w:ascii="Arial" w:cs="Arial" w:eastAsia="Arial" w:hAnsi="Arial"/>
          <w:sz w:val="18"/>
          <w:szCs w:val="18"/>
          <w:color w:val="auto"/>
        </w:rPr>
        <w:t>in an orderly 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1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71" w:lineRule="exact"/>
        <w:rPr>
          <w:rFonts w:ascii="Arial" w:cs="Arial" w:eastAsia="Arial" w:hAnsi="Arial"/>
          <w:sz w:val="18"/>
          <w:szCs w:val="18"/>
          <w:color w:val="auto"/>
        </w:rPr>
      </w:pPr>
    </w:p>
    <w:p>
      <w:pPr>
        <w:ind w:left="340" w:right="40" w:hanging="332"/>
        <w:spacing w:after="0" w:line="282"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quoted prices for identical assets or liabilities in inactive markets.</w:t>
      </w:r>
    </w:p>
    <w:p>
      <w:pPr>
        <w:spacing w:after="0" w:line="107" w:lineRule="exact"/>
        <w:rPr>
          <w:rFonts w:ascii="Arial" w:cs="Arial" w:eastAsia="Arial" w:hAnsi="Arial"/>
          <w:sz w:val="18"/>
          <w:szCs w:val="18"/>
          <w:i w:val="1"/>
          <w:iCs w:val="1"/>
          <w:color w:val="auto"/>
        </w:rPr>
      </w:pPr>
    </w:p>
    <w:p>
      <w:pPr>
        <w:ind w:left="340" w:right="200" w:hanging="332"/>
        <w:spacing w:after="0" w:line="282"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80" w:right="299" w:bottom="1440" w:gutter="0" w:footer="0" w:header="0"/>
        </w:sectPr>
      </w:pPr>
    </w:p>
    <w:bookmarkStart w:id="12" w:name="page13"/>
    <w:bookmarkEnd w:id="12"/>
    <w:p>
      <w:pPr>
        <w:ind w:right="20"/>
        <w:spacing w:after="0" w:line="261"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Current income taxes are provided on income reported for financial statement purposes, adjusted for transactions that do not</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the 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4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Share-based employee compensation - </w:t>
      </w:r>
      <w:r>
        <w:rPr>
          <w:rFonts w:ascii="Arial" w:cs="Arial" w:eastAsia="Arial" w:hAnsi="Arial"/>
          <w:sz w:val="18"/>
          <w:szCs w:val="18"/>
          <w:color w:val="auto"/>
        </w:rPr>
        <w:t>The measurement of share-based compensation expense on restricted share awards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awards is based on the market price at the grant date and the number of shares awarded. We used the Cox Ross Rubinstein binomial model to measure the fair value of stock options granted prior to December 31, 2016 and the Black-Scholes options pricing model to measure the fair value of stock options granted on or after January 1, 2017. The share-based compensation expense for each award is recognized ratably over the applicable service period or the period beginning at the start of the service period and ending when an employee becomes eligible for retirement, after taking into account estimated forfeitures.</w:t>
      </w:r>
    </w:p>
    <w:p>
      <w:pPr>
        <w:spacing w:after="0" w:line="12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Ordinary shares held in employee benefit trust - </w:t>
      </w:r>
      <w:r>
        <w:rPr>
          <w:rFonts w:ascii="Arial" w:cs="Arial" w:eastAsia="Arial" w:hAnsi="Arial"/>
          <w:sz w:val="18"/>
          <w:szCs w:val="18"/>
          <w:color w:val="auto"/>
        </w:rPr>
        <w:t>Our ordinary shares are purchased by the plan administrator of the FMC Technologies, Inc.</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Savings and Investment Plan and placed in a trust that we own. Purchased shares are recorded at cost and classified as a reduction of stockholders’ equity on the consolidated balance sheets.</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Earnings per ordinary share (“EPS”) - </w:t>
      </w:r>
      <w:r>
        <w:rPr>
          <w:rFonts w:ascii="Arial" w:cs="Arial" w:eastAsia="Arial" w:hAnsi="Arial"/>
          <w:sz w:val="18"/>
          <w:szCs w:val="18"/>
          <w:color w:val="auto"/>
        </w:rPr>
        <w:t>Basic EPS is computed using the weighted-average number of ordinary shares outstanding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We use 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ordinary shares assumed to be converted as of the issuance date are included to compute diluted EPS under the if-converted method. Additionally, the net profit of the period is adjusted as if converted for the after-tax interest expense related to these dilutive shares.</w:t>
      </w:r>
    </w:p>
    <w:p>
      <w:pPr>
        <w:spacing w:after="0" w:line="13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Foreign currency - </w:t>
      </w:r>
      <w:r>
        <w:rPr>
          <w:rFonts w:ascii="Arial" w:cs="Arial" w:eastAsia="Arial" w:hAnsi="Arial"/>
          <w:sz w:val="18"/>
          <w:szCs w:val="18"/>
          <w:color w:val="auto"/>
        </w:rPr>
        <w:t>Financial statements of operations for which the U.S. dollar is not the functional currency, and which are located in non-highly 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0" w:right="259" w:bottom="1440" w:gutter="0" w:footer="0" w:header="0"/>
        </w:sectPr>
      </w:pPr>
    </w:p>
    <w:bookmarkStart w:id="13" w:name="page14"/>
    <w:bookmarkEnd w:id="13"/>
    <w:p>
      <w:pPr>
        <w:spacing w:after="0" w:line="252" w:lineRule="auto"/>
        <w:rPr>
          <w:sz w:val="20"/>
          <w:szCs w:val="20"/>
          <w:color w:val="auto"/>
        </w:rPr>
      </w:pPr>
      <w:r>
        <w:rPr>
          <w:rFonts w:ascii="Arial" w:cs="Arial" w:eastAsia="Arial" w:hAnsi="Arial"/>
          <w:sz w:val="18"/>
          <w:szCs w:val="18"/>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second half of 2018, Argentina’s three year cumulative inflation rate exceeded 100% based on published inflation data, and effective July 1, 2018, Argentina’s currency is considered hyperinflationary. Our local operations in Argentina use U.S. dollars as the functional currency and both monetary and non-monetary assets and liabilities denominated in Argentina pesos were remeasured into U.S. dollars with gains and losses resulting from foreign currency transactions included in current results of operations. This event did not have a material impact on the Company’s condensed consolidated financial statements.</w:t>
      </w:r>
    </w:p>
    <w:p>
      <w:pPr>
        <w:spacing w:after="0" w:line="13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Derivative instruments - </w:t>
      </w:r>
      <w:r>
        <w:rPr>
          <w:rFonts w:ascii="Arial" w:cs="Arial" w:eastAsia="Arial" w:hAnsi="Arial"/>
          <w:sz w:val="18"/>
          <w:szCs w:val="18"/>
          <w:color w:val="auto"/>
        </w:rPr>
        <w:t>Derivatives are recognized on the consolidated balance sheets at fair value, with classification as current or non-current 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4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98"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2. BUSINESS COMBINATION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of FMC Technologies and Technip</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Description of the merger - </w:t>
      </w:r>
      <w:r>
        <w:rPr>
          <w:rFonts w:ascii="Arial" w:cs="Arial" w:eastAsia="Arial" w:hAnsi="Arial"/>
          <w:sz w:val="18"/>
          <w:szCs w:val="18"/>
          <w:color w:val="auto"/>
        </w:rPr>
        <w:t>On June 14, 2016, FMC Technologies, Inc (“FMC Technologies”) and Technip S.A. (“Technip”)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business combination agreement (the “Merger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Merger Agreement. Immediately following the Technip Merger, a wholly-owned indirect subsidiary of TechnipFMC (“Merger Sub”) merged with and into FMC Technologies, with FMC Technologies continuing as the surviving company and as a wholly-owned indirect subsidiary of TechnipFMC, and each share of common stock of FMC Technologies (the “FMCTI Shares”), other than FMCTI Shares owned by FMC Technologies, TechnipFMC, Merger Sub or their wholly-owned subsidiaries, was exchanged for 1.0 ordinary share of TechnipFMC, subject to the terms of the Merger Agreement.</w:t>
      </w:r>
    </w:p>
    <w:p>
      <w:pPr>
        <w:spacing w:after="0" w:line="152"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Under the acquisition method of accounting, Technip was identified as the accounting acquirer and acquired a 100% interest in FMC Technologies.</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merger of FMC Technologies and Technip (the “Merger”) has created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has brought about the ability of the combined company to (i) standardize its product and service offerings to customers, (ii) reduce costs to customers, and (iii) provide integrated product offerings to the oil and gas industry with the aim to innovate the markets in which the combined company operates.</w:t>
      </w:r>
    </w:p>
    <w:p>
      <w:pPr>
        <w:spacing w:after="0" w:line="1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incurred merger transaction and integration costs of $6.3 million and $20.9 million during the three and nine months ended September 30, 2018 , respectively, and $9.2 million and $87.2 million during the three and nine months ended September 30, 2017, respectively.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19" w:right="239" w:bottom="1440" w:gutter="0" w:footer="0" w:header="0"/>
        </w:sectPr>
      </w:pPr>
    </w:p>
    <w:bookmarkStart w:id="15" w:name="page16"/>
    <w:bookmarkEnd w:id="15"/>
    <w:p>
      <w:pPr>
        <w:ind w:right="60"/>
        <w:spacing w:after="0" w:line="255" w:lineRule="auto"/>
        <w:rPr>
          <w:sz w:val="20"/>
          <w:szCs w:val="20"/>
          <w:color w:val="auto"/>
        </w:rPr>
      </w:pPr>
      <w:r>
        <w:rPr>
          <w:rFonts w:ascii="Arial" w:cs="Arial" w:eastAsia="Arial" w:hAnsi="Arial"/>
          <w:sz w:val="18"/>
          <w:szCs w:val="18"/>
          <w:i w:val="1"/>
          <w:iCs w:val="1"/>
          <w:color w:val="auto"/>
        </w:rPr>
        <w:t xml:space="preserve">Description of FMC Technologies as Accounting Acquiree - </w:t>
      </w:r>
      <w:r>
        <w:rPr>
          <w:rFonts w:ascii="Arial" w:cs="Arial" w:eastAsia="Arial" w:hAnsi="Arial"/>
          <w:sz w:val="18"/>
          <w:szCs w:val="18"/>
          <w:color w:val="auto"/>
        </w:rPr>
        <w:t>FMC Technologies is a global provider of technology solutions for the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Consideration Transferred - </w:t>
      </w:r>
      <w:r>
        <w:rPr>
          <w:rFonts w:ascii="Arial" w:cs="Arial" w:eastAsia="Arial" w:hAnsi="Arial"/>
          <w:sz w:val="18"/>
          <w:szCs w:val="18"/>
          <w:color w:val="auto"/>
        </w:rPr>
        <w:t>The acquisition-date fair value of the consideration transferred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FMC Technologies, Inc. shares subject to exchange as of January 16, 2017</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228.9</w:t>
            </w:r>
          </w:p>
        </w:tc>
      </w:tr>
      <w:tr>
        <w:trPr>
          <w:trHeight w:val="216"/>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FMC Technologies Inc. exchange ratio</w:t>
            </w:r>
            <w:r>
              <w:rPr>
                <w:rFonts w:ascii="Arial" w:cs="Arial" w:eastAsia="Arial" w:hAnsi="Arial"/>
                <w:sz w:val="17"/>
                <w:szCs w:val="17"/>
                <w:color w:val="auto"/>
                <w:vertAlign w:val="superscript"/>
              </w:rPr>
              <w:t>(a)</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10"/>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of TechnipFMC issued</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r>
      <w:tr>
        <w:trPr>
          <w:trHeight w:val="216"/>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Value per share of Technip as of January 16, 2017</w:t>
            </w:r>
            <w:r>
              <w:rPr>
                <w:rFonts w:ascii="Arial" w:cs="Arial" w:eastAsia="Arial" w:hAnsi="Arial"/>
                <w:sz w:val="17"/>
                <w:szCs w:val="17"/>
                <w:color w:val="auto"/>
                <w:vertAlign w:val="superscript"/>
              </w:rPr>
              <w:t>(b)</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w:t>
            </w:r>
          </w:p>
        </w:tc>
      </w:tr>
      <w:tr>
        <w:trPr>
          <w:trHeight w:val="210"/>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purchase consideration</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bl>
    <w:p>
      <w:pPr>
        <w:spacing w:after="0" w:line="167" w:lineRule="exact"/>
        <w:rPr>
          <w:sz w:val="20"/>
          <w:szCs w:val="20"/>
          <w:color w:val="auto"/>
        </w:rPr>
      </w:pPr>
    </w:p>
    <w:p>
      <w:pPr>
        <w:jc w:val="both"/>
        <w:ind w:left="340" w:right="80" w:hanging="332"/>
        <w:spacing w:after="0" w:line="24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the calculation is deemed to reflect a share capital increase of the accounting acquirer, the FMC Technologies exchange ratio (1 share of TechnipFMC for 1 share of FMC Technologies as provided in the Merger Agreement) is adjusted by dividing the FMC Technologies exchange ratio by the Technip exchange ratio (2 shares of TechnipFMC for 1 share of Technip as provided in the Merger Agreement), i.e., 1 / 2 = 0.5 in order to reflect the number of shares of Technip that FMC Technologies stockholders would have received if Technip were to have issued its own shares.</w:t>
      </w:r>
    </w:p>
    <w:p>
      <w:pPr>
        <w:spacing w:after="0" w:line="147"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Closing price of Technip’s ordinary shares on Euronext Paris on January 16, 2017 in Euro converted at the Euro to U.S. dollar exchange rate of $1.0594 on January 16,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right="460"/>
        <w:spacing w:after="0" w:line="282" w:lineRule="auto"/>
        <w:rPr>
          <w:sz w:val="20"/>
          <w:szCs w:val="20"/>
          <w:color w:val="auto"/>
        </w:rPr>
      </w:pPr>
      <w:r>
        <w:rPr>
          <w:rFonts w:ascii="Arial" w:cs="Arial" w:eastAsia="Arial" w:hAnsi="Arial"/>
          <w:sz w:val="18"/>
          <w:szCs w:val="18"/>
          <w:i w:val="1"/>
          <w:iCs w:val="1"/>
          <w:color w:val="auto"/>
        </w:rPr>
        <w:t xml:space="preserve">Assets Acquired and Liabilities Assumed - </w:t>
      </w:r>
      <w:r>
        <w:rPr>
          <w:rFonts w:ascii="Arial" w:cs="Arial" w:eastAsia="Arial" w:hAnsi="Arial"/>
          <w:sz w:val="18"/>
          <w:szCs w:val="18"/>
          <w:color w:val="auto"/>
        </w:rPr>
        <w:t>The following table summarizes the final allocation of the fair values of the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at the acquisition date:</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Assets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60" w:type="dxa"/>
            <w:vAlign w:val="bottom"/>
          </w:tcPr>
          <w:p>
            <w:pPr>
              <w:ind w:left="280"/>
              <w:spacing w:after="0"/>
              <w:rPr>
                <w:sz w:val="20"/>
                <w:szCs w:val="20"/>
                <w:color w:val="auto"/>
              </w:rPr>
            </w:pPr>
            <w:r>
              <w:rPr>
                <w:rFonts w:ascii="Arial" w:cs="Arial" w:eastAsia="Arial" w:hAnsi="Arial"/>
                <w:sz w:val="14"/>
                <w:szCs w:val="14"/>
                <w:color w:val="auto"/>
              </w:rPr>
              <w:t>Cash</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1,479.2</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647.8</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Costs and estimated earnings in excess of billings on uncompleted contracts</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599.6</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764.8</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Income taxes receivable</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139.2</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282.2</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Property, plant and equipment</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1,293.3</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1,390.3</w:t>
            </w:r>
          </w:p>
        </w:tc>
      </w:tr>
      <w:tr>
        <w:trPr>
          <w:trHeight w:val="210"/>
        </w:trPr>
        <w:tc>
          <w:tcPr>
            <w:tcW w:w="10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assets</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w:t>
            </w: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identifiable assets acquired</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6,763.7</w:t>
            </w:r>
          </w:p>
        </w:tc>
      </w:tr>
      <w:tr>
        <w:trPr>
          <w:trHeight w:val="264"/>
        </w:trPr>
        <w:tc>
          <w:tcPr>
            <w:tcW w:w="10060" w:type="dxa"/>
            <w:vAlign w:val="bottom"/>
          </w:tcPr>
          <w:p>
            <w:pPr>
              <w:ind w:left="40"/>
              <w:spacing w:after="0"/>
              <w:rPr>
                <w:sz w:val="20"/>
                <w:szCs w:val="20"/>
                <w:color w:val="auto"/>
              </w:rPr>
            </w:pPr>
            <w:r>
              <w:rPr>
                <w:rFonts w:ascii="Arial" w:cs="Arial" w:eastAsia="Arial" w:hAnsi="Arial"/>
                <w:sz w:val="14"/>
                <w:szCs w:val="14"/>
                <w:i w:val="1"/>
                <w:iCs w:val="1"/>
                <w:color w:val="auto"/>
              </w:rPr>
              <w:t>Liabilities</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and current portion of long-term debt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319.5</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386.0</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Billings in excess of costs and estimated earnings on uncompleted contracts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454.0</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92.1</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524.3</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Long-term debt, less current portion</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1,444.2</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195.5</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219.4</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138.7</w:t>
            </w:r>
          </w:p>
        </w:tc>
      </w:tr>
      <w:tr>
        <w:trPr>
          <w:trHeight w:val="204"/>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liabilities assumed</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3,773.7</w:t>
            </w: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identifiable assets acquired</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2,990.0</w:t>
            </w:r>
          </w:p>
        </w:tc>
      </w:tr>
      <w:tr>
        <w:trPr>
          <w:trHeight w:val="21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Goodwill</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1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assets acquired</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Segment Allocation of Goodwill - </w:t>
      </w:r>
      <w:r>
        <w:rPr>
          <w:rFonts w:ascii="Arial" w:cs="Arial" w:eastAsia="Arial" w:hAnsi="Arial"/>
          <w:sz w:val="18"/>
          <w:szCs w:val="18"/>
          <w:color w:val="auto"/>
        </w:rPr>
        <w:t>The final allocation of goodwill to the reporting segments based on the final valuation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Allocated Goodwill</w:t>
            </w: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2,527.7</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1,635.5</w:t>
            </w: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1,017.5</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Acquired Identifiable Intangible Assets - </w:t>
      </w:r>
      <w:r>
        <w:rPr>
          <w:rFonts w:ascii="Arial" w:cs="Arial" w:eastAsia="Arial" w:hAnsi="Arial"/>
          <w:sz w:val="18"/>
          <w:szCs w:val="18"/>
          <w:color w:val="auto"/>
        </w:rPr>
        <w:t>The identifiable intangible assets acquired include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Useful Lives</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technology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Backlog</w:t>
            </w: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175.0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Tradenames</w:t>
            </w: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635.0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Various</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identifiable intangible assets acquired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1,390.3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ind w:right="420"/>
        <w:spacing w:after="0" w:line="262" w:lineRule="auto"/>
        <w:rPr>
          <w:sz w:val="20"/>
          <w:szCs w:val="20"/>
          <w:color w:val="auto"/>
        </w:rPr>
      </w:pPr>
      <w:r>
        <w:rPr>
          <w:rFonts w:ascii="Arial" w:cs="Arial" w:eastAsia="Arial" w:hAnsi="Arial"/>
          <w:sz w:val="18"/>
          <w:szCs w:val="18"/>
          <w:color w:val="auto"/>
        </w:rPr>
        <w:t>As part of the ongoing review of the purchase price allocation, a $19.7 million adjustment to our deferred tax liability balance was recorded during the first quarter of 2018 which increased Surface Technologies goodwill.</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Pro Forma Impact of the Merger (unaudited) - </w:t>
      </w:r>
      <w:r>
        <w:rPr>
          <w:rFonts w:ascii="Arial" w:cs="Arial" w:eastAsia="Arial" w:hAnsi="Arial"/>
          <w:sz w:val="18"/>
          <w:szCs w:val="18"/>
          <w:color w:val="auto"/>
        </w:rPr>
        <w:t>The following unaudited supplemental pro forma results present consolidated information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had been completed as of January 1, 2017.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2017, nor are they indicative of future results.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September 30,</w:t>
            </w:r>
          </w:p>
        </w:tc>
      </w:tr>
      <w:tr>
        <w:trPr>
          <w:trHeight w:val="175"/>
        </w:trPr>
        <w:tc>
          <w:tcPr>
            <w:tcW w:w="8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7"/>
                <w:szCs w:val="17"/>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Pro Forma</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4,140.9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11,486.8</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attributable to TechnipFMC adjusted for dilutive effects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182.4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January 29, 2018, we entered into a share purchase agreement with the Island Offshore group to acquire a 51% stake in Island Offshore Subsea AS (“Island Offshore”). Island Offshore provides Riserless Light Well Intervention (“RLWI”) project management and engineering services for plug and abandonment (“P&amp;A”), riserless coiled tubing and well completion operations. Island Offshore has developed proprietary designs related to subsea P&amp;A and riserless coiled tubing. We will enter into a strategic cooperation agreement to deliver RLWI services on a worldwide basis, which will also include our RLWI capabilities. The acquisition was completed on April 18, 2018 for total cash consideration of $42.4 million. As a result of the acquisition, we recorded redeemable financial liability equal to the fair value of a written put option. Finally, we preliminarily increased goodwill by $85.0 million.</w:t>
      </w:r>
    </w:p>
    <w:p>
      <w:pPr>
        <w:spacing w:after="0" w:line="153"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On July 18, 2018, we entered into a share sale and purchase agreement with POC Holding Oy to sell 100% of the outstanding shares of Technip Offshore Finland Oy. The total gain before tax recognized in the third quarter of 2018 is $27.8 million.</w:t>
      </w:r>
    </w:p>
    <w:p>
      <w:pPr>
        <w:spacing w:after="0" w:line="14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Additional acquisitions, including purchased interests in equity method investments, during the nine months ended September 30, 2018 totaled $61.0 million in consideration paid and preliminarily increased goodwill by $0.5 million.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U.S. GAAP</w:t>
      </w:r>
    </w:p>
    <w:p>
      <w:pPr>
        <w:spacing w:after="0" w:line="17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Effective January 1, 2018, we adopted Accounting Standards Update (“ASU”) No. 2014-09, </w:t>
      </w:r>
      <w:r>
        <w:rPr>
          <w:rFonts w:ascii="Arial" w:cs="Arial" w:eastAsia="Arial" w:hAnsi="Arial"/>
          <w:sz w:val="18"/>
          <w:szCs w:val="18"/>
          <w:i w:val="1"/>
          <w:iCs w:val="1"/>
          <w:color w:val="auto"/>
        </w:rPr>
        <w:t>“Revenue from Contracts with Customers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606).” </w:t>
      </w:r>
      <w:r>
        <w:rPr>
          <w:rFonts w:ascii="Arial" w:cs="Arial" w:eastAsia="Arial" w:hAnsi="Arial"/>
          <w:sz w:val="18"/>
          <w:szCs w:val="18"/>
          <w:color w:val="auto"/>
        </w:rPr>
        <w:t>This update requires an entity to recognize revenue to depict the transfer of promised goods or services to customers in an amount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consideration to which the entity expects to be entitled in exchange for those goods or services. See Note 4 to our condensed consolidated financial statements of this Quarterly Report for more information.</w:t>
      </w:r>
    </w:p>
    <w:p>
      <w:pPr>
        <w:spacing w:after="0" w:line="12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 xml:space="preserve">In March 2016, the Financial Accounting Standards Board (“FASB”) issued ASU No. 2016-08, </w:t>
      </w:r>
      <w:r>
        <w:rPr>
          <w:rFonts w:ascii="Arial" w:cs="Arial" w:eastAsia="Arial" w:hAnsi="Arial"/>
          <w:sz w:val="18"/>
          <w:szCs w:val="18"/>
          <w:i w:val="1"/>
          <w:iCs w:val="1"/>
          <w:color w:val="auto"/>
        </w:rPr>
        <w:t>“Principal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Revenue Gross versus Net)”, </w:t>
      </w:r>
      <w:r>
        <w:rPr>
          <w:rFonts w:ascii="Arial" w:cs="Arial" w:eastAsia="Arial" w:hAnsi="Arial"/>
          <w:sz w:val="18"/>
          <w:szCs w:val="18"/>
          <w:color w:val="auto"/>
        </w:rPr>
        <w:t>which clarifies the implementation guidance on principal versus agent considerations. Entities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apply the amendments either retrospectively to each prior reporting period presented or retrospectively with the cumulative effect of initially applying the ASU recognized at the date of initial application. The adoption of this update did not have a material impact on our consolidated financial statements.</w:t>
      </w:r>
    </w:p>
    <w:p>
      <w:pPr>
        <w:spacing w:after="0" w:line="13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Effective January 1, 2018, we adopted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8" w:right="239" w:bottom="1440" w:gutter="0" w:footer="0" w:header="0"/>
        </w:sectPr>
      </w:pPr>
    </w:p>
    <w:bookmarkStart w:id="18" w:name="page19"/>
    <w:bookmarkEnd w:id="18"/>
    <w:p>
      <w:pPr>
        <w:ind w:right="80"/>
        <w:spacing w:after="0" w:line="251" w:lineRule="auto"/>
        <w:rPr>
          <w:sz w:val="20"/>
          <w:szCs w:val="20"/>
          <w:color w:val="auto"/>
        </w:rPr>
      </w:pPr>
      <w:r>
        <w:rPr>
          <w:rFonts w:ascii="Arial" w:cs="Arial" w:eastAsia="Arial" w:hAnsi="Arial"/>
          <w:sz w:val="18"/>
          <w:szCs w:val="18"/>
          <w:color w:val="auto"/>
        </w:rPr>
        <w:t xml:space="preserve">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 eliminates the requirement to disclose significant assumptions and methods used to estimate the fair value of financial instruments measured at amortized cost. The updated guidance further requires the use of an exit price notion when measuring the fair value of financial instruments for disclosure purposes. All amendments are required to be adopted on a modified retrospective basis, with two exceptions. The amendments related to equity investments without readily determinable fair values and the requirement to use an exit price notion are required to be adopted prospectively. In February 2018, the FASB issued ASU No. 2018-03, </w:t>
      </w:r>
      <w:r>
        <w:rPr>
          <w:rFonts w:ascii="Arial" w:cs="Arial" w:eastAsia="Arial" w:hAnsi="Arial"/>
          <w:sz w:val="18"/>
          <w:szCs w:val="18"/>
          <w:i w:val="1"/>
          <w:iCs w:val="1"/>
          <w:color w:val="auto"/>
        </w:rPr>
        <w:t xml:space="preserve">“Technical Corrections and Improvements to Financial Instruments-Overall (Subtopic 825-10): Recognition and Measurement of Financial Assets and Financial Liabilities”. </w:t>
      </w:r>
      <w:r>
        <w:rPr>
          <w:rFonts w:ascii="Arial" w:cs="Arial" w:eastAsia="Arial" w:hAnsi="Arial"/>
          <w:sz w:val="18"/>
          <w:szCs w:val="18"/>
          <w:color w:val="auto"/>
        </w:rPr>
        <w:t>These amendments clarify the guidance in ASU No. 2016-01, on the following issues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Equity Securities without a Readily Determinable Fair Value-Discontinuation; Equity Securities without a Readily Determinable Fair Value - Adjustment; Forward Contracts and Purchase Options; Presentation Requirements for Certain Fair Value Option Liabilities; Fair Value Option Liabilities Denominated in a Foreign Currency; and Transition Guidance for Equity Securities without a Readily Determinable Fair Value. The amendments in this ASU are effective in conjunction with the adoption of ASU No. 2016-01. In March 2018, the FASB issued ASU No. 2018-04, </w:t>
      </w:r>
      <w:r>
        <w:rPr>
          <w:rFonts w:ascii="Arial" w:cs="Arial" w:eastAsia="Arial" w:hAnsi="Arial"/>
          <w:sz w:val="18"/>
          <w:szCs w:val="18"/>
          <w:i w:val="1"/>
          <w:iCs w:val="1"/>
          <w:color w:val="auto"/>
        </w:rPr>
        <w:t>“Investments-Debt Securities (Topic 320) and Regulated Operations (Topic 980):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117 and SEC Release No. 33-9273.” </w:t>
      </w:r>
      <w:r>
        <w:rPr>
          <w:rFonts w:ascii="Arial" w:cs="Arial" w:eastAsia="Arial" w:hAnsi="Arial"/>
          <w:sz w:val="18"/>
          <w:szCs w:val="18"/>
          <w:color w:val="auto"/>
        </w:rPr>
        <w:t>This ASU supersedes SEC paragraphs pursuant to the SEC Staff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Bulletin No. 117, which brings existing guidance into conformity with Topic 321, Investments-Equity Securities, and SEC Release No. 33-9273, which removed Regulation S-X Rule 3A-05, Special Requirements as to Public Utility Holding Companies. The adoption of these updates did not have a material impact on our consolidated financial statements.</w:t>
      </w:r>
    </w:p>
    <w:p>
      <w:pPr>
        <w:spacing w:after="0" w:line="13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Effective January 1, 2018, we adopted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 to the statement of cash flows. The amendments in this ASU are required to be adopted retrospectively. For issues that are impracticable to adopt retrospectively, the amendments may be adopted prospectively as of the earliest date practicable. The adoption of this update did not have a material impact on our consolidated financial statements.</w:t>
      </w:r>
    </w:p>
    <w:p>
      <w:pPr>
        <w:spacing w:after="0" w:line="13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xml:space="preserve">Effective January 1, 2018, we adopted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required to be adopted on a modified retrospective basis. The adoption of this update did not have a material impact on our consolidated financial statements.</w:t>
      </w:r>
    </w:p>
    <w:p>
      <w:pPr>
        <w:spacing w:after="0" w:line="12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Effective January 1, 2018, we adopted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required to be adopted prospectively. The adoption of this update did not have a material impact on our consolidated financial statements.</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Effective January 1, 2018, we adopted ASU No. 2017-07,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This update requires employers to disaggregate the service cost component from the other components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cost and disclose the amount of 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The adoption of this update did not have a material impact on our consolidated financial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98" w:right="259" w:bottom="1440" w:gutter="0" w:footer="0" w:header="0"/>
        </w:sectPr>
      </w:pPr>
    </w:p>
    <w:bookmarkStart w:id="19" w:name="page20"/>
    <w:bookmarkEnd w:id="19"/>
    <w:p>
      <w:pPr>
        <w:spacing w:after="0" w:line="261" w:lineRule="auto"/>
        <w:rPr>
          <w:sz w:val="20"/>
          <w:szCs w:val="20"/>
          <w:color w:val="auto"/>
        </w:rPr>
      </w:pPr>
      <w:r>
        <w:rPr>
          <w:rFonts w:ascii="Arial" w:cs="Arial" w:eastAsia="Arial" w:hAnsi="Arial"/>
          <w:sz w:val="18"/>
          <w:szCs w:val="18"/>
          <w:color w:val="auto"/>
        </w:rPr>
        <w:t xml:space="preserve">Effective January 1, 2018, we adopted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This update provides clarity on when changes to the terms or conditions of a share-based payment award must be accounted for as modifications. The amendments in this ASU are effective for us January 1, 2018 and are required to be adopted prospectively. The adoption of this update did not have a material impact on our consolidated financial statements.</w:t>
      </w:r>
    </w:p>
    <w:p>
      <w:pPr>
        <w:spacing w:after="0" w:line="12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March 2018, the FASB issued ASU No. 2018-05, “</w:t>
      </w:r>
      <w:r>
        <w:rPr>
          <w:rFonts w:ascii="Arial" w:cs="Arial" w:eastAsia="Arial" w:hAnsi="Arial"/>
          <w:sz w:val="18"/>
          <w:szCs w:val="18"/>
          <w:i w:val="1"/>
          <w:iCs w:val="1"/>
          <w:color w:val="auto"/>
        </w:rPr>
        <w:t>Income Taxes (Topic 740)-Amendments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Bulletin No. 118.</w:t>
      </w:r>
      <w:r>
        <w:rPr>
          <w:rFonts w:ascii="Arial" w:cs="Arial" w:eastAsia="Arial" w:hAnsi="Arial"/>
          <w:sz w:val="18"/>
          <w:szCs w:val="18"/>
          <w:color w:val="auto"/>
        </w:rPr>
        <w:t>” This ASU adds SEC paragraphs pursuant to the SEC Staff Accounting Bulletin No. 118, which expresses the</w:t>
      </w:r>
      <w:r>
        <w:rPr>
          <w:rFonts w:ascii="Arial" w:cs="Arial" w:eastAsia="Arial" w:hAnsi="Arial"/>
          <w:sz w:val="18"/>
          <w:szCs w:val="18"/>
          <w:i w:val="1"/>
          <w:iCs w:val="1"/>
          <w:color w:val="auto"/>
        </w:rPr>
        <w:t xml:space="preserve"> </w:t>
      </w:r>
      <w:r>
        <w:rPr>
          <w:rFonts w:ascii="Arial" w:cs="Arial" w:eastAsia="Arial" w:hAnsi="Arial"/>
          <w:sz w:val="18"/>
          <w:szCs w:val="18"/>
          <w:color w:val="auto"/>
        </w:rPr>
        <w:t>view of the staff regarding application of Topic 740, Income Taxes, in the reporting period that includes December 22, 2017 - the date on which the Tax Cuts and Jobs Act of 2017 (the “Tax Cuts and Jobs Act”) was signed into law. The amendments in this ASU are effective upon issuance. The adoption of this update did not have a material impact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U.S. GAAP</w:t>
      </w:r>
    </w:p>
    <w:p>
      <w:pPr>
        <w:spacing w:after="0" w:line="17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This update requires that a lessee recognize a liability to make lease payments and a right-of-use (“ROU”) asset representing its right to use the underlying asset for the lease term.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w:t>
      </w:r>
    </w:p>
    <w:p>
      <w:pPr>
        <w:spacing w:after="0" w:line="135" w:lineRule="exact"/>
        <w:rPr>
          <w:sz w:val="20"/>
          <w:szCs w:val="20"/>
          <w:color w:val="auto"/>
        </w:rPr>
      </w:pPr>
    </w:p>
    <w:p>
      <w:pPr>
        <w:jc w:val="both"/>
        <w:ind w:right="320"/>
        <w:spacing w:after="0" w:line="261" w:lineRule="auto"/>
        <w:rPr>
          <w:sz w:val="20"/>
          <w:szCs w:val="20"/>
          <w:color w:val="auto"/>
        </w:rPr>
      </w:pPr>
      <w:r>
        <w:rPr>
          <w:rFonts w:ascii="Arial" w:cs="Arial" w:eastAsia="Arial" w:hAnsi="Arial"/>
          <w:sz w:val="18"/>
          <w:szCs w:val="18"/>
          <w:color w:val="auto"/>
        </w:rPr>
        <w:t xml:space="preserve">In January 2018, the FASB issued ASU 2018-01, </w:t>
      </w:r>
      <w:r>
        <w:rPr>
          <w:rFonts w:ascii="Arial" w:cs="Arial" w:eastAsia="Arial" w:hAnsi="Arial"/>
          <w:sz w:val="18"/>
          <w:szCs w:val="18"/>
          <w:i w:val="1"/>
          <w:iCs w:val="1"/>
          <w:color w:val="auto"/>
        </w:rPr>
        <w:t>“Leases (Topic 842): Land Easement Practical Expedient for Transition to Topic 842.”</w:t>
      </w:r>
      <w:r>
        <w:rPr>
          <w:rFonts w:ascii="Arial" w:cs="Arial" w:eastAsia="Arial" w:hAnsi="Arial"/>
          <w:sz w:val="18"/>
          <w:szCs w:val="18"/>
          <w:color w:val="auto"/>
        </w:rPr>
        <w:t xml:space="preserve"> The amendments in this update permit an entity to elect an optional transition practical expedient to not evaluate land easements that existed or expired before the entity’s adoption of Topic 842 and that were not previously accounted for as leases under Topic 840. We do not expect to elect this practical expedient.</w:t>
      </w:r>
    </w:p>
    <w:p>
      <w:pPr>
        <w:spacing w:after="0" w:line="12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In July 2018, the FASB issued ASU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The amendments in this update affect narrow aspects of the guidance issued in ASU 2016-02 and is intended to alleviate unintended consequences from applying the new standard. The amendments do not make substantive changes to the core provisions or principles of the new standard and will be considered during our implementation process.</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In July 2018, the FASB also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The amendments in this update provide entities with an optional transition method, which permits an entity to initially apply the new leases standard at the adoption date and recognize a cumulative-effect adjustment to the opening balance of retained earnings in the period of adoption. In addition, the amendments in this update also provide lessors with a practical expedient (provided certain conditions are met), by class of underlying asset, to not separate the nonlease component(s) from the associated lease component for purposes of income statement presentation.</w:t>
      </w:r>
    </w:p>
    <w:p>
      <w:pPr>
        <w:spacing w:after="0" w:line="14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will adopt Topic 842 on January 1, 2019, electing the optional transition method that allows for a cumulative-effect adjustment in the period of adoption and, as a result, we will not restate prior periods. We expect to elect certain practical expedients permitted under Topic 842, including the practical expedient for short-term leases in which a lessee is permitted to make an accounting policy election by class of underlying asset not to recognize lease assets and lease liabilities for leases with a term of 12 months or less. In addition, we expect to elect the package of practical expedients permitted under the transition guidance within Topic 842, which among other things, allows us to carry forward the historical lease classification.</w:t>
      </w:r>
    </w:p>
    <w:p>
      <w:pPr>
        <w:spacing w:after="0" w:line="1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still evaluating the impacts of the adoption of Topic 842 on our consolidated financial statements and related disclosures. We currently expect the most significant impact will be the recognition of ROU assets and lease liabilities for operating leases in our consolidated balance sheets. Additionally, we do not expect the adoption to materially impact our consolidated statements of income. As part of our assessment work-to-date, we have formed an implementation work team, conducted region-specific training for the relevant staff regarding the potential impacts of Topic 842 and are continuing our contract analysis and policy review. We have engaged external resources to assist us in our efforts of completing the analysis of potential changes to current accounting practices and are in the process of implementing a new lease accounting system in connection with the adoption of the updated guidance. We are also evaluating the impact of Topic 842 on our internal control over financial reporting and other changes in business practices and processes.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ind w:right="14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not permitted. We are currently evaluating the impact of this ASU on our consolidated financial statements.</w:t>
      </w:r>
    </w:p>
    <w:p>
      <w:pPr>
        <w:spacing w:after="0" w:line="1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amendments in this ASU are effective for us January 1, 2019. Early adoption is permitted. For cash flow and net investment hedges as of the adoption date, the guidance requires a modified retrospective approach. The amended presentation and disclosure guidance is required to be adopted prospectively. We are currently evaluating the impact of this ASU on our consolidated financial statements.</w:t>
      </w:r>
    </w:p>
    <w:p>
      <w:pPr>
        <w:spacing w:after="0" w:line="1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Tax Effects from Accumulated Other Comprehensive Income (AOCI).” </w:t>
      </w:r>
      <w:r>
        <w:rPr>
          <w:rFonts w:ascii="Arial" w:cs="Arial" w:eastAsia="Arial" w:hAnsi="Arial"/>
          <w:sz w:val="18"/>
          <w:szCs w:val="18"/>
          <w:color w:val="auto"/>
        </w:rPr>
        <w:t>This update provides an option to reclassify stranded tax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AOCI to retained earnings in each period in which the effect of the change in the U.S. federal corporate tax rate in the Tax Cuts and Jobs Act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Income Statement-Reporting Comprehensive Income, and has items of other comprehensive income for which the related tax effects are presented in other comprehensive income as required by GAAP. The amendments in this ASU are effective for us January 1, 2019. We are currently evaluating the impact of this ASU on our consolidated financial statements.</w:t>
      </w:r>
    </w:p>
    <w:p>
      <w:pPr>
        <w:spacing w:after="0" w:line="135"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 xml:space="preserve">“Compensation - Stock Compensation (Topic 718): Improvements to Nonemployee Share-Based Payment Accounting.” </w:t>
      </w:r>
      <w:r>
        <w:rPr>
          <w:rFonts w:ascii="Arial" w:cs="Arial" w:eastAsia="Arial" w:hAnsi="Arial"/>
          <w:sz w:val="17"/>
          <w:szCs w:val="17"/>
          <w:color w:val="auto"/>
        </w:rPr>
        <w:t>This update expands the scope of Topic 718 to include all share-based payment transactions for acquiring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from nonemployees. The amendments in this update specify that Topic 718 applies to all share-based payment transactions in which the grantor acquires goods and services to be used or consumed in its own operations by issuing share-based payment awards. The amendments in this update also clarify that Topic 718 does not apply to share-based payments used to effectively provide (1) financing to the issuer or (2) awards granted in conjunction with selling goods or services to customers as part of a contract accounted for under ASC Topic</w:t>
      </w:r>
    </w:p>
    <w:p>
      <w:pPr>
        <w:spacing w:after="0" w:line="5" w:lineRule="exact"/>
        <w:rPr>
          <w:sz w:val="20"/>
          <w:szCs w:val="20"/>
          <w:color w:val="auto"/>
        </w:rPr>
      </w:pPr>
    </w:p>
    <w:p>
      <w:pPr>
        <w:ind w:right="140" w:firstLine="8"/>
        <w:spacing w:after="0" w:line="262"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amendments in this update are effective for us on January 1, 2019, with early adoption permitted, but no earlier than our adoption of ASC Topic 606. We are currently evaluating the impact of this ASU on our consolidated financial statements.</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This update modifies the disclosure requirement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ASU are effective for us January 1, 2020. Early adoption is permitted. The amendments on changes in unrealized gains and losses, the range and weighted average of significant unobservable inputs used to develop Level 3 fair value measurements, and the narrative description of measurement uncertainty should be applied prospectively. All other amendments should be applied retrospectively. We are currently evaluating the impact of this ASU on our consolidated financial statements.</w:t>
      </w:r>
    </w:p>
    <w:p>
      <w:pPr>
        <w:spacing w:after="0" w:line="1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Early adoption is permitted. The amendments in this update is required to be adopted retrospectively. We are currently evaluating the impact of this ASU on our consolidated financial statements.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0" w:right="259" w:bottom="1440" w:gutter="0" w:footer="0" w:header="0"/>
        </w:sectPr>
      </w:pPr>
    </w:p>
    <w:bookmarkStart w:id="21" w:name="page22"/>
    <w:bookmarkEnd w:id="21"/>
    <w:p>
      <w:pPr>
        <w:ind w:right="6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(a consensus of the FASB Emerging Issues Task Force).” </w:t>
      </w:r>
      <w:r>
        <w:rPr>
          <w:rFonts w:ascii="Arial" w:cs="Arial" w:eastAsia="Arial" w:hAnsi="Arial"/>
          <w:sz w:val="18"/>
          <w:szCs w:val="18"/>
          <w:color w:val="auto"/>
        </w:rPr>
        <w:t>This update requires that the implementation costs incurred in a cloud computing arrangement that is a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deferred if they would be capitalized based on the requirements for capitalizing implementation costs incurred to develop or obtain internal-use software. The amendments in this ASU are effective for us January 1, 2020. Early adoption is permitted. The amendments in this update is required to be adopted either retrospectively or prospectively. We are currently evaluating the impact of this ASU on our consolidated financial statements.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 On January 1, 2018, we adopted ASC Topic 606 of GAAP using the modified retrospective method applied to those contracts that were not completed as of January 1, 2018 resulting in a $91.5 million reduction to retained earnings. Results for reporting periods beginning after January 1, 2018 are presented under ASC Topic 606, while prior period amounts are not adjusted and continue to be reported in accordance with our historic accounting under Topic 605.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Revenue Recognition Criteria Explained</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 xml:space="preserve">Allocation of transaction price to performance obligations - </w:t>
      </w:r>
      <w:r>
        <w:rPr>
          <w:rFonts w:ascii="Arial" w:cs="Arial" w:eastAsia="Arial" w:hAnsi="Arial"/>
          <w:sz w:val="18"/>
          <w:szCs w:val="18"/>
          <w:color w:val="auto"/>
        </w:rPr>
        <w:t>A contract’s transaction price is allocated to each distinct performance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revenue, when, or as, the performance obligation is satisfied. To determine the proper revenue recognition method, we evaluate whether two or more contracts should be combined and accounted for as one single contract and whether the combined or single contract should be accounted for as more than one performance obligation. This evaluation requires significant judgment; some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our best estimate of the standalone selling price of each distinct good or service in the contract.</w:t>
      </w:r>
    </w:p>
    <w:p>
      <w:pPr>
        <w:spacing w:after="0" w:line="1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Variable consideration - </w:t>
      </w:r>
      <w:r>
        <w:rPr>
          <w:rFonts w:ascii="Arial" w:cs="Arial" w:eastAsia="Arial" w:hAnsi="Arial"/>
          <w:sz w:val="18"/>
          <w:szCs w:val="18"/>
          <w:color w:val="auto"/>
        </w:rPr>
        <w:t>Due to the nature of the work required to be performed on many of our performance obligations, the estimation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and cost at completion is complex, subject to many variables and requires significant judgment. It is common for our long-term contracts to contain variable considerations that can either increase or decrease the transaction price. Variability in the transaction price arises primarily due to liquidated damages. The Company considers its experience with similar transactions and expectations regarding the contract in estimating the amount of variable consideration to which it will be entitled, and determining whether the estimated variable consideration should be constrained. We include estimated amounts in the transaction price to the extent it is probable that a significant reversal of cumulative revenue recognized will not occur when the uncertainty associated with the variable consideration is resolved. Our estimates of variable consideration are based largely on an assessment of our anticipated performance and all information (historical, current and forecasted) that is reasonably available to us.</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Payment terms - </w:t>
      </w:r>
      <w:r>
        <w:rPr>
          <w:rFonts w:ascii="Arial" w:cs="Arial" w:eastAsia="Arial" w:hAnsi="Arial"/>
          <w:sz w:val="18"/>
          <w:szCs w:val="18"/>
          <w:color w:val="auto"/>
        </w:rPr>
        <w:t>Progress billings are generally issued upon completion of certain phases of the work as stipulated in the contract.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may either be fixed, lump-sum or driven by time and materials (e.g., daily or hourly rates, plus materials). Because typically the customer retains a small portion of the contract price until completion of the contract, our contracts generally result in revenue recognized in excess of billings which we present as contract assets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some contracts, we may be entitled to receive an advance payment. We recognize a liability for these advance payments in excess of revenue recognized and present it as contract liabilities on the balance sheet. The advance payment typically is not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0" w:right="259" w:bottom="1440" w:gutter="0" w:footer="0" w:header="0"/>
        </w:sectPr>
      </w:pPr>
    </w:p>
    <w:bookmarkStart w:id="22" w:name="page23"/>
    <w:bookmarkEnd w:id="22"/>
    <w:p>
      <w:pPr>
        <w:jc w:val="both"/>
        <w:ind w:right="380"/>
        <w:spacing w:after="0" w:line="266" w:lineRule="auto"/>
        <w:rPr>
          <w:sz w:val="20"/>
          <w:szCs w:val="20"/>
          <w:color w:val="auto"/>
        </w:rPr>
      </w:pPr>
      <w:r>
        <w:rPr>
          <w:rFonts w:ascii="Arial" w:cs="Arial" w:eastAsia="Arial" w:hAnsi="Arial"/>
          <w:sz w:val="18"/>
          <w:szCs w:val="18"/>
          <w:i w:val="1"/>
          <w:iCs w:val="1"/>
          <w:color w:val="auto"/>
        </w:rPr>
        <w:t xml:space="preserve">Warranty - </w:t>
      </w:r>
      <w:r>
        <w:rPr>
          <w:rFonts w:ascii="Arial" w:cs="Arial" w:eastAsia="Arial" w:hAnsi="Arial"/>
          <w:sz w:val="18"/>
          <w:szCs w:val="18"/>
          <w:color w:val="auto"/>
        </w:rPr>
        <w:t>Certain contracts include an assurance-type warranty clause, typically between 18 to 36 months, to guarantee that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agreed specifications. A service-type warranty may also be provided to the customer; in such a case, management allocates a portion of the transaction price to the warranty based on the estimated stand-alone selling price of the service-type warranty.</w:t>
      </w:r>
    </w:p>
    <w:p>
      <w:pPr>
        <w:spacing w:after="0" w:line="12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Revenue recognized over time - </w:t>
      </w:r>
      <w:r>
        <w:rPr>
          <w:rFonts w:ascii="Arial" w:cs="Arial" w:eastAsia="Arial" w:hAnsi="Arial"/>
          <w:sz w:val="18"/>
          <w:szCs w:val="18"/>
          <w:color w:val="auto"/>
        </w:rPr>
        <w:t>Our performance obligations are satisfied over time as work progresses or at a point in time.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transferred to customers over time accounted for approximately 83.3% and 83.1% of our revenue for the three and nine months ended September 30, 2018, respectively. Typically, revenue is recognized over time using an input measure (e.g., costs incurred to date relative to total estimated costs at completion) to measure progress.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Cost-to-cost method - </w:t>
      </w:r>
      <w:r>
        <w:rPr>
          <w:rFonts w:ascii="Arial" w:cs="Arial" w:eastAsia="Arial" w:hAnsi="Arial"/>
          <w:sz w:val="18"/>
          <w:szCs w:val="18"/>
          <w:color w:val="auto"/>
        </w:rPr>
        <w:t>For our long-term contracts, because of control transferring over time, revenue is recognized based on the extent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towards completion of the performance obligation. Upon adoption of the new standard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Right to invoice practical expedient - </w:t>
      </w:r>
      <w:r>
        <w:rPr>
          <w:rFonts w:ascii="Arial" w:cs="Arial" w:eastAsia="Arial" w:hAnsi="Arial"/>
          <w:sz w:val="18"/>
          <w:szCs w:val="18"/>
          <w:color w:val="auto"/>
        </w:rPr>
        <w:t>The right-to-invoice practical expedient can be applied to a performance obligation satisfied over time if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a right to invoice the customer for an amount that corresponds directly with the value transferred to the customer for our performance completed to date. When this practical expedient is used, we do not estimate variable consideration at the inception of the contract to determine the transaction price or for disclosure purposes. We have contracts which have payment terms dictated by daily or hourly rates where some contracts may have mixed pricing terms which include a fixed fee portion. For contracts in which we charge the customer a fixed rate based on the time or materials spent during the project that correspond to the value transferred to the customer, we recognize revenue in the amount to which we have the right to invoice.</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Contract modifications - </w:t>
      </w:r>
      <w:r>
        <w:rPr>
          <w:rFonts w:ascii="Arial" w:cs="Arial" w:eastAsia="Arial" w:hAnsi="Arial"/>
          <w:sz w:val="18"/>
          <w:szCs w:val="18"/>
          <w:color w:val="auto"/>
        </w:rPr>
        <w:t>Contracts are often modified to account for changes in contract specifications and requirements. We consider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by Segment</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is a description of principal activities separated by reportable segments from which the Company generates its revenue. See Note 5 to our condensed consolidated financial statements of this Quarterly Report for more detailed information about reportable segments.</w:t>
      </w:r>
    </w:p>
    <w:p>
      <w:pPr>
        <w:spacing w:after="0" w:line="12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Subsea</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Subsea segment manufactures and designs products and systems, performs engineering, procurement and project management and provides services used by oil and gas companies involved in offshore exploration and production of crude oil and natural gas. Systems and services may be sold separately or as combined integrated systems and services offered within one contract. Many of the systems and products the Company supplies for subsea applications are highly engineered to meet the unique demands of our customers’ field properties and are typically ordered one to two years prior to installation. We often receive advance payments and progress billings from our customers in order to fund initial development and working capital requirements.</w:t>
      </w:r>
    </w:p>
    <w:p>
      <w:pPr>
        <w:spacing w:after="0" w:line="15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Subsea engineering, procurement, construction and installation contracts, revenue is principally generated from long-term contracts with customers. We have determined these contracts generally have one performance obligation as the delivered product is highly customized to customer and field specifications. We generally recognize revenue over time for such contracts as the customized products do not have an alternative use for the Company and we have an enforceable right to payment plus a reasonable profit for performance completed to date.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spacing w:after="0" w:line="253" w:lineRule="auto"/>
        <w:rPr>
          <w:sz w:val="20"/>
          <w:szCs w:val="20"/>
          <w:color w:val="auto"/>
        </w:rPr>
      </w:pPr>
      <w:r>
        <w:rPr>
          <w:rFonts w:ascii="Arial" w:cs="Arial" w:eastAsia="Arial" w:hAnsi="Arial"/>
          <w:sz w:val="18"/>
          <w:szCs w:val="18"/>
          <w:color w:val="auto"/>
        </w:rPr>
        <w:t>Our Subsea segment also performs an array of subsea services including (i) installation services, (ii) asset management services (iii) product optimization, (iv) inspection, maintenance and repair services, and (v) well access and intervention services, where revenue is generally earned through the execution of either installation-type or maintenance-type contracts. For either contract-type, management has determined that the performance of the service generally represents one single performance obligation. We have determined that revenue from these contracts is recognized over time as the customer simultaneously receives and consumes the benefit of the services.</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Onshore/Offshore</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Onshore/Offshore segment designs and builds onshore facilities related to the production, treatment, transformation and transportation of oil and gas; and designs, manufactures and installs fixed and floating platforms for the offshore production and processing of oil and gas reserves.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onshore business combines the design, engineering, procurement, construction and project management of the entire range of onshore facilities. Our onshore activity covers all types of onshore facilities related to the production, treatment and transportation of oil and gas, as well as transformation with petrochemicals such as ethylene, polymers and fertilizers. Some of the onshore activities include the development of onshore fields, refining, natural gas treatment and liquefaction, and design and construction of hydrogen and synthesis gas production units.</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Many of these contracts provide a combination of engineering, procurement, construction, project management and installation services, which may last several years. We have determined that contracts of this nature have generally one performance obligation. In these contracts, the final product is highly customized to the specifications of the field and the customer’s requirements. Therefore, the customer obtains control of the asset over time, and thus revenue is recognized over time.</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offshore business combines the design, engineering, procurement, construction and project management within the entire range of fixed and floating offshore oil and gas facilities, many of which were the first of their kind, including the development of floating liquefied natural gas (“FLNG”) facilities. Similar to onshore contracts, contracts grouped under this segment provide a combination of services, which may last several years.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that contracts of this nature have one performance obligation. In these contracts, the final product is highly customized to the specifications of the field and the customer’s requirements. We have determined that the customer obtains control of the asset over time, and thus revenue is recognized over time as the customized products do not have an alternative use for us and we have an enforceable right to payment plus reasonable profit for performance completed to date.</w:t>
      </w:r>
    </w:p>
    <w:p>
      <w:pPr>
        <w:spacing w:after="0" w:line="1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7"/>
          <w:szCs w:val="17"/>
          <w:b w:val="1"/>
          <w:bCs w:val="1"/>
          <w:i w:val="1"/>
          <w:iCs w:val="1"/>
          <w:color w:val="auto"/>
        </w:rPr>
        <w:t>Surface Technologies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Surface Technologies segment designs, manufactures and supplies technologically advanced wellhead systems and high pressure valves and pumps used in stimulation activities for oilfield service companies and provides installation, flowback and other services for exploration and production companies.</w:t>
      </w:r>
    </w:p>
    <w:p>
      <w:pPr>
        <w:spacing w:after="0" w:line="1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provide a full range of drilling, completion and production wellhead systems for both standard and custom-engineered applications. Under pressure control product contracts, we design and manufacture flowline products, under the Weco®/Chiksan® trademarks, articulating frac arm manifold trailers, well service pumps, compact valves and reciprocating pumps used in well completion and stimulation activities by major oilfield service companies. Performance obligations within these systems are satisfied either through delivery of a standardized product or equipment or the delivery of a customized product or equipment.</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contracts with a standardized product or equipment performance obligation, management has determined that because there is limited customization to products sold within such contracts and the asset delivered can be resold to another customer, revenue should be recognized as of a point in time, upon transfer of control to the customer and after the customer acceptance provisions have been met.</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contracts with a customized product or equipment performance obligation, the revenue is recognized over time, as the manufacturing of our product does not create an asset with an alternative use for us.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8" w:right="239" w:bottom="1440" w:gutter="0" w:footer="0" w:header="0"/>
        </w:sectPr>
      </w:pPr>
    </w:p>
    <w:bookmarkStart w:id="24" w:name="page25"/>
    <w:bookmarkEnd w:id="24"/>
    <w:p>
      <w:pPr>
        <w:ind w:right="100"/>
        <w:spacing w:after="0" w:line="291" w:lineRule="auto"/>
        <w:rPr>
          <w:sz w:val="20"/>
          <w:szCs w:val="20"/>
          <w:color w:val="auto"/>
        </w:rPr>
      </w:pPr>
      <w:r>
        <w:rPr>
          <w:rFonts w:ascii="Arial" w:cs="Arial" w:eastAsia="Arial" w:hAnsi="Arial"/>
          <w:sz w:val="17"/>
          <w:szCs w:val="17"/>
          <w:color w:val="auto"/>
        </w:rPr>
        <w:t>This segment also designs, manufactures and services measurement products globally. Contract-types include standard product or equipment and maintenance-type services where we have determined that each contract under this product line represents one performance obligation.</w:t>
      </w:r>
    </w:p>
    <w:p>
      <w:pPr>
        <w:spacing w:after="0" w:line="12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Revenue from standard measurement equipment contracts is recognized at a point in time, while maintenance-type contracts are typically priced at a daily or hourly rate. We have determined that revenue for these contracts is recognized over time because the customer simultaneously receives and consumes the benefit of the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disaggregates revenue by geographic location and contract types. The tables also include a reconciliation of the disaggregated revenue with the reportable segments.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58"/>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Onshore/Offshore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Onshore/Offshore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421.4</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1,136.3</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2,537.9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172.5</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America</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1,219.3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653.3</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162.5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703.9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43.4</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89.1</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548.6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146.4</w:t>
            </w: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1,178.3</w:t>
            </w: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1,532.5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372.3</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3,516.7</w:t>
            </w: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4,448.3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1,101.5</w:t>
            </w:r>
          </w:p>
        </w:tc>
      </w:tr>
      <w:tr>
        <w:trPr>
          <w:trHeight w:val="20"/>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revenue by contract type for each reportable segment for the three and nine months ended September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58"/>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Onshore/Offshore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Onshore/Offshore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885.2</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2,525.9</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185.0</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293.1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990.8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916.5</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1,178.3</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1,532.5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3,516.7</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4,448.3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1,101.5</w:t>
            </w: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Lease and other</w:t>
            </w:r>
            <w:r>
              <w:rPr>
                <w:rFonts w:ascii="Arial" w:cs="Arial" w:eastAsia="Arial" w:hAnsi="Arial"/>
                <w:sz w:val="17"/>
                <w:szCs w:val="17"/>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1,209.1</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3,606.7</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1,174.9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revenue not subject to ASC Topic 606.</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30"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previously disclosed as costs and estimated earnings in excess of billings on uncompleted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unbilled amounts typically resulting from sales under long-term contracts when revenue is 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8" w:right="239" w:bottom="1440" w:gutter="0" w:footer="0" w:header="0"/>
        </w:sectPr>
      </w:pPr>
    </w:p>
    <w:bookmarkStart w:id="25" w:name="page26"/>
    <w:bookmarkEnd w:id="25"/>
    <w:p>
      <w:pPr>
        <w:ind w:right="54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We classify contract liabilities as current or noncurrent based on the timing of when we expect to recognize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September 30, 2018 and December 31,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6"/>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(26.7)</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(3,314.2)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(397.7)</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(12.0)</w:t>
            </w:r>
          </w:p>
        </w:tc>
      </w:tr>
      <w:tr>
        <w:trPr>
          <w:trHeight w:val="243"/>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assets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(866.3)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(55.6)</w:t>
            </w:r>
          </w:p>
        </w:tc>
      </w:tr>
      <w:tr>
        <w:trPr>
          <w:trHeight w:val="20"/>
        </w:trPr>
        <w:tc>
          <w:tcPr>
            <w:tcW w:w="5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majority of the change in net contract assets (liabilities) was due to the adoption of ASC Topic 606. The adoption resulted in a net reclassification from net contract assets (liabilities) to trade receivables. A difference exists in the presentation of trade receivables, contract assets and contract liabilities. Upon adoption of ASC Topic 606, we recognize trade receivables when we have the unconditional right to payment. Previously, we reported certain billed amounts on a net basis within contract assets and contract liabilities when the legal right of offset was present within the contract; therefore certain amounts that were previously reported in contract assets and contract liabilities have been reclassified to trade receivables as of September 30, 2018.</w:t>
      </w:r>
    </w:p>
    <w:p>
      <w:pPr>
        <w:spacing w:after="0" w:line="155"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The remaining decrease not related to the adoption of ASC Topic 606 in our contract assets from December 31, 2017 to September 30, 2018 was primarily due to the timing of milestone payments, partially offset by an increase of $5.7 million in contract assets due to acquisitions.</w:t>
      </w:r>
    </w:p>
    <w:p>
      <w:pPr>
        <w:spacing w:after="0" w:line="12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remaining increase not related to the adoption of ASC Topic 606 in our contract liabilities was primarily due to cash received, excluding amounts recognized as revenue during the period.</w:t>
      </w:r>
    </w:p>
    <w:p>
      <w:pPr>
        <w:spacing w:after="0" w:line="14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Revenue recognized for the three and nine months ended September 30, 2018 that were included in the contract liabilities balance at December 31, 2017 was $678.1 million and $2,115.8 million, respectively.</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addition, net revenue recognized for the three and nine months ended September 30, 2018 from our performance obligations satisfied in previous periods has unfavorable impact of $66.4 million and favorable impact of $0.4 million, respectively. This primarily relates to the changes in the estimate of the stage of completion that impacted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RUPO includes the base transaction price, variable consideration and changes in transaction price. The RUPO table does not include contracts for which we recognize revenue at the amount to which we have the right to invoice for services performed. The transaction price of RUPO related to unfilled, confirmed customer orders is estimated at each reporting date. As of September 30, 2018, the aggregate amount of the transaction price allocated to RUPO was $15,178.0 million. The Company expects to recognize revenue on approximately 66.9% of the RUPO through 2019 and 33.1% thereafter.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RUPO for each business segment as of September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2,442.5</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1,602.0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4,194.7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2,582.1</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352.5</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3,057.2</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7,096.2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5,024.6</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Impact on Primary Financial Statements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impact to revenues for the three and nine months ended September 30, 2018 was a decrease of $6.0 million and $ 16.9 million, respectively, as a result of applying ASC Topic 606. A difference between revenue recognized under ASC Topic 606 as compared to ASC Topic 605 exists for certain contracts in which physical progress was used as the measure of progress for which the cost-to-cost method best depicts the transfer of control to the customer.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three and nine months ended September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75"/>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Effect of ASC</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Under ASC</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Effect of ASC</w:t>
            </w:r>
          </w:p>
        </w:tc>
        <w:tc>
          <w:tcPr>
            <w:tcW w:w="12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Under ASC</w:t>
            </w:r>
          </w:p>
        </w:tc>
      </w:tr>
      <w:tr>
        <w:trPr>
          <w:trHeight w:val="196"/>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14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Topic 606</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Topic 605</w:t>
            </w:r>
          </w:p>
        </w:tc>
        <w:tc>
          <w:tcPr>
            <w:tcW w:w="14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Topic 606</w:t>
            </w:r>
          </w:p>
        </w:tc>
        <w:tc>
          <w:tcPr>
            <w:tcW w:w="12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Topic 605</w:t>
            </w:r>
          </w:p>
        </w:tc>
      </w:tr>
      <w:tr>
        <w:trPr>
          <w:trHeight w:val="27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2,487.9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2,493.3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7,159.2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7,178.2</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1,905.2</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Lease and other revenue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163.4</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3,143.8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3,149.8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9,229.9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9,246.8</w:t>
            </w:r>
          </w:p>
        </w:tc>
      </w:tr>
      <w:tr>
        <w:trPr>
          <w:trHeight w:val="270"/>
        </w:trPr>
        <w:tc>
          <w:tcPr>
            <w:tcW w:w="4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2,046.6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2,044.2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5,846.0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5,824.9</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1,560.3</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Cost of lease and other revenue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99.4</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835.1</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133.3</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14)</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Merger transaction and integration costs (Note 2)</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2,863.7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2,862.6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8,527.2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8,506.5</w:t>
            </w:r>
          </w:p>
        </w:tc>
      </w:tr>
      <w:tr>
        <w:trPr>
          <w:trHeight w:val="270"/>
        </w:trPr>
        <w:tc>
          <w:tcPr>
            <w:tcW w:w="4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Income from equity affiliates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70.6</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314.0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798.3</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Net interest expense</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(244.3)</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554.0</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 (Note 16)</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175.4</w:t>
            </w: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378.6</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loss attributable to noncontrolling interests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380.2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7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Consolidated Balance Sheets as of September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Effect of ASC</w:t>
            </w:r>
          </w:p>
        </w:tc>
        <w:tc>
          <w:tcPr>
            <w:tcW w:w="13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Under ASC Topic</w:t>
            </w:r>
          </w:p>
        </w:tc>
      </w:tr>
      <w:tr>
        <w:trPr>
          <w:trHeight w:val="196"/>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par value data)</w:t>
            </w:r>
          </w:p>
        </w:tc>
        <w:tc>
          <w:tcPr>
            <w:tcW w:w="200" w:type="dxa"/>
            <w:vAlign w:val="bottom"/>
          </w:tcPr>
          <w:p>
            <w:pPr>
              <w:spacing w:after="0"/>
              <w:rPr>
                <w:sz w:val="17"/>
                <w:szCs w:val="17"/>
                <w:color w:val="auto"/>
              </w:rPr>
            </w:pP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Topic 606</w:t>
            </w:r>
          </w:p>
        </w:tc>
        <w:tc>
          <w:tcPr>
            <w:tcW w:w="34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605</w:t>
            </w:r>
          </w:p>
        </w:tc>
      </w:tr>
      <w:tr>
        <w:trPr>
          <w:trHeight w:val="270"/>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5,553.3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5,553.3</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2,079.3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926.1</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Contract assets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1,286.9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519.5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1,806.4</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 net (Note 7)</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1,194.4</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Derivative financial instruments (Note 17)</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97.0</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receivable</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333.3</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Advances paid to suppliers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211.5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211.5</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 (Note 8)</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830.9</w:t>
            </w:r>
          </w:p>
        </w:tc>
      </w:tr>
      <w:tr>
        <w:trPr>
          <w:trHeight w:val="250"/>
        </w:trPr>
        <w:tc>
          <w:tcPr>
            <w:tcW w:w="708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11,563.2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(610.3)</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10,952.9</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equity affiliates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360.3</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Property, plant and equipment, net of accumulated depreciation</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3,670.5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3,670.5</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9,003.4</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Intangible assets, net of accumulated amortization</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1,223.1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1,223.1</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412.9</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Derivative financial instruments (Note 17)</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80.0</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332.7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333.5</w:t>
            </w:r>
          </w:p>
        </w:tc>
      </w:tr>
      <w:tr>
        <w:trPr>
          <w:trHeight w:val="277"/>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26,660.0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(623.4)</w:t>
            </w:r>
          </w:p>
        </w:tc>
        <w:tc>
          <w:tcPr>
            <w:tcW w:w="100" w:type="dxa"/>
            <w:vAlign w:val="bottom"/>
          </w:tcPr>
          <w:p>
            <w:pPr>
              <w:spacing w:after="0"/>
              <w:rPr>
                <w:sz w:val="24"/>
                <w:szCs w:val="24"/>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26,036.6</w:t>
            </w:r>
          </w:p>
        </w:tc>
      </w:tr>
      <w:tr>
        <w:trPr>
          <w:trHeight w:val="251"/>
        </w:trPr>
        <w:tc>
          <w:tcPr>
            <w:tcW w:w="70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Liabilities and equity</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 and current portion of long-term debt (Note 11)</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2,800.9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2,832.4</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3,711.9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2,954.6</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Accrued payroll</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375.5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375.5</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17)</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213.1</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 (Note 8)</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1,435.8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1,403.0</w:t>
            </w:r>
          </w:p>
        </w:tc>
      </w:tr>
      <w:tr>
        <w:trPr>
          <w:trHeight w:val="250"/>
        </w:trPr>
        <w:tc>
          <w:tcPr>
            <w:tcW w:w="708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8,702.8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7,949.1</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less current portion (Note 11)</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4,017.1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4,017.1</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230.1</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17)</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351.8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347.8</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413.0</w:t>
            </w:r>
          </w:p>
        </w:tc>
      </w:tr>
      <w:tr>
        <w:trPr>
          <w:trHeight w:val="25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13,796.0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(757.7)</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13,038.3</w:t>
            </w:r>
          </w:p>
        </w:tc>
      </w:tr>
      <w:tr>
        <w:trPr>
          <w:trHeight w:val="25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Commitments and contingent liabilities (Note 15)</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Mezzanine equity</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5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Redeemable noncontrolling interest</w:t>
            </w: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Stockholders’ equity (Note 12)</w:t>
            </w:r>
          </w:p>
        </w:tc>
        <w:tc>
          <w:tcPr>
            <w:tcW w:w="2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Ordinary shares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452.9</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Ordinary shares held in employee benefit trust</w:t>
            </w:r>
          </w:p>
        </w:tc>
        <w:tc>
          <w:tcPr>
            <w:tcW w:w="20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in excess of par value of ordinary shares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10,247.1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10,247.1</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3,421.1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3,555.1</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(1,313.9)</w:t>
            </w:r>
          </w:p>
        </w:tc>
      </w:tr>
      <w:tr>
        <w:trPr>
          <w:trHeight w:val="250"/>
        </w:trPr>
        <w:tc>
          <w:tcPr>
            <w:tcW w:w="7080" w:type="dxa"/>
            <w:vAlign w:val="bottom"/>
          </w:tcPr>
          <w:p>
            <w:pPr>
              <w:ind w:left="280"/>
              <w:spacing w:after="0"/>
              <w:rPr>
                <w:sz w:val="20"/>
                <w:szCs w:val="20"/>
                <w:color w:val="auto"/>
              </w:rPr>
            </w:pPr>
            <w:r>
              <w:rPr>
                <w:rFonts w:ascii="Arial" w:cs="Arial" w:eastAsia="Arial" w:hAnsi="Arial"/>
                <w:sz w:val="14"/>
                <w:szCs w:val="14"/>
                <w:color w:val="auto"/>
              </w:rPr>
              <w:t>Total TechnipFMC plc stockholders’ equity</w:t>
            </w: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12,804.8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12,938.8</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r>
      <w:tr>
        <w:trPr>
          <w:trHeight w:val="250"/>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12,824.3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12,958.6</w:t>
            </w: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26,660.0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26,036.6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149"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98" w:right="239" w:bottom="1149"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5. BUSINESS SEGMENTS</w:t>
      </w:r>
    </w:p>
    <w:p>
      <w:pPr>
        <w:spacing w:after="0" w:line="1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Upon completion of the Merger,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153" w:lineRule="exact"/>
        <w:rPr>
          <w:sz w:val="20"/>
          <w:szCs w:val="20"/>
          <w:color w:val="auto"/>
        </w:rPr>
      </w:pPr>
    </w:p>
    <w:p>
      <w:pPr>
        <w:ind w:left="340" w:right="360" w:hanging="332"/>
        <w:spacing w:after="0" w:line="28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manufactures and designs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220" w:hanging="332"/>
        <w:spacing w:after="0" w:line="282"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designs and builds onshore facilities related to the production, treatment, transformation and transportation of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designs, manufactures and installs fixed and floating platforms for the production and processing of oil and gas reserves.</w:t>
      </w:r>
    </w:p>
    <w:p>
      <w:pPr>
        <w:spacing w:after="0" w:line="107" w:lineRule="exact"/>
        <w:rPr>
          <w:rFonts w:ascii="Arial" w:cs="Arial" w:eastAsia="Arial" w:hAnsi="Arial"/>
          <w:sz w:val="18"/>
          <w:szCs w:val="18"/>
          <w:i w:val="1"/>
          <w:iCs w:val="1"/>
          <w:color w:val="auto"/>
        </w:rPr>
      </w:pPr>
    </w:p>
    <w:p>
      <w:pPr>
        <w:ind w:left="340" w:right="160" w:hanging="332"/>
        <w:spacing w:after="0" w:line="266"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designs and manufactures systems and provides services used by oil and gas companies involved in 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shallow water exploration and production of crude oil and natural gas; designs, manufactures and supplies technologically advanced high pressure valves and fittings for oilfield service companies; and also provides flowback and well testing services.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The following items have been excluded in computing segment operating profit: corporate staff expense, net interest income (expense) associated with corporate debt facilities, income taxes, and other revenue and other expense, net.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19"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24"/>
                <w:szCs w:val="24"/>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1,209.1</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1,478.2</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3,606.7</w:t>
            </w:r>
          </w:p>
        </w:tc>
        <w:tc>
          <w:tcPr>
            <w:tcW w:w="10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4,585.2</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1,532.5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4,448.3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5,885.0</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402.2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1,174.9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902.3</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3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r>
      <w:tr>
        <w:trPr>
          <w:trHeight w:val="24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3,143.8</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4,140.9</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9,229.9</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11,373.9</w:t>
            </w:r>
          </w:p>
        </w:tc>
      </w:tr>
      <w:tr>
        <w:trPr>
          <w:trHeight w:val="290"/>
        </w:trPr>
        <w:tc>
          <w:tcPr>
            <w:tcW w:w="5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393.1</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206.4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617.6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553.7</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r>
      <w:tr>
        <w:trPr>
          <w:trHeight w:val="24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Total segment operating profit</w:t>
            </w:r>
          </w:p>
        </w:tc>
        <w:tc>
          <w:tcPr>
            <w:tcW w:w="3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961.6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976.2</w:t>
            </w:r>
          </w:p>
        </w:tc>
      </w:tr>
      <w:tr>
        <w:trPr>
          <w:trHeight w:val="290"/>
        </w:trPr>
        <w:tc>
          <w:tcPr>
            <w:tcW w:w="5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r>
              <w:rPr>
                <w:rFonts w:ascii="Arial" w:cs="Arial" w:eastAsia="Arial" w:hAnsi="Arial"/>
                <w:sz w:val="17"/>
                <w:szCs w:val="17"/>
                <w:color w:val="auto"/>
                <w:vertAlign w:val="superscript"/>
              </w:rPr>
              <w:t>(a)</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w:t>
            </w:r>
          </w:p>
        </w:tc>
      </w:tr>
      <w:tr>
        <w:trPr>
          <w:trHeight w:val="25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(174.1)</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(445.2)</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(464.8)</w:t>
            </w: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r>
              <w:rPr>
                <w:rFonts w:ascii="Arial" w:cs="Arial" w:eastAsia="Arial" w:hAnsi="Arial"/>
                <w:sz w:val="17"/>
                <w:szCs w:val="17"/>
                <w:b w:val="1"/>
                <w:bCs w:val="1"/>
                <w:color w:val="auto"/>
                <w:vertAlign w:val="superscript"/>
              </w:rPr>
              <w:t>(b)</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516.4</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511.4</w:t>
            </w: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180" w:hanging="332"/>
        <w:spacing w:after="0" w:line="25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share-based compensation expenses, other employee benefits, certain foreign exchange gains and losses, and merger-related transaction expenses.</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ectPr>
          <w:pgSz w:w="11900" w:h="16838" w:orient="portrait"/>
          <w:cols w:equalWidth="0" w:num="1">
            <w:col w:w="11400"/>
          </w:cols>
          <w:pgMar w:left="240" w:top="598" w:right="25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Segment assets were as follows:</w:t>
      </w:r>
    </w:p>
    <w:p>
      <w:pPr>
        <w:spacing w:after="0" w:line="33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millions)</w:t>
      </w:r>
    </w:p>
    <w:p>
      <w:pPr>
        <w:spacing w:after="0" w:line="59"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Segment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September 30,</w:t>
      </w:r>
    </w:p>
    <w:p>
      <w:pPr>
        <w:spacing w:after="0" w:line="19" w:lineRule="exact"/>
        <w:rPr>
          <w:sz w:val="20"/>
          <w:szCs w:val="20"/>
          <w:color w:val="auto"/>
        </w:rPr>
      </w:pPr>
    </w:p>
    <w:p>
      <w:pPr>
        <w:jc w:val="both"/>
        <w:ind w:left="360"/>
        <w:spacing w:after="0"/>
        <w:tabs>
          <w:tab w:leader="none" w:pos="13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-5522595</wp:posOffset>
            </wp:positionH>
            <wp:positionV relativeFrom="paragraph">
              <wp:posOffset>14605</wp:posOffset>
            </wp:positionV>
            <wp:extent cx="721233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8040" w:space="720"/>
            <w:col w:w="2640"/>
          </w:cols>
          <w:pgMar w:left="240" w:top="598" w:right="259" w:bottom="1440" w:gutter="0" w:footer="0" w:header="0"/>
          <w:type w:val="continuous"/>
        </w:sectPr>
      </w:pPr>
    </w:p>
    <w:p>
      <w:pPr>
        <w:ind w:left="80"/>
        <w:spacing w:after="0"/>
        <w:rPr>
          <w:sz w:val="20"/>
          <w:szCs w:val="20"/>
          <w:color w:val="auto"/>
        </w:rPr>
      </w:pPr>
      <w:r>
        <w:rPr>
          <w:rFonts w:ascii="Arial" w:cs="Arial" w:eastAsia="Arial" w:hAnsi="Arial"/>
          <w:sz w:val="14"/>
          <w:szCs w:val="14"/>
          <w:color w:val="auto"/>
        </w:rPr>
        <w:t>Subsea</w:t>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4"/>
          <w:szCs w:val="14"/>
          <w:color w:val="auto"/>
        </w:rPr>
        <w:t>Onshore/Offshore</w:t>
      </w:r>
    </w:p>
    <w:p>
      <w:pPr>
        <w:spacing w:after="0" w:line="55" w:lineRule="exact"/>
        <w:rPr>
          <w:sz w:val="20"/>
          <w:szCs w:val="20"/>
          <w:color w:val="auto"/>
        </w:rPr>
      </w:pPr>
    </w:p>
    <w:p>
      <w:pPr>
        <w:ind w:left="80"/>
        <w:spacing w:after="0"/>
        <w:rPr>
          <w:sz w:val="20"/>
          <w:szCs w:val="20"/>
          <w:color w:val="auto"/>
        </w:rPr>
      </w:pPr>
      <w:r>
        <w:rPr>
          <w:rFonts w:ascii="Arial" w:cs="Arial" w:eastAsia="Arial" w:hAnsi="Arial"/>
          <w:sz w:val="14"/>
          <w:szCs w:val="14"/>
          <w:color w:val="auto"/>
        </w:rPr>
        <w:t>Surface Technologies</w:t>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Intercompany eliminations</w:t>
      </w:r>
    </w:p>
    <w:p>
      <w:pPr>
        <w:spacing w:after="0" w:line="91"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Total segment assets</w:t>
      </w:r>
    </w:p>
    <w:p>
      <w:pPr>
        <w:spacing w:after="0" w:line="1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7"/>
          <w:szCs w:val="17"/>
          <w:color w:val="auto"/>
          <w:vertAlign w:val="superscript"/>
        </w:rPr>
        <w:t>(a)</w:t>
      </w:r>
    </w:p>
    <w:p>
      <w:pPr>
        <w:spacing w:after="0" w:line="6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689" w:hanging="689"/>
        <w:spacing w:after="0"/>
        <w:tabs>
          <w:tab w:leader="none" w:pos="689" w:val="left"/>
        </w:tabs>
        <w:numPr>
          <w:ilvl w:val="0"/>
          <w:numId w:val="12"/>
        </w:numPr>
        <w:rPr>
          <w:rFonts w:ascii="Arial" w:cs="Arial" w:eastAsia="Arial" w:hAnsi="Arial"/>
          <w:sz w:val="14"/>
          <w:szCs w:val="14"/>
          <w:color w:val="auto"/>
        </w:rPr>
      </w:pPr>
      <w:r>
        <w:rPr>
          <w:rFonts w:ascii="Arial" w:cs="Arial" w:eastAsia="Arial" w:hAnsi="Arial"/>
          <w:sz w:val="14"/>
          <w:szCs w:val="14"/>
          <w:color w:val="auto"/>
        </w:rPr>
        <w:t>12,980.7</w:t>
      </w:r>
    </w:p>
    <w:p>
      <w:pPr>
        <w:spacing w:after="0" w:line="109" w:lineRule="exact"/>
        <w:rPr>
          <w:rFonts w:ascii="Arial" w:cs="Arial" w:eastAsia="Arial" w:hAnsi="Arial"/>
          <w:sz w:val="14"/>
          <w:szCs w:val="14"/>
          <w:color w:val="auto"/>
        </w:rPr>
      </w:pPr>
    </w:p>
    <w:p>
      <w:pPr>
        <w:ind w:left="769"/>
        <w:spacing w:after="0"/>
        <w:rPr>
          <w:rFonts w:ascii="Arial" w:cs="Arial" w:eastAsia="Arial" w:hAnsi="Arial"/>
          <w:sz w:val="14"/>
          <w:szCs w:val="14"/>
          <w:color w:val="auto"/>
        </w:rPr>
      </w:pPr>
      <w:r>
        <w:rPr>
          <w:rFonts w:ascii="Arial" w:cs="Arial" w:eastAsia="Arial" w:hAnsi="Arial"/>
          <w:sz w:val="14"/>
          <w:szCs w:val="14"/>
          <w:color w:val="auto"/>
        </w:rPr>
        <w:t>3,878.6</w:t>
      </w:r>
    </w:p>
    <w:p>
      <w:pPr>
        <w:spacing w:after="0" w:line="109" w:lineRule="exact"/>
        <w:rPr>
          <w:rFonts w:ascii="Arial" w:cs="Arial" w:eastAsia="Arial" w:hAnsi="Arial"/>
          <w:sz w:val="14"/>
          <w:szCs w:val="14"/>
          <w:color w:val="auto"/>
        </w:rPr>
      </w:pPr>
    </w:p>
    <w:p>
      <w:pPr>
        <w:ind w:left="769"/>
        <w:spacing w:after="0"/>
        <w:rPr>
          <w:rFonts w:ascii="Arial" w:cs="Arial" w:eastAsia="Arial" w:hAnsi="Arial"/>
          <w:sz w:val="14"/>
          <w:szCs w:val="14"/>
          <w:color w:val="auto"/>
        </w:rPr>
      </w:pPr>
      <w:r>
        <w:rPr>
          <w:rFonts w:ascii="Arial" w:cs="Arial" w:eastAsia="Arial" w:hAnsi="Arial"/>
          <w:sz w:val="14"/>
          <w:szCs w:val="14"/>
          <w:color w:val="auto"/>
        </w:rPr>
        <w:t>2,725.7</w:t>
      </w:r>
    </w:p>
    <w:p>
      <w:pPr>
        <w:spacing w:after="0" w:line="109" w:lineRule="exact"/>
        <w:rPr>
          <w:rFonts w:ascii="Arial" w:cs="Arial" w:eastAsia="Arial" w:hAnsi="Arial"/>
          <w:sz w:val="14"/>
          <w:szCs w:val="14"/>
          <w:color w:val="auto"/>
        </w:rPr>
      </w:pPr>
    </w:p>
    <w:p>
      <w:pPr>
        <w:ind w:left="909"/>
        <w:spacing w:after="0"/>
        <w:rPr>
          <w:rFonts w:ascii="Arial" w:cs="Arial" w:eastAsia="Arial" w:hAnsi="Arial"/>
          <w:sz w:val="14"/>
          <w:szCs w:val="14"/>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-5427980</wp:posOffset>
            </wp:positionH>
            <wp:positionV relativeFrom="paragraph">
              <wp:posOffset>-499110</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-5427980</wp:posOffset>
            </wp:positionH>
            <wp:positionV relativeFrom="paragraph">
              <wp:posOffset>-156210</wp:posOffset>
            </wp:positionV>
            <wp:extent cx="72123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19,574.0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-5427980</wp:posOffset>
            </wp:positionH>
            <wp:positionV relativeFrom="paragraph">
              <wp:posOffset>14605</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7,086.0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75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76" w:lineRule="exact"/>
        <w:rPr>
          <w:sz w:val="20"/>
          <w:szCs w:val="20"/>
          <w:color w:val="auto"/>
        </w:rPr>
      </w:pPr>
    </w:p>
    <w:p>
      <w:pPr>
        <w:ind w:left="689" w:hanging="689"/>
        <w:spacing w:after="0"/>
        <w:tabs>
          <w:tab w:leader="none" w:pos="689" w:val="left"/>
        </w:tabs>
        <w:numPr>
          <w:ilvl w:val="0"/>
          <w:numId w:val="13"/>
        </w:numPr>
        <w:rPr>
          <w:rFonts w:ascii="Arial" w:cs="Arial" w:eastAsia="Arial" w:hAnsi="Arial"/>
          <w:sz w:val="14"/>
          <w:szCs w:val="14"/>
          <w:color w:val="auto"/>
        </w:rPr>
      </w:pPr>
      <w:r>
        <w:rPr>
          <w:rFonts w:ascii="Arial" w:cs="Arial" w:eastAsia="Arial" w:hAnsi="Arial"/>
          <w:sz w:val="14"/>
          <w:szCs w:val="14"/>
          <w:color w:val="auto"/>
        </w:rPr>
        <w:t>26,660.0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75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875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664" w:hanging="664"/>
        <w:spacing w:after="0"/>
        <w:tabs>
          <w:tab w:leader="none" w:pos="664" w:val="left"/>
        </w:tabs>
        <w:numPr>
          <w:ilvl w:val="0"/>
          <w:numId w:val="14"/>
        </w:numPr>
        <w:rPr>
          <w:rFonts w:ascii="Arial" w:cs="Arial" w:eastAsia="Arial" w:hAnsi="Arial"/>
          <w:sz w:val="14"/>
          <w:szCs w:val="14"/>
          <w:color w:val="auto"/>
        </w:rPr>
      </w:pPr>
      <w:r>
        <w:rPr>
          <w:rFonts w:ascii="Arial" w:cs="Arial" w:eastAsia="Arial" w:hAnsi="Arial"/>
          <w:sz w:val="14"/>
          <w:szCs w:val="14"/>
          <w:color w:val="auto"/>
        </w:rPr>
        <w:t>12,944.4</w:t>
      </w:r>
    </w:p>
    <w:p>
      <w:pPr>
        <w:spacing w:after="0" w:line="109" w:lineRule="exact"/>
        <w:rPr>
          <w:rFonts w:ascii="Arial" w:cs="Arial" w:eastAsia="Arial" w:hAnsi="Arial"/>
          <w:sz w:val="14"/>
          <w:szCs w:val="14"/>
          <w:color w:val="auto"/>
        </w:rPr>
      </w:pPr>
    </w:p>
    <w:p>
      <w:pPr>
        <w:ind w:left="744"/>
        <w:spacing w:after="0"/>
        <w:rPr>
          <w:rFonts w:ascii="Arial" w:cs="Arial" w:eastAsia="Arial" w:hAnsi="Arial"/>
          <w:sz w:val="14"/>
          <w:szCs w:val="14"/>
          <w:color w:val="auto"/>
        </w:rPr>
      </w:pPr>
      <w:r>
        <w:rPr>
          <w:rFonts w:ascii="Arial" w:cs="Arial" w:eastAsia="Arial" w:hAnsi="Arial"/>
          <w:sz w:val="14"/>
          <w:szCs w:val="14"/>
          <w:color w:val="auto"/>
        </w:rPr>
        <w:t>4,604.8</w:t>
      </w:r>
    </w:p>
    <w:p>
      <w:pPr>
        <w:spacing w:after="0" w:line="109" w:lineRule="exact"/>
        <w:rPr>
          <w:rFonts w:ascii="Arial" w:cs="Arial" w:eastAsia="Arial" w:hAnsi="Arial"/>
          <w:sz w:val="14"/>
          <w:szCs w:val="14"/>
          <w:color w:val="auto"/>
        </w:rPr>
      </w:pPr>
    </w:p>
    <w:p>
      <w:pPr>
        <w:ind w:left="744"/>
        <w:spacing w:after="0"/>
        <w:rPr>
          <w:rFonts w:ascii="Arial" w:cs="Arial" w:eastAsia="Arial" w:hAnsi="Arial"/>
          <w:sz w:val="14"/>
          <w:szCs w:val="14"/>
          <w:color w:val="auto"/>
        </w:rPr>
      </w:pPr>
      <w:r>
        <w:rPr>
          <w:rFonts w:ascii="Arial" w:cs="Arial" w:eastAsia="Arial" w:hAnsi="Arial"/>
          <w:sz w:val="14"/>
          <w:szCs w:val="14"/>
          <w:color w:val="auto"/>
        </w:rPr>
        <w:t>2,453.3</w:t>
      </w:r>
    </w:p>
    <w:p>
      <w:pPr>
        <w:spacing w:after="0" w:line="109" w:lineRule="exact"/>
        <w:rPr>
          <w:rFonts w:ascii="Arial" w:cs="Arial" w:eastAsia="Arial" w:hAnsi="Arial"/>
          <w:sz w:val="14"/>
          <w:szCs w:val="14"/>
          <w:color w:val="auto"/>
        </w:rPr>
      </w:pPr>
    </w:p>
    <w:p>
      <w:pPr>
        <w:ind w:left="884"/>
        <w:spacing w:after="0"/>
        <w:rPr>
          <w:rFonts w:ascii="Arial" w:cs="Arial" w:eastAsia="Arial" w:hAnsi="Arial"/>
          <w:sz w:val="14"/>
          <w:szCs w:val="14"/>
          <w:color w:val="auto"/>
        </w:rPr>
      </w:pPr>
      <w:r>
        <w:rPr>
          <w:rFonts w:ascii="Arial" w:cs="Arial" w:eastAsia="Arial" w:hAnsi="Arial"/>
          <w:sz w:val="14"/>
          <w:szCs w:val="14"/>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57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89"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19,978.2</w:t>
      </w:r>
    </w:p>
    <w:p>
      <w:pPr>
        <w:spacing w:after="0" w:line="109"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8,285.5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57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6" w:lineRule="exact"/>
        <w:rPr>
          <w:sz w:val="20"/>
          <w:szCs w:val="20"/>
          <w:color w:val="auto"/>
        </w:rPr>
      </w:pPr>
    </w:p>
    <w:p>
      <w:pPr>
        <w:ind w:left="664" w:hanging="664"/>
        <w:spacing w:after="0"/>
        <w:tabs>
          <w:tab w:leader="none" w:pos="664" w:val="left"/>
        </w:tabs>
        <w:numPr>
          <w:ilvl w:val="0"/>
          <w:numId w:val="15"/>
        </w:numPr>
        <w:rPr>
          <w:rFonts w:ascii="Arial" w:cs="Arial" w:eastAsia="Arial" w:hAnsi="Arial"/>
          <w:sz w:val="14"/>
          <w:szCs w:val="14"/>
          <w:color w:val="auto"/>
        </w:rPr>
      </w:pPr>
      <w:r>
        <w:rPr>
          <w:rFonts w:ascii="Arial" w:cs="Arial" w:eastAsia="Arial" w:hAnsi="Arial"/>
          <w:sz w:val="14"/>
          <w:szCs w:val="14"/>
          <w:color w:val="auto"/>
        </w:rPr>
        <w:t>28,263.7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57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88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8578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891" w:space="720"/>
            <w:col w:w="1289" w:space="196"/>
            <w:col w:w="1304"/>
          </w:cols>
          <w:pgMar w:left="240" w:top="598" w:right="259" w:bottom="1440" w:gutter="0" w:footer="0" w:header="0"/>
          <w:type w:val="continuous"/>
        </w:sectPr>
      </w:pPr>
    </w:p>
    <w:p>
      <w:pPr>
        <w:spacing w:after="0" w:line="31" w:lineRule="exact"/>
        <w:rPr>
          <w:sz w:val="20"/>
          <w:szCs w:val="20"/>
          <w:color w:val="auto"/>
        </w:rPr>
      </w:pPr>
    </w:p>
    <w:p>
      <w:pPr>
        <w:ind w:left="340" w:right="60" w:hanging="332"/>
        <w:spacing w:after="0" w:line="25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Corporate includes cash, LIFO adjustments, deferred income tax balances, property, plant and equipment not associated with a specific segment, pension assets and the fair value of derivative financial instruments.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98" w:right="2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6.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TechnipFMC plc</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337.7</w:t>
            </w:r>
          </w:p>
        </w:tc>
        <w:tc>
          <w:tcPr>
            <w:tcW w:w="6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267.2</w:t>
            </w:r>
          </w:p>
        </w:tc>
        <w:tc>
          <w:tcPr>
            <w:tcW w:w="0" w:type="dxa"/>
            <w:vAlign w:val="bottom"/>
          </w:tcPr>
          <w:p>
            <w:pPr>
              <w:spacing w:after="0"/>
              <w:rPr>
                <w:sz w:val="1"/>
                <w:szCs w:val="1"/>
                <w:color w:val="auto"/>
              </w:rPr>
            </w:pPr>
          </w:p>
        </w:tc>
      </w:tr>
      <w:tr>
        <w:trPr>
          <w:trHeight w:val="284"/>
        </w:trPr>
        <w:tc>
          <w:tcPr>
            <w:tcW w:w="5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shares outstanding</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454.5</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466.8</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Dilutive effect of restricted stock units</w:t>
            </w:r>
          </w:p>
        </w:tc>
        <w:tc>
          <w:tcPr>
            <w:tcW w:w="8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stock options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Dilutive effect of performance shares</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shares and dilutive securities</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459.0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469.7</w:t>
            </w:r>
          </w:p>
        </w:tc>
        <w:tc>
          <w:tcPr>
            <w:tcW w:w="12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464.0</w:t>
            </w:r>
          </w:p>
        </w:tc>
        <w:tc>
          <w:tcPr>
            <w:tcW w:w="100" w:type="dxa"/>
            <w:vAlign w:val="bottom"/>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per share attributable to TechnipFMC plc</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per share attributable to TechnipFMC plc</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18"/>
                <w:szCs w:val="18"/>
                <w:color w:val="auto"/>
              </w:rPr>
            </w:pP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0.73</w:t>
            </w:r>
          </w:p>
        </w:tc>
        <w:tc>
          <w:tcPr>
            <w:tcW w:w="6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271.4</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130.2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671.2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585.4</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Inventories,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1,171.0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987.0</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right="5460"/>
        <w:spacing w:after="0" w:line="475" w:lineRule="auto"/>
        <w:rPr>
          <w:sz w:val="20"/>
          <w:szCs w:val="20"/>
          <w:color w:val="auto"/>
        </w:rPr>
      </w:pPr>
      <w:r>
        <w:rPr>
          <w:rFonts w:ascii="Arial" w:cs="Arial" w:eastAsia="Arial" w:hAnsi="Arial"/>
          <w:sz w:val="18"/>
          <w:szCs w:val="18"/>
          <w:b w:val="1"/>
          <w:bCs w:val="1"/>
          <w:color w:val="auto"/>
        </w:rPr>
        <w:t xml:space="preserve">NOTE 8. OTHER CURRENT ASSETS &amp; OTHER CURRENT LIABILITIES </w:t>
      </w:r>
      <w:r>
        <w:rPr>
          <w:rFonts w:ascii="Arial" w:cs="Arial" w:eastAsia="Arial" w:hAnsi="Arial"/>
          <w:sz w:val="18"/>
          <w:szCs w:val="18"/>
          <w:color w:val="auto"/>
        </w:rPr>
        <w:t>Other current assets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532.5</w:t>
            </w:r>
          </w:p>
        </w:tc>
      </w:tr>
      <w:tr>
        <w:trPr>
          <w:trHeight w:val="264"/>
        </w:trPr>
        <w:tc>
          <w:tcPr>
            <w:tcW w:w="8560" w:type="dxa"/>
            <w:vAlign w:val="bottom"/>
          </w:tcPr>
          <w:p>
            <w:pPr>
              <w:ind w:left="40"/>
              <w:spacing w:after="0"/>
              <w:rPr>
                <w:sz w:val="20"/>
                <w:szCs w:val="20"/>
                <w:color w:val="auto"/>
              </w:rPr>
            </w:pPr>
            <w:r>
              <w:rPr>
                <w:rFonts w:ascii="Arial" w:cs="Arial" w:eastAsia="Arial" w:hAnsi="Arial"/>
                <w:sz w:val="14"/>
                <w:szCs w:val="14"/>
                <w:color w:val="auto"/>
              </w:rPr>
              <w:t>Prepaid expenses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136.2</w:t>
            </w: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taxes receivables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155.8</w:t>
            </w:r>
          </w:p>
        </w:tc>
      </w:tr>
      <w:tr>
        <w:trPr>
          <w:trHeight w:val="264"/>
        </w:trPr>
        <w:tc>
          <w:tcPr>
            <w:tcW w:w="8560" w:type="dxa"/>
            <w:vAlign w:val="bottom"/>
          </w:tcPr>
          <w:p>
            <w:pPr>
              <w:ind w:left="40"/>
              <w:spacing w:after="0"/>
              <w:rPr>
                <w:sz w:val="20"/>
                <w:szCs w:val="20"/>
                <w:color w:val="auto"/>
              </w:rPr>
            </w:pPr>
            <w:r>
              <w:rPr>
                <w:rFonts w:ascii="Arial" w:cs="Arial" w:eastAsia="Arial" w:hAnsi="Arial"/>
                <w:sz w:val="14"/>
                <w:szCs w:val="14"/>
                <w:color w:val="auto"/>
              </w:rPr>
              <w:t>Held-to-maturity investments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60.0</w:t>
            </w: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50.2</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271.5</w:t>
            </w:r>
          </w:p>
        </w:tc>
      </w:tr>
      <w:tr>
        <w:trPr>
          <w:trHeight w:val="243"/>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1,206.2</w:t>
            </w:r>
          </w:p>
        </w:tc>
      </w:tr>
      <w:tr>
        <w:trPr>
          <w:trHeight w:val="20"/>
        </w:trPr>
        <w:tc>
          <w:tcPr>
            <w:tcW w:w="8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1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Warranty accruals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321.3</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Contingencies related to completed contracts</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214.9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Social security liability</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145.0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financial liability</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Other taxes payable</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204.4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accrual</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Liabilities held for sale</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accrued liabilities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214.0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362.1</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1,687.9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METHOD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income (loss) from equity affiliates included in each of our reporting segments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90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equity affiliates</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39.4</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9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98.4</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Trade payables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trade receivables/(payables)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4"/>
        </w:trPr>
        <w:tc>
          <w:tcPr>
            <w:tcW w:w="8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Trade receivables consisted of receivables due from following related parties: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TP JGC Coral France SNC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Technip Odebrecht PLSV CV</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Anadarko Petroleum Company</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Others</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trade receivables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98.4</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TP JGC Coral France SNC and Technip Odebrecht PLSV CV are equity method affiliates. A member of our Board of Directors serves on the Board of Directors of Anadarko Petroleum Company.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following related parties:</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2017</w:t>
            </w:r>
          </w:p>
        </w:tc>
      </w:tr>
      <w:tr>
        <w:trPr>
          <w:trHeight w:val="236"/>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Dofcon Navegacao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r>
      <w:tr>
        <w:trPr>
          <w:trHeight w:val="264"/>
        </w:trPr>
        <w:tc>
          <w:tcPr>
            <w:tcW w:w="8540" w:type="dxa"/>
            <w:vAlign w:val="bottom"/>
          </w:tcPr>
          <w:p>
            <w:pPr>
              <w:ind w:left="20"/>
              <w:spacing w:after="0"/>
              <w:rPr>
                <w:sz w:val="20"/>
                <w:szCs w:val="20"/>
                <w:color w:val="auto"/>
              </w:rPr>
            </w:pPr>
            <w:r>
              <w:rPr>
                <w:rFonts w:ascii="Arial" w:cs="Arial" w:eastAsia="Arial" w:hAnsi="Arial"/>
                <w:sz w:val="14"/>
                <w:szCs w:val="14"/>
                <w:color w:val="auto"/>
              </w:rPr>
              <w:t>Chiyoda</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48.3</w:t>
            </w:r>
          </w:p>
        </w:tc>
      </w:tr>
      <w:tr>
        <w:trPr>
          <w:trHeight w:val="256"/>
        </w:trPr>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JGC Corporation</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52.4</w:t>
            </w:r>
          </w:p>
        </w:tc>
      </w:tr>
      <w:tr>
        <w:trPr>
          <w:trHeight w:val="264"/>
        </w:trPr>
        <w:tc>
          <w:tcPr>
            <w:tcW w:w="8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r>
      <w:tr>
        <w:trPr>
          <w:trHeight w:val="243"/>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trade payables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121.8</w:t>
            </w:r>
          </w:p>
        </w:tc>
      </w:tr>
      <w:tr>
        <w:trPr>
          <w:trHeight w:val="20"/>
        </w:trPr>
        <w:tc>
          <w:tcPr>
            <w:tcW w:w="8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Dofcon Navegacao is an equity affiliate. JGC Corporation and Chiyoda are joint venture partners on our Yamal project.</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note receivables balance includes $118.4 million and $114.9 million with Dofcon Brasil AS at September 30, 2018 and December 31, 2017, respectively. Dofcon Brasil AS is a VIE and accounted for as an equity method affiliate. These are included in other noncurrent assets on our consolidated balance sheets.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2017</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225.6</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102.6</w:t>
            </w:r>
          </w:p>
        </w:tc>
      </w:tr>
      <w:tr>
        <w:trPr>
          <w:trHeight w:val="258"/>
        </w:trPr>
        <w:tc>
          <w:tcPr>
            <w:tcW w:w="6060" w:type="dxa"/>
            <w:vAlign w:val="bottom"/>
          </w:tcPr>
          <w:p>
            <w:pPr>
              <w:ind w:left="40"/>
              <w:spacing w:after="0"/>
              <w:rPr>
                <w:sz w:val="20"/>
                <w:szCs w:val="20"/>
                <w:color w:val="auto"/>
              </w:rPr>
            </w:pPr>
            <w:r>
              <w:rPr>
                <w:rFonts w:ascii="Arial" w:cs="Arial" w:eastAsia="Arial" w:hAnsi="Arial"/>
                <w:sz w:val="14"/>
                <w:szCs w:val="14"/>
                <w:color w:val="auto"/>
              </w:rPr>
              <w:t>Expenses</w:t>
            </w:r>
          </w:p>
        </w:tc>
        <w:tc>
          <w:tcPr>
            <w:tcW w:w="82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84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97.2</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Revenue consisted of amount from following related parties: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2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24"/>
                <w:szCs w:val="24"/>
                <w:color w:val="auto"/>
              </w:rPr>
            </w:pPr>
          </w:p>
        </w:tc>
      </w:tr>
      <w:tr>
        <w:trPr>
          <w:trHeight w:val="264"/>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6"/>
              </w:rPr>
              <w:t>2017</w:t>
            </w:r>
          </w:p>
        </w:tc>
      </w:tr>
      <w:tr>
        <w:trPr>
          <w:trHeight w:val="23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Anadarko Petroleum Company</w:t>
            </w:r>
          </w:p>
        </w:tc>
        <w:tc>
          <w:tcPr>
            <w:tcW w:w="8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109.1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49.3</w:t>
            </w:r>
          </w:p>
        </w:tc>
      </w:tr>
      <w:tr>
        <w:trPr>
          <w:trHeight w:val="264"/>
        </w:trPr>
        <w:tc>
          <w:tcPr>
            <w:tcW w:w="6040" w:type="dxa"/>
            <w:vAlign w:val="bottom"/>
          </w:tcPr>
          <w:p>
            <w:pPr>
              <w:ind w:left="20"/>
              <w:spacing w:after="0"/>
              <w:rPr>
                <w:sz w:val="20"/>
                <w:szCs w:val="20"/>
                <w:color w:val="auto"/>
              </w:rPr>
            </w:pPr>
            <w:r>
              <w:rPr>
                <w:rFonts w:ascii="Arial" w:cs="Arial" w:eastAsia="Arial" w:hAnsi="Arial"/>
                <w:sz w:val="14"/>
                <w:szCs w:val="14"/>
                <w:color w:val="auto"/>
              </w:rPr>
              <w:t>TP JGC Coral France SNC</w:t>
            </w:r>
          </w:p>
        </w:tc>
        <w:tc>
          <w:tcPr>
            <w:tcW w:w="80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6"/>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Others</w:t>
            </w:r>
          </w:p>
        </w:tc>
        <w:tc>
          <w:tcPr>
            <w:tcW w:w="8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r>
      <w:tr>
        <w:trPr>
          <w:trHeight w:val="237"/>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8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225.6</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102.6</w:t>
            </w:r>
          </w:p>
        </w:tc>
      </w:tr>
      <w:tr>
        <w:trPr>
          <w:trHeight w:val="20"/>
        </w:trPr>
        <w:tc>
          <w:tcPr>
            <w:tcW w:w="6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Expenses consisted of amount to following related parties: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22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6"/>
                <w:szCs w:val="16"/>
                <w:color w:val="auto"/>
              </w:rPr>
            </w:pPr>
          </w:p>
        </w:tc>
      </w:tr>
      <w:tr>
        <w:trPr>
          <w:trHeight w:val="276"/>
        </w:trPr>
        <w:tc>
          <w:tcPr>
            <w:tcW w:w="60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24"/>
                <w:szCs w:val="24"/>
                <w:color w:val="auto"/>
              </w:rPr>
            </w:pPr>
          </w:p>
        </w:tc>
      </w:tr>
      <w:tr>
        <w:trPr>
          <w:trHeight w:val="264"/>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5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Chiyoda</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r>
      <w:tr>
        <w:trPr>
          <w:trHeight w:val="264"/>
        </w:trPr>
        <w:tc>
          <w:tcPr>
            <w:tcW w:w="6040" w:type="dxa"/>
            <w:vAlign w:val="bottom"/>
          </w:tcPr>
          <w:p>
            <w:pPr>
              <w:ind w:left="20"/>
              <w:spacing w:after="0"/>
              <w:rPr>
                <w:sz w:val="20"/>
                <w:szCs w:val="20"/>
                <w:color w:val="auto"/>
              </w:rPr>
            </w:pPr>
            <w:r>
              <w:rPr>
                <w:rFonts w:ascii="Arial" w:cs="Arial" w:eastAsia="Arial" w:hAnsi="Arial"/>
                <w:sz w:val="14"/>
                <w:szCs w:val="14"/>
                <w:color w:val="auto"/>
              </w:rPr>
              <w:t>JGC Corporation</w:t>
            </w:r>
          </w:p>
        </w:tc>
        <w:tc>
          <w:tcPr>
            <w:tcW w:w="800" w:type="dxa"/>
            <w:vAlign w:val="bottom"/>
          </w:tcPr>
          <w:p>
            <w:pPr>
              <w:spacing w:after="0"/>
              <w:rPr>
                <w:sz w:val="22"/>
                <w:szCs w:val="2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30.3</w:t>
            </w:r>
          </w:p>
        </w:tc>
      </w:tr>
      <w:tr>
        <w:trPr>
          <w:trHeight w:val="27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80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r>
      <w:tr>
        <w:trPr>
          <w:trHeight w:val="237"/>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Total expenses</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97.2</w:t>
            </w:r>
          </w:p>
        </w:tc>
      </w:tr>
      <w:tr>
        <w:trPr>
          <w:trHeight w:val="20"/>
        </w:trPr>
        <w:tc>
          <w:tcPr>
            <w:tcW w:w="6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1,450.4</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502.0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502.4</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812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812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155.9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812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812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119.9</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8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28.2</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issuing fees</w:t>
            </w: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44"/>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long-term debt</w:t>
            </w:r>
          </w:p>
        </w:tc>
        <w:tc>
          <w:tcPr>
            <w:tcW w:w="1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3,855.0</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4,017.1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3,777.9</w:t>
            </w:r>
          </w:p>
        </w:tc>
      </w:tr>
      <w:tr>
        <w:trPr>
          <w:trHeight w:val="20"/>
        </w:trPr>
        <w:tc>
          <w:tcPr>
            <w:tcW w:w="4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Revolving credit facility - </w:t>
      </w:r>
      <w:r>
        <w:rPr>
          <w:rFonts w:ascii="Arial" w:cs="Arial" w:eastAsia="Arial" w:hAnsi="Arial"/>
          <w:sz w:val="18"/>
          <w:szCs w:val="18"/>
          <w:color w:val="auto"/>
        </w:rPr>
        <w:t>On January 17, 2017, we acceded to a new $2.5 billion senior unsecured revolving credit facility agreement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among FMC Technologies, Inc. and Technip Eurocash SNC (the “Borrowers”) with JPMorgan Chase Bank, National Association (“JPMorgan”), as agent and an arranger, SG Americas Securities LLC as an arranger, and the lenders party thereto.</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400" w:hanging="332"/>
        <w:spacing w:after="0" w:line="26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98" w:right="239" w:bottom="1440" w:gutter="0" w:footer="0" w:header="0"/>
          <w:type w:val="continuous"/>
        </w:sectPr>
      </w:pPr>
    </w:p>
    <w:bookmarkStart w:id="34" w:name="page35"/>
    <w:bookmarkEnd w:id="34"/>
    <w:p>
      <w:pPr>
        <w:ind w:right="60"/>
        <w:spacing w:after="0" w:line="254"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 requiring that our total capitalization ratio not exceed 60% at the end of any financial quarter. The facility agreement also contains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were in compliance with all restrictive covenants under our revolving credit facility.</w:t>
      </w:r>
    </w:p>
    <w:p>
      <w:pPr>
        <w:spacing w:after="0" w:line="15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i w:val="1"/>
          <w:iCs w:val="1"/>
          <w:color w:val="auto"/>
        </w:rPr>
        <w:t xml:space="preserve">Bilateral credit facilities - </w:t>
      </w:r>
      <w:r>
        <w:rPr>
          <w:rFonts w:ascii="Arial" w:cs="Arial" w:eastAsia="Arial" w:hAnsi="Arial"/>
          <w:sz w:val="18"/>
          <w:szCs w:val="18"/>
          <w:color w:val="auto"/>
        </w:rPr>
        <w:t>We have access to four bilateral credit facilities in the aggregate of €320.0 million. The bilateral credit facilities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12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credit facility of €60.0 million expiring in June 2019;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Each bilateral credit facility contains usual and customary covenants, representations and warranties and events of default for credit facilities of this type.</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facility agreement. As we have both the ability and intent to refinance these obligations on a long-term basis, our commercial paper borrowings were classified as long-term debt in the consolidated balance sheets as of September 30, 2018 and December 31, 2017. Commercial paper borrowings are issued at market interest rates. As of September 30, 2018, our commercial paper borrowings had a weighted average interest rate of 2.50% on the U.S. dollar denominated borrowings and (0.28)% on the Euro denominated borrowings.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Cash dividends declared per share during the three and nine months ended September 30, 2018 were $0.13 and $0.39. There were no cash dividends declared during the three and nine months ended September 30, 2017.</w:t>
      </w:r>
    </w:p>
    <w:p>
      <w:pPr>
        <w:spacing w:after="0" w:line="1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Cash dividends paid during the nine months ended September 30, 2018 for dividends declared on February 20, 2018, April 24, 2018 and July 24, 2018 were $179.2 million. There were no cash dividends paid during the nine months ended September 30, 2017.</w:t>
      </w:r>
    </w:p>
    <w:p>
      <w:pPr>
        <w:spacing w:after="0" w:line="13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U.S. GAAP reported amount (e.g., retained earnings). As of September 30, 2018, we had distributable reserves in excess of $9.5 billion.</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April 2017, the Board of Directors authorized the repurchase of up to $ 500.0 million in ordinary shares under our share repurchase program. We implemented our share repurchase program in September 2017, and we repurchased 12.3 million of ordinary shares for a total consideration of $384.2 million during the nine months ended September 30, 2018 under this program. We intend to cancel repurchased shares and not hold them in treasury. Canceled treasury shares are accounted for using the constructive retirement method.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98"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Accumulated other comprehensive loss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Defined Pension</w:t>
            </w:r>
          </w:p>
        </w:tc>
        <w:tc>
          <w:tcPr>
            <w:tcW w:w="18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1"/>
                <w:szCs w:val="11"/>
                <w:color w:val="auto"/>
              </w:rPr>
            </w:pPr>
          </w:p>
        </w:tc>
        <w:tc>
          <w:tcPr>
            <w:tcW w:w="14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and Other</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Loss attributable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Post-Retirement</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r>
      <w:tr>
        <w:trPr>
          <w:trHeight w:val="178"/>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(1,014.6)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(1,003.7)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r>
      <w:tr>
        <w:trPr>
          <w:trHeight w:val="156"/>
        </w:trPr>
        <w:tc>
          <w:tcPr>
            <w:tcW w:w="4000" w:type="dxa"/>
            <w:vAlign w:val="bottom"/>
          </w:tcPr>
          <w:p>
            <w:pPr>
              <w:ind w:left="180"/>
              <w:spacing w:after="0"/>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0"/>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(241.8)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(21.0)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17"/>
              <w:spacing w:after="0"/>
              <w:rPr>
                <w:sz w:val="20"/>
                <w:szCs w:val="20"/>
                <w:color w:val="auto"/>
              </w:rPr>
            </w:pPr>
            <w:r>
              <w:rPr>
                <w:rFonts w:ascii="Arial" w:cs="Arial" w:eastAsia="Arial" w:hAnsi="Arial"/>
                <w:sz w:val="13"/>
                <w:szCs w:val="13"/>
                <w:color w:val="auto"/>
              </w:rPr>
              <w:t>(262.5)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0.8</w:t>
            </w:r>
          </w:p>
        </w:tc>
      </w:tr>
      <w:tr>
        <w:trPr>
          <w:trHeight w:val="164"/>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adjustment for net losses (gains) included in net</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2"/>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net of tax</w:t>
            </w: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(7.2)</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(282.9)</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(28.2)</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(310.2)</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0.8</w:t>
            </w: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September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(1,297.5)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(1,313.9)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32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Details about Accumulated Other Comprehensive</w:t>
            </w:r>
          </w:p>
        </w:tc>
        <w:tc>
          <w:tcPr>
            <w:tcW w:w="300" w:type="dxa"/>
            <w:vAlign w:val="bottom"/>
          </w:tcPr>
          <w:p>
            <w:pPr>
              <w:spacing w:after="0"/>
              <w:rPr>
                <w:sz w:val="11"/>
                <w:szCs w:val="11"/>
                <w:color w:val="auto"/>
              </w:rPr>
            </w:pPr>
          </w:p>
        </w:tc>
        <w:tc>
          <w:tcPr>
            <w:tcW w:w="4280" w:type="dxa"/>
            <w:vAlign w:val="bottom"/>
            <w:gridSpan w:val="9"/>
            <w:vMerge w:val="restart"/>
          </w:tcPr>
          <w:p>
            <w:pPr>
              <w:jc w:val="center"/>
              <w:ind w:left="448"/>
              <w:spacing w:after="0"/>
              <w:rPr>
                <w:sz w:val="20"/>
                <w:szCs w:val="20"/>
                <w:color w:val="auto"/>
              </w:rPr>
            </w:pPr>
            <w:r>
              <w:rPr>
                <w:rFonts w:ascii="Arial" w:cs="Arial" w:eastAsia="Arial" w:hAnsi="Arial"/>
                <w:sz w:val="14"/>
                <w:szCs w:val="14"/>
                <w:b w:val="1"/>
                <w:bCs w:val="1"/>
                <w:color w:val="auto"/>
              </w:rPr>
              <w:t>Amount Reclassified out of Accumulated Other</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20"/>
              <w:spacing w:after="0" w:line="127" w:lineRule="exact"/>
              <w:rPr>
                <w:sz w:val="20"/>
                <w:szCs w:val="20"/>
                <w:color w:val="auto"/>
              </w:rPr>
            </w:pPr>
            <w:r>
              <w:rPr>
                <w:rFonts w:ascii="Arial" w:cs="Arial" w:eastAsia="Arial" w:hAnsi="Arial"/>
                <w:sz w:val="13"/>
                <w:szCs w:val="13"/>
                <w:b w:val="1"/>
                <w:bCs w:val="1"/>
                <w:color w:val="auto"/>
              </w:rPr>
              <w:t>Affected Line Item in the</w:t>
            </w:r>
          </w:p>
        </w:tc>
        <w:tc>
          <w:tcPr>
            <w:tcW w:w="0" w:type="dxa"/>
            <w:vAlign w:val="bottom"/>
          </w:tcPr>
          <w:p>
            <w:pPr>
              <w:spacing w:after="0"/>
              <w:rPr>
                <w:sz w:val="1"/>
                <w:szCs w:val="1"/>
                <w:color w:val="auto"/>
              </w:rPr>
            </w:pPr>
          </w:p>
        </w:tc>
      </w:tr>
      <w:tr>
        <w:trPr>
          <w:trHeight w:val="130"/>
        </w:trPr>
        <w:tc>
          <w:tcPr>
            <w:tcW w:w="3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280" w:type="dxa"/>
            <w:vAlign w:val="bottom"/>
            <w:gridSpan w:val="9"/>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ind w:left="20"/>
              <w:spacing w:after="0" w:line="130" w:lineRule="exact"/>
              <w:rPr>
                <w:sz w:val="20"/>
                <w:szCs w:val="20"/>
                <w:color w:val="auto"/>
              </w:rPr>
            </w:pPr>
            <w:r>
              <w:rPr>
                <w:rFonts w:ascii="Arial" w:cs="Arial" w:eastAsia="Arial" w:hAnsi="Arial"/>
                <w:sz w:val="13"/>
                <w:szCs w:val="13"/>
                <w:b w:val="1"/>
                <w:bCs w:val="1"/>
                <w:color w:val="auto"/>
              </w:rPr>
              <w:t>Condensed Consolidated</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(loss) Components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rPr>
              <w:t>Comprehensive Loss</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Statements of Income</w:t>
            </w:r>
          </w:p>
        </w:tc>
        <w:tc>
          <w:tcPr>
            <w:tcW w:w="0" w:type="dxa"/>
            <w:vAlign w:val="bottom"/>
          </w:tcPr>
          <w:p>
            <w:pPr>
              <w:spacing w:after="0"/>
              <w:rPr>
                <w:sz w:val="1"/>
                <w:szCs w:val="1"/>
                <w:color w:val="auto"/>
              </w:rPr>
            </w:pPr>
          </w:p>
        </w:tc>
      </w:tr>
      <w:tr>
        <w:trPr>
          <w:trHeight w:val="258"/>
        </w:trPr>
        <w:tc>
          <w:tcPr>
            <w:tcW w:w="3780" w:type="dxa"/>
            <w:vAlign w:val="bottom"/>
          </w:tcPr>
          <w:p>
            <w:pPr>
              <w:ind w:left="40"/>
              <w:spacing w:after="0"/>
              <w:rPr>
                <w:sz w:val="20"/>
                <w:szCs w:val="20"/>
                <w:color w:val="auto"/>
              </w:rPr>
            </w:pPr>
            <w:r>
              <w:rPr>
                <w:rFonts w:ascii="Arial" w:cs="Arial" w:eastAsia="Arial" w:hAnsi="Arial"/>
                <w:sz w:val="14"/>
                <w:szCs w:val="14"/>
                <w:i w:val="1"/>
                <w:iCs w:val="1"/>
                <w:color w:val="auto"/>
              </w:rPr>
              <w:t>Gains on foreign currency translation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290"/>
        </w:trPr>
        <w:tc>
          <w:tcPr>
            <w:tcW w:w="37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i w:val="1"/>
                <w:iCs w:val="1"/>
                <w:color w:val="auto"/>
              </w:rPr>
              <w:t>Gains (losses) on hedging instruments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 contracts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Cost of sales</w:t>
            </w: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Selling, general and administrative</w:t>
            </w:r>
          </w:p>
        </w:tc>
        <w:tc>
          <w:tcPr>
            <w:tcW w:w="0" w:type="dxa"/>
            <w:vAlign w:val="bottom"/>
          </w:tcPr>
          <w:p>
            <w:pPr>
              <w:spacing w:after="0"/>
              <w:rPr>
                <w:sz w:val="1"/>
                <w:szCs w:val="1"/>
                <w:color w:val="auto"/>
              </w:rPr>
            </w:pPr>
          </w:p>
        </w:tc>
      </w:tr>
      <w:tr>
        <w:trPr>
          <w:trHeight w:val="168"/>
        </w:trPr>
        <w:tc>
          <w:tcPr>
            <w:tcW w:w="3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Research and development expense</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 (Note 16)</w:t>
            </w:r>
          </w:p>
        </w:tc>
        <w:tc>
          <w:tcPr>
            <w:tcW w:w="0" w:type="dxa"/>
            <w:vAlign w:val="bottom"/>
          </w:tcPr>
          <w:p>
            <w:pPr>
              <w:spacing w:after="0"/>
              <w:rPr>
                <w:sz w:val="1"/>
                <w:szCs w:val="1"/>
                <w:color w:val="auto"/>
              </w:rPr>
            </w:pPr>
          </w:p>
        </w:tc>
      </w:tr>
      <w:tr>
        <w:trPr>
          <w:trHeight w:val="281"/>
        </w:trPr>
        <w:tc>
          <w:tcPr>
            <w:tcW w:w="3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Borders>
              <w:bottom w:val="single" w:sz="8" w:color="CCEEFF"/>
            </w:tcBorders>
          </w:tcPr>
          <w:p>
            <w:pPr>
              <w:spacing w:after="0"/>
              <w:rPr>
                <w:sz w:val="24"/>
                <w:szCs w:val="24"/>
                <w:color w:val="auto"/>
              </w:rPr>
            </w:pPr>
          </w:p>
        </w:tc>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income</w:t>
            </w:r>
          </w:p>
        </w:tc>
        <w:tc>
          <w:tcPr>
            <w:tcW w:w="0" w:type="dxa"/>
            <w:vAlign w:val="bottom"/>
          </w:tcPr>
          <w:p>
            <w:pPr>
              <w:spacing w:after="0"/>
              <w:rPr>
                <w:sz w:val="1"/>
                <w:szCs w:val="1"/>
                <w:color w:val="auto"/>
              </w:rPr>
            </w:pPr>
          </w:p>
        </w:tc>
      </w:tr>
      <w:tr>
        <w:trPr>
          <w:trHeight w:val="252"/>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780" w:type="dxa"/>
            <w:vAlign w:val="bottom"/>
          </w:tcPr>
          <w:p>
            <w:pPr>
              <w:ind w:left="280"/>
              <w:spacing w:after="0"/>
              <w:rPr>
                <w:sz w:val="20"/>
                <w:szCs w:val="20"/>
                <w:color w:val="auto"/>
              </w:rPr>
            </w:pPr>
            <w:r>
              <w:rPr>
                <w:rFonts w:ascii="Arial" w:cs="Arial" w:eastAsia="Arial" w:hAnsi="Arial"/>
                <w:sz w:val="14"/>
                <w:szCs w:val="14"/>
                <w:color w:val="auto"/>
              </w:rPr>
              <w:t>Amortization of actuarial gain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prior service credit (cost)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Income before income taxes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Provision for income taxes (Note 16)</w:t>
            </w: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COMPENSATION</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January 11, 2017, we adopted the TechnipFMC plc Incentive Award Plan (the “Plan”). The Plan provides certain incentives and awards to officers, employees, non-employee directors and consultants of TechnipFMC and its subsidiaries. The Plan allows our Board of Directors to make various types of awards to non-employee directors and the Compensation Committee of the Board of Directors to make various types of awards to other eligible individuals. Awards may include share options, share appreciation rights, performance stock units, restricted stock units, restricted shares or other awards authorized under the Plan. All awards are subject to the Plan’s provisions, including all share-based grants previously issued by FMC Technologies and Technip prior to consummation of the Merger. Under the Plan, 24.1 million ordinary shares were authorized for awards.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98" w:right="239" w:bottom="1440" w:gutter="0" w:footer="0" w:header="0"/>
        </w:sectPr>
      </w:pPr>
    </w:p>
    <w:bookmarkStart w:id="36" w:name="page37"/>
    <w:bookmarkEnd w:id="36"/>
    <w:p>
      <w:pPr>
        <w:spacing w:after="0" w:line="254"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$15.9 million and $10.2 million for the three months ended September 30, 2018 and 2017, respectively, and $41.7 million and $34.9 million for the nine months ended September 30, 2018 and 2017, respectively.</w:t>
      </w:r>
    </w:p>
    <w:p>
      <w:pPr>
        <w:spacing w:after="0" w:line="200" w:lineRule="exact"/>
        <w:rPr>
          <w:sz w:val="20"/>
          <w:szCs w:val="20"/>
          <w:color w:val="auto"/>
        </w:rPr>
      </w:pPr>
    </w:p>
    <w:p>
      <w:pPr>
        <w:spacing w:after="0" w:line="387" w:lineRule="exact"/>
        <w:rPr>
          <w:sz w:val="20"/>
          <w:szCs w:val="20"/>
          <w:color w:val="auto"/>
        </w:rPr>
      </w:pPr>
    </w:p>
    <w:p>
      <w:pPr>
        <w:ind w:right="5660"/>
        <w:spacing w:after="0" w:line="517" w:lineRule="auto"/>
        <w:rPr>
          <w:sz w:val="20"/>
          <w:szCs w:val="20"/>
          <w:color w:val="auto"/>
        </w:rPr>
      </w:pPr>
      <w:r>
        <w:rPr>
          <w:rFonts w:ascii="Arial" w:cs="Arial" w:eastAsia="Arial" w:hAnsi="Arial"/>
          <w:sz w:val="17"/>
          <w:szCs w:val="17"/>
          <w:b w:val="1"/>
          <w:bCs w:val="1"/>
          <w:color w:val="auto"/>
        </w:rPr>
        <w:t xml:space="preserve">NOTE 14. IMPAIRMENT, RESTRUCTURING AND OTHER EXPENSES </w:t>
      </w:r>
      <w:r>
        <w:rPr>
          <w:rFonts w:ascii="Arial" w:cs="Arial" w:eastAsia="Arial" w:hAnsi="Arial"/>
          <w:sz w:val="17"/>
          <w:szCs w:val="17"/>
          <w:color w:val="auto"/>
        </w:rPr>
        <w:t>Impairment, restructuring and other expenses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9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0.9</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and other</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56.8</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Restructuring charges during the three and nine months ended September 30, 2018 primarily consisted of severance and other employee related costs and costs related to consolidation of facilities.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CONTINGENT LIABILITIES</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guarantees</w:t>
            </w:r>
            <w:r>
              <w:rPr>
                <w:rFonts w:ascii="Arial" w:cs="Arial" w:eastAsia="Arial" w:hAnsi="Arial"/>
                <w:sz w:val="17"/>
                <w:szCs w:val="17"/>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933.3</w:t>
            </w:r>
          </w:p>
        </w:tc>
      </w:tr>
      <w:tr>
        <w:trPr>
          <w:trHeight w:val="27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Performance guarantees</w:t>
            </w:r>
            <w:r>
              <w:rPr>
                <w:rFonts w:ascii="Arial" w:cs="Arial" w:eastAsia="Arial" w:hAnsi="Arial"/>
                <w:sz w:val="17"/>
                <w:szCs w:val="17"/>
                <w:color w:val="auto"/>
                <w:vertAlign w:val="superscript"/>
              </w:rPr>
              <w:t>(b)</w:t>
            </w: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4,101.3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3,670.3</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4,932.0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4,603.6</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80" w:hanging="332"/>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40"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 associated with legal matters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officers and a former employee of the Company. The suit alleges violations of the federal securities laws in connection with the Company's restatement of our first quarter 2017 financial results and a material weakness in our internal control over financial reporting announced on July 24, 2017. The Company is vigorously contesting the litigation and cannot predict its duration or outcome.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8" w:right="239" w:bottom="1440" w:gutter="0" w:footer="0" w:header="0"/>
        </w:sectPr>
      </w:pPr>
    </w:p>
    <w:bookmarkStart w:id="37" w:name="page38"/>
    <w:bookmarkEnd w:id="37"/>
    <w:p>
      <w:pPr>
        <w:ind w:right="26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We have contacted the Brazilian authorities and are cooperating with their investigation concerning the projects in Brazil and have also contacted French authorities about certain of the existing matters.</w:t>
      </w:r>
    </w:p>
    <w:p>
      <w:pPr>
        <w:spacing w:after="0" w:line="15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Certain of the government investigations have identified issues relating to potential non-compliance with applicable laws and regulations, including the FCPA, Brazilian and French law, related to these historic matters. U.S. authorities have a broad range of civil and criminal sanctions under the FCPA and other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of tens or hundreds of millions of dollars, deferred prosecution agreements, guilty pleas and other sanctions, including the requirement that the relevant corporation retain a monitor to oversee its compliance with the FCPA. Brazilian and French authorities also have a range of sanctions available to them and have recently imposed substantial fines on corporations for anti-corruption violations. Any of these remedial measures, if applicable to us, as well as potential customer reaction to such remedial measures, could have a material adverse impact on our business, results of operations and financial condition.</w:t>
      </w:r>
    </w:p>
    <w:p>
      <w:pPr>
        <w:spacing w:after="0" w:line="15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addition to the above-referenced matters, we are involved in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provision for income taxes for the three months ended September 30, 2018 and 2017 reflected effective tax rates of 33.2% and 48.6%, respectively. Our provision (benefit) for income tax for the nine months ended September 30, 2018 and 2017 reflected effective tax rates of 35.0% and 48.8%, respectively. The year-over-year decrease in the effective tax rate was primarily due to favorable changes in forecasted earnings mix and reduced impact of losses in jurisdictions with a full valuation allowance. In addition, individual tax items, combined with higher profitability in the current period, had less of an impact on the effective rate in the nine months ended September 30, 2018 as compared to the same periods in 2017.</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effective tax rates for the three and nine months ended September 30, 2018 reflect the reduced U.S. federal corporate tax rate of 21% as a result of the Tax Cuts and Jobs Act. The Company also reflected provisional estimates related to the tax imposed on the deemed repatriation to the United States of the undistributed earnings of certain of the Company’s non-U.S. subsidiaries in 2017. During the third quarter of 2018, we did not make any adjustments to the provisional amounts. However, we are continuing to gather additional information to complete our accounting for this item. In addition, the Company is also continuing to assess other aspects of U.S. tax reform that apply in 2018, including the Global Intangible Low Tax Income regime, the Base Erosion Anti-Abuse Tax, the Foreign Derived Intangible Income regime, and the new limitation on the deductibility of interest expense. We have included estimates for the impacts of these items, and they are not expected to be material for 2018.</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98" w:right="239" w:bottom="1440" w:gutter="0" w:footer="0" w:header="0"/>
        </w:sectPr>
      </w:pPr>
    </w:p>
    <w:bookmarkStart w:id="38" w:name="page39"/>
    <w:bookmarkEnd w:id="38"/>
    <w:p>
      <w:pPr>
        <w:ind w:right="38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19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 sale commitments denominated in foreign currencies and recorded assets and liabilities in our consolidated balance sheets. At September 30, 2018, we held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58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rPr>
              <w:t>Net Notional Amount</w:t>
            </w:r>
          </w:p>
        </w:tc>
        <w:tc>
          <w:tcPr>
            <w:tcW w:w="720" w:type="dxa"/>
            <w:vAlign w:val="bottom"/>
          </w:tcPr>
          <w:p>
            <w:pPr>
              <w:spacing w:after="0"/>
              <w:rPr>
                <w:sz w:val="14"/>
                <w:szCs w:val="14"/>
                <w:color w:val="auto"/>
              </w:rPr>
            </w:pPr>
          </w:p>
        </w:tc>
      </w:tr>
      <w:tr>
        <w:trPr>
          <w:trHeight w:val="196"/>
        </w:trPr>
        <w:tc>
          <w:tcPr>
            <w:tcW w:w="8120" w:type="dxa"/>
            <w:vAlign w:val="bottom"/>
          </w:tcPr>
          <w:p>
            <w:pPr>
              <w:spacing w:after="0"/>
              <w:rPr>
                <w:sz w:val="17"/>
                <w:szCs w:val="17"/>
                <w:color w:val="auto"/>
              </w:rPr>
            </w:pPr>
          </w:p>
        </w:tc>
        <w:tc>
          <w:tcPr>
            <w:tcW w:w="2580" w:type="dxa"/>
            <w:vAlign w:val="bottom"/>
            <w:tcBorders>
              <w:bottom w:val="single" w:sz="8" w:color="auto"/>
            </w:tcBorders>
            <w:gridSpan w:val="2"/>
          </w:tcPr>
          <w:p>
            <w:pPr>
              <w:jc w:val="center"/>
              <w:ind w:left="668"/>
              <w:spacing w:after="0"/>
              <w:rPr>
                <w:sz w:val="20"/>
                <w:szCs w:val="20"/>
                <w:color w:val="auto"/>
              </w:rPr>
            </w:pPr>
            <w:r>
              <w:rPr>
                <w:rFonts w:ascii="Arial" w:cs="Arial" w:eastAsia="Arial" w:hAnsi="Arial"/>
                <w:sz w:val="14"/>
                <w:szCs w:val="14"/>
                <w:b w:val="1"/>
                <w:bCs w:val="1"/>
                <w:color w:val="auto"/>
              </w:rPr>
              <w:t>Bought (Sold)</w:t>
            </w:r>
          </w:p>
        </w:tc>
        <w:tc>
          <w:tcPr>
            <w:tcW w:w="72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602.3</w:t>
            </w:r>
          </w:p>
        </w:tc>
        <w:tc>
          <w:tcPr>
            <w:tcW w:w="8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706.9</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British pound</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202.3</w:t>
            </w:r>
          </w:p>
        </w:tc>
        <w:tc>
          <w:tcPr>
            <w:tcW w:w="8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266.3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1,876.2</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230.0</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Australian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219.0</w:t>
            </w:r>
          </w:p>
        </w:tc>
        <w:tc>
          <w:tcPr>
            <w:tcW w:w="8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158.9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450.9</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Malaysian ringgit</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402.0</w:t>
            </w:r>
          </w:p>
        </w:tc>
        <w:tc>
          <w:tcPr>
            <w:tcW w:w="8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97.3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Japanese yen</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4,034.0</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Singapore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42.8</w:t>
            </w:r>
          </w:p>
        </w:tc>
        <w:tc>
          <w:tcPr>
            <w:tcW w:w="8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Mexican peso</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(248.0)</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Argentinian peso</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(717.4)</w:t>
            </w:r>
          </w:p>
        </w:tc>
        <w:tc>
          <w:tcPr>
            <w:tcW w:w="8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Canadian dollar</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(243.5)</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(906.1)</w:t>
            </w:r>
          </w:p>
        </w:tc>
        <w:tc>
          <w:tcPr>
            <w:tcW w:w="8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(906.1)</w:t>
            </w:r>
          </w:p>
        </w:tc>
      </w:tr>
    </w:tbl>
    <w:p>
      <w:pPr>
        <w:spacing w:after="0" w:line="155"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September 30, 2018, our portfolio of these instruments included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64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rPr>
              <w:t>Net Notional Amount</w:t>
            </w:r>
          </w:p>
        </w:tc>
        <w:tc>
          <w:tcPr>
            <w:tcW w:w="660" w:type="dxa"/>
            <w:vAlign w:val="bottom"/>
          </w:tcPr>
          <w:p>
            <w:pPr>
              <w:spacing w:after="0"/>
              <w:rPr>
                <w:sz w:val="14"/>
                <w:szCs w:val="14"/>
                <w:color w:val="auto"/>
              </w:rPr>
            </w:pPr>
          </w:p>
        </w:tc>
      </w:tr>
      <w:tr>
        <w:trPr>
          <w:trHeight w:val="196"/>
        </w:trPr>
        <w:tc>
          <w:tcPr>
            <w:tcW w:w="8120" w:type="dxa"/>
            <w:vAlign w:val="bottom"/>
          </w:tcPr>
          <w:p>
            <w:pPr>
              <w:spacing w:after="0"/>
              <w:rPr>
                <w:sz w:val="17"/>
                <w:szCs w:val="17"/>
                <w:color w:val="auto"/>
              </w:rPr>
            </w:pPr>
          </w:p>
        </w:tc>
        <w:tc>
          <w:tcPr>
            <w:tcW w:w="2640" w:type="dxa"/>
            <w:vAlign w:val="bottom"/>
            <w:tcBorders>
              <w:bottom w:val="single" w:sz="8" w:color="auto"/>
            </w:tcBorders>
            <w:gridSpan w:val="2"/>
          </w:tcPr>
          <w:p>
            <w:pPr>
              <w:jc w:val="center"/>
              <w:ind w:left="608"/>
              <w:spacing w:after="0"/>
              <w:rPr>
                <w:sz w:val="20"/>
                <w:szCs w:val="20"/>
                <w:color w:val="auto"/>
              </w:rPr>
            </w:pPr>
            <w:r>
              <w:rPr>
                <w:rFonts w:ascii="Arial" w:cs="Arial" w:eastAsia="Arial" w:hAnsi="Arial"/>
                <w:sz w:val="14"/>
                <w:szCs w:val="14"/>
                <w:b w:val="1"/>
                <w:bCs w:val="1"/>
                <w:color w:val="auto"/>
              </w:rPr>
              <w:t>Bought (Sold)</w:t>
            </w:r>
          </w:p>
        </w:tc>
        <w:tc>
          <w:tcPr>
            <w:tcW w:w="66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(37.9)</w:t>
            </w:r>
          </w:p>
        </w:tc>
        <w:tc>
          <w:tcPr>
            <w:tcW w:w="9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(72.6)</w:t>
            </w:r>
          </w:p>
        </w:tc>
        <w:tc>
          <w:tcPr>
            <w:tcW w:w="9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11.8</w:t>
            </w: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8" w:right="239" w:bottom="1440" w:gutter="0" w:footer="0" w:header="0"/>
        </w:sectPr>
      </w:pPr>
    </w:p>
    <w:bookmarkStart w:id="39" w:name="page40"/>
    <w:bookmarkEnd w:id="39"/>
    <w:p>
      <w:pPr>
        <w:ind w:right="140"/>
        <w:spacing w:after="0" w:line="253"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18 to our condensed consolidated financial statements of this Quarterly Report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270"/>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r>
      <w:tr>
        <w:trPr>
          <w:trHeight w:val="26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22.2</w:t>
            </w:r>
          </w:p>
        </w:tc>
      </w:tr>
      <w:tr>
        <w:trPr>
          <w:trHeight w:val="20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Premium</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562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8"/>
        </w:trPr>
        <w:tc>
          <w:tcPr>
            <w:tcW w:w="5620" w:type="dxa"/>
            <w:vAlign w:val="bottom"/>
          </w:tcPr>
          <w:p>
            <w:pPr>
              <w:ind w:left="500"/>
              <w:spacing w:after="0"/>
              <w:rPr>
                <w:sz w:val="20"/>
                <w:szCs w:val="20"/>
                <w:color w:val="auto"/>
              </w:rPr>
            </w:pPr>
            <w:r>
              <w:rPr>
                <w:rFonts w:ascii="Arial" w:cs="Arial" w:eastAsia="Arial" w:hAnsi="Arial"/>
                <w:sz w:val="14"/>
                <w:szCs w:val="14"/>
                <w:color w:val="auto"/>
              </w:rPr>
              <w:t>Derivatives</w:t>
            </w: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62.2</w:t>
            </w:r>
          </w:p>
        </w:tc>
      </w:tr>
      <w:tr>
        <w:trPr>
          <w:trHeight w:val="24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recognized a gain of $3.2 million and $10.8 million for the three months ended September 30, 2018 and 2017, respectively, and a loss of $ 1.9 million and a gain of $26.9 million for the nine months ended September 30, 2018 and 2017, respectively, due to hedge ineffectiveness as it was probable that the original forecasted transaction would not occur. Cash flow derivative hedges of forecasted transactions, net of tax, which qualify for hedge accounting, resulted in accumulated other comprehensive loss of $0.4 million and accumulated other comprehensive income of $28.5 million at September 30, 2018 and December 31, 2017, respectively. We expect to transfer approximately $11.5 million of income from accumulated OCI to earnings during the next 12 months when the anticipated transactions actually occur. All anticipated transactions currently being hedged are expected to occur by the second half of 2023.</w:t>
      </w:r>
    </w:p>
    <w:p>
      <w:pPr>
        <w:spacing w:after="0" w:line="153"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designated as fair value hedges: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5"/>
          </w:tcPr>
          <w:p>
            <w:pPr>
              <w:jc w:val="center"/>
              <w:ind w:right="640"/>
              <w:spacing w:after="0"/>
              <w:rPr>
                <w:sz w:val="20"/>
                <w:szCs w:val="20"/>
                <w:color w:val="auto"/>
              </w:rPr>
            </w:pPr>
            <w:r>
              <w:rPr>
                <w:rFonts w:ascii="Arial" w:cs="Arial" w:eastAsia="Arial" w:hAnsi="Arial"/>
                <w:sz w:val="14"/>
                <w:szCs w:val="14"/>
                <w:b w:val="1"/>
                <w:bCs w:val="1"/>
                <w:color w:val="auto"/>
              </w:rPr>
              <w:t>Gain (Loss) Recognized</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rPr>
              <w:t>in Income</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Location of Fair Value Hedge Gain (Loss) Recognized in Income</w:t>
            </w:r>
          </w:p>
        </w:tc>
        <w:tc>
          <w:tcPr>
            <w:tcW w:w="30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22"/>
                <w:szCs w:val="22"/>
                <w:color w:val="auto"/>
              </w:rPr>
            </w:pPr>
          </w:p>
        </w:tc>
        <w:tc>
          <w:tcPr>
            <w:tcW w:w="242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8" w:right="239" w:bottom="1440" w:gutter="0" w:footer="0" w:header="0"/>
        </w:sectPr>
      </w:pPr>
    </w:p>
    <w:bookmarkStart w:id="40" w:name="page41"/>
    <w:bookmarkEnd w:id="40"/>
    <w:p>
      <w:pPr>
        <w:ind w:right="880"/>
        <w:spacing w:after="0" w:line="262"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29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Gain (Loss) Recognized</w:t>
      </w:r>
    </w:p>
    <w:p>
      <w:pPr>
        <w:spacing w:after="0" w:line="19"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in OCI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r>
      <w:tr>
        <w:trPr>
          <w:trHeight w:val="47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Gain (Loss) Reclassified from</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9"/>
          </w:tcPr>
          <w:p>
            <w:pPr>
              <w:jc w:val="center"/>
              <w:ind w:left="488"/>
              <w:spacing w:after="0"/>
              <w:rPr>
                <w:sz w:val="20"/>
                <w:szCs w:val="20"/>
                <w:color w:val="auto"/>
              </w:rPr>
            </w:pPr>
            <w:r>
              <w:rPr>
                <w:rFonts w:ascii="Arial" w:cs="Arial" w:eastAsia="Arial" w:hAnsi="Arial"/>
                <w:sz w:val="14"/>
                <w:szCs w:val="14"/>
                <w:b w:val="1"/>
                <w:bCs w:val="1"/>
                <w:color w:val="auto"/>
              </w:rPr>
              <w:t>Accumulated OCI into Income (Effective Portion)</w:t>
            </w:r>
          </w:p>
        </w:tc>
        <w:tc>
          <w:tcPr>
            <w:tcW w:w="860" w:type="dxa"/>
            <w:vAlign w:val="bottom"/>
            <w:tcBorders>
              <w:bottom w:val="single" w:sz="8" w:color="auto"/>
            </w:tcBorders>
          </w:tcPr>
          <w:p>
            <w:pPr>
              <w:spacing w:after="0"/>
              <w:rPr>
                <w:sz w:val="17"/>
                <w:szCs w:val="17"/>
                <w:color w:val="auto"/>
              </w:rPr>
            </w:pPr>
          </w:p>
        </w:tc>
      </w:tr>
      <w:tr>
        <w:trPr>
          <w:trHeight w:val="16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Location of Cash Flow Hedge Gain (Loss) Reclassified from Accumulated OCI</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0"/>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into Income</w:t>
            </w: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5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20" w:type="dxa"/>
            <w:vAlign w:val="bottom"/>
            <w:gridSpan w:val="9"/>
          </w:tcPr>
          <w:p>
            <w:pPr>
              <w:jc w:val="center"/>
              <w:ind w:left="448"/>
              <w:spacing w:after="0"/>
              <w:rPr>
                <w:sz w:val="20"/>
                <w:szCs w:val="20"/>
                <w:color w:val="auto"/>
              </w:rPr>
            </w:pPr>
            <w:r>
              <w:rPr>
                <w:rFonts w:ascii="Arial" w:cs="Arial" w:eastAsia="Arial" w:hAnsi="Arial"/>
                <w:sz w:val="14"/>
                <w:szCs w:val="14"/>
                <w:b w:val="1"/>
                <w:bCs w:val="1"/>
                <w:color w:val="auto"/>
              </w:rPr>
              <w:t>Gain (Loss) Recognized in Income (Ineffective Portion</w:t>
            </w:r>
          </w:p>
        </w:tc>
        <w:tc>
          <w:tcPr>
            <w:tcW w:w="860" w:type="dxa"/>
            <w:vAlign w:val="bottom"/>
          </w:tcPr>
          <w:p>
            <w:pPr>
              <w:spacing w:after="0"/>
              <w:rPr>
                <w:sz w:val="24"/>
                <w:szCs w:val="24"/>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9"/>
          </w:tcPr>
          <w:p>
            <w:pPr>
              <w:jc w:val="center"/>
              <w:ind w:left="488"/>
              <w:spacing w:after="0"/>
              <w:rPr>
                <w:sz w:val="20"/>
                <w:szCs w:val="20"/>
                <w:color w:val="auto"/>
              </w:rPr>
            </w:pPr>
            <w:r>
              <w:rPr>
                <w:rFonts w:ascii="Arial" w:cs="Arial" w:eastAsia="Arial" w:hAnsi="Arial"/>
                <w:sz w:val="14"/>
                <w:szCs w:val="14"/>
                <w:b w:val="1"/>
                <w:bCs w:val="1"/>
                <w:color w:val="auto"/>
              </w:rPr>
              <w:t>and Amount Excluded from Effectiveness Testing)</w:t>
            </w:r>
          </w:p>
        </w:tc>
        <w:tc>
          <w:tcPr>
            <w:tcW w:w="86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Location of Cash Flow Hedge Gain (Loss) Recognized in Income</w:t>
            </w:r>
          </w:p>
        </w:tc>
        <w:tc>
          <w:tcPr>
            <w:tcW w:w="320" w:type="dxa"/>
            <w:vAlign w:val="bottom"/>
          </w:tcPr>
          <w:p>
            <w:pPr>
              <w:spacing w:after="0"/>
              <w:rPr>
                <w:sz w:val="22"/>
                <w:szCs w:val="22"/>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2"/>
                <w:szCs w:val="22"/>
                <w:color w:val="auto"/>
              </w:rPr>
            </w:pPr>
          </w:p>
        </w:tc>
        <w:tc>
          <w:tcPr>
            <w:tcW w:w="25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7.9</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20" w:type="dxa"/>
            <w:vAlign w:val="bottom"/>
            <w:gridSpan w:val="9"/>
          </w:tcPr>
          <w:p>
            <w:pPr>
              <w:jc w:val="right"/>
              <w:ind w:right="268"/>
              <w:spacing w:after="0"/>
              <w:rPr>
                <w:sz w:val="20"/>
                <w:szCs w:val="20"/>
                <w:color w:val="auto"/>
              </w:rPr>
            </w:pPr>
            <w:r>
              <w:rPr>
                <w:rFonts w:ascii="Arial" w:cs="Arial" w:eastAsia="Arial" w:hAnsi="Arial"/>
                <w:sz w:val="14"/>
                <w:szCs w:val="14"/>
                <w:b w:val="1"/>
                <w:bCs w:val="1"/>
                <w:color w:val="auto"/>
              </w:rPr>
              <w:t>Gain (Loss) Recognized in Income on Derivatives</w:t>
            </w:r>
          </w:p>
        </w:tc>
        <w:tc>
          <w:tcPr>
            <w:tcW w:w="86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9"/>
          </w:tcPr>
          <w:p>
            <w:pPr>
              <w:jc w:val="right"/>
              <w:ind w:right="108"/>
              <w:spacing w:after="0"/>
              <w:rPr>
                <w:sz w:val="20"/>
                <w:szCs w:val="20"/>
                <w:color w:val="auto"/>
              </w:rPr>
            </w:pPr>
            <w:r>
              <w:rPr>
                <w:rFonts w:ascii="Arial" w:cs="Arial" w:eastAsia="Arial" w:hAnsi="Arial"/>
                <w:sz w:val="14"/>
                <w:szCs w:val="14"/>
                <w:b w:val="1"/>
                <w:bCs w:val="1"/>
                <w:color w:val="auto"/>
              </w:rPr>
              <w:t>(Instruments Not Designated as Hedging Instruments)</w:t>
            </w:r>
          </w:p>
        </w:tc>
        <w:tc>
          <w:tcPr>
            <w:tcW w:w="86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320" w:type="dxa"/>
            <w:vAlign w:val="bottom"/>
          </w:tcPr>
          <w:p>
            <w:pPr>
              <w:spacing w:after="0"/>
              <w:rPr>
                <w:sz w:val="22"/>
                <w:szCs w:val="22"/>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2"/>
                <w:szCs w:val="22"/>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8" w:right="239" w:bottom="1440" w:gutter="0" w:footer="0" w:header="0"/>
        </w:sectPr>
      </w:pPr>
    </w:p>
    <w:bookmarkStart w:id="41" w:name="page42"/>
    <w:bookmarkEnd w:id="41"/>
    <w:p>
      <w:pPr>
        <w:ind w:right="8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only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September 30, 2018 and December 31, 2017, we had no collateralized derivative contracts. The following tables present both gross information and net information of recognized derivative instruments: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 Amount</w:t>
            </w: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177.0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173.3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7"/>
                <w:szCs w:val="17"/>
                <w:color w:val="auto"/>
                <w:vertAlign w:val="superscript"/>
              </w:rPr>
              <w:t>(a)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Money market fund</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110.6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r>
      <w:tr>
        <w:trPr>
          <w:trHeight w:val="27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246.5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178.5</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50.2</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Redeemable financial liability</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401.3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401.3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312.0</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66.4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4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i w:val="1"/>
          <w:iCs w:val="1"/>
          <w:color w:val="auto"/>
        </w:rPr>
        <w:t xml:space="preserve">Equity securities - </w:t>
      </w:r>
      <w:r>
        <w:rPr>
          <w:rFonts w:ascii="Arial" w:cs="Arial" w:eastAsia="Arial" w:hAnsi="Arial"/>
          <w:sz w:val="18"/>
          <w:szCs w:val="18"/>
          <w:color w:val="auto"/>
        </w:rPr>
        <w:t>The fair value measurement of our traded securities is based on quoted prices that we have the ability to access in public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w:t>
      </w:r>
    </w:p>
    <w:p>
      <w:pPr>
        <w:spacing w:after="0" w:line="108"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ind w:right="60"/>
        <w:spacing w:after="0" w:line="257"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Onshore/Offshore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the selected discount rate and the overall timing of completion of the project.</w:t>
      </w:r>
    </w:p>
    <w:p>
      <w:pPr>
        <w:spacing w:after="0" w:line="1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mandatorily redeemable financial liability of $312.0 million was recognized as of December 31, 2017 to account for the fair value of the non-controlling interests. During the three and nine months ended September 30, 2018, we revalued the liability to reflect current expectations about the obligation, which resulted in the recognition of a loss of $93.2 million and $213.5 million, respectively.</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$7.2 million as of September 30, 2018. The fair value measurement is based upon significant unobservable inputs not observable in the market and is consequently classified as a Level 3 fair value measurement.</w:t>
      </w:r>
    </w:p>
    <w:p>
      <w:pPr>
        <w:spacing w:after="0" w:line="148" w:lineRule="exact"/>
        <w:rPr>
          <w:sz w:val="20"/>
          <w:szCs w:val="20"/>
          <w:color w:val="auto"/>
        </w:rPr>
      </w:pPr>
    </w:p>
    <w:p>
      <w:pPr>
        <w:ind w:right="920"/>
        <w:spacing w:after="0" w:line="26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Less: Gains (losses) recognized in net interest expense</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(213.5)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(202.9)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Settlements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76.6</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The noncontrolling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mezzanine equity at fair value. The fair value measurement is based upon significant unobservable inputs not observable in the market and is consequently classified as a Level 3 fair value measurement. As of September 30, 2018, the fair value of our redeemable noncontrolling interest was $39.7 million</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2 to our condensed consolidated financial statements of this Quarterly Report for additional disclosure related to the acquisition.</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See Note 17 to our condensed consolidated financial statements of this Quarterly Report for additional disclosure related to derivative financial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respective carrying value and fair value of our Synthetic bonds and our Senior Notes and private placement notes on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basis as of September 30, 2018 was $2,026.2 million and $2,229.2 million, respectively. The respective carrying value and fair value of our Synthetic bonds and our Senior Notes and private placement notes on a combined basis as of December 31, 2017 were $2,043.8 million and $2,308.2 million.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ind w:right="18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convertible bonds, as well as amounts included in other current assets and other current liabilities that meet the definition of financial instruments, approximate fair value.</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collectibility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80"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Following the steep decline from prior years, the price of crude oil has been on a gradual upward trend since the cyclical</w:t>
      </w:r>
      <w:r>
        <w:rPr>
          <w:rFonts w:ascii="Arial" w:cs="Arial" w:eastAsia="Arial" w:hAnsi="Arial"/>
          <w:sz w:val="18"/>
          <w:szCs w:val="18"/>
          <w:i w:val="1"/>
          <w:iCs w:val="1"/>
          <w:color w:val="auto"/>
        </w:rPr>
        <w:t xml:space="preserve"> </w:t>
      </w:r>
      <w:r>
        <w:rPr>
          <w:rFonts w:ascii="Arial" w:cs="Arial" w:eastAsia="Arial" w:hAnsi="Arial"/>
          <w:sz w:val="18"/>
          <w:szCs w:val="18"/>
          <w:color w:val="auto"/>
        </w:rPr>
        <w:t>trough experienced in early 2016. Though the price of crude oil remains quite volatile, the sustainability of the price recovery and business activity levels is dependent on several variables, including geopolitical stability, OPEC’s actions to regulate its production capacity, changes in demand patterns, and international sanctions and tariffs. However, as long-term demand is forecast to rise and base production continues to naturally decline, we believe the macro backdrop will provide our customers with greater confidence to increase their investments in new sources of oil and natural gas production.</w:t>
      </w:r>
    </w:p>
    <w:p>
      <w:pPr>
        <w:spacing w:after="0" w:line="1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The impact of the low crude oil price environment over the last three years led many of our customers to reduce their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plans and defer new offshore projects. Through this period, we have lowered our cost base through reductions in workforce as well as in manufacturing and other fixed asset capacity. This has helped align our operations with the anticipated reductions in activity in order to mitigate the negative impact to our operating profit. We have been realizing the benefits from these restructuring actions through greater cost efficiency, most notably in our manufacturing operations. We have taken additional actions in 2018, but we have balanced further reductions against increased market activity and higher order inbound as industry conditions continue to improve. The operational improvements we have made through the downturn are providing us with the capability to respond to an increase in order activity despite the reductions in both personnel and manufacturing capacity. However, the subsea industry continues to have both underutilized manufacturing and vessel capacity, which may lead to continued pricing pressure. We also recognize the need to further to develop and invest in our people to ensure we have the core competencies and capabilities necessary for continued success during the market recovery.</w:t>
      </w:r>
    </w:p>
    <w:p>
      <w:pPr>
        <w:spacing w:after="0" w:line="1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When combined with the aggressive cost reductions taken by our customers, project economics have improved. Many current and future offshore projects are deemed to be economic at prices below those experienced in the third quarter. While customer investment decisions can be delayed for a variety of reasons, we continue to work closely with our customers through early engagement in front-end engineering design (“FEED”) studies and the use of our unique integrated approach to subsea development - integrated engineering, procurement, construction and installation (“iEPCI™”) - to allow more project final investment decisions through the cycle. iEPCI™ can support clients’ initiatives to improve subsea project economics by helping to reduce cost and accelerate time to first oil. In the long term, we continue to believe that offshore and deepwater developments will remain a significant part of our customers’ portfolios.</w:t>
      </w:r>
    </w:p>
    <w:p>
      <w:pPr>
        <w:spacing w:after="0" w:line="1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Onshore/Offshore - </w:t>
      </w:r>
      <w:r>
        <w:rPr>
          <w:rFonts w:ascii="Arial" w:cs="Arial" w:eastAsia="Arial" w:hAnsi="Arial"/>
          <w:sz w:val="17"/>
          <w:szCs w:val="17"/>
          <w:color w:val="auto"/>
        </w:rPr>
        <w:t>Onshore market activity continues to provide a tangible set of opportunities, particularly for natural gas monetization</w:t>
      </w:r>
      <w:r>
        <w:rPr>
          <w:rFonts w:ascii="Arial" w:cs="Arial" w:eastAsia="Arial" w:hAnsi="Arial"/>
          <w:sz w:val="17"/>
          <w:szCs w:val="17"/>
          <w:i w:val="1"/>
          <w:iCs w:val="1"/>
          <w:color w:val="auto"/>
        </w:rPr>
        <w:t xml:space="preserve"> </w:t>
      </w:r>
      <w:r>
        <w:rPr>
          <w:rFonts w:ascii="Arial" w:cs="Arial" w:eastAsia="Arial" w:hAnsi="Arial"/>
          <w:sz w:val="17"/>
          <w:szCs w:val="17"/>
          <w:color w:val="auto"/>
        </w:rPr>
        <w:t>projects, as natural gas continues to take a larger share of global energy demand. Market conditions for liquefied natural gas (“LNG”) have improved as rising demand continues to rebalance an oversupplied market. This is driving an improved outlook for our business, and we are confident that the pace of LNG investments will continue to grow in the near and intermediate term. As an industry leader, we are well positioned for the growth in new liquefaction and regasification capacity and are actively engaged in several front-end engineering design studies across multiple geographies. These FEED studies provide a platform for early engagement with clients and can significantly de-risk project execution while also supporting our pursuit of the engineering, procurement and construction (“EPC”) contract. Additionally, we continue to selectively pursue refining, petrochemical, and fertilizer project opportunities in the Middle East, Africa, Asia and North American markets.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After a period of rapid growth, the North America unconventional market is undergoing near-term volatility. While drilling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has proved to be resilient, completions activity has been reduced, stemming from pipeline take-away capacity constraints and exhaustion of operator capital budgets for exploration and production. Hydraulic fracturing activity has slowed sequentially, particularly in the Permian basin, and is expected to decline further in the remainder of 2018. These constraints should prove to be transitory, though, as operator budgets renew and pipeline take-away capacity improves. Despite the near-term volatility, we are making progress with the introduction of new, innovative commercial models in North America. Activity in our surface business outside of North America has been more resilient but continues to experience pressure from competitive pricing; however, growth prospects for these markets are expected to improve further in 2019.</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76" w:right="2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 AND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3,143.8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4,140.9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2,558.5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3,468.2</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(909.7)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14)</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 (Note 2)</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(31.5)</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2,863.7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3,872.3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Income from equity affiliates (Note 9)</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200.9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229.6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 (Note 16)</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111.7</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 attributable to noncontrolling interests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136.9</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Revenue decreased $997.1 million or 24.1% in the third quarter of 2018 compared to the third quarter of 2017, primarily as a result of declining Subsea project activity in Africa, Asia Pacific and Europe where projects progressed toward completion, as well as decreased activity on certain Onshore/Offshore projects, including Yamal LNG. This activity was partially offset by an increase in Onshore/Offshore projects in the North American region, as well as increased revenue in our Surface Technologies business due to the North American land market recovery. The revenue growth was driven by a strong increase in demand for wellhead products and measurement systems.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Gross profit (revenue less cost of sales) as a percentage of sales increased to 18.6% in the third quarter of 2018, from 16.2% in the prior year period primarily due to the strong project execution and a lower operating cost structure.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Selling, general and administrative expense decreased $33.8 million year-over-year, primarily due to the benefit of cost reductions and lower headcount across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expense decreased by $49.7 million year-over-year, primarily due to a reduction in restructuring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Impairment, restructuring and other expenses for the third quarter of 2018 included $8.1 million of restructuring expense.</w:t>
      </w:r>
    </w:p>
    <w:p>
      <w:pPr>
        <w:spacing w:after="0" w:line="171"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In recent years, we have implemented restructuring plans across our businesses to reduce costs and better align our workforce and our facilities with anticipated activity levels.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Merger transaction and integration costs of $6.3 million were incurred in the third quarter of 2018, primarily due to integration activities pertaining to combining the two legacy companies. See Note 2 to our condensed consolidated financial statements of this Quarterly Report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third quarter of 2018, we recognized $34.4 million of net foreign exchange losses, compared with $19.3 million of foreign exchange gains in the third quarter of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Net interest expense increased $19.7 million in the third quarter of 2018 compared to 2017. The primary reason was the change in the fair value of the redeemable financial liability. See Note 18 to our condensed consolidated financial statements of this Quarterly Report for more information regarding the fair value measurement assumptions of the mandatorily redeemable financial liability and related changes in its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provision for income taxes for the three months ended September 30, 2018 and 2017 reflected effective tax rates of 33.2% and 48.6%, respectively. The year-over-year decrease in the effective tax rate was primarily due to changes in earnings mix and reduced impact of losses in jurisdictions with a full valuation allowance in the three months ended September 30, 2018 as compared to the same period in 2017.</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effective tax rates for the three months ended September 30, 2018 reflect the reduced U.S. federal corporate tax rate of 21% as a result as a result of the Tax Cuts and Jobs Act. The Company also reflected provisional estimates related to the tax imposed on the deemed repatriation to the United States of the undistributed earnings of certain of the Company’s non-U.S. subsidiaries in 2017. During the third quarter of 2018, we did not make any adjustments to the provisional amounts. However, we are continuing to gather additional information to complete our accounting for this item. In addition, the Company is also continuing to assess other aspects of U.S. tax reform that apply in 2018, including the Global Intangible Low Tax Income regime (“GILTI”), the Base Erosion Anti-Abuse Tax (“BEAT”), the Foreign Derived Intangible Income regime (“FDII”), and the new limitation on the deductibility of interest expense. We have included estimates for the impacts of these items, and they are not expected to be material for 2018.</w:t>
      </w:r>
    </w:p>
    <w:p>
      <w:pPr>
        <w:spacing w:after="0" w:line="15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76"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CONSOLIDATED RESULTS OF OPERATIONS OF TECHNIPFMC PLC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 AND 2017</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Costs and expenses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Cost of sales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Impairment, restructuring and other expenses (Note 14)</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Merger transaction and integration costs (Note 2)</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costs and expenses</w:t>
      </w: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from equity affiliates (Note 9)</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interest expense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before income taxes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Provision for income taxes (Note 16)</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loss (income) attributable to noncontrolling interests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attributable to TechnipFMC plc</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268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44"/>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9,229.9</w:t>
            </w:r>
          </w:p>
        </w:tc>
        <w:tc>
          <w:tcPr>
            <w:tcW w:w="120" w:type="dxa"/>
            <w:vAlign w:val="bottom"/>
          </w:tcPr>
          <w:p>
            <w:pPr>
              <w:spacing w:after="0"/>
              <w:rPr>
                <w:sz w:val="21"/>
                <w:szCs w:val="21"/>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11,373.9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(2,144.0)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824"/>
        </w:trPr>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7,505.3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9,610.5</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(2,105.2)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835.1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806.5</w:t>
            </w:r>
          </w:p>
        </w:tc>
        <w:tc>
          <w:tcPr>
            <w:tcW w:w="1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143.6</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(42.6)</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87.2</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(76.0)</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8,527.2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10,704.6</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(2,177.4)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(20.3)</w:t>
            </w:r>
          </w:p>
        </w:tc>
      </w:tr>
      <w:tr>
        <w:trPr>
          <w:trHeight w:val="554"/>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79.2</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(240.5)</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516.4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511.4</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249.7</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261.7</w:t>
            </w:r>
          </w:p>
        </w:tc>
        <w:tc>
          <w:tcPr>
            <w:tcW w:w="12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28.3</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(63.6)</w:t>
            </w:r>
          </w:p>
        </w:tc>
      </w:tr>
      <w:tr>
        <w:trPr>
          <w:trHeight w:val="243"/>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337.7</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267.2</w:t>
            </w:r>
          </w:p>
        </w:tc>
        <w:tc>
          <w:tcPr>
            <w:tcW w:w="120" w:type="dxa"/>
            <w:vAlign w:val="bottom"/>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-3121025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-2769235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-2426335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-2083435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-1740535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-1388745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-1045845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-702310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-359410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00" w:space="720"/>
            <w:col w:w="580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Revenue decreased $2,144.0 million or 18.9% in the first nine months of 2018 compared to the prior-year period, primarily as a result of declining project activity. Subsea project activity declined in Africa, Asia Pacific and North America. The decline in Onshore/Offshore activity occurred as projects progressed toward completion, driven primarily by Yamal LNG. This activity was partially offset by an increase in Onshore/Offshore project activity in the Middle East and Asia Pacific, as well as increased revenue in our Surface Technologies business due to the North American land market recovery. The revenue growth was driven by strong increase in demand for flowline, hydraulic fracturing, wellhead and well service pump equipment.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Gross profit (revenue less cost of sales) increased as a percentage of sales to 18.7% in the first nine months of 2018, from 15.5% in the prior-year period. The improvement in gross profit as a percentage of sales was primarily due to the reduction of cost of sales year-over-year as a result of the realization of a lower operating cost 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Selling, general and administrative expense increased $28.6 million year-over-year. The first nine months of 2017 do not include FMC Technologies operations prior to the Merger date of January 17, 2017. FMC Technologies’ selling, general and administrative expenses for this period were $63.0 million. On a comparable basis, selling, general and administrative expense decreased by $34.4 million, primarily due to the benefit of cost reductions and lower headcount across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Impairment, restructuring and other expense decreased by $24.2 million year-over-year. Impairment, restructuring and other expense for the first nine months of 2018 included $18.5 million of restructuring expense.</w:t>
      </w:r>
    </w:p>
    <w:p>
      <w:pPr>
        <w:spacing w:after="0" w:line="14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In recent years, we have implemented restructuring plans across our businesses to reduce costs and better align our workforce and our facilities with anticipated activity levels.</w:t>
      </w:r>
    </w:p>
    <w:p>
      <w:pPr>
        <w:sectPr>
          <w:pgSz w:w="11900" w:h="16838" w:orient="portrait"/>
          <w:cols w:equalWidth="0" w:num="1">
            <w:col w:w="11420"/>
          </w:cols>
          <w:pgMar w:left="240" w:top="576" w:right="239" w:bottom="1440" w:gutter="0" w:footer="0" w:header="0"/>
          <w:type w:val="continuous"/>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76"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incurred Merger transaction and integration costs of $20.9 million during the first nine months of 2018 due to the Merger. A significant portion of the expenses recorded in the period are related to transaction and leased facility termination fees, with a lower portion related to integration activities pertaining to combining the two legacy companies. See Note 2 to our consolidated financial statements of this Quarterly Report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nine months of 2018, we recognized $77.7 million of net foreign exchange losses, compared with $0.3 million of net foreign exchange gains in the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interest expense increased $ 3.8 million in the first nine months of 2018 compared to 2017, primarily due to the change in the fair value of the redeemable financial liability. See Note 18 for further information regarding the fair value measurement assumptions of the mandatorily redeemable financial liability and related changes in its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income tax provisions for the first nine months of 2018 and 2017 reflected effective tax rates of 35.0% and 48.8%, respectively. The year-over-year decrease in the effective tax rate was primarily due to changes in earnings mix and reduced impact of losses in jurisdictions with a full valuation allowance. In addition, individual tax items, combined with higher profitability in the current period, had less of an impact on the effective rate in the nine months ended September 30, 2018 as compared to the same period in 2017.</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effective tax rates for the nine months ended September 30, 2018 reflect the reduced U.S. federal corporate tax rate of 21% as a result of the Tax Cuts and Jobs Act. We also reflected provisional estimates related to the tax imposed on the deemed repatriation to the United States of the undistributed earnings of certain of our non-U.S. subsidiaries in 2017. During the nine months of 2018, we did not make any adjustments to the provisional amounts. However, we are continuing to gather additional information to complete our accounting for this item. In addition, we are also continuing to assess other aspects of U.S. tax reform that apply in 2018, including GILTI, BEAT, FDII, and the new limitation on the deductibility of interest expense. We have included estimates for the impacts of these items, and they are not expected to be material for 2018.</w:t>
      </w:r>
    </w:p>
    <w:p>
      <w:pPr>
        <w:spacing w:after="0" w:line="20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576"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 AND 2017</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to our condensed consolidated financial statements of this Quarterly Report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1,209.1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1,478.2</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(269.1)</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(18.2)</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22"/>
                <w:szCs w:val="22"/>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(22.5)</w:t>
            </w:r>
          </w:p>
        </w:tc>
      </w:tr>
      <w:tr>
        <w:trPr>
          <w:trHeight w:val="290"/>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19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72"/>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(0.4pts.</w:t>
            </w:r>
          </w:p>
        </w:tc>
      </w:tr>
    </w:tbl>
    <w:p>
      <w:pPr>
        <w:spacing w:after="0" w:line="17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Subsea revenue decreased $269.1 million or 18.2% year-over-year, primarily driven by projects in Africa, Europe, and Asia Pacific progressed towards completion, partially offset by increased activity in South America. Subsea revenue continues to be negatively impacted by prior-period declines in inbound orders related to market downturn.</w:t>
      </w:r>
    </w:p>
    <w:p>
      <w:pPr>
        <w:spacing w:after="0" w:line="14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Subsea operating profit declined primarily due to the anticipated revenue decline and more competitively priced backlog, offset in part by merger synergies and other cost reduction activities. The timing of completion of certain projects continued to benefit margins in the period, although the impact was less pronounced than in the prior-year quarter. Additionally, third quarter of 2018 included $5.0 million of impairment, restructuring and other severance charges compared to $22.8 million in the third quarter of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2018, Subsea operating profit as a percentage of revenue decreased to 6.6%.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1,532.5</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2,308.1</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(775.6)</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(33.6)</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22"/>
                <w:szCs w:val="22"/>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206.4</w:t>
            </w:r>
          </w:p>
        </w:tc>
        <w:tc>
          <w:tcPr>
            <w:tcW w:w="10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1520" w:type="dxa"/>
            <w:vAlign w:val="bottom"/>
          </w:tcPr>
          <w:p>
            <w:pPr>
              <w:jc w:val="right"/>
              <w:ind w:right="188"/>
              <w:spacing w:after="0"/>
              <w:rPr>
                <w:sz w:val="20"/>
                <w:szCs w:val="20"/>
                <w:color w:val="auto"/>
              </w:rPr>
            </w:pPr>
            <w:r>
              <w:rPr>
                <w:rFonts w:ascii="Arial" w:cs="Arial" w:eastAsia="Arial" w:hAnsi="Arial"/>
                <w:sz w:val="14"/>
                <w:szCs w:val="14"/>
                <w:color w:val="auto"/>
              </w:rPr>
              <w:t>17.9</w:t>
            </w:r>
          </w:p>
        </w:tc>
      </w:tr>
      <w:tr>
        <w:trPr>
          <w:trHeight w:val="290"/>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366"/>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7.0pts.</w:t>
            </w:r>
          </w:p>
        </w:tc>
      </w:tr>
    </w:tbl>
    <w:p>
      <w:pPr>
        <w:spacing w:after="0" w:line="187" w:lineRule="exact"/>
        <w:rPr>
          <w:sz w:val="20"/>
          <w:szCs w:val="20"/>
          <w:color w:val="auto"/>
        </w:rPr>
      </w:pPr>
    </w:p>
    <w:p>
      <w:pPr>
        <w:jc w:val="both"/>
        <w:ind w:right="160"/>
        <w:spacing w:after="0" w:line="295" w:lineRule="auto"/>
        <w:rPr>
          <w:sz w:val="20"/>
          <w:szCs w:val="20"/>
          <w:color w:val="auto"/>
        </w:rPr>
      </w:pPr>
      <w:r>
        <w:rPr>
          <w:rFonts w:ascii="Arial" w:cs="Arial" w:eastAsia="Arial" w:hAnsi="Arial"/>
          <w:sz w:val="17"/>
          <w:szCs w:val="17"/>
          <w:color w:val="auto"/>
        </w:rPr>
        <w:t>Onshore/Offshore revenue decreased $775.6 million or 33.6% year-over-year. Revenue declined as we moved closer to completion on major projects, primarily Yamal LNG. The anticipated revenue decline was moderately offset by strong growth in our process technologies business</w:t>
      </w:r>
      <w:r>
        <w:rPr>
          <w:rFonts w:ascii="Arial" w:cs="Arial" w:eastAsia="Arial" w:hAnsi="Arial"/>
          <w:sz w:val="18"/>
          <w:szCs w:val="18"/>
          <w:color w:val="auto"/>
        </w:rPr>
        <w:t>.</w:t>
      </w:r>
    </w:p>
    <w:p>
      <w:pPr>
        <w:spacing w:after="0" w:line="11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profit in the third quarter of 2018 improved year-over-year. Operating results benefited from several factors in the quarter, including a bonus on Yamal LNG due to provisional acceptance of Train 2, a financial gain on the sale of an offshore yard and other severance charges, and strong project execution. Additionally, the prior quarter included an unfavorable impact of $28.9 million related to the settlements on restructured projects and operations as compared to a favorable impact of $0.2 million during the current quarter.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Onshore/Offshore operating profit as a percentage of revenue increased to 15.9%.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7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76"/>
        </w:trPr>
        <w:tc>
          <w:tcPr>
            <w:tcW w:w="5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r>
      <w:tr>
        <w:trPr>
          <w:trHeight w:val="256"/>
        </w:trPr>
        <w:tc>
          <w:tcPr>
            <w:tcW w:w="5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402.2</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353.9</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13.6</w:t>
            </w:r>
          </w:p>
        </w:tc>
      </w:tr>
      <w:tr>
        <w:trPr>
          <w:trHeight w:val="264"/>
        </w:trPr>
        <w:tc>
          <w:tcPr>
            <w:tcW w:w="544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500" w:type="dxa"/>
            <w:vAlign w:val="bottom"/>
          </w:tcPr>
          <w:p>
            <w:pPr>
              <w:jc w:val="right"/>
              <w:ind w:right="188"/>
              <w:spacing w:after="0"/>
              <w:rPr>
                <w:sz w:val="20"/>
                <w:szCs w:val="20"/>
                <w:color w:val="auto"/>
              </w:rPr>
            </w:pPr>
            <w:r>
              <w:rPr>
                <w:rFonts w:ascii="Arial" w:cs="Arial" w:eastAsia="Arial" w:hAnsi="Arial"/>
                <w:sz w:val="14"/>
                <w:szCs w:val="14"/>
                <w:color w:val="auto"/>
              </w:rPr>
              <w:t>5.9</w:t>
            </w:r>
          </w:p>
        </w:tc>
      </w:tr>
      <w:tr>
        <w:trPr>
          <w:trHeight w:val="290"/>
        </w:trPr>
        <w:tc>
          <w:tcPr>
            <w:tcW w:w="5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194"/>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72"/>
        </w:trPr>
        <w:tc>
          <w:tcPr>
            <w:tcW w:w="544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(0.9pts.</w:t>
            </w:r>
          </w:p>
        </w:tc>
      </w:tr>
    </w:tbl>
    <w:p>
      <w:pPr>
        <w:spacing w:after="0" w:line="17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Surface Technologies revenue increased $48.3 million or 13.6% year-over-year driven primarily by higher activity in North America; growth in wellhead product sales and measurement systems was partially offset by reduced hydraulic fracturing flowline sales.</w:t>
      </w:r>
    </w:p>
    <w:p>
      <w:pPr>
        <w:spacing w:after="0" w:line="142"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Operating profit increased versus the prior-year quarter as product mix outside the Americas more than offset the impact of reduced flowline sales in North America. Additionally, the third quarter of 2018 included $1.3 million of impairment, restructuring and other severance charges compared to $7.8 million in the third quarter of 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Surface Technologies operating profit as a percentage of revenue decreased to 12.9%.</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Corporate expense increased $25.8 million year-over-year, primarily as a result of increased foreign exchange losses.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7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 AND 2017</w:t>
      </w:r>
    </w:p>
    <w:p>
      <w:pPr>
        <w:spacing w:after="0" w:line="33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to our condensed consolidated financial statements of this Quarterly Report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3,606.7</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4,585.2</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(978.5)</w:t>
            </w:r>
          </w:p>
        </w:tc>
        <w:tc>
          <w:tcPr>
            <w:tcW w:w="1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66"/>
        </w:trPr>
        <w:tc>
          <w:tcPr>
            <w:tcW w:w="54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210.0</w:t>
            </w:r>
          </w:p>
        </w:tc>
        <w:tc>
          <w:tcPr>
            <w:tcW w:w="100" w:type="dxa"/>
            <w:vAlign w:val="bottom"/>
          </w:tcPr>
          <w:p>
            <w:pPr>
              <w:spacing w:after="0"/>
              <w:rPr>
                <w:sz w:val="17"/>
                <w:szCs w:val="17"/>
                <w:color w:val="auto"/>
              </w:rPr>
            </w:pPr>
          </w:p>
        </w:tc>
        <w:tc>
          <w:tcPr>
            <w:tcW w:w="5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393.1</w:t>
            </w: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17"/>
                <w:szCs w:val="17"/>
                <w:color w:val="auto"/>
              </w:rPr>
            </w:pP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60"/>
        </w:trPr>
        <w:tc>
          <w:tcPr>
            <w:tcW w:w="54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(2.8pts.</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Subsea revenue decreased $978.5 million year-over-year, primarily driven by projects in Asia Pacific, Africa and North America that progressed towards completion. Subsea revenue continues to be negatively impacted by prior period lower inbound orders related to the market downturn.</w:t>
      </w:r>
    </w:p>
    <w:p>
      <w:pPr>
        <w:spacing w:after="0" w:line="12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Subsea operating profit decreased year-over-year, primarily due to the anticipated revenue decline, partially offset by Merger synergies and other cost reduction activities, and the successful conclusion of key project milestones. Additionally, the first nine months of 2018 included $19.1 million in restructuring, impairment and other severance charges compared to $35.5 million in the prior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Subsea operating profit as a percentage of revenue decreased to 5.8%.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4,448.3</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5,885.0</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(1,436.7)</w:t>
            </w:r>
          </w:p>
        </w:tc>
        <w:tc>
          <w:tcPr>
            <w:tcW w:w="1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66"/>
        </w:trPr>
        <w:tc>
          <w:tcPr>
            <w:tcW w:w="54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617.6</w:t>
            </w:r>
          </w:p>
        </w:tc>
        <w:tc>
          <w:tcPr>
            <w:tcW w:w="100" w:type="dxa"/>
            <w:vAlign w:val="bottom"/>
          </w:tcPr>
          <w:p>
            <w:pPr>
              <w:spacing w:after="0"/>
              <w:rPr>
                <w:sz w:val="17"/>
                <w:szCs w:val="17"/>
                <w:color w:val="auto"/>
              </w:rPr>
            </w:pPr>
          </w:p>
        </w:tc>
        <w:tc>
          <w:tcPr>
            <w:tcW w:w="5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553.7</w:t>
            </w:r>
          </w:p>
        </w:tc>
        <w:tc>
          <w:tcPr>
            <w:tcW w:w="10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7"/>
                <w:szCs w:val="17"/>
                <w:color w:val="auto"/>
              </w:rPr>
            </w:pPr>
          </w:p>
        </w:tc>
        <w:tc>
          <w:tcPr>
            <w:tcW w:w="1520" w:type="dxa"/>
            <w:vAlign w:val="bottom"/>
            <w:vMerge w:val="restart"/>
          </w:tcPr>
          <w:p>
            <w:pPr>
              <w:jc w:val="right"/>
              <w:ind w:right="18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60"/>
        </w:trPr>
        <w:tc>
          <w:tcPr>
            <w:tcW w:w="54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4.5pts.</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Onshore/Offshore revenue decreased $1,436.7 million year-over-year. The decrease was primarily driven by major projects, including Yamal LNG, that progressed towards completion. This decrease was partially offset by achieving strong progress on ENOC’s Jebel Ali refinery expansion project and SOCAR’s Azerikimya petrochemical projects.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Operating profit in the first nine months of 2018 was favorably impacted by reduced costs, strong project execution and a bonus on Yamal LNG due to provisional acceptance of Train 2. Additionally, the first nine months of 2018 were favorably impacted by $5.8 million related to settlements on restructured projects and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Onshore/Offshore operating profit as a percentage of revenue increased to 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76"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1,174.9</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902.3</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272.6</w:t>
            </w: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66"/>
        </w:trPr>
        <w:tc>
          <w:tcPr>
            <w:tcW w:w="558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7"/>
                <w:szCs w:val="17"/>
                <w:color w:val="auto"/>
              </w:rPr>
            </w:pPr>
          </w:p>
        </w:tc>
        <w:tc>
          <w:tcPr>
            <w:tcW w:w="50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104.6</w:t>
            </w:r>
          </w:p>
        </w:tc>
        <w:tc>
          <w:tcPr>
            <w:tcW w:w="120" w:type="dxa"/>
            <w:vAlign w:val="bottom"/>
          </w:tcPr>
          <w:p>
            <w:pPr>
              <w:spacing w:after="0"/>
              <w:rPr>
                <w:sz w:val="17"/>
                <w:szCs w:val="17"/>
                <w:color w:val="auto"/>
              </w:rPr>
            </w:pPr>
          </w:p>
        </w:tc>
        <w:tc>
          <w:tcPr>
            <w:tcW w:w="1360" w:type="dxa"/>
            <w:vAlign w:val="bottom"/>
            <w:vMerge w:val="restart"/>
          </w:tcPr>
          <w:p>
            <w:pPr>
              <w:jc w:val="right"/>
              <w:ind w:right="4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0"/>
        </w:trPr>
        <w:tc>
          <w:tcPr>
            <w:tcW w:w="55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58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Surface Technologies revenue increased $272.6 million year-over-year primarily driven by increased activity in the North American market. The solid growth in North America reflected increased demand for hydraulic fracturing services, wellhead systems and pressure control equipment and services. Outside of North America, revenue also increased year-over-year primarily driven by the Asia Pacific region.</w:t>
      </w:r>
    </w:p>
    <w:p>
      <w:pPr>
        <w:spacing w:after="0" w:line="14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Operating profit increased significantly year-over-year. This increase was primarily driven by higher volume in North America, partially offset by continued international pricing pressures. Additionally, the first nine months of 2018 included $8.0 million of impairment, restructuring and other severance charges compared to $12.0 million in the prior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Surface Technologies operating profit as a percentage of revenue increased to 11.4%.</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Corporate expense decreased $23.4 million year-over-year, primarily as a result of significanly lower integration expenses, offset by increased foreign exchange losses.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22"/>
                <w:szCs w:val="22"/>
                <w:color w:val="auto"/>
              </w:rPr>
            </w:pPr>
          </w:p>
        </w:tc>
        <w:tc>
          <w:tcPr>
            <w:tcW w:w="232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1,553.9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4,297.9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3,418.8</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1,666.1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1,153.0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5,816.5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2,938.7</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427.2</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329.1</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1,251.5</w:t>
            </w:r>
          </w:p>
        </w:tc>
        <w:tc>
          <w:tcPr>
            <w:tcW w:w="10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846.9</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3,647.2</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2,461.9</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11,365.9</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7,204.4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 See</w:t>
      </w:r>
      <w:r>
        <w:rPr>
          <w:rFonts w:ascii="Arial" w:cs="Arial" w:eastAsia="Arial" w:hAnsi="Arial"/>
          <w:sz w:val="18"/>
          <w:szCs w:val="18"/>
          <w:i w:val="1"/>
          <w:iCs w:val="1"/>
          <w:color w:val="auto"/>
        </w:rPr>
        <w:t xml:space="preserve"> “Transaction Price Allocated to the Remaining Unsatisfied Performance Obligations” </w:t>
      </w:r>
      <w:r>
        <w:rPr>
          <w:rFonts w:ascii="Arial" w:cs="Arial" w:eastAsia="Arial" w:hAnsi="Arial"/>
          <w:sz w:val="18"/>
          <w:szCs w:val="18"/>
          <w:color w:val="auto"/>
        </w:rPr>
        <w:t>Note 4 to our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Quarterly Report for more information on order backlog.</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Order Backlog</w:t>
            </w:r>
          </w:p>
        </w:tc>
      </w:tr>
      <w:tr>
        <w:trPr>
          <w:trHeight w:val="175"/>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6,343.4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6,203.9</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1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8,378.8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6,369.1</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1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409.8</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15,178.0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12,982.8</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September 30, 2018 increased by $139.5 million compared to December 31, 2017.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 one-time reduction of $50.8 million related to the adoption of ASC Topic 606. Subsea backlog of $6.3 billion at September 30, 2018 was composed of various projects, including Energean’s Karish; Eni’s Coral; Petrobras’s PLSV service contracts and flexible pipe projects; VNG Norge’s Fenja; CNOOC’s Liuhua and Total’s Kaombo.</w:t>
      </w:r>
    </w:p>
    <w:p>
      <w:pPr>
        <w:spacing w:after="0" w:line="12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Onshore/Offshore order backlog at September 30, 2018 increased by $2.0 billion compared to December 31,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includes a one-time adjustment of $800.8 million related to the adoption of ASC Topic 606. The adjustment is primarily related to additional revenue for future reimbursable work that is now included in backlog, reflecting a change in the timing of order recognition. Onshore/Offshore backlog of $8.4 billion was composed of various projects, including Yamal LNG; Long Son Petrochemicals Olefins Plan; Hindustan Urvarak and Rasayan Limited's (“HURL”) fertilizer projects; Energean’s Karish; ENOC’s Jebel Ali; Shell’s Prelude FLNG; and Hindustan Petroleum Corporation Ltd.'s (“HPCL”) Visakh Refinery.</w:t>
      </w:r>
    </w:p>
    <w:p>
      <w:pPr>
        <w:spacing w:after="0" w:line="12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September 30, 2018 increased by $46.0 million compared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change includes a one-time reduction of $37.9 million related to the adoption of ASC Topic 606. Given the short-cycle nature of the business, most orders are quickly converted into sales revenue; longer contracts are typically converted within twelve months.</w:t>
      </w:r>
    </w:p>
    <w:p>
      <w:pPr>
        <w:spacing w:after="0" w:line="176"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Non-consolidated</w:t>
            </w:r>
          </w:p>
        </w:tc>
      </w:tr>
      <w:tr>
        <w:trPr>
          <w:trHeight w:val="196"/>
        </w:trPr>
        <w:tc>
          <w:tcPr>
            <w:tcW w:w="9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backlog</w:t>
            </w:r>
          </w:p>
        </w:tc>
      </w:tr>
      <w:tr>
        <w:trPr>
          <w:trHeight w:val="175"/>
        </w:trPr>
        <w:tc>
          <w:tcPr>
            <w:tcW w:w="9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68"/>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2018</w:t>
            </w:r>
          </w:p>
        </w:tc>
      </w:tr>
      <w:tr>
        <w:trPr>
          <w:trHeight w:val="216"/>
        </w:trPr>
        <w:tc>
          <w:tcPr>
            <w:tcW w:w="9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995.9</w:t>
            </w:r>
          </w:p>
        </w:tc>
      </w:tr>
      <w:tr>
        <w:trPr>
          <w:trHeight w:val="21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1,924.2</w:t>
            </w:r>
          </w:p>
        </w:tc>
      </w:tr>
      <w:tr>
        <w:trPr>
          <w:trHeight w:val="21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2,920.1</w:t>
            </w: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1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globally and in many operating jurisdictions to best meet the liquidity needs of our global operations. The majority of cash held by subsidiaries of our U.S.-domiciled companies could be repatriated to the United States. Under current U.S. law, as amended by the Tax Cuts and Jobs Act, signed into law on December 22, 2017, any such repatriation to the United States in the form of a dividend would be eligible for a 100% dividend received deduction and therefore would not be subject to U.S. federal income tax.</w:t>
      </w:r>
    </w:p>
    <w:p>
      <w:pPr>
        <w:spacing w:after="0" w:line="15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4"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14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5,553.3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6,737.4</w:t>
            </w: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Less: Short-term debt and current portion of long-term debt</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77.1</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Long-term debt, less current portion</w:t>
            </w: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4,017.1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3,777.9</w:t>
            </w:r>
          </w:p>
        </w:tc>
      </w:tr>
      <w:tr>
        <w:trPr>
          <w:trHeight w:val="237"/>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Net (debt) cash</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1,457.8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2,882.4</w:t>
            </w:r>
          </w:p>
        </w:tc>
      </w:tr>
      <w:tr>
        <w:trPr>
          <w:trHeight w:val="20"/>
        </w:trPr>
        <w:tc>
          <w:tcPr>
            <w:tcW w:w="8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used $344.7 million of cash from operating activities during the nine months ended September 30, 2018 as compared to $279.0 million cash generated from operating activities during the same period in 2017, primarily due to the increase in trade receivables and inventories, as well as the decrease in trade accounts payable. The change is partially offset by the increase in contract liabilities. Our working capital balances can vary significantly depending on the payment and delivery terms on key contracts in our portfolio of projects.</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Investing activities consumed $358.2 million of cash during the nine months ended September 30, 2018 as compared to $1,334.4 million cash provided by investing activities during the same period in 2017. Excluding the impact of the Merger in 2017, the cash consumed in 2018 increased by $213.4 million, primarily related to increased spending on capital expenditures and acquisitions. See Note 2 to our condensed consolidated financial statements of this Quarterly Report for more information on the Merger. During the first nine months of 2018 we completed acquisitions for a total cash consideration of $103.4 million.</w:t>
      </w:r>
    </w:p>
    <w:p>
      <w:pPr>
        <w:spacing w:after="0" w:line="152" w:lineRule="exact"/>
        <w:rPr>
          <w:sz w:val="20"/>
          <w:szCs w:val="20"/>
          <w:color w:val="auto"/>
        </w:rPr>
      </w:pPr>
    </w:p>
    <w:p>
      <w:pPr>
        <w:jc w:val="both"/>
        <w:ind w:right="960"/>
        <w:spacing w:after="0" w:line="262" w:lineRule="auto"/>
        <w:rPr>
          <w:sz w:val="20"/>
          <w:szCs w:val="20"/>
          <w:color w:val="auto"/>
        </w:rPr>
      </w:pPr>
      <w:r>
        <w:rPr>
          <w:rFonts w:ascii="Arial" w:cs="Arial" w:eastAsia="Arial" w:hAnsi="Arial"/>
          <w:sz w:val="18"/>
          <w:szCs w:val="18"/>
          <w:color w:val="auto"/>
        </w:rPr>
        <w:t>Financing activities used $403.0 million and $1,056.1 million of cash during the nine months ended September 30, 2018 and 2017, respectively. The decrease in cash used by financing activities was due to repayments of long-term debt in the first quarter of 2017.</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819"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Facility - </w:t>
      </w:r>
      <w:r>
        <w:rPr>
          <w:rFonts w:ascii="Arial" w:cs="Arial" w:eastAsia="Arial" w:hAnsi="Arial"/>
          <w:sz w:val="18"/>
          <w:szCs w:val="18"/>
          <w:color w:val="auto"/>
        </w:rPr>
        <w:t>The following is a summary of our revolving credit facility at September 30,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Commercial</w:t>
            </w:r>
          </w:p>
        </w:tc>
        <w:tc>
          <w:tcPr>
            <w:tcW w:w="28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Letters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Paper</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of</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Unused</w:t>
            </w: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center"/>
              <w:ind w:left="1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(a)</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Credit</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Capacity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Five-year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744.2</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2022</w:t>
            </w:r>
          </w:p>
        </w:tc>
      </w:tr>
    </w:tbl>
    <w:p>
      <w:pPr>
        <w:spacing w:after="0" w:line="167" w:lineRule="exact"/>
        <w:rPr>
          <w:sz w:val="20"/>
          <w:szCs w:val="20"/>
          <w:color w:val="auto"/>
        </w:rPr>
      </w:pPr>
    </w:p>
    <w:p>
      <w:pPr>
        <w:ind w:left="340" w:right="500" w:hanging="332"/>
        <w:spacing w:after="0" w:line="258"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$ 1,755.8 million of commercial paper issued under our facility at September 30, 2018. As we had both the ability and intent to refinance these obligations on a long-term basis, our commercial paper borrowings were classified as long-term debt in the accompanying condensed consolidated balance sheets at September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we were in compliance with all restrictive covenants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our condensed consolidated financial statements of this Quarterly Report for more information related to our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Additional information about credit risk is incorporated herein by reference to Note 18 to our condensed consolidated financial statements of this Quarterly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Historically, we have generated our liquidity and capital resources primarily through operations and, when needed, through our credit facility. We have $744.2 million of capacity available under our revolving credit facility that we expect to utilize if working capital needs temporarily increase. The volatility in credit, equity and commodity markets creates some uncertainty for our businesses. However, management believes, based on our current financial condition, existing backlog levels and current expectations for future market conditions, that we will continue to meet our short- and long-term liquidity needs with a combination of cash on hand, cash generated from operations and access to capital markets.</w:t>
      </w:r>
    </w:p>
    <w:p>
      <w:pPr>
        <w:spacing w:after="0" w:line="15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project spending approximately $300 million in 2018 for capital expenditures, largely on expenditures in our subsea business. However, projected capital expenditures for 2018 do not include any contingent capital that may be needed to respond to a contract award.</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implemented a U.K. court-approved reduction of our capital, which completed on June 29, 2017, in order to create distributable profits to support the payment of future dividends or future share repurchases. Our board of directors has authorized a $500.0 million share repurchase program that we began executing in 2017. We remain committed to completing the full authorization in ordinary shares by the end of 2018.</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October 23, 2018, our Board of Directors authorized and declared a quarterly cash dividend of 0.13 per ordinary share payable on or shortly after December 5, 2018.</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7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preparation of financial statements in conformity with U.S. GAAP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condensed consolidated financial statements of this Quarterly Report for a description of our significant accounting policies. We have adopted new accounting standards that did not have a material impact to our critical accounting estimates. See Note 3 to our condensed consolidated financial statements of this Quarterly Report for a description of the recently adopted accounting standards.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majority of our revenue is derived from long-term contracts that can span several years. We account for revenue in accordance with ASC Topic 606. The unit of account in ASC Topic 606 is a performance obligation. A contract’s transaction price is allocated to each distinct performance obligation and recognized as revenue when, or as, the performance obligation is satisfied. Our performance obligations are satisfied over time as work progresses or at a point in time.</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 significant portion of our total revenue recognized over time relates to our Onshore/Offshore and Subsea segments, primarily for the entire range of onshore facilities, fixed and floating offshore oil and gas facilities and subsea exploration and production equipment projects that involve the design, engineering, manufacturing, construction and assembly of complex, customer-specific systems.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w:t>
      </w:r>
    </w:p>
    <w:p>
      <w:pPr>
        <w:spacing w:after="0" w:line="15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 and cost at completion is complex, subject to many variables and requires significant judgment. It is common for our long-term contracts to contain award fees, incentive fees or other provisions that can either increase or decrease the transaction price. We include estimated amounts in the transaction price when we believe we have an enforceable right to the modification, the amount can be estimated reliably and its realization is probable. The estimated amounts are included in the transaction price to the extent it is probable that a significant reversal of cumulative revenue recognized will not occur when the uncertainty associated with the variable consideration is resolved.</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execute contracts with our customers that clearly describe the equipment, systems and/or services.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819" w:right="279" w:bottom="1440" w:gutter="0" w:footer="0" w:header="0"/>
        </w:sectPr>
      </w:pPr>
    </w:p>
    <w:bookmarkStart w:id="57" w:name="page58"/>
    <w:bookmarkEnd w:id="57"/>
    <w:p>
      <w:pPr>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that can affect the accuracy of our cost estimates, and ultimately, our future profitability.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Our operating profit for the three and nine months ended September 30, 2018 was positively impacted by approximately $75.8 million</w:t>
      </w:r>
    </w:p>
    <w:p>
      <w:pPr>
        <w:spacing w:after="0" w:line="9"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color w:val="auto"/>
        </w:rPr>
        <w:t>and $337.2 million, respectively, as a result of changes in contract estimates related to projects that were in progress at December 31, 2017. During the three months ended September 30, 2018, we recognized changes in our estimates which had a favorable impact on our operating profit in the amounts of $91.4 million and unfavorable impact of $15.6 million in our Onshore/Offshore and Subsea segments, respectively.</w:t>
      </w:r>
    </w:p>
    <w:p>
      <w:pPr>
        <w:spacing w:after="0" w:line="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During the nine months ended September 30, 2018, we recognized changes in our estimates which had a favorable impact on our operating profit in the amounts of $354.2 million and unfavorable impact of $17.0 million in our Onshore/Offshore and Subsea segments, respectively. The changes in contract estimates are attributed to better than expected performance throughout our execution of our projects.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We have contacted the Brazilian authorities and are cooperating with their investigation concerning the projects in Brazil and have also contacted French authorities about certain of the existing matters.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Certain of the government investigations have identified issues relating to potential non-compliance with applicable laws and regulations, including the FCPA, Brazilian and French law, related to these historic matters. U.S. authorities have a broad range of civil and criminal sanctions under the FCPA and other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of tens or hundreds of millions of dollars, deferred prosecution agreements, guilty pleas and other sanctions, including the requirement that the relevant corporation retain a monitor to oversee its compliance with the FCPA. Brazilian and French authorities also have a range of sanctions available to them and have recently imposed substantial fines on corporations for anti-corruption violations. Any of these remedial measures, if applicable to us, as well as potential customer reaction to such remedial measures, could have a material adverse impact on our business, results of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TechnipFMC, see Part II, Item 7A, “Quantitative and Qualitative Disclosures About Market Risk,” in our Annual Report on Form 10-K for the year ended December 31, 2017. Our exposure to market risk has not changed materially since December 31, 2017.</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9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September 30, 2018, and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as of September 30, 2018, that our disclosure controls and procedures were not effective because of the material weaknesses in our internal control over financial reporting that were disclosed in our Annual Report on Form 10-K for the year ended December 31, 2017 (“Form 10-K”).</w:t>
      </w:r>
    </w:p>
    <w:p>
      <w:pPr>
        <w:spacing w:after="0" w:line="152"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As disclosed in Part II, Item 9A, “Controls and Procedures” in our Form 10-K, we identified material weaknesses in internal control over financial reporting in the following areas:</w:t>
      </w:r>
    </w:p>
    <w:p>
      <w:pPr>
        <w:spacing w:after="0" w:line="142" w:lineRule="exact"/>
        <w:rPr>
          <w:sz w:val="20"/>
          <w:szCs w:val="20"/>
          <w:color w:val="auto"/>
        </w:rPr>
      </w:pPr>
    </w:p>
    <w:p>
      <w:pPr>
        <w:ind w:left="660" w:right="160" w:hanging="4"/>
        <w:spacing w:after="0" w:line="262"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controls relating to the calculation of temporary gains and losses from natural hedges on certain of our projects and related foreign exchange adjustments;</w:t>
      </w:r>
    </w:p>
    <w:p>
      <w:pPr>
        <w:spacing w:after="0" w:line="88" w:lineRule="exact"/>
        <w:rPr>
          <w:rFonts w:ascii="Arial" w:cs="Arial" w:eastAsia="Arial" w:hAnsi="Arial"/>
          <w:sz w:val="18"/>
          <w:szCs w:val="18"/>
          <w:color w:val="auto"/>
        </w:rPr>
      </w:pPr>
    </w:p>
    <w:p>
      <w:pPr>
        <w:ind w:left="660" w:right="260" w:hanging="4"/>
        <w:spacing w:after="0" w:line="262" w:lineRule="auto"/>
        <w:tabs>
          <w:tab w:leader="none" w:pos="9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controls over the period-end financial reporting process specifically related to journal entries and account reconciliation in certain regions and locations; and</w:t>
      </w:r>
    </w:p>
    <w:p>
      <w:pPr>
        <w:spacing w:after="0" w:line="88"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controls relating to certain information technology systems.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Remediation Efforts</w:t>
      </w:r>
    </w:p>
    <w:p>
      <w:pPr>
        <w:spacing w:after="0" w:line="20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In response to the identified material weaknesses, our management, with the oversight of the Audit Committee of our Board of Directors, continue through 2018 to dedicate significant effort and resources to further improve our control environment and continue to take steps to remediate the material weaknesses identified and described above.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34"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auto"/>
        </w:rPr>
        <w:t>Except for changes in connection with our implementation of the remediation measures, there have been no changes in our internal control over financial reporting that occurred during the three months ended September 30, 2018 that materially affected, or that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819"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officers and a former employee of the Company. The suit alleges violations of the federal securities laws in connection with the Company's restatement of our first quarter 2017 financial results and a material weakness in our internal control over financial reporting announced on July 24, 2017. The Company is vigorously contesting the litigation and cannot predict its duration or outcome.</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the date of this filing, there have been no material changes or updates to our risk factors that were previously disclosed in Part I, Item 1A of our Annual Report on Form 10-K for the year ended December 31, 2017.</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September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September 30,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Paid per</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4"/>
                <w:szCs w:val="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Purchased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Share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4"/>
                <w:szCs w:val="4"/>
                <w:color w:val="auto"/>
              </w:rPr>
            </w:pPr>
          </w:p>
        </w:tc>
        <w:tc>
          <w:tcPr>
            <w:tcW w:w="2040" w:type="dxa"/>
            <w:vAlign w:val="bottom"/>
            <w:vMerge w:val="restart"/>
          </w:tcPr>
          <w:p>
            <w:pPr>
              <w:jc w:val="center"/>
              <w:spacing w:after="0" w:line="162" w:lineRule="exact"/>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7"/>
                <w:szCs w:val="17"/>
                <w:b w:val="1"/>
                <w:bCs w:val="1"/>
                <w:color w:val="auto"/>
                <w:vertAlign w:val="superscript"/>
              </w:rPr>
              <w:t>(b)</w:t>
            </w:r>
          </w:p>
        </w:tc>
        <w:tc>
          <w:tcPr>
            <w:tcW w:w="0" w:type="dxa"/>
            <w:vAlign w:val="bottom"/>
          </w:tcPr>
          <w:p>
            <w:pPr>
              <w:spacing w:after="0"/>
              <w:rPr>
                <w:sz w:val="1"/>
                <w:szCs w:val="1"/>
                <w:color w:val="auto"/>
              </w:rPr>
            </w:pPr>
          </w:p>
        </w:tc>
      </w:tr>
      <w:tr>
        <w:trPr>
          <w:trHeight w:val="105"/>
        </w:trPr>
        <w:tc>
          <w:tcPr>
            <w:tcW w:w="4020" w:type="dxa"/>
            <w:vAlign w:val="bottom"/>
            <w:gridSpan w:val="3"/>
            <w:vMerge w:val="continue"/>
          </w:tcPr>
          <w:p>
            <w:pPr>
              <w:spacing w:after="0"/>
              <w:rPr>
                <w:sz w:val="9"/>
                <w:szCs w:val="9"/>
                <w:color w:val="auto"/>
              </w:rPr>
            </w:pPr>
          </w:p>
        </w:tc>
        <w:tc>
          <w:tcPr>
            <w:tcW w:w="1500" w:type="dxa"/>
            <w:vAlign w:val="bottom"/>
          </w:tcPr>
          <w:p>
            <w:pPr>
              <w:jc w:val="center"/>
              <w:spacing w:after="0"/>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July 1, 2018—July 31, 2018</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3,137,180</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30.79</w:t>
            </w:r>
          </w:p>
        </w:tc>
        <w:tc>
          <w:tcPr>
            <w:tcW w:w="120" w:type="dxa"/>
            <w:vAlign w:val="bottom"/>
            <w:shd w:val="clear" w:color="auto" w:fill="CCEEFF"/>
          </w:tcPr>
          <w:p>
            <w:pPr>
              <w:spacing w:after="0"/>
              <w:rPr>
                <w:sz w:val="16"/>
                <w:szCs w:val="16"/>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3,137,180</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5,549,717</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20" w:type="dxa"/>
            <w:vAlign w:val="bottom"/>
            <w:gridSpan w:val="3"/>
          </w:tcPr>
          <w:p>
            <w:pPr>
              <w:ind w:left="40"/>
              <w:spacing w:after="0"/>
              <w:rPr>
                <w:sz w:val="20"/>
                <w:szCs w:val="20"/>
                <w:color w:val="auto"/>
              </w:rPr>
            </w:pPr>
            <w:r>
              <w:rPr>
                <w:rFonts w:ascii="Arial" w:cs="Arial" w:eastAsia="Arial" w:hAnsi="Arial"/>
                <w:sz w:val="14"/>
                <w:szCs w:val="14"/>
                <w:color w:val="auto"/>
              </w:rPr>
              <w:t>August 1, 2018—August 31, 2018</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768,124</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30.42</w:t>
            </w:r>
          </w:p>
        </w:tc>
        <w:tc>
          <w:tcPr>
            <w:tcW w:w="120" w:type="dxa"/>
            <w:vAlign w:val="bottom"/>
          </w:tcPr>
          <w:p>
            <w:pPr>
              <w:spacing w:after="0"/>
              <w:rPr>
                <w:sz w:val="17"/>
                <w:szCs w:val="17"/>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767,967</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4,781,750</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September 1, 2018—September 30, 2018</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722,554</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29.85</w:t>
            </w:r>
          </w:p>
        </w:tc>
        <w:tc>
          <w:tcPr>
            <w:tcW w:w="120" w:type="dxa"/>
            <w:vAlign w:val="bottom"/>
            <w:shd w:val="clear" w:color="auto" w:fill="CCEEFF"/>
          </w:tcPr>
          <w:p>
            <w:pPr>
              <w:spacing w:after="0"/>
              <w:rPr>
                <w:sz w:val="18"/>
                <w:szCs w:val="18"/>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722,264</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4,059,486</w:t>
            </w:r>
          </w:p>
        </w:tc>
        <w:tc>
          <w:tcPr>
            <w:tcW w:w="0" w:type="dxa"/>
            <w:vAlign w:val="bottom"/>
          </w:tcPr>
          <w:p>
            <w:pPr>
              <w:spacing w:after="0"/>
              <w:rPr>
                <w:sz w:val="1"/>
                <w:szCs w:val="1"/>
                <w:color w:val="auto"/>
              </w:rPr>
            </w:pPr>
          </w:p>
        </w:tc>
      </w:tr>
      <w:tr>
        <w:trPr>
          <w:trHeight w:val="71"/>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tcBorders>
              <w:bottom w:val="single" w:sz="8" w:color="auto"/>
            </w:tcBorders>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4,627,858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4,627,411</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4,059,486</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Borders>
              <w:bottom w:val="single" w:sz="8" w:color="auto"/>
            </w:tcBorders>
            <w:vMerge w:val="continue"/>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180" w:hanging="332"/>
        <w:spacing w:after="0" w:line="250"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4,627,411 ordinary shares repurchased and canceled and 447 ordinary shares purchased and held in an employee benefit trust established for the FMC Technologies, Inc. Non-Qualified Savings and Investment Plan. In addition to these shares purchased on the open market, we sold 41,580 ordinary shares held in this trust, as directed by the beneficiaries during the three months ended September 30, 2018.</w:t>
      </w:r>
    </w:p>
    <w:p>
      <w:pPr>
        <w:spacing w:after="0" w:line="145" w:lineRule="exact"/>
        <w:rPr>
          <w:rFonts w:ascii="Arial" w:cs="Arial" w:eastAsia="Arial" w:hAnsi="Arial"/>
          <w:sz w:val="14"/>
          <w:szCs w:val="14"/>
          <w:color w:val="auto"/>
        </w:rPr>
      </w:pPr>
    </w:p>
    <w:p>
      <w:pPr>
        <w:ind w:left="340" w:right="360" w:hanging="332"/>
        <w:spacing w:after="0" w:line="25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April 2017, we announced a repurchase program approved by our Board of Directors authorizing up to $500 million to repurchase our issued and outstanding ordinary shares through open market purchases. Following a court-approved reduction of our capital, we implemented our share repurchase program on September 25,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7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Within the second quarter 2018, management decided to wind down all business related to Iran, with the exception of seeking to collect outstanding receivables for work previously completed in Iran. Since the second quarter 2018, the Company has not and will not accept any new work related to Iran.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section 13(r) of the Exchange Act, two of our non-U.S. subsidiaries had contracts with entities in Iran. Pursuant to these contracts, which were terminated in the first and second quarter 2018, we prepared a feasibility study related to improvements to an olefins plant in Iran and also provided engineering and design services for the construction of an ethylene plant in Iran. We have not received any revenue under either of these contracts for the three months ended September 30, 2018. The expected revenue related to services performed prior to contract termination for the olefins plant and the ethylene plant is 260,000 Euros and 4,000,000 Euros, respectively, which is less than 0.1% of our revenues for the fiscal year ended December 31, 2017. We also had a non-binding arrangement with an engineering, procurement, and construction company in Iran for the purpose of jointly bidding and negotiating for work on two projects in Iran, which we terminated in the quarter. No projects were pursued under the non-binding agreement and no revenue was generated.</w:t>
      </w:r>
    </w:p>
    <w:p>
      <w:pPr>
        <w:spacing w:after="0" w:line="1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had submitted bids to or had discussions with companies in Iran, including some that may be owned or controlled by the Government of Iran, regarding potential future projects in Iran. We have withdrawn all pending bids related to Iran and will not accept a contract award related to such a project.</w:t>
      </w:r>
    </w:p>
    <w:p>
      <w:pPr>
        <w:spacing w:after="0" w:line="14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Within the third quarter 2018, one of our non-U.S. subsidiaries refunded 52,826.10 Euros owed to a former customer owned by the Government of Iran. The refund related to an overpayment in connection with a down payment made by the customer in 2008 regarding performance that concluded in 2011.</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Exhibit No.</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6"/>
        </w:trPr>
        <w:tc>
          <w:tcPr>
            <w:tcW w:w="1420" w:type="dxa"/>
            <w:vAlign w:val="bottom"/>
          </w:tcPr>
          <w:p>
            <w:pPr>
              <w:ind w:left="40"/>
              <w:spacing w:after="0"/>
              <w:rPr>
                <w:sz w:val="20"/>
                <w:szCs w:val="20"/>
                <w:color w:val="auto"/>
              </w:rPr>
            </w:pPr>
            <w:r>
              <w:rPr>
                <w:rFonts w:ascii="Arial" w:cs="Arial" w:eastAsia="Arial" w:hAnsi="Arial"/>
                <w:sz w:val="14"/>
                <w:szCs w:val="14"/>
                <w:color w:val="auto"/>
              </w:rPr>
              <w:t>31.1</w:t>
            </w:r>
          </w:p>
        </w:tc>
        <w:tc>
          <w:tcPr>
            <w:tcW w:w="9980" w:type="dxa"/>
            <w:vAlign w:val="bottom"/>
            <w:gridSpan w:val="5"/>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Certification of Chief Executive Officer Pursuant to Rule 13a-14(a) and Rule 15d-14(a)</w:t>
              </w:r>
            </w:hyperlink>
          </w:p>
        </w:tc>
      </w:tr>
      <w:tr>
        <w:trPr>
          <w:trHeight w:val="21"/>
        </w:trPr>
        <w:tc>
          <w:tcPr>
            <w:tcW w:w="1420" w:type="dxa"/>
            <w:vAlign w:val="bottom"/>
          </w:tcPr>
          <w:p>
            <w:pPr>
              <w:spacing w:after="0" w:line="20" w:lineRule="exact"/>
              <w:rPr>
                <w:sz w:val="1"/>
                <w:szCs w:val="1"/>
                <w:color w:val="auto"/>
              </w:rPr>
            </w:pPr>
          </w:p>
        </w:tc>
        <w:tc>
          <w:tcPr>
            <w:tcW w:w="5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31.2</w:t>
            </w:r>
          </w:p>
        </w:tc>
        <w:tc>
          <w:tcPr>
            <w:tcW w:w="9980" w:type="dxa"/>
            <w:vAlign w:val="bottom"/>
            <w:gridSpan w:val="5"/>
            <w:shd w:val="clear" w:color="auto" w:fill="CCEEFF"/>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Certification of Chief Financial Officer Pursuant to Rule 13a-14(a) and Rule 15d-14(a)</w:t>
              </w:r>
            </w:hyperlink>
          </w:p>
        </w:tc>
      </w:tr>
      <w:tr>
        <w:trPr>
          <w:trHeight w:val="21"/>
        </w:trPr>
        <w:tc>
          <w:tcPr>
            <w:tcW w:w="14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20" w:type="dxa"/>
            <w:vAlign w:val="bottom"/>
          </w:tcPr>
          <w:p>
            <w:pPr>
              <w:ind w:left="40"/>
              <w:spacing w:after="0"/>
              <w:rPr>
                <w:sz w:val="20"/>
                <w:szCs w:val="20"/>
                <w:color w:val="auto"/>
              </w:rPr>
            </w:pPr>
            <w:r>
              <w:rPr>
                <w:rFonts w:ascii="Arial" w:cs="Arial" w:eastAsia="Arial" w:hAnsi="Arial"/>
                <w:sz w:val="14"/>
                <w:szCs w:val="14"/>
                <w:color w:val="auto"/>
              </w:rPr>
              <w:t>32.1*</w:t>
            </w:r>
          </w:p>
        </w:tc>
        <w:tc>
          <w:tcPr>
            <w:tcW w:w="9980" w:type="dxa"/>
            <w:vAlign w:val="bottom"/>
            <w:gridSpan w:val="5"/>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Certification of Chief Executive Officer Under Section 906 of the Sarbanes-Oxley Act of 2002, 18 U.S.C. 1350</w:t>
              </w:r>
            </w:hyperlink>
          </w:p>
        </w:tc>
      </w:tr>
      <w:tr>
        <w:trPr>
          <w:trHeight w:val="21"/>
        </w:trPr>
        <w:tc>
          <w:tcPr>
            <w:tcW w:w="1420" w:type="dxa"/>
            <w:vAlign w:val="bottom"/>
          </w:tcPr>
          <w:p>
            <w:pPr>
              <w:spacing w:after="0" w:line="20" w:lineRule="exact"/>
              <w:rPr>
                <w:sz w:val="1"/>
                <w:szCs w:val="1"/>
                <w:color w:val="auto"/>
              </w:rPr>
            </w:pPr>
          </w:p>
        </w:tc>
        <w:tc>
          <w:tcPr>
            <w:tcW w:w="5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32.2*</w:t>
            </w:r>
          </w:p>
        </w:tc>
        <w:tc>
          <w:tcPr>
            <w:tcW w:w="9980" w:type="dxa"/>
            <w:vAlign w:val="bottom"/>
            <w:gridSpan w:val="5"/>
            <w:shd w:val="clear" w:color="auto" w:fill="CCEEFF"/>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Certification of Chief Financial Officer Under Section 906 of the Sarbanes-Oxley Act of 2002, 18 U.S.C. 1350</w:t>
              </w:r>
            </w:hyperlink>
          </w:p>
        </w:tc>
      </w:tr>
      <w:tr>
        <w:trPr>
          <w:trHeight w:val="210"/>
        </w:trPr>
        <w:tc>
          <w:tcPr>
            <w:tcW w:w="1420" w:type="dxa"/>
            <w:vAlign w:val="bottom"/>
            <w:tcBorders>
              <w:top w:val="single" w:sz="8" w:color="CCEEFF"/>
            </w:tcBorders>
          </w:tcPr>
          <w:p>
            <w:pPr>
              <w:ind w:left="40"/>
              <w:spacing w:after="0"/>
              <w:rPr>
                <w:sz w:val="20"/>
                <w:szCs w:val="20"/>
                <w:color w:val="auto"/>
              </w:rPr>
            </w:pPr>
            <w:r>
              <w:rPr>
                <w:rFonts w:ascii="Arial" w:cs="Arial" w:eastAsia="Arial" w:hAnsi="Arial"/>
                <w:sz w:val="14"/>
                <w:szCs w:val="14"/>
                <w:color w:val="auto"/>
              </w:rPr>
              <w:t>101.INS</w:t>
            </w:r>
          </w:p>
        </w:tc>
        <w:tc>
          <w:tcPr>
            <w:tcW w:w="69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XBRL Instance Document</w:t>
            </w:r>
          </w:p>
        </w:tc>
        <w:tc>
          <w:tcPr>
            <w:tcW w:w="3080" w:type="dxa"/>
            <w:vAlign w:val="bottom"/>
            <w:tcBorders>
              <w:top w:val="single" w:sz="8" w:color="CCEEFF"/>
            </w:tcBorders>
            <w:gridSpan w:val="2"/>
          </w:tcPr>
          <w:p>
            <w:pPr>
              <w:spacing w:after="0"/>
              <w:rPr>
                <w:sz w:val="18"/>
                <w:szCs w:val="18"/>
                <w:color w:val="auto"/>
              </w:rPr>
            </w:pP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101.SCH</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Schema Document</w:t>
            </w:r>
          </w:p>
        </w:tc>
      </w:tr>
      <w:tr>
        <w:trPr>
          <w:trHeight w:val="210"/>
        </w:trPr>
        <w:tc>
          <w:tcPr>
            <w:tcW w:w="1420" w:type="dxa"/>
            <w:vAlign w:val="bottom"/>
          </w:tcPr>
          <w:p>
            <w:pPr>
              <w:ind w:left="40"/>
              <w:spacing w:after="0"/>
              <w:rPr>
                <w:sz w:val="20"/>
                <w:szCs w:val="20"/>
                <w:color w:val="auto"/>
              </w:rPr>
            </w:pPr>
            <w:r>
              <w:rPr>
                <w:rFonts w:ascii="Arial" w:cs="Arial" w:eastAsia="Arial" w:hAnsi="Arial"/>
                <w:sz w:val="14"/>
                <w:szCs w:val="14"/>
                <w:color w:val="auto"/>
              </w:rPr>
              <w:t>101.CAL</w:t>
            </w:r>
          </w:p>
        </w:tc>
        <w:tc>
          <w:tcPr>
            <w:tcW w:w="9980" w:type="dxa"/>
            <w:vAlign w:val="bottom"/>
            <w:gridSpan w:val="5"/>
          </w:tcPr>
          <w:p>
            <w:pPr>
              <w:spacing w:after="0"/>
              <w:rPr>
                <w:sz w:val="20"/>
                <w:szCs w:val="20"/>
                <w:color w:val="auto"/>
              </w:rPr>
            </w:pPr>
            <w:r>
              <w:rPr>
                <w:rFonts w:ascii="Arial" w:cs="Arial" w:eastAsia="Arial" w:hAnsi="Arial"/>
                <w:sz w:val="14"/>
                <w:szCs w:val="14"/>
                <w:color w:val="auto"/>
              </w:rPr>
              <w:t>XBRL Calculation Linkbase Document</w:t>
            </w: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101.DEF</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Definition Linkbase Document</w:t>
            </w:r>
          </w:p>
        </w:tc>
      </w:tr>
      <w:tr>
        <w:trPr>
          <w:trHeight w:val="210"/>
        </w:trPr>
        <w:tc>
          <w:tcPr>
            <w:tcW w:w="1420" w:type="dxa"/>
            <w:vAlign w:val="bottom"/>
          </w:tcPr>
          <w:p>
            <w:pPr>
              <w:ind w:left="40"/>
              <w:spacing w:after="0"/>
              <w:rPr>
                <w:sz w:val="20"/>
                <w:szCs w:val="20"/>
                <w:color w:val="auto"/>
              </w:rPr>
            </w:pPr>
            <w:r>
              <w:rPr>
                <w:rFonts w:ascii="Arial" w:cs="Arial" w:eastAsia="Arial" w:hAnsi="Arial"/>
                <w:sz w:val="14"/>
                <w:szCs w:val="14"/>
                <w:color w:val="auto"/>
              </w:rPr>
              <w:t>101.LAB</w:t>
            </w:r>
          </w:p>
        </w:tc>
        <w:tc>
          <w:tcPr>
            <w:tcW w:w="9980" w:type="dxa"/>
            <w:vAlign w:val="bottom"/>
            <w:gridSpan w:val="5"/>
          </w:tcPr>
          <w:p>
            <w:pPr>
              <w:spacing w:after="0"/>
              <w:rPr>
                <w:sz w:val="20"/>
                <w:szCs w:val="20"/>
                <w:color w:val="auto"/>
              </w:rPr>
            </w:pPr>
            <w:r>
              <w:rPr>
                <w:rFonts w:ascii="Arial" w:cs="Arial" w:eastAsia="Arial" w:hAnsi="Arial"/>
                <w:sz w:val="14"/>
                <w:szCs w:val="14"/>
                <w:color w:val="auto"/>
              </w:rPr>
              <w:t>XBRL Label Linkbase Document</w:t>
            </w: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101.PRE</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16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Furnished with this Quarterly Report on Form 10Q</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819" w:right="259" w:bottom="1440" w:gutter="0" w:footer="0" w:header="0"/>
        </w:sectPr>
      </w:pPr>
    </w:p>
    <w:bookmarkStart w:id="61" w:name="page62"/>
    <w:bookmarkEnd w:id="61"/>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736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Krisztina Doroghazi</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240" w:top="576" w:right="5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2018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2018</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2018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2018</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I, Douglas J. Pferdehirt, Chief Executive Officer of TechnipFMC plc (the “Company”), do hereby certify, pursuant to 18 U.S.C. Section 1350, as adopted pursuant to Section 906 of the Sarbanes-Oxley Act of 2002, that, to my knowledge:</w:t>
      </w:r>
    </w:p>
    <w:p>
      <w:pPr>
        <w:spacing w:after="0" w:line="169" w:lineRule="exact"/>
        <w:rPr>
          <w:sz w:val="20"/>
          <w:szCs w:val="20"/>
          <w:color w:val="auto"/>
        </w:rPr>
      </w:pPr>
    </w:p>
    <w:p>
      <w:pPr>
        <w:ind w:right="80" w:firstLine="8"/>
        <w:spacing w:after="0" w:line="260" w:lineRule="auto"/>
        <w:tabs>
          <w:tab w:leader="none" w:pos="2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2018,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2018</w:t>
      </w:r>
    </w:p>
    <w:p>
      <w:pPr>
        <w:spacing w:after="0" w:line="200" w:lineRule="exact"/>
        <w:rPr>
          <w:sz w:val="20"/>
          <w:szCs w:val="20"/>
          <w:color w:val="auto"/>
        </w:rPr>
      </w:pPr>
    </w:p>
    <w:p>
      <w:pPr>
        <w:spacing w:after="0" w:line="210"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94" w:lineRule="exact"/>
        <w:rPr>
          <w:sz w:val="20"/>
          <w:szCs w:val="20"/>
          <w:color w:val="auto"/>
        </w:rPr>
      </w:pPr>
    </w:p>
    <w:p>
      <w:pPr>
        <w:ind w:right="80" w:firstLine="8"/>
        <w:spacing w:after="0" w:line="260" w:lineRule="auto"/>
        <w:tabs>
          <w:tab w:leader="none" w:pos="24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2018,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November 6, 2018</w:t>
      </w:r>
    </w:p>
    <w:p>
      <w:pPr>
        <w:spacing w:after="0" w:line="200" w:lineRule="exact"/>
        <w:rPr>
          <w:sz w:val="20"/>
          <w:szCs w:val="20"/>
          <w:color w:val="auto"/>
        </w:rPr>
      </w:pPr>
    </w:p>
    <w:p>
      <w:pPr>
        <w:spacing w:after="0" w:line="210"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3445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1."/>
      <w:numFmt w:val="decimal"/>
      <w:start w:val="606"/>
    </w:lvl>
  </w:abstractNum>
  <w:abstractNum w:abstractNumId="8">
    <w:nsid w:val="7C83E458"/>
    <w:multiLevelType w:val="hybridMultilevel"/>
    <w:lvl w:ilvl="0">
      <w:lvlJc w:val="left"/>
      <w:lvlText w:val="(%1)"/>
      <w:numFmt w:val="lowerLetter"/>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Roman"/>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2019-12-28T18:32:57Z</dcterms:created>
  <dcterms:modified xsi:type="dcterms:W3CDTF">2019-12-28T18:32:57Z</dcterms:modified>
</cp:coreProperties>
</file>