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257810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4"/>
          <w:szCs w:val="24"/>
          <w:color w:val="auto"/>
        </w:rPr>
      </w:pPr>
    </w:p>
    <w:p>
      <w:pPr>
        <w:ind w:left="1500" w:right="1580" w:hanging="533"/>
        <w:spacing w:after="0" w:line="256" w:lineRule="auto"/>
        <w:tabs>
          <w:tab w:leader="none" w:pos="1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1500"/>
        <w:spacing w:after="0"/>
        <w:rPr>
          <w:sz w:val="20"/>
          <w:szCs w:val="20"/>
          <w:color w:val="auto"/>
        </w:rPr>
      </w:pPr>
      <w:r>
        <w:rPr>
          <w:rFonts w:ascii="Arial" w:cs="Arial" w:eastAsia="Arial" w:hAnsi="Arial"/>
          <w:sz w:val="22"/>
          <w:szCs w:val="22"/>
          <w:b w:val="1"/>
          <w:bCs w:val="1"/>
          <w:color w:val="auto"/>
        </w:rPr>
        <w:t>EXCHANGE ACT OF 1934</w:t>
      </w:r>
    </w:p>
    <w:p>
      <w:pPr>
        <w:spacing w:after="0" w:line="4" w:lineRule="exact"/>
        <w:rPr>
          <w:sz w:val="24"/>
          <w:szCs w:val="24"/>
          <w:color w:val="auto"/>
        </w:rPr>
      </w:pPr>
    </w:p>
    <w:p>
      <w:pPr>
        <w:ind w:left="376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TechnipFMC plc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89"/>
              </w:rPr>
              <w:t>England and Wales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98-1283037</w:t>
            </w:r>
          </w:p>
        </w:tc>
      </w:tr>
      <w:tr>
        <w:trPr>
          <w:trHeight w:val="218"/>
        </w:trPr>
        <w:tc>
          <w:tcPr>
            <w:tcW w:w="6400" w:type="dxa"/>
            <w:vAlign w:val="bottom"/>
          </w:tcPr>
          <w:p>
            <w:pPr>
              <w:jc w:val="center"/>
              <w:ind w:right="26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58"/>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91"/>
              </w:rPr>
              <w:t>One St. Paul’s Churchyard</w:t>
            </w:r>
          </w:p>
        </w:tc>
        <w:tc>
          <w:tcPr>
            <w:tcW w:w="2280" w:type="dxa"/>
            <w:vAlign w:val="bottom"/>
          </w:tcPr>
          <w:p>
            <w:pPr>
              <w:spacing w:after="0"/>
              <w:rPr>
                <w:sz w:val="24"/>
                <w:szCs w:val="24"/>
                <w:color w:val="auto"/>
              </w:rPr>
            </w:pPr>
          </w:p>
        </w:tc>
      </w:tr>
      <w:tr>
        <w:trPr>
          <w:trHeight w:val="234"/>
        </w:trPr>
        <w:tc>
          <w:tcPr>
            <w:tcW w:w="6400" w:type="dxa"/>
            <w:vAlign w:val="bottom"/>
          </w:tcPr>
          <w:p>
            <w:pPr>
              <w:jc w:val="center"/>
              <w:ind w:right="2580"/>
              <w:spacing w:after="0"/>
              <w:rPr>
                <w:sz w:val="20"/>
                <w:szCs w:val="20"/>
                <w:color w:val="auto"/>
              </w:rPr>
            </w:pPr>
            <w:r>
              <w:rPr>
                <w:rFonts w:ascii="Arial" w:cs="Arial" w:eastAsia="Arial" w:hAnsi="Arial"/>
                <w:sz w:val="18"/>
                <w:szCs w:val="18"/>
                <w:b w:val="1"/>
                <w:bCs w:val="1"/>
                <w:color w:val="auto"/>
                <w:w w:val="92"/>
              </w:rPr>
              <w:t>London, United Kingdom</w:t>
            </w:r>
          </w:p>
        </w:tc>
        <w:tc>
          <w:tcPr>
            <w:tcW w:w="2280" w:type="dxa"/>
            <w:vAlign w:val="bottom"/>
          </w:tcPr>
          <w:p>
            <w:pPr>
              <w:jc w:val="center"/>
              <w:ind w:left="39"/>
              <w:spacing w:after="0"/>
              <w:rPr>
                <w:sz w:val="20"/>
                <w:szCs w:val="20"/>
                <w:color w:val="auto"/>
              </w:rPr>
            </w:pPr>
            <w:r>
              <w:rPr>
                <w:rFonts w:ascii="Arial" w:cs="Arial" w:eastAsia="Arial" w:hAnsi="Arial"/>
                <w:sz w:val="18"/>
                <w:szCs w:val="18"/>
                <w:b w:val="1"/>
                <w:bCs w:val="1"/>
                <w:color w:val="auto"/>
                <w:w w:val="97"/>
              </w:rPr>
              <w:t>EC4M 8AP</w:t>
            </w:r>
          </w:p>
        </w:tc>
      </w:tr>
      <w:tr>
        <w:trPr>
          <w:trHeight w:val="218"/>
        </w:trPr>
        <w:tc>
          <w:tcPr>
            <w:tcW w:w="6400" w:type="dxa"/>
            <w:vAlign w:val="bottom"/>
          </w:tcPr>
          <w:p>
            <w:pPr>
              <w:jc w:val="center"/>
              <w:ind w:right="25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3"/>
        </w:trPr>
        <w:tc>
          <w:tcPr>
            <w:tcW w:w="6400" w:type="dxa"/>
            <w:vAlign w:val="bottom"/>
          </w:tcPr>
          <w:p>
            <w:pPr>
              <w:jc w:val="right"/>
              <w:ind w:right="1060"/>
              <w:spacing w:after="0"/>
              <w:rPr>
                <w:sz w:val="20"/>
                <w:szCs w:val="20"/>
                <w:color w:val="auto"/>
              </w:rPr>
            </w:pPr>
            <w:r>
              <w:rPr>
                <w:rFonts w:ascii="Arial" w:cs="Arial" w:eastAsia="Arial" w:hAnsi="Arial"/>
                <w:sz w:val="14"/>
                <w:szCs w:val="14"/>
                <w:b w:val="1"/>
                <w:bCs w:val="1"/>
                <w:color w:val="auto"/>
              </w:rPr>
              <w:t>+44 203-429-3950</w:t>
            </w:r>
          </w:p>
        </w:tc>
        <w:tc>
          <w:tcPr>
            <w:tcW w:w="2280" w:type="dxa"/>
            <w:vAlign w:val="bottom"/>
          </w:tcPr>
          <w:p>
            <w:pPr>
              <w:spacing w:after="0"/>
              <w:rPr>
                <w:sz w:val="17"/>
                <w:szCs w:val="17"/>
                <w:color w:val="auto"/>
              </w:rPr>
            </w:pPr>
          </w:p>
        </w:tc>
      </w:tr>
      <w:tr>
        <w:trPr>
          <w:trHeight w:val="203"/>
        </w:trPr>
        <w:tc>
          <w:tcPr>
            <w:tcW w:w="6400" w:type="dxa"/>
            <w:vAlign w:val="bottom"/>
          </w:tcPr>
          <w:p>
            <w:pPr>
              <w:jc w:val="center"/>
              <w:ind w:left="29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7"/>
                <w:szCs w:val="17"/>
                <w:color w:val="auto"/>
              </w:rPr>
            </w:pPr>
          </w:p>
        </w:tc>
      </w:tr>
    </w:tbl>
    <w:p>
      <w:pPr>
        <w:spacing w:after="0" w:line="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9"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00" w:type="dxa"/>
            <w:vAlign w:val="bottom"/>
          </w:tcPr>
          <w:p>
            <w:pPr>
              <w:ind w:left="540"/>
              <w:spacing w:after="0"/>
              <w:rPr>
                <w:sz w:val="20"/>
                <w:szCs w:val="20"/>
                <w:color w:val="auto"/>
              </w:rPr>
            </w:pPr>
            <w:r>
              <w:rPr>
                <w:rFonts w:ascii="Arial" w:cs="Arial" w:eastAsia="Arial" w:hAnsi="Arial"/>
                <w:sz w:val="16"/>
                <w:szCs w:val="16"/>
                <w:color w:val="auto"/>
              </w:rPr>
              <w:t>o</w:t>
            </w:r>
          </w:p>
        </w:tc>
        <w:tc>
          <w:tcPr>
            <w:tcW w:w="360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57"/>
        </w:trPr>
        <w:tc>
          <w:tcPr>
            <w:tcW w:w="4940" w:type="dxa"/>
            <w:vAlign w:val="bottom"/>
            <w:vMerge w:val="restart"/>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800" w:type="dxa"/>
            <w:vAlign w:val="bottom"/>
          </w:tcPr>
          <w:p>
            <w:pPr>
              <w:ind w:left="540"/>
              <w:spacing w:after="0"/>
              <w:rPr>
                <w:sz w:val="20"/>
                <w:szCs w:val="20"/>
                <w:color w:val="auto"/>
              </w:rPr>
            </w:pPr>
            <w:r>
              <w:rPr>
                <w:rFonts w:ascii="Arial" w:cs="Arial" w:eastAsia="Arial" w:hAnsi="Arial"/>
                <w:sz w:val="16"/>
                <w:szCs w:val="16"/>
                <w:color w:val="auto"/>
              </w:rPr>
              <w:t>x</w:t>
            </w:r>
          </w:p>
        </w:tc>
        <w:tc>
          <w:tcPr>
            <w:tcW w:w="3600" w:type="dxa"/>
            <w:vAlign w:val="bottom"/>
            <w:vMerge w:val="restart"/>
          </w:tcPr>
          <w:p>
            <w:pPr>
              <w:ind w:left="200"/>
              <w:spacing w:after="0"/>
              <w:rPr>
                <w:sz w:val="20"/>
                <w:szCs w:val="20"/>
                <w:color w:val="auto"/>
              </w:rPr>
            </w:pPr>
            <w:r>
              <w:rPr>
                <w:rFonts w:ascii="Arial" w:cs="Arial" w:eastAsia="Arial" w:hAnsi="Arial"/>
                <w:sz w:val="16"/>
                <w:szCs w:val="16"/>
                <w:color w:val="auto"/>
              </w:rPr>
              <w:t>Smaller reporting company</w:t>
            </w:r>
          </w:p>
        </w:tc>
        <w:tc>
          <w:tcPr>
            <w:tcW w:w="1700" w:type="dxa"/>
            <w:vAlign w:val="bottom"/>
            <w:vMerge w:val="restart"/>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8380" w:type="dxa"/>
            <w:vAlign w:val="bottom"/>
            <w:gridSpan w:val="3"/>
          </w:tcPr>
          <w:p>
            <w:pPr>
              <w:spacing w:after="0"/>
              <w:rPr>
                <w:sz w:val="20"/>
                <w:szCs w:val="20"/>
                <w:color w:val="auto"/>
              </w:rPr>
            </w:pPr>
            <w:r>
              <w:rPr>
                <w:rFonts w:ascii="Arial" w:cs="Arial" w:eastAsia="Arial" w:hAnsi="Arial"/>
                <w:sz w:val="16"/>
                <w:szCs w:val="16"/>
                <w:color w:val="auto"/>
                <w:w w:val="95"/>
              </w:rPr>
              <w:t>Indicate the number of shares outstanding of each of the issuer’s classes of common stock, as of the latest practicable date.</w:t>
            </w: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30"/>
        </w:trPr>
        <w:tc>
          <w:tcPr>
            <w:tcW w:w="3880" w:type="dxa"/>
            <w:vAlign w:val="bottom"/>
          </w:tcPr>
          <w:p>
            <w:pPr>
              <w:spacing w:after="0"/>
              <w:rPr>
                <w:sz w:val="24"/>
                <w:szCs w:val="24"/>
                <w:color w:val="auto"/>
              </w:rPr>
            </w:pPr>
          </w:p>
        </w:tc>
        <w:tc>
          <w:tcPr>
            <w:tcW w:w="4500" w:type="dxa"/>
            <w:vAlign w:val="bottom"/>
            <w:gridSpan w:val="2"/>
          </w:tcPr>
          <w:p>
            <w:pPr>
              <w:jc w:val="center"/>
              <w:ind w:right="4140"/>
              <w:spacing w:after="0"/>
              <w:rPr>
                <w:sz w:val="20"/>
                <w:szCs w:val="20"/>
                <w:color w:val="auto"/>
              </w:rPr>
            </w:pPr>
            <w:r>
              <w:rPr>
                <w:rFonts w:ascii="Arial" w:cs="Arial" w:eastAsia="Arial" w:hAnsi="Arial"/>
                <w:sz w:val="16"/>
                <w:szCs w:val="16"/>
                <w:b w:val="1"/>
                <w:bCs w:val="1"/>
                <w:color w:val="auto"/>
                <w:w w:val="84"/>
              </w:rPr>
              <w:t>Class</w:t>
            </w:r>
          </w:p>
        </w:tc>
        <w:tc>
          <w:tcPr>
            <w:tcW w:w="3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Outstanding at April 28, 2017</w:t>
            </w:r>
          </w:p>
        </w:tc>
      </w:tr>
      <w:tr>
        <w:trPr>
          <w:trHeight w:val="20"/>
        </w:trPr>
        <w:tc>
          <w:tcPr>
            <w:tcW w:w="3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5"/>
        </w:trPr>
        <w:tc>
          <w:tcPr>
            <w:tcW w:w="8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Ordinary shares, $1.00 par value per share</w:t>
            </w:r>
          </w:p>
        </w:tc>
        <w:tc>
          <w:tcPr>
            <w:tcW w:w="24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466,592,009</w:t>
            </w:r>
          </w:p>
        </w:tc>
        <w:tc>
          <w:tcPr>
            <w:tcW w:w="560" w:type="dxa"/>
            <w:vAlign w:val="bottom"/>
          </w:tcPr>
          <w:p>
            <w:pPr>
              <w:spacing w:after="0"/>
              <w:rPr>
                <w:sz w:val="24"/>
                <w:szCs w:val="24"/>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6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I—Financial Information</w:t>
              </w:r>
            </w:hyperlink>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 Financial Statements (unaudited)</w:t>
              </w:r>
            </w:hyperlink>
          </w:p>
        </w:tc>
        <w:tc>
          <w:tcPr>
            <w:tcW w:w="23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7"/>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w:t>
              </w:r>
            </w:hyperlink>
          </w:p>
        </w:tc>
        <w:tc>
          <w:tcPr>
            <w:tcW w:w="5220" w:type="dxa"/>
            <w:vAlign w:val="bottom"/>
            <w:gridSpan w:val="6"/>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Comprehensive Income</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23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 Management’s Discussion and Analysis of Financial Condition and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50"/>
        </w:trPr>
        <w:tc>
          <w:tcPr>
            <w:tcW w:w="6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660" w:type="dxa"/>
            <w:vAlign w:val="bottom"/>
            <w:tcBorders>
              <w:top w:val="single" w:sz="8" w:color="0000FF"/>
            </w:tcBorders>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Business Outlook</w:t>
              </w:r>
            </w:hyperlink>
          </w:p>
        </w:tc>
        <w:tc>
          <w:tcPr>
            <w:tcW w:w="198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Consolidated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top w:val="single" w:sz="8" w:color="0000FF"/>
            </w:tcBorders>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Segment Results of Operations</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Inbound Orders and Order Backlog</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Liquidity and Capital Resources</w:t>
              </w:r>
            </w:hyperlink>
          </w:p>
        </w:tc>
        <w:tc>
          <w:tcPr>
            <w:tcW w:w="6300" w:type="dxa"/>
            <w:vAlign w:val="bottom"/>
            <w:gridSpan w:val="12"/>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Critical Accounting Estimates</w:t>
              </w:r>
            </w:hyperlink>
          </w:p>
        </w:tc>
        <w:tc>
          <w:tcPr>
            <w:tcW w:w="6400" w:type="dxa"/>
            <w:vAlign w:val="bottom"/>
            <w:gridSpan w:val="1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Off-Balance Sheet Arrangements</w:t>
              </w:r>
            </w:hyperlink>
          </w:p>
        </w:tc>
        <w:tc>
          <w:tcPr>
            <w:tcW w:w="234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0000EE"/>
              <w:bottom w:val="single" w:sz="8" w:color="0000FF"/>
            </w:tcBorders>
            <w:gridSpan w:val="3"/>
          </w:tcPr>
          <w:p>
            <w:pPr>
              <w:spacing w:after="0"/>
              <w:rPr>
                <w:sz w:val="20"/>
                <w:szCs w:val="20"/>
                <w:color w:val="auto"/>
              </w:rPr>
            </w:pPr>
            <w:r>
              <w:rPr>
                <w:rFonts w:ascii="Arial" w:cs="Arial" w:eastAsia="Arial" w:hAnsi="Arial"/>
                <w:sz w:val="18"/>
                <w:szCs w:val="18"/>
                <w:color w:val="0000FF"/>
                <w:w w:val="90"/>
              </w:rPr>
              <w:t>Other Matters</w:t>
            </w:r>
          </w:p>
        </w:tc>
        <w:tc>
          <w:tcPr>
            <w:tcW w:w="1380" w:type="dxa"/>
            <w:vAlign w:val="bottom"/>
            <w:tcBorders>
              <w:top w:val="single" w:sz="8" w:color="0000EE"/>
            </w:tcBorders>
            <w:gridSpan w:val="9"/>
          </w:tcPr>
          <w:p>
            <w:pPr>
              <w:spacing w:after="0"/>
              <w:rPr>
                <w:sz w:val="21"/>
                <w:szCs w:val="21"/>
                <w:color w:val="auto"/>
              </w:rPr>
            </w:pPr>
          </w:p>
        </w:tc>
        <w:tc>
          <w:tcPr>
            <w:tcW w:w="6240" w:type="dxa"/>
            <w:vAlign w:val="bottom"/>
            <w:gridSpan w:val="11"/>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Recently Issued Accounting Standards</w:t>
            </w:r>
          </w:p>
        </w:tc>
        <w:tc>
          <w:tcPr>
            <w:tcW w:w="5840" w:type="dxa"/>
            <w:vAlign w:val="bottom"/>
            <w:gridSpan w:val="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3. Quantitative and Qualitative Disclosures About Market Risk</w:t>
              </w:r>
            </w:hyperlink>
          </w:p>
        </w:tc>
        <w:tc>
          <w:tcPr>
            <w:tcW w:w="23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50"/>
        </w:trPr>
        <w:tc>
          <w:tcPr>
            <w:tcW w:w="60" w:type="dxa"/>
            <w:vAlign w:val="bottom"/>
          </w:tcPr>
          <w:p>
            <w:pPr>
              <w:spacing w:after="0"/>
              <w:rPr>
                <w:sz w:val="21"/>
                <w:szCs w:val="21"/>
                <w:color w:val="auto"/>
              </w:rPr>
            </w:pPr>
          </w:p>
        </w:tc>
        <w:tc>
          <w:tcPr>
            <w:tcW w:w="2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Item 4. Controls and Procedures</w:t>
              </w:r>
            </w:hyperlink>
          </w:p>
        </w:tc>
        <w:tc>
          <w:tcPr>
            <w:tcW w:w="2620" w:type="dxa"/>
            <w:vAlign w:val="bottom"/>
            <w:tcBorders>
              <w:top w:val="single" w:sz="8" w:color="0000FF"/>
            </w:tcBorders>
            <w:gridSpan w:val="12"/>
          </w:tcPr>
          <w:p>
            <w:pPr>
              <w:spacing w:after="0"/>
              <w:rPr>
                <w:sz w:val="21"/>
                <w:szCs w:val="21"/>
                <w:color w:val="auto"/>
              </w:rPr>
            </w:pPr>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60" w:type="dxa"/>
            <w:vAlign w:val="bottom"/>
          </w:tcPr>
          <w:p>
            <w:pPr>
              <w:spacing w:after="0"/>
              <w:rPr>
                <w:sz w:val="21"/>
                <w:szCs w:val="21"/>
                <w:color w:val="auto"/>
              </w:rPr>
            </w:pPr>
          </w:p>
        </w:tc>
        <w:tc>
          <w:tcPr>
            <w:tcW w:w="2260" w:type="dxa"/>
            <w:vAlign w:val="bottom"/>
            <w:tcBorders>
              <w:bottom w:val="single" w:sz="8" w:color="0000FF"/>
            </w:tcBorders>
            <w:gridSpan w:val="8"/>
          </w:tcPr>
          <w:p>
            <w:pPr>
              <w:spacing w:after="0"/>
              <w:rPr>
                <w:rFonts w:ascii="Arial" w:cs="Arial" w:eastAsia="Arial" w:hAnsi="Arial"/>
                <w:sz w:val="18"/>
                <w:szCs w:val="18"/>
                <w:b w:val="1"/>
                <w:bCs w:val="1"/>
                <w:color w:val="0000FF"/>
                <w:w w:val="95"/>
              </w:rPr>
            </w:pPr>
            <w:hyperlink w:anchor="page51">
              <w:r>
                <w:rPr>
                  <w:rFonts w:ascii="Arial" w:cs="Arial" w:eastAsia="Arial" w:hAnsi="Arial"/>
                  <w:sz w:val="18"/>
                  <w:szCs w:val="18"/>
                  <w:b w:val="1"/>
                  <w:bCs w:val="1"/>
                  <w:color w:val="0000FF"/>
                  <w:w w:val="95"/>
                </w:rPr>
                <w:t>PART II—Other Information</w:t>
              </w:r>
            </w:hyperlink>
          </w:p>
        </w:tc>
        <w:tc>
          <w:tcPr>
            <w:tcW w:w="6700" w:type="dxa"/>
            <w:vAlign w:val="bottom"/>
            <w:gridSpan w:val="16"/>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 Legal Proceedings</w:t>
              </w:r>
            </w:hyperlink>
          </w:p>
        </w:tc>
        <w:tc>
          <w:tcPr>
            <w:tcW w:w="234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50"/>
        </w:trPr>
        <w:tc>
          <w:tcPr>
            <w:tcW w:w="60" w:type="dxa"/>
            <w:vAlign w:val="bottom"/>
          </w:tcPr>
          <w:p>
            <w:pPr>
              <w:spacing w:after="0"/>
              <w:rPr>
                <w:sz w:val="21"/>
                <w:szCs w:val="21"/>
                <w:color w:val="auto"/>
              </w:rPr>
            </w:pPr>
          </w:p>
        </w:tc>
        <w:tc>
          <w:tcPr>
            <w:tcW w:w="1860" w:type="dxa"/>
            <w:vAlign w:val="bottom"/>
            <w:tcBorders>
              <w:top w:val="single" w:sz="8" w:color="0000FF"/>
            </w:tcBorders>
            <w:gridSpan w:val="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1A. Risk Factors</w:t>
              </w:r>
            </w:hyperlink>
          </w:p>
        </w:tc>
        <w:tc>
          <w:tcPr>
            <w:tcW w:w="7100" w:type="dxa"/>
            <w:vAlign w:val="bottom"/>
            <w:gridSpan w:val="17"/>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2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Item 2. Unregistered Sales of Equity Securities and Use of Proceeds</w:t>
              </w:r>
            </w:hyperlink>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r>
      <w:tr>
        <w:trPr>
          <w:trHeight w:val="250"/>
        </w:trPr>
        <w:tc>
          <w:tcPr>
            <w:tcW w:w="60" w:type="dxa"/>
            <w:vAlign w:val="bottom"/>
          </w:tcPr>
          <w:p>
            <w:pPr>
              <w:spacing w:after="0"/>
              <w:rPr>
                <w:sz w:val="21"/>
                <w:szCs w:val="21"/>
                <w:color w:val="auto"/>
              </w:rPr>
            </w:pPr>
          </w:p>
        </w:tc>
        <w:tc>
          <w:tcPr>
            <w:tcW w:w="28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Item 3. Defaults Upon Senior Securities</w:t>
              </w:r>
            </w:hyperlink>
          </w:p>
        </w:tc>
        <w:tc>
          <w:tcPr>
            <w:tcW w:w="6100" w:type="dxa"/>
            <w:vAlign w:val="bottom"/>
            <w:gridSpan w:val="10"/>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r>
      <w:tr>
        <w:trPr>
          <w:trHeight w:val="250"/>
        </w:trPr>
        <w:tc>
          <w:tcPr>
            <w:tcW w:w="60" w:type="dxa"/>
            <w:vAlign w:val="bottom"/>
          </w:tcPr>
          <w:p>
            <w:pPr>
              <w:spacing w:after="0"/>
              <w:rPr>
                <w:sz w:val="21"/>
                <w:szCs w:val="21"/>
                <w:color w:val="auto"/>
              </w:rPr>
            </w:pPr>
          </w:p>
        </w:tc>
        <w:tc>
          <w:tcPr>
            <w:tcW w:w="23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Item 4. Mine Safety Disclosures</w:t>
              </w:r>
            </w:hyperlink>
          </w:p>
        </w:tc>
        <w:tc>
          <w:tcPr>
            <w:tcW w:w="6660" w:type="dxa"/>
            <w:vAlign w:val="bottom"/>
            <w:gridSpan w:val="15"/>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5. Other Information</w:t>
              </w:r>
            </w:hyperlink>
          </w:p>
        </w:tc>
        <w:tc>
          <w:tcPr>
            <w:tcW w:w="2340" w:type="dxa"/>
            <w:vAlign w:val="bottom"/>
            <w:gridSpan w:val="4"/>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50"/>
        </w:trPr>
        <w:tc>
          <w:tcPr>
            <w:tcW w:w="60" w:type="dxa"/>
            <w:vAlign w:val="bottom"/>
          </w:tcPr>
          <w:p>
            <w:pPr>
              <w:spacing w:after="0"/>
              <w:rPr>
                <w:sz w:val="21"/>
                <w:szCs w:val="21"/>
                <w:color w:val="auto"/>
              </w:rPr>
            </w:pP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6. Exhibits</w:t>
              </w:r>
            </w:hyperlink>
          </w:p>
        </w:tc>
        <w:tc>
          <w:tcPr>
            <w:tcW w:w="7120" w:type="dxa"/>
            <w:vAlign w:val="bottom"/>
            <w:gridSpan w:val="1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r>
      <w:tr>
        <w:trPr>
          <w:trHeight w:val="507"/>
        </w:trPr>
        <w:tc>
          <w:tcPr>
            <w:tcW w:w="60" w:type="dxa"/>
            <w:vAlign w:val="bottom"/>
          </w:tcPr>
          <w:p>
            <w:pPr>
              <w:spacing w:after="0"/>
              <w:rPr>
                <w:sz w:val="24"/>
                <w:szCs w:val="24"/>
                <w:color w:val="auto"/>
              </w:rPr>
            </w:pPr>
          </w:p>
        </w:tc>
        <w:tc>
          <w:tcPr>
            <w:tcW w:w="1120" w:type="dxa"/>
            <w:vAlig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ight="12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Quarterly Report on Form 10-Q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23"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implement new technologies and services, as well as our ability to protect and maintain critical intellectual property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pay dividends or repurchase shares in accordance with our announced capital allocation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tax liabilities, or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13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lease and other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and impairment expense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Merger transaction and integration costs (Note 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equity affiliates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net interest expense and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3"/>
          <w:szCs w:val="13"/>
          <w:color w:val="auto"/>
        </w:rPr>
        <w:t>Earnings per share attributable to TechnipFMC plc (Note 4):</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shares outstanding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528"/>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2,791.8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2,378.2</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27.5</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2,405.7</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1,983.9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35.7</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2,209.3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208.1</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194.8</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147.3</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98"/>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118.2</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124.4</w:t>
            </w:r>
          </w:p>
        </w:tc>
      </w:tr>
    </w:tbl>
    <w:p>
      <w:pPr>
        <w:spacing w:after="0" w:line="160" w:lineRule="exact"/>
        <w:rPr>
          <w:sz w:val="20"/>
          <w:szCs w:val="20"/>
          <w:color w:val="auto"/>
        </w:rPr>
      </w:pPr>
    </w:p>
    <w:p>
      <w:pPr>
        <w:sectPr>
          <w:pgSz w:w="11900" w:h="16838" w:orient="portrait"/>
          <w:cols w:equalWidth="0" w:num="2">
            <w:col w:w="8440" w:space="720"/>
            <w:col w:w="22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80"/>
        </w:trPr>
        <w:tc>
          <w:tcPr>
            <w:tcW w:w="85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Foreign currency translation adjustments </w:t>
            </w:r>
            <w:r>
              <w:rPr>
                <w:rFonts w:ascii="Arial" w:cs="Arial" w:eastAsia="Arial" w:hAnsi="Arial"/>
                <w:sz w:val="8"/>
                <w:szCs w:val="8"/>
                <w:color w:val="auto"/>
              </w:rPr>
              <w:t>(1)</w:t>
            </w:r>
          </w:p>
        </w:tc>
        <w:tc>
          <w:tcPr>
            <w:tcW w:w="4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43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380"/>
              <w:spacing w:after="0"/>
              <w:rPr>
                <w:sz w:val="20"/>
                <w:szCs w:val="20"/>
                <w:color w:val="auto"/>
              </w:rPr>
            </w:pPr>
            <w:r>
              <w:rPr>
                <w:rFonts w:ascii="Arial" w:cs="Arial" w:eastAsia="Arial" w:hAnsi="Arial"/>
                <w:sz w:val="14"/>
                <w:szCs w:val="14"/>
                <w:color w:val="auto"/>
                <w:w w:val="99"/>
              </w:rPr>
              <w:t>Net unrealized gains (losses) on available-for-sale securities:</w:t>
            </w:r>
          </w:p>
        </w:tc>
        <w:tc>
          <w:tcPr>
            <w:tcW w:w="4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unrealized gains arising during the period</w:t>
            </w:r>
          </w:p>
        </w:tc>
        <w:tc>
          <w:tcPr>
            <w:tcW w:w="4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gridSpan w:val="3"/>
          </w:tcPr>
          <w:p>
            <w:pPr>
              <w:ind w:left="72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tcBorders>
              <w:top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w w:val="92"/>
              </w:rPr>
              <w:t xml:space="preserve">Net unrealized gains on available-for-sale securities </w:t>
            </w:r>
            <w:r>
              <w:rPr>
                <w:rFonts w:ascii="Arial" w:cs="Arial" w:eastAsia="Arial" w:hAnsi="Arial"/>
                <w:sz w:val="8"/>
                <w:szCs w:val="8"/>
                <w:color w:val="auto"/>
                <w:w w:val="92"/>
              </w:rPr>
              <w:t>(2)</w:t>
            </w:r>
          </w:p>
        </w:tc>
        <w:tc>
          <w:tcPr>
            <w:tcW w:w="43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380"/>
              <w:spacing w:after="0"/>
              <w:rPr>
                <w:sz w:val="20"/>
                <w:szCs w:val="20"/>
                <w:color w:val="auto"/>
              </w:rPr>
            </w:pPr>
            <w:r>
              <w:rPr>
                <w:rFonts w:ascii="Arial" w:cs="Arial" w:eastAsia="Arial" w:hAnsi="Arial"/>
                <w:sz w:val="14"/>
                <w:szCs w:val="14"/>
                <w:color w:val="auto"/>
              </w:rPr>
              <w:t>Net gains (losses) on hedging instruments:</w:t>
            </w:r>
          </w:p>
        </w:tc>
        <w:tc>
          <w:tcPr>
            <w:tcW w:w="4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gains arising during the period</w:t>
            </w:r>
          </w:p>
        </w:tc>
        <w:tc>
          <w:tcPr>
            <w:tcW w:w="4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gridSpan w:val="3"/>
          </w:tcPr>
          <w:p>
            <w:pPr>
              <w:ind w:left="72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434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 xml:space="preserve">Net gains (losses) on hedging instruments </w:t>
            </w:r>
            <w:r>
              <w:rPr>
                <w:rFonts w:ascii="Arial" w:cs="Arial" w:eastAsia="Arial" w:hAnsi="Arial"/>
                <w:sz w:val="8"/>
                <w:szCs w:val="8"/>
                <w:color w:val="auto"/>
              </w:rPr>
              <w:t>(3)</w:t>
            </w:r>
          </w:p>
        </w:tc>
        <w:tc>
          <w:tcPr>
            <w:tcW w:w="4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380"/>
              <w:spacing w:after="0"/>
              <w:rPr>
                <w:sz w:val="20"/>
                <w:szCs w:val="20"/>
                <w:color w:val="auto"/>
              </w:rPr>
            </w:pPr>
            <w:r>
              <w:rPr>
                <w:rFonts w:ascii="Arial" w:cs="Arial" w:eastAsia="Arial" w:hAnsi="Arial"/>
                <w:sz w:val="14"/>
                <w:szCs w:val="14"/>
                <w:color w:val="auto"/>
              </w:rPr>
              <w:t>Pension and other post-retirement benefits:</w:t>
            </w:r>
          </w:p>
        </w:tc>
        <w:tc>
          <w:tcPr>
            <w:tcW w:w="4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0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gridSpan w:val="3"/>
          </w:tcPr>
          <w:p>
            <w:pPr>
              <w:ind w:left="72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434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1040"/>
              <w:spacing w:after="0"/>
              <w:rPr>
                <w:sz w:val="20"/>
                <w:szCs w:val="20"/>
                <w:color w:val="auto"/>
              </w:rPr>
            </w:pPr>
            <w:r>
              <w:rPr>
                <w:rFonts w:ascii="Arial" w:cs="Arial" w:eastAsia="Arial" w:hAnsi="Arial"/>
                <w:sz w:val="14"/>
                <w:szCs w:val="14"/>
                <w:color w:val="auto"/>
                <w:w w:val="92"/>
              </w:rPr>
              <w:t>Net pension and other post-retirement benefits (costs)</w:t>
            </w:r>
          </w:p>
        </w:tc>
        <w:tc>
          <w:tcPr>
            <w:tcW w:w="4340" w:type="dxa"/>
            <w:vAlign w:val="bottom"/>
            <w:shd w:val="clear" w:color="auto" w:fill="CCEEFF"/>
          </w:tcPr>
          <w:p>
            <w:pPr>
              <w:jc w:val="right"/>
              <w:ind w:right="4182"/>
              <w:spacing w:after="0"/>
              <w:rPr>
                <w:sz w:val="20"/>
                <w:szCs w:val="20"/>
                <w:color w:val="auto"/>
              </w:rPr>
            </w:pPr>
            <w:r>
              <w:rPr>
                <w:rFonts w:ascii="Arial" w:cs="Arial" w:eastAsia="Arial" w:hAnsi="Arial"/>
                <w:sz w:val="9"/>
                <w:szCs w:val="9"/>
                <w:color w:val="auto"/>
                <w:w w:val="72"/>
              </w:rPr>
              <w:t>(4)</w:t>
            </w:r>
          </w:p>
        </w:tc>
        <w:tc>
          <w:tcPr>
            <w:tcW w:w="5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4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40"/>
              <w:spacing w:after="0"/>
              <w:rPr>
                <w:sz w:val="20"/>
                <w:szCs w:val="20"/>
                <w:color w:val="auto"/>
              </w:rPr>
            </w:pPr>
            <w:r>
              <w:rPr>
                <w:rFonts w:ascii="Arial" w:cs="Arial" w:eastAsia="Arial" w:hAnsi="Arial"/>
                <w:sz w:val="14"/>
                <w:szCs w:val="14"/>
                <w:color w:val="auto"/>
                <w:w w:val="98"/>
              </w:rPr>
              <w:t>Comprehensive (income) loss attributable to noncontrolling interest</w:t>
            </w:r>
          </w:p>
        </w:tc>
        <w:tc>
          <w:tcPr>
            <w:tcW w:w="4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434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TechnipFMC plc</w:t>
            </w:r>
          </w:p>
        </w:tc>
        <w:tc>
          <w:tcPr>
            <w:tcW w:w="48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4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$(0.7) and nil for the three months ended March 31, 2017 and 2016, respectively.</w:t>
      </w:r>
    </w:p>
    <w:p>
      <w:pPr>
        <w:spacing w:after="0" w:line="13" w:lineRule="exact"/>
        <w:rPr>
          <w:rFonts w:ascii="Arial" w:cs="Arial" w:eastAsia="Arial" w:hAnsi="Arial"/>
          <w:sz w:val="9"/>
          <w:szCs w:val="9"/>
          <w:color w:val="auto"/>
        </w:rPr>
      </w:pPr>
    </w:p>
    <w:p>
      <w:pPr>
        <w:ind w:left="500" w:hanging="492"/>
        <w:spacing w:after="0"/>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nil and nil for the three months ended March 31, 2017 and 2016, respectively.</w:t>
      </w:r>
    </w:p>
    <w:p>
      <w:pPr>
        <w:spacing w:after="0" w:line="1" w:lineRule="exact"/>
        <w:rPr>
          <w:rFonts w:ascii="Arial" w:cs="Arial" w:eastAsia="Arial" w:hAnsi="Arial"/>
          <w:sz w:val="9"/>
          <w:szCs w:val="9"/>
          <w:color w:val="auto"/>
        </w:rPr>
      </w:pPr>
    </w:p>
    <w:p>
      <w:pPr>
        <w:ind w:left="500" w:hanging="492"/>
        <w:spacing w:after="0"/>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$(18.6) and $(7.6) for the three months ended March 31, 2017 and 2016, respectively.</w:t>
      </w:r>
    </w:p>
    <w:p>
      <w:pPr>
        <w:spacing w:after="0" w:line="1" w:lineRule="exact"/>
        <w:rPr>
          <w:rFonts w:ascii="Arial" w:cs="Arial" w:eastAsia="Arial" w:hAnsi="Arial"/>
          <w:sz w:val="9"/>
          <w:szCs w:val="9"/>
          <w:color w:val="auto"/>
        </w:rPr>
      </w:pPr>
    </w:p>
    <w:p>
      <w:pPr>
        <w:ind w:left="500" w:hanging="492"/>
        <w:spacing w:after="0"/>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$0.2 and $0.1 for the three months ended March 31, 2017 and 2016, respectively.</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BALANCE SHEETS (UNAUDITED)</w:t>
      </w:r>
    </w:p>
    <w:p>
      <w:pPr>
        <w:sectPr>
          <w:pgSz w:w="11900" w:h="16838" w:orient="portrait"/>
          <w:cols w:equalWidth="0" w:num="1">
            <w:col w:w="11060"/>
          </w:cols>
          <w:pgMar w:left="240" w:top="121" w:right="599" w:bottom="1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148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Trade receivables, net of allowances of $104.2 in 2017 and $85.6 in 2016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 net (Note 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Advances paid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assets (Note 7)</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 in equity affiliates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Property, plant and equipment, net of accumulated depreciation of $1,765.0 in 2017 and $1,691.8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01484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 of accumulated amortization of $319.5 in 2017 and $245.9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4845"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6"/>
              </w:rPr>
              <w:t>December 31, 2016</w:t>
            </w:r>
          </w:p>
        </w:tc>
      </w:tr>
      <w:tr>
        <w:trPr>
          <w:trHeight w:val="79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7,041.7</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6,269.3</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2,433.3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2,024.5</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1,036.8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485.8</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334.7</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47.2</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265.0</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711.5</w:t>
            </w:r>
          </w:p>
        </w:tc>
      </w:tr>
      <w:tr>
        <w:trPr>
          <w:trHeight w:val="276"/>
        </w:trPr>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799.2</w:t>
            </w:r>
          </w:p>
        </w:tc>
      </w:tr>
      <w:tr>
        <w:trPr>
          <w:trHeight w:val="244"/>
        </w:trPr>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13,734.8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10,937.2</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177.8</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3,975.5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2,620.1</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9,023.6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3,718.3</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255.4</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549.3</w:t>
            </w:r>
          </w:p>
        </w:tc>
      </w:tr>
      <w:tr>
        <w:trPr>
          <w:trHeight w:val="270"/>
        </w:trPr>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190.8</w:t>
            </w:r>
          </w:p>
        </w:tc>
      </w:tr>
      <w:tr>
        <w:trPr>
          <w:trHeight w:val="276"/>
        </w:trPr>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250.2</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29,570.5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18,699.1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680" w:space="720"/>
            <w:col w:w="2660"/>
          </w:cols>
          <w:pgMar w:left="240" w:top="121" w:right="599" w:bottom="1111" w:gutter="0" w:footer="0" w:header="0"/>
          <w:type w:val="continuous"/>
        </w:sectPr>
      </w:pPr>
    </w:p>
    <w:p>
      <w:pPr>
        <w:ind w:left="40"/>
        <w:spacing w:after="0"/>
        <w:rPr>
          <w:sz w:val="20"/>
          <w:szCs w:val="20"/>
          <w:color w:val="auto"/>
        </w:rPr>
      </w:pPr>
      <w:r>
        <w:rPr>
          <w:rFonts w:ascii="Arial" w:cs="Arial" w:eastAsia="Arial" w:hAnsi="Arial"/>
          <w:sz w:val="14"/>
          <w:szCs w:val="14"/>
          <w:color w:val="auto"/>
        </w:rPr>
        <w:t>Short-term debt and current portion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Billings in excess of costs and estimated earnings on uncompleted contracts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liabilities (Note 9)</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less current portion (Note 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pension and other post-retirement benefits,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liabilities (Note 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contingent liabilities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 (Note 13):</w:t>
      </w:r>
    </w:p>
    <w:p>
      <w:pPr>
        <w:spacing w:after="0" w:line="109" w:lineRule="exact"/>
        <w:rPr>
          <w:sz w:val="20"/>
          <w:szCs w:val="20"/>
          <w:color w:val="auto"/>
        </w:rPr>
      </w:pPr>
    </w:p>
    <w:p>
      <w:pPr>
        <w:ind w:left="40"/>
        <w:spacing w:after="0" w:line="238" w:lineRule="auto"/>
        <w:rPr>
          <w:sz w:val="20"/>
          <w:szCs w:val="20"/>
          <w:color w:val="auto"/>
        </w:rPr>
      </w:pPr>
      <w:r>
        <w:rPr>
          <w:rFonts w:ascii="Arial" w:cs="Arial" w:eastAsia="Arial" w:hAnsi="Arial"/>
          <w:sz w:val="14"/>
          <w:szCs w:val="14"/>
          <w:color w:val="auto"/>
        </w:rPr>
        <w:t>Ordinary shares, $1.00 par value and €0.7625 in 2017 and 2016, respectively; 525.0 shares and 119.2 shares authorized in 2017 and 2016, respectively; 347.4 shares and 3.3 shares issued in 2017 and 2016, respectively; no shares and 3.2 shares canceled in 2017 and 2016, respectively; 466.6 and 118.9 shares outstanding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148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Ordinary shares held in employee benefit trust, at cost; 0.1 shares in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stock, at cost; no shares and 0.3 shares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in excess of par value of ordinary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TechnipFMC plc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499.0</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683.6</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4,131.5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3,837.7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411.1</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3,478.7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3,364.5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183.0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317.5</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1,825.3</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11,497.0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10,930.4</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3,082.8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1,869.3</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160.0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114.7</w:t>
            </w:r>
          </w:p>
        </w:tc>
      </w:tr>
      <w:tr>
        <w:trPr>
          <w:trHeight w:val="270"/>
        </w:trPr>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10,507.6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2,694.7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2,992.2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2,801.4</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(475.2)</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5,091.1</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50"/>
        </w:trPr>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13,559.2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5,079.4</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29,570.5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18,699.1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980" w:space="420"/>
            <w:col w:w="2660"/>
          </w:cols>
          <w:pgMar w:left="240" w:top="121" w:right="599" w:bottom="1111" w:gutter="0" w:footer="0" w:header="0"/>
          <w:type w:val="continuous"/>
        </w:sectPr>
      </w:pPr>
    </w:p>
    <w:p>
      <w:pPr>
        <w:ind w:left="2240"/>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060"/>
          </w:cols>
          <w:pgMar w:left="240" w:top="121" w:right="599" w:bottom="1111" w:gutter="0" w:footer="0" w:header="0"/>
          <w:type w:val="continuous"/>
        </w:sect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60"/>
          </w:cols>
          <w:pgMar w:left="240" w:top="121" w:right="599" w:bottom="111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operating activities: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to cash provided (required)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benefit plan and stock-based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Unrealized loss on derivative instruments and foreign exchange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Impairments (Note 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Trade receivables, net and costs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 payments and billings in excess of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payable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assets and liabilities,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Cash acquired in merger of FMC Technologies, Inc. and Technip S.A. (Note 2)</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financing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increase (decrease)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increase (decrease) in commercial paper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related to taxes withheld on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required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changes in foreign exchange rates on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528"/>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147.3</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42.0</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(91.6)</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7.2</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160.4</w:t>
            </w:r>
          </w:p>
        </w:tc>
      </w:tr>
      <w:tr>
        <w:trPr>
          <w:trHeight w:val="528"/>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0.5</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1,442.9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528"/>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(694.4)</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438.4</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(269.2)</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(231.5)</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6,269.3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3,178.0</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7,041.7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2,946.5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280" w:space="720"/>
            <w:col w:w="2400"/>
          </w:cols>
          <w:pgMar w:left="240" w:top="12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 as of December 31, 2016</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jc w:val="both"/>
        <w:ind w:left="40" w:right="40"/>
        <w:spacing w:after="0" w:line="238" w:lineRule="auto"/>
        <w:rPr>
          <w:sz w:val="20"/>
          <w:szCs w:val="20"/>
          <w:color w:val="auto"/>
        </w:rPr>
      </w:pPr>
      <w:r>
        <w:rPr>
          <w:rFonts w:ascii="Arial" w:cs="Arial" w:eastAsia="Arial" w:hAnsi="Arial"/>
          <w:sz w:val="14"/>
          <w:szCs w:val="14"/>
          <w:color w:val="auto"/>
        </w:rPr>
        <w:t>Issuance of ordinary shares due to the Merger of FMC Technologies and Technip</w:t>
      </w:r>
    </w:p>
    <w:p>
      <w:pPr>
        <w:spacing w:after="0" w:line="21"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Cancellation of treasury stock (Note 13)</w:t>
      </w:r>
    </w:p>
    <w:p>
      <w:pPr>
        <w:spacing w:after="0" w:line="12"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Net sales of ordinary shares for employee benefit trust</w:t>
      </w:r>
    </w:p>
    <w:p>
      <w:pPr>
        <w:spacing w:after="0" w:line="12" w:lineRule="exact"/>
        <w:rPr>
          <w:sz w:val="20"/>
          <w:szCs w:val="20"/>
          <w:color w:val="auto"/>
        </w:rPr>
      </w:pPr>
    </w:p>
    <w:p>
      <w:pPr>
        <w:ind w:left="40" w:right="480"/>
        <w:spacing w:after="0" w:line="253" w:lineRule="auto"/>
        <w:rPr>
          <w:sz w:val="20"/>
          <w:szCs w:val="20"/>
          <w:color w:val="auto"/>
        </w:rPr>
      </w:pPr>
      <w:r>
        <w:rPr>
          <w:rFonts w:ascii="Arial" w:cs="Arial" w:eastAsia="Arial" w:hAnsi="Arial"/>
          <w:sz w:val="14"/>
          <w:szCs w:val="14"/>
          <w:color w:val="auto"/>
        </w:rPr>
        <w:t>Stock-based compensation (Note 16)</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March 31, 2017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Held in</w:t>
            </w:r>
          </w:p>
        </w:tc>
        <w:tc>
          <w:tcPr>
            <w:tcW w:w="14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0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2,694.7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6"/>
              <w:spacing w:after="0"/>
              <w:rPr>
                <w:sz w:val="20"/>
                <w:szCs w:val="20"/>
                <w:color w:val="auto"/>
              </w:rPr>
            </w:pPr>
            <w:r>
              <w:rPr>
                <w:rFonts w:ascii="Arial" w:cs="Arial" w:eastAsia="Arial" w:hAnsi="Arial"/>
                <w:sz w:val="14"/>
                <w:szCs w:val="14"/>
                <w:color w:val="auto"/>
              </w:rPr>
              <w:t>2,801.4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5,079.4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67"/>
              <w:spacing w:after="0"/>
              <w:rPr>
                <w:sz w:val="20"/>
                <w:szCs w:val="20"/>
                <w:color w:val="auto"/>
              </w:rPr>
            </w:pPr>
            <w:r>
              <w:rPr>
                <w:rFonts w:ascii="Arial" w:cs="Arial" w:eastAsia="Arial" w:hAnsi="Arial"/>
                <w:sz w:val="14"/>
                <w:szCs w:val="14"/>
                <w:color w:val="auto"/>
              </w:rPr>
              <w:t>7,825.4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8,170.7</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67"/>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color w:val="auto"/>
              </w:rPr>
              <w:t>466.6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10,507.6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4"/>
                <w:szCs w:val="14"/>
                <w:color w:val="auto"/>
              </w:rPr>
              <w:t>2,992.2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13,559.2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-1860550</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-1517015</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-1028700</wp:posOffset>
            </wp:positionV>
            <wp:extent cx="7229475"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-582295</wp:posOffset>
            </wp:positionV>
            <wp:extent cx="7229475"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-187960</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ectPr>
          <w:pgSz w:w="11900" w:h="16838" w:orient="portrait"/>
          <w:cols w:equalWidth="0" w:num="2">
            <w:col w:w="2060" w:space="140"/>
            <w:col w:w="9200"/>
          </w:cols>
          <w:pgMar w:left="240" w:top="12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w:t>
      </w:r>
    </w:p>
    <w:p>
      <w:pPr>
        <w:spacing w:after="0" w:line="13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2017.</w:t>
      </w:r>
    </w:p>
    <w:p>
      <w:pPr>
        <w:spacing w:after="0" w:line="5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this Quarterly Report on Form 10-Q, we are reporting the results of our operations for the three months ended March 31, 2017,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Since TechnipFMC is the successor company to Technip, we are presenting the results of Technip’s operations for the three months ended March 31, 2016 and the twelve month period ended December 31, 2016. Refer to Note 2 for further information related to the merger of FMC Technologies and Technip.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—These consolidated financial statements include the accounts of TechnipFMC and its majority-owned subsidiaries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are eliminated in consolidation.</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related to income taxes; and estimates related to contingencies, including liquidated damages.</w:t>
      </w:r>
    </w:p>
    <w:p>
      <w:pPr>
        <w:spacing w:after="0" w:line="12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have the ability to exert significant influence over the affiliate’s operating and financial policies. The cost method of accounting is used where significant influence over the affiliate is not present.</w:t>
      </w:r>
    </w:p>
    <w:p>
      <w:pPr>
        <w:ind w:right="8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Business combinations are accounted for using the acquisition method of accounting. Under the acquisition method, assets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based on their estimated fair values. Any excess of the purchase price over the estimated fair values of the net assets acquired is recorded as goodwill.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 related costs are expensed as incurred.</w:t>
      </w:r>
    </w:p>
    <w:p>
      <w:pPr>
        <w:spacing w:after="0" w:line="15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and determinable, and iv) collectability is reasonably assured. We record our sales net of any value added, sales or use tax.</w:t>
      </w:r>
    </w:p>
    <w:p>
      <w:pPr>
        <w:spacing w:after="0" w:line="13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For certain construction-type manufacturing and assembly projects that involve significant design and engineering efforts to satisfy detailed customer specifications, revenue is recognized using the percentage of completion method of accounting. Under the percentage of completion method, revenue is recognized as work progresses on each contract. We apply the ratio of costs incurred to date to total estimated contract costs at completion or </w:t>
      </w:r>
      <w:r>
        <w:rPr>
          <w:rFonts w:ascii="Arial" w:cs="Arial" w:eastAsia="Arial" w:hAnsi="Arial"/>
          <w:sz w:val="17"/>
          <w:szCs w:val="17"/>
          <w:color w:val="231F20"/>
        </w:rPr>
        <w:t>on physical</w:t>
      </w:r>
      <w:r>
        <w:rPr>
          <w:rFonts w:ascii="Arial" w:cs="Arial" w:eastAsia="Arial" w:hAnsi="Arial"/>
          <w:sz w:val="17"/>
          <w:szCs w:val="17"/>
          <w:color w:val="auto"/>
        </w:rPr>
        <w:t xml:space="preserve"> </w:t>
      </w:r>
      <w:r>
        <w:rPr>
          <w:rFonts w:ascii="Arial" w:cs="Arial" w:eastAsia="Arial" w:hAnsi="Arial"/>
          <w:sz w:val="17"/>
          <w:szCs w:val="17"/>
          <w:color w:val="231F20"/>
        </w:rPr>
        <w:t>progress defined for the main deliverables under the contracts</w:t>
      </w:r>
      <w:r>
        <w:rPr>
          <w:rFonts w:ascii="Arial" w:cs="Arial" w:eastAsia="Arial" w:hAnsi="Arial"/>
          <w:sz w:val="17"/>
          <w:szCs w:val="17"/>
          <w:color w:val="000000"/>
        </w:rPr>
        <w:t>. If it is not possible to form a reliable estimate of progress toward completion, no revenue or</w:t>
      </w:r>
      <w:r>
        <w:rPr>
          <w:rFonts w:ascii="Arial" w:cs="Arial" w:eastAsia="Arial" w:hAnsi="Arial"/>
          <w:sz w:val="17"/>
          <w:szCs w:val="17"/>
          <w:color w:val="231F20"/>
        </w:rPr>
        <w:t xml:space="preserve"> </w:t>
      </w:r>
      <w:r>
        <w:rPr>
          <w:rFonts w:ascii="Arial" w:cs="Arial" w:eastAsia="Arial" w:hAnsi="Arial"/>
          <w:sz w:val="17"/>
          <w:szCs w:val="17"/>
          <w:color w:val="000000"/>
        </w:rPr>
        <w:t>costs are recognized until the project is complete or substantially complete. Any expected losses on construction-type contracts in progress are charged to earnings, in total, in the period the losses are identified.</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Progress billings are generally issued upon completion of certain phases of the work as stipulated in the contract. Revenue in excess of progress billings are reported in costs and estimated earnings in excess of billings on uncompleted contracts in our condensed consolidated balance sheets. Progress billings and cash collections in excess of revenue recognized on a contract are classified as billings in excess of costs and estimated earnings on uncompleted contracts and advance payments, respectively, in our condensed consolidated balance sheets. Revenue generated from the installation portion of construction-type contracts is included in service and product revenue in our condensed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—Cash equivalents are highly-liquid, short-term instruments with original maturities of three months or less from their date of purchase.</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receivables balance.</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stated at the lower of cost or net realizable value. Inventory costs include those costs directly attributable to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all manufacturing overhead, but excluding costs to distribute. Cost is determined on the last-in, first-out (“LIFO”) basis for a significant portion of U.S. domiciled inventories. The first-in, first-out (“FIFO”) or weighted average methods are used to determine the cost for most other inventories. Write-down on inventories are recorded when the net realizable value of inventories is lower than their net book value.</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 long-lived asset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is not subject to amortization but is tested for impairment on an annual basis (or more frequently if impairment indicators arise).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established October 31 as the date of our annual test for impairment of goodwill. Reporting units with goodwill are tested for impairment by first assessing qualitative factors to determine whether the existence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impairment test is performed. The first step compares the fair value of the reporting unit (measured as the present value of expected future cash flows) to its carrying amount. If the fair value of the reporting unit is less than its carrying amount, a second step is performed. In this step, the fair value of the reporting unit is allocated to its assets and liabilities to determine the implied fair value of goodwill, which is used to measure the impairment loss.</w:t>
      </w:r>
    </w:p>
    <w:p>
      <w:pPr>
        <w:spacing w:after="0" w:line="13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Debt instruments—</w:t>
      </w:r>
      <w:r>
        <w:rPr>
          <w:rFonts w:ascii="Arial" w:cs="Arial" w:eastAsia="Arial" w:hAnsi="Arial"/>
          <w:sz w:val="18"/>
          <w:szCs w:val="18"/>
          <w:color w:val="231F20"/>
        </w:rPr>
        <w:t>Debt instruments include convertible and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231F20"/>
        </w:rPr>
        <w:t>redemption premium on all debt instruments are included in the cost of debt in the condensed consolidated balance sheets, as an adjustment to the nominal amount of the debt.</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37" w:lineRule="exact"/>
        <w:rPr>
          <w:sz w:val="20"/>
          <w:szCs w:val="20"/>
          <w:color w:val="auto"/>
        </w:rPr>
      </w:pPr>
    </w:p>
    <w:p>
      <w:pPr>
        <w:ind w:left="740" w:hanging="570"/>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rFonts w:ascii="Arial" w:cs="Arial" w:eastAsia="Arial" w:hAnsi="Arial"/>
          <w:sz w:val="18"/>
          <w:szCs w:val="18"/>
          <w:color w:val="auto"/>
        </w:rPr>
      </w:pPr>
    </w:p>
    <w:p>
      <w:pPr>
        <w:ind w:left="740" w:right="2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quoted prices for identical assets or liabilities in inactive markets.</w:t>
      </w:r>
    </w:p>
    <w:p>
      <w:pPr>
        <w:spacing w:after="0" w:line="35" w:lineRule="exact"/>
        <w:rPr>
          <w:rFonts w:ascii="Arial" w:cs="Arial" w:eastAsia="Arial" w:hAnsi="Arial"/>
          <w:sz w:val="18"/>
          <w:szCs w:val="18"/>
          <w:i w:val="1"/>
          <w:iCs w:val="1"/>
          <w:color w:val="auto"/>
        </w:rPr>
      </w:pPr>
    </w:p>
    <w:p>
      <w:pPr>
        <w:ind w:left="74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116"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—Current income taxes are provided on income reported for financial statement purposes, adjusted for transactions that do not enter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 of income taxes payable in the same year. Deferred tax assets and liabilities are measured using enacted tax rates for the expected future tax consequences of temporary differences between the carrying amounts and the tax bases of assets and liabilities. A valuation allowance is established whenever management believes that it is more likely than not that deferred tax assets may not be realizable.</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U.S. income taxes are not provided on our equity in undistributed earnings of foreign subsidiaries or affiliates to the extent we have determined that the earnings are indefinitely reinvested. U.S. income taxes are provided on such earnings in the period in which we can no longer support that such earnings are indefinitely reinvested.</w:t>
      </w:r>
    </w:p>
    <w:p>
      <w:pPr>
        <w:spacing w:after="0" w:line="3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3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Stock-based employee compensation</w:t>
      </w:r>
      <w:r>
        <w:rPr>
          <w:rFonts w:ascii="Arial" w:cs="Arial" w:eastAsia="Arial" w:hAnsi="Arial"/>
          <w:sz w:val="17"/>
          <w:szCs w:val="17"/>
          <w:color w:val="auto"/>
        </w:rPr>
        <w:t>—We measure stock-based compensation expense on restricted stock awards based on the market price at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of shares awarded. We use the Cox Ross Rubinstein binomial model to measure the fair value of stock options granted prior to December 31, 2016 and Black-Scholes options pricing model to measure the fair value of stock options granted since January 1, 2017. The stock-based compensation expense for each award is recognized ratably over the applicable service period, after taking into account estimated forfeitures, or the period beginning at the start of the service period and ending when an employee becomes eligible for retirement.</w:t>
      </w:r>
    </w:p>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Ordinary shares held in employee benefit trust</w:t>
      </w:r>
      <w:r>
        <w:rPr>
          <w:rFonts w:ascii="Arial" w:cs="Arial" w:eastAsia="Arial" w:hAnsi="Arial"/>
          <w:sz w:val="18"/>
          <w:szCs w:val="18"/>
          <w:color w:val="auto"/>
        </w:rPr>
        <w:t>—Our ordinary shares are purchased by the plan administrator of the FMC Technologies, Inc.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and Investment Plan and placed in a trust owned by us. Purchased shares are recorded at cost and classified as a reduction of stockholders’ equity on the condensed consolidated balance sheets.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Treasury shares</w:t>
      </w:r>
      <w:r>
        <w:rPr>
          <w:rFonts w:ascii="Arial" w:cs="Arial" w:eastAsia="Arial" w:hAnsi="Arial"/>
          <w:sz w:val="18"/>
          <w:szCs w:val="18"/>
          <w:color w:val="auto"/>
        </w:rPr>
        <w:t>—Treasury shares are recorded as a reduction to stockholders’ equity using the cost method. Any gain or loss related to the sale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 included in stockholders’ equity.</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Earnings per ordinary share (“EPS”)</w:t>
      </w:r>
      <w:r>
        <w:rPr>
          <w:rFonts w:ascii="Arial" w:cs="Arial" w:eastAsia="Arial" w:hAnsi="Arial"/>
          <w:sz w:val="18"/>
          <w:szCs w:val="18"/>
          <w:color w:val="auto"/>
        </w:rPr>
        <w:t>—Basic EPS is computed using the weighted-average number of ordinary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common shares assumed to be converted as of the issuance date are included to compute diluted EPS under the if-converted method. Additionally the net profit of the period would be adjusted for the after-tax interest expense related to these dilutive shares.</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Foreign currency</w:t>
      </w:r>
      <w:r>
        <w:rPr>
          <w:rFonts w:ascii="Arial" w:cs="Arial" w:eastAsia="Arial" w:hAnsi="Arial"/>
          <w:sz w:val="17"/>
          <w:szCs w:val="17"/>
          <w:color w:val="auto"/>
        </w:rPr>
        <w:t>—Financial statements of operations for which the U.S. dollar is not the functional currency, and are located in non-highly inflationary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condensed consolidated balance sheets at fair value, with classification as current or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3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condensed consolidated statements of income, as they occur and offset gains or losses on the remeasurement of the related asset or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Merger</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Under the acquisition method of accounting, Technip was identified as the accounting acquirer and acquired a 100% interest in FMC Technologies.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Merger of FMC Technologies and Technip (the “Merger”) is expected to create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will bring about the ability of the combined company to (i) standardize its product and service offerings to customers, (ii) reduce costs to customers, and (iii) provide integrated product offerings to the oil and gas industry with the aim of innovating the markets in which the combined company operates.</w:t>
      </w:r>
    </w:p>
    <w:p>
      <w:pPr>
        <w:spacing w:after="0" w:line="1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incurred $54.7 million in merger transaction and integration costs for the three months ended March 31, 2017. No similar costs were incurred for the comparable prior 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FMC Technologies as Accounting Acquiree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0" w:type="dxa"/>
            <w:vAlign w:val="bottom"/>
          </w:tcPr>
          <w:p>
            <w:pPr>
              <w:spacing w:after="0"/>
              <w:rPr>
                <w:sz w:val="22"/>
                <w:szCs w:val="22"/>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FMC Technologies, Inc. shares subject to exchange as of January 16, 2017</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FMC Technologies, Inc. exchange ratio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TechnipFMC issued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Value per share of Technip as of January 16, 2017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71.40</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186"/>
        </w:trPr>
        <w:tc>
          <w:tcPr>
            <w:tcW w:w="20" w:type="dxa"/>
            <w:vAlign w:val="bottom"/>
          </w:tcPr>
          <w:p>
            <w:pPr>
              <w:spacing w:after="0"/>
              <w:rPr>
                <w:sz w:val="16"/>
                <w:szCs w:val="16"/>
                <w:color w:val="auto"/>
              </w:rPr>
            </w:pPr>
          </w:p>
        </w:tc>
        <w:tc>
          <w:tcPr>
            <w:tcW w:w="10140" w:type="dxa"/>
            <w:vAlign w:val="bottom"/>
          </w:tcPr>
          <w:p>
            <w:pPr>
              <w:spacing w:after="0"/>
              <w:rPr>
                <w:sz w:val="20"/>
                <w:szCs w:val="20"/>
                <w:color w:val="auto"/>
              </w:rPr>
            </w:pPr>
            <w:r>
              <w:rPr>
                <w:rFonts w:ascii="Arial" w:cs="Arial" w:eastAsia="Arial" w:hAnsi="Arial"/>
                <w:sz w:val="14"/>
                <w:szCs w:val="14"/>
                <w:b w:val="1"/>
                <w:bCs w:val="1"/>
                <w:color w:val="auto"/>
              </w:rPr>
              <w:t>_______________________</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65" w:lineRule="exact"/>
        <w:rPr>
          <w:sz w:val="20"/>
          <w:szCs w:val="20"/>
          <w:color w:val="auto"/>
        </w:rPr>
      </w:pPr>
    </w:p>
    <w:p>
      <w:pPr>
        <w:ind w:left="660" w:right="420" w:hanging="652"/>
        <w:spacing w:after="0" w:line="246" w:lineRule="auto"/>
        <w:tabs>
          <w:tab w:leader="none" w:pos="660" w:val="left"/>
        </w:tabs>
        <w:numPr>
          <w:ilvl w:val="0"/>
          <w:numId w:val="6"/>
        </w:numPr>
        <w:rPr>
          <w:rFonts w:ascii="Arial" w:cs="Arial" w:eastAsia="Arial" w:hAnsi="Arial"/>
          <w:sz w:val="9"/>
          <w:szCs w:val="9"/>
          <w:color w:val="auto"/>
        </w:rPr>
      </w:pPr>
      <w:r>
        <w:rPr>
          <w:rFonts w:ascii="Arial" w:cs="Arial" w:eastAsia="Arial" w:hAnsi="Arial"/>
          <w:sz w:val="14"/>
          <w:szCs w:val="14"/>
          <w:color w:val="auto"/>
        </w:rPr>
        <w:t>As the calculation is deemed to reflect a share capital increase of the accounting acquirer, the FMC Technologies, Inc. exchange ratio (1 share of TechnipFMC for 1 share of FMC Technologies, Inc.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ind w:left="660" w:hanging="652"/>
        <w:spacing w:after="0"/>
        <w:tabs>
          <w:tab w:leader="none" w:pos="660" w:val="left"/>
        </w:tabs>
        <w:numPr>
          <w:ilvl w:val="0"/>
          <w:numId w:val="6"/>
        </w:numPr>
        <w:rPr>
          <w:rFonts w:ascii="Arial" w:cs="Arial" w:eastAsia="Arial" w:hAnsi="Arial"/>
          <w:sz w:val="8"/>
          <w:szCs w:val="8"/>
          <w:color w:val="auto"/>
        </w:rPr>
      </w:pPr>
      <w:r>
        <w:rPr>
          <w:rFonts w:ascii="Arial" w:cs="Arial" w:eastAsia="Arial" w:hAnsi="Arial"/>
          <w:sz w:val="13"/>
          <w:szCs w:val="13"/>
          <w:color w:val="auto"/>
        </w:rPr>
        <w:t>Closing price of Technip’s ordinary shares on Euronext Paris on January 16, 2017 in Euro converted at the Euro to U.S. dollar exchange rate of $1.0594 on January 16,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at the acquisition date. The Company’s purchase price allocation is subject to revision as additional information about fair value of assets and liabilities becomes available. Additional information that existed as of the acquisition date but at that time was unknown to the Company may become known to the Company during the remainder of the measurement period. The final purchase price allocation will be based on final appraisals and other analysis of fair values of acquired assets and liabilities.</w: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1,479.2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764.8</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1,390.3</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6,888.7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and 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Accounts payable, trade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1,466.6</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433.5</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4,010.0</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2,878.7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5,292.0</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Allocation of Goodwill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is preliminary due to the draft status of the purchase valuation. The allocation to the reporting segments based on the draft valuation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Allocated Goodwill</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1,677.0</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5,292.0</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40" w:type="dxa"/>
            <w:vAlign w:val="bottom"/>
          </w:tcPr>
          <w:p>
            <w:pPr>
              <w:spacing w:after="0"/>
              <w:rPr>
                <w:sz w:val="14"/>
                <w:szCs w:val="14"/>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36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Backlog</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identifiable intangible assets acquired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1,390.3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an operating loss of $739.4 million and $80.9 million, respectively, for the period from January 17, 2017 through March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Impact of the Merger (unaudited)</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unaudited supplemental pro forma results present consolidated information as if 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three months ended March 31, 2017 was also used to calculate the diluted earnings per share for the three months ended March 31,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Pr>
          <w:p>
            <w:pPr>
              <w:spacing w:after="0"/>
              <w:rPr>
                <w:sz w:val="13"/>
                <w:szCs w:val="13"/>
                <w:color w:val="auto"/>
              </w:rPr>
            </w:pPr>
          </w:p>
        </w:tc>
        <w:tc>
          <w:tcPr>
            <w:tcW w:w="11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6"/>
                <w:szCs w:val="16"/>
                <w:color w:val="auto"/>
              </w:rPr>
            </w:pPr>
          </w:p>
        </w:tc>
        <w:tc>
          <w:tcPr>
            <w:tcW w:w="1140" w:type="dxa"/>
            <w:vAlign w:val="bottom"/>
          </w:tcPr>
          <w:p>
            <w:pPr>
              <w:jc w:val="right"/>
              <w:ind w:right="257"/>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TechnipFMC</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2017, we adopted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Among other amendments, this update requires that excess tax benefits or deficiencies be recognized as income tax expense or benefit in the 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We elected to retrospectively classify excess tax benefits and deficiencies as operating activity and these amounts, which were immaterial for all periods presented, are reflected in the income taxes payable, net line item in the accompanying condensed consolidated statement of cash flows. In addition, we elected to continue to estimate forfeitures on the grant date to account for the estimated number of awards for which the requisite service period will not be rendered. The adoption of this update did not have a material impact on our consolidated financial statements.</w:t>
      </w:r>
    </w:p>
    <w:p>
      <w:pPr>
        <w:spacing w:after="0" w:line="166"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Effective January 1, 2017, we adopted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This update requires in scope inventory to be measured at the lower of cost or net realizable value rather than at the lower of cost or market under existing guidance. We adopted the updated guidance prospectively. The adoption of this update did not have a material impact on our consolidated financial statements.</w:t>
      </w:r>
    </w:p>
    <w:p>
      <w:pPr>
        <w:spacing w:after="0" w:line="1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Effective January 1, 2017, we adopted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update states that substantial doubt exists if it is probable that an entity will be unable to meet its current and future obligations. Disclosures are required if conditions give rise to substantial doubt. However, management will need to assess if its plans will alleviate substantial doubt to determine the specific disclosures. We adopted this guidance prospectively. The adoption of this update concerns disclosure only as it relates to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 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 and have not yet determined which transition method we will utilize upon adoption on the effective date.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exit price notion when measuring the fair value of financial instruments for disclosure purposes. The amendments in this ASU are effective for us on January 1, 2018. All amendments are required to be adopted on a modified retrospective basis, with two exceptions. The amendments related to equity investments without readily determinable fair values and the requirement to use exit price notion are required to be adopted prospectively. Early adoption is not permitted. We are currently evaluating the impact of this ASU on our consolidated financial statements.</w:t>
      </w:r>
    </w:p>
    <w:p>
      <w:pPr>
        <w:spacing w:after="0" w:line="11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w:t>
      </w:r>
      <w:r>
        <w:rPr>
          <w:rFonts w:ascii="Arial" w:cs="Arial" w:eastAsia="Arial" w:hAnsi="Arial"/>
          <w:sz w:val="17"/>
          <w:szCs w:val="17"/>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August 2016, the FASB issued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effective for us on January 1, 2018 and are required to be adopted retrospectively. For issues that are impracticable to adopt retrospectively, the amendments may be adopted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prospectively as of the earliest date practicable. Early adoption is permitted. We are currently evaluating the impact of this ASU on our consolidated statements of cash flows.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adoption is permitted. We are currently evaluating the impact of this ASU on our consolidated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effective for us on January 1, 2018 and are required to be adopted prospectively. Early adoption is permitted. We are currently evaluating the impact of this ASU on our consolidated financial statements.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This update eliminates Step 2 from the goodwill impairment test. An annual or interim goodwill test should be performed by comparing the fair value 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2 of the goodwill impairment test. Any goodwill amount allocated to a reporting unit with a zero or negative carrying amount net of assets is required to be disclosed. The amendments in this ASU are effective for us January 1, 2020 and are required to be adopted prospectively. Early adoption is permitted. We are currently evaluating the impact of this ASU on our consolidated financial statements.</w:t>
      </w:r>
    </w:p>
    <w:p>
      <w:pPr>
        <w:spacing w:after="0" w:line="192"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“Clarifying the Scope of Asset Derecognition Guidance and Accounting for Partial Sales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It defines an in-substance nonfinancial asset, unifies guidance related to partial sales of nonfinancial assets, eliminates rules specifically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real estate, removes exceptions to the financial asset derecognition model, and clarifies the accounting for contributions of nonfinancial assets to joint ventures. The amendments in this ASU are effective for us January 1, 2018 and are required to be adopted with either a full retrospective approach or a modified retrospective approach. We are currently evaluating the impact of this ASU on our consolidated financial statements.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The update requires employers to disaggregate the service cost component from the other components of net benefit cost and disclose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Early adoption is permitted.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We are currently evaluating the impact of this ASU on our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7"/>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After-tax interest expense related to dilutive shares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 adjusted for dilutive effects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466.6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effect of performance shares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convertible bonds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shares and dilutive securities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TechnipFMC plc</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0.41</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attributable to TechnipFMC plc</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RESTRUCTURING AND IMPAIRMENT EXPENSE</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Restructuring and impairment expense was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72"/>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and impairment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—As a result of the decline in crude oil prices and its effect on the demand for products and services in the oilfield services industry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we initiated a company-wide reduction in workforce and facility consolidation intended to reduce costs and better align our workforce with current and anticipated activity levels, which resulted in the continued recognition of severance costs relating to termination benefits and other restructuring charges.</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1,035.2</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983.5</w:t>
            </w:r>
          </w:p>
        </w:tc>
        <w:tc>
          <w:tcPr>
            <w:tcW w:w="8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CURRENT ASSETS</w:t>
            </w: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3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added tax receivables</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Other tax receivables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EQUITY METHOD INVESTMENTS</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9"/>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from equity affiliates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OTHER CURRENT LIABILITIES</w:t>
            </w: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Accruals on completed contracts</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w:t>
            </w: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on contracts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Contingencies related to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taxes payable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financial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80" w:type="dxa"/>
            <w:vAlign w:val="bottom"/>
            <w:shd w:val="clear" w:color="auto" w:fill="CCEEFF"/>
          </w:tcPr>
          <w:p>
            <w:pPr>
              <w:spacing w:after="0"/>
              <w:rPr>
                <w:sz w:val="22"/>
                <w:szCs w:val="22"/>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Bilateral credit facilities</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Synthetic bonds due 2021</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bonds due 2017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80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57"/>
        </w:trPr>
        <w:tc>
          <w:tcPr>
            <w:tcW w:w="8560" w:type="dxa"/>
            <w:vAlign w:val="bottom"/>
            <w:gridSpan w:val="2"/>
          </w:tcPr>
          <w:p>
            <w:pPr>
              <w:ind w:left="38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3,082.8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spacing w:after="0" w:line="305"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21"/>
          <w:szCs w:val="21"/>
          <w:color w:val="auto"/>
        </w:rPr>
        <w:t>—</w:t>
      </w:r>
      <w:r>
        <w:rPr>
          <w:rFonts w:ascii="Arial" w:cs="Arial" w:eastAsia="Arial" w:hAnsi="Arial"/>
          <w:sz w:val="18"/>
          <w:szCs w:val="18"/>
          <w:color w:val="auto"/>
        </w:rPr>
        <w:t>On January 17, 2017, we acceded to a new $2.5 billion senior unsecured revolving credit facility agreement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FMC Technologies, Inc. and Technip Eurocash SNC (the “Borrowers”) with JPMorgan Chase Bank, National Association, as agent and an arranger, SG Americas Securities LLC as an arranger, and the lenders party thereto.</w:t>
      </w:r>
    </w:p>
    <w:p>
      <w:pPr>
        <w:spacing w:after="0" w:line="10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90"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Bilateral credit facilities</w:t>
      </w:r>
      <w:r>
        <w:rPr>
          <w:rFonts w:ascii="Arial" w:cs="Arial" w:eastAsia="Arial" w:hAnsi="Arial"/>
          <w:sz w:val="20"/>
          <w:szCs w:val="20"/>
          <w:color w:val="auto"/>
        </w:rPr>
        <w:t>—</w:t>
      </w:r>
      <w:r>
        <w:rPr>
          <w:rFonts w:ascii="Arial" w:cs="Arial" w:eastAsia="Arial" w:hAnsi="Arial"/>
          <w:sz w:val="17"/>
          <w:szCs w:val="17"/>
          <w:color w:val="auto"/>
        </w:rPr>
        <w:t>We have access to four bilateral credit facilities in the aggregate of €340.0 million. The bilateral credit facilities consist of:</w:t>
      </w:r>
    </w:p>
    <w:p>
      <w:pPr>
        <w:spacing w:after="0" w:line="1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bilateral credit facility contains usual and customary covenants, representations and warranties and events of default for credit facilities of this type.</w:t>
      </w:r>
    </w:p>
    <w:p>
      <w:pPr>
        <w:spacing w:after="0" w:line="1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Commercial paper</w:t>
      </w:r>
      <w:r>
        <w:rPr>
          <w:rFonts w:ascii="Arial" w:cs="Arial" w:eastAsia="Arial" w:hAnsi="Arial"/>
          <w:sz w:val="16"/>
          <w:szCs w:val="16"/>
          <w:color w:val="auto"/>
        </w:rPr>
        <w:t>—Under our commercial paper program, we have the ability to access $1.5 billion and €1.0 billion of short-term financing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dealers, subject to the limit of unused capacity of our facility agreement. As we have both the ability and intent to refinance these obligations on a long-term basis, our commercial paper borrowings were classified as long-term in the condensed consolidated balance sheets as of March 31, 2017 and December 31, 2016. Commercial paper borrowings are issued at market interest rates. As of March 31, 2017, our commercial paper borrowings had a weighted average interest rate of 1.30% on the U.S. dollar denominated borrowings and (0.22)% on the euro denominated borrowings.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Synthetic bonds</w:t>
      </w:r>
      <w:r>
        <w:rPr>
          <w:rFonts w:ascii="Arial" w:cs="Arial" w:eastAsia="Arial" w:hAnsi="Arial"/>
          <w:sz w:val="16"/>
          <w:szCs w:val="16"/>
          <w:color w:val="auto"/>
        </w:rPr>
        <w:t>—On January 25, 2016, we issued €375.0 million principal amount of 0.875% convertible bonds with a maturity date of January 25,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40.0% conversion premium was applied to the share reference price of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Synthetic Bonds each have a nominal value of €100.0 thousand with a conversion ratio of 3,558.2757 and a conversion price of €28.1035. Any bondholder may, at its sole option, request the conversion in cash of all or part of the bonds it owns, beginning November 15, 2020 to the 38th business day before the maturity date.</w:t>
      </w:r>
    </w:p>
    <w:p>
      <w:pPr>
        <w:spacing w:after="0" w:line="12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Convertible bonds</w:t>
      </w:r>
      <w:r>
        <w:rPr>
          <w:rFonts w:ascii="Arial" w:cs="Arial" w:eastAsia="Arial" w:hAnsi="Arial"/>
          <w:sz w:val="16"/>
          <w:szCs w:val="16"/>
          <w:color w:val="auto"/>
        </w:rPr>
        <w:t>—On December 15, 2011, we issued 5,178,455 bonds convertible (the “2011-2017 Convertible Bonds”) into and/or exchangeable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or existing shares (“OCEANE”) for approximately €497.6 million with a maturity date of January 1, 2017. Net proceeds from the issuance was used to partially restore our cash balance position following the acquisition of Global Industries, Ltd. in December 2011 for a cash consideration of $936.4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2011-2017 Convertible Bonds were repaid.</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21"/>
          <w:szCs w:val="21"/>
          <w:color w:val="auto"/>
        </w:rPr>
        <w:t>—</w:t>
      </w:r>
      <w:r>
        <w:rPr>
          <w:rFonts w:ascii="Arial" w:cs="Arial" w:eastAsia="Arial" w:hAnsi="Arial"/>
          <w:sz w:val="18"/>
          <w:szCs w:val="18"/>
          <w:color w:val="auto"/>
        </w:rPr>
        <w:t>On February 28, 2017, we commenced offers to exchange any and all outstanding notes issued by FMC Technologies for up to $800.0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1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 2.00% senior notes due October 1, 2017 (the “2017 Senior Notes’) issued by TechnipFMC and cash, and (ii) any and all 3.45% senior notes due October 1, 2022 (the “2022 FMC Notes”) issued by FMC Technologies for up to an aggregate principal amount of $500.0 million in new 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Senior Notes (collectively the “Senior Notes”). Interest on the 2017 Senior Notes is payable on October 1, 2017. Interest on the 2022 Senior Notes is payable semi-annually in arrears on April 1 and October 1 of each year, beginning October 1, 2017.</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any time prior to their maturity in the case of the 2017 Notes, and 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25" w:lineRule="exact"/>
        <w:rPr>
          <w:sz w:val="20"/>
          <w:szCs w:val="20"/>
          <w:color w:val="auto"/>
        </w:rPr>
      </w:pPr>
    </w:p>
    <w:p>
      <w:pPr>
        <w:ind w:right="40"/>
        <w:spacing w:after="0" w:line="320" w:lineRule="auto"/>
        <w:rPr>
          <w:sz w:val="20"/>
          <w:szCs w:val="20"/>
          <w:color w:val="auto"/>
        </w:rPr>
      </w:pPr>
      <w:r>
        <w:rPr>
          <w:rFonts w:ascii="Arial" w:cs="Arial" w:eastAsia="Arial" w:hAnsi="Arial"/>
          <w:sz w:val="17"/>
          <w:szCs w:val="17"/>
          <w:i w:val="1"/>
          <w:iCs w:val="1"/>
          <w:color w:val="auto"/>
        </w:rPr>
        <w:t>Private Placement Notes</w:t>
      </w:r>
      <w:r>
        <w:rPr>
          <w:rFonts w:ascii="Arial" w:cs="Arial" w:eastAsia="Arial" w:hAnsi="Arial"/>
          <w:sz w:val="20"/>
          <w:szCs w:val="20"/>
          <w:color w:val="auto"/>
        </w:rPr>
        <w:t>—</w:t>
      </w:r>
      <w:r>
        <w:rPr>
          <w:rFonts w:ascii="Arial" w:cs="Arial" w:eastAsia="Arial" w:hAnsi="Arial"/>
          <w:sz w:val="17"/>
          <w:szCs w:val="17"/>
          <w:color w:val="auto"/>
        </w:rPr>
        <w:t>On July 27, 2010, we completed the private placement of €200.0 million aggregate principal amount of 5.0% notes due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21" w:lineRule="exact"/>
        <w:rPr>
          <w:sz w:val="20"/>
          <w:szCs w:val="20"/>
          <w:color w:val="auto"/>
        </w:rPr>
      </w:pPr>
    </w:p>
    <w:p>
      <w:pPr>
        <w:ind w:right="560"/>
        <w:spacing w:after="0" w:line="305"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21"/>
          <w:szCs w:val="21"/>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entered into a £160.0 million term loan agreement to finance the Deep Explorer, a diving support vessel (“DSV”),</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December 2028. Under the loan agreement, interest accrues at an annual rate of 2.813%. This loan agreement contains usual and customary covenants and events of default for loans of this type.</w:t>
      </w:r>
    </w:p>
    <w:p>
      <w:pPr>
        <w:spacing w:after="0" w:line="10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Foreign committed credit</w:t>
      </w:r>
      <w:r>
        <w:rPr>
          <w:rFonts w:ascii="Arial" w:cs="Arial" w:eastAsia="Arial" w:hAnsi="Arial"/>
          <w:sz w:val="16"/>
          <w:szCs w:val="16"/>
          <w:color w:val="auto"/>
        </w:rPr>
        <w:t>—We have committed credit lines at many of our international subsidiaries for immaterial amounts. We utilize these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 financing and to provide a more efficient daily source of liquidity. The effective interest rates depend upon the local national market.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LIABILITIES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months ended December 31,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asset acquisition upon our obtaining control and recognized a net gain of $72.6 million during 2016. As of December 31, 2016, total assets, liabilities and equity related to these entities were consolidated onto our balance sheet and our results of operations for the three months ended March 31, 2017 reflect the consolidated results of operations related to these entities.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recognition of an intangible asset related to the acquired asset in the underlying entities, a mandatorily redeemable financial liability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$176.0 million was recognized as of December 31, 2016 to account for the fair value of the non-controlling interests, for which $33.7 million was recorded as other current liabilities. Refer to Note 9 for further information regarding our other current liabilities. Changes in the fair value of the financial liability are recorded as interest expense on the condensed consolidated statements of income. Refer to Note 18 for further information regarding the fair value measurement assumptions of the mandatorily redeemable financial liability and related changes in its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CONTINGENT LIABILITIES</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 majority of these financial instruments expire within four years. Management does not expect any of these financial instruments to result in losses that, if incurred, would have a material adverse effect on our consolidated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guarantees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Performance guarantees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3,952.1</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potential undiscounted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4,779.8</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20" w:hanging="492"/>
        <w:spacing w:after="0" w:line="255" w:lineRule="auto"/>
        <w:tabs>
          <w:tab w:leader="none" w:pos="5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 Company fails to fulfill its financial obligations.</w:t>
      </w:r>
    </w:p>
    <w:p>
      <w:pPr>
        <w:spacing w:after="0" w:line="1" w:lineRule="exact"/>
        <w:rPr>
          <w:rFonts w:ascii="Arial" w:cs="Arial" w:eastAsia="Arial" w:hAnsi="Arial"/>
          <w:sz w:val="18"/>
          <w:szCs w:val="18"/>
          <w:color w:val="auto"/>
          <w:vertAlign w:val="superscript"/>
        </w:rPr>
      </w:pPr>
    </w:p>
    <w:p>
      <w:pPr>
        <w:ind w:left="500" w:right="240" w:hanging="492"/>
        <w:spacing w:after="0" w:line="221" w:lineRule="auto"/>
        <w:tabs>
          <w:tab w:leader="none" w:pos="50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Contingent liabilities associated with legal matters—</w:t>
      </w:r>
      <w:r>
        <w:rPr>
          <w:rFonts w:ascii="Arial" w:cs="Arial" w:eastAsia="Arial" w:hAnsi="Arial"/>
          <w:sz w:val="17"/>
          <w:szCs w:val="17"/>
          <w:color w:val="auto"/>
        </w:rPr>
        <w:t>On March 29, 2016, Dong Energy (“Dong”) terminated, on the grounds of an alleged material breach,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The parties are currently in arbitration to resolve contract disputes related to the performance and cessation of work under the contract.</w:t>
      </w:r>
    </w:p>
    <w:p>
      <w:pPr>
        <w:spacing w:after="0" w:line="1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dividends declared during the three months ended March 31,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three months ended March 31,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Ordinary Shares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Held in</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 shares in millions)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Employee</w:t>
            </w:r>
          </w:p>
        </w:tc>
        <w:tc>
          <w:tcPr>
            <w:tcW w:w="120" w:type="dxa"/>
            <w:vAlign w:val="bottom"/>
          </w:tcPr>
          <w:p>
            <w:pPr>
              <w:spacing w:after="0"/>
              <w:rPr>
                <w:sz w:val="12"/>
                <w:szCs w:val="12"/>
                <w:color w:val="auto"/>
              </w:rPr>
            </w:pPr>
          </w:p>
        </w:tc>
        <w:tc>
          <w:tcPr>
            <w:tcW w:w="12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2"/>
              </w:rPr>
              <w:t>Treasury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Benefit Trust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4"/>
          </w:tcPr>
          <w:p>
            <w:pPr>
              <w:ind w:left="380"/>
              <w:spacing w:after="0"/>
              <w:rPr>
                <w:sz w:val="20"/>
                <w:szCs w:val="20"/>
                <w:color w:val="auto"/>
              </w:rPr>
            </w:pPr>
            <w:r>
              <w:rPr>
                <w:rFonts w:ascii="Arial" w:cs="Arial" w:eastAsia="Arial" w:hAnsi="Arial"/>
                <w:sz w:val="18"/>
                <w:szCs w:val="18"/>
                <w:color w:val="auto"/>
                <w:w w:val="96"/>
              </w:rPr>
              <w:t>Net stock purchased for (sold from) pursuant to liquidity contract</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40" w:type="dxa"/>
            <w:vAlign w:val="bottom"/>
            <w:gridSpan w:val="5"/>
          </w:tcPr>
          <w:p>
            <w:pPr>
              <w:ind w:left="380"/>
              <w:spacing w:after="0"/>
              <w:rPr>
                <w:sz w:val="20"/>
                <w:szCs w:val="20"/>
                <w:color w:val="auto"/>
              </w:rPr>
            </w:pPr>
            <w:r>
              <w:rPr>
                <w:rFonts w:ascii="Arial" w:cs="Arial" w:eastAsia="Arial" w:hAnsi="Arial"/>
                <w:sz w:val="18"/>
                <w:szCs w:val="18"/>
                <w:color w:val="auto"/>
                <w:w w:val="99"/>
              </w:rPr>
              <w:t>Net capital increases due to the Merger of FMC Technologies and Technip</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2"/>
              </w:rPr>
              <w:t>Treasury stock cancellation due to the Merger of FMC Technologies and Technip</w:t>
            </w: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4"/>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gridSpan w:val="5"/>
            <w:vMerge w:val="restart"/>
          </w:tcPr>
          <w:p>
            <w:pPr>
              <w:spacing w:after="0"/>
              <w:rPr>
                <w:sz w:val="20"/>
                <w:szCs w:val="20"/>
                <w:color w:val="auto"/>
              </w:rPr>
            </w:pPr>
            <w:r>
              <w:rPr>
                <w:rFonts w:ascii="Arial" w:cs="Arial" w:eastAsia="Arial" w:hAnsi="Arial"/>
                <w:sz w:val="18"/>
                <w:szCs w:val="18"/>
                <w:color w:val="auto"/>
              </w:rPr>
              <w:t>Accumulated other comprehensive loss consisted of the following:</w:t>
            </w: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6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Foreign Currency</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Available-For-Sale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Hedging</w:t>
            </w:r>
          </w:p>
        </w:tc>
        <w:tc>
          <w:tcPr>
            <w:tcW w:w="100" w:type="dxa"/>
            <w:vAlign w:val="bottom"/>
            <w:vMerge w:val="restart"/>
          </w:tcPr>
          <w:p>
            <w:pPr>
              <w:spacing w:after="0"/>
              <w:rPr>
                <w:sz w:val="24"/>
                <w:szCs w:val="24"/>
                <w:color w:val="auto"/>
              </w:rPr>
            </w:pPr>
          </w:p>
        </w:tc>
        <w:tc>
          <w:tcPr>
            <w:tcW w:w="1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Defined Pension and Other</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Post-retirement Benefits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1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Reclassification adjustment for net losses (gains)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included in net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0.8</w:t>
            </w: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0.8</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77"/>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4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7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740" w:type="dxa"/>
            <w:vAlign w:val="bottom"/>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Details about Accumulated Other Comprehensive Loss Components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Affected Line Item in the Condensed Consolidated Statements of Income</w:t>
            </w:r>
          </w:p>
        </w:tc>
        <w:tc>
          <w:tcPr>
            <w:tcW w:w="0" w:type="dxa"/>
            <w:vAlign w:val="bottom"/>
          </w:tcPr>
          <w:p>
            <w:pPr>
              <w:spacing w:after="0"/>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7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Gains (losses) on available-for-sale securities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2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Gains (losses) on hedging instruments</w:t>
            </w:r>
          </w:p>
        </w:tc>
        <w:tc>
          <w:tcPr>
            <w:tcW w:w="1980" w:type="dxa"/>
            <w:vAlign w:val="bottom"/>
            <w:tcBorders>
              <w:bottom w:val="single" w:sz="8" w:color="CCEEFF"/>
            </w:tcBorders>
            <w:gridSpan w:val="4"/>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tcPr>
          <w:p>
            <w:pPr>
              <w:spacing w:after="0"/>
              <w:rPr>
                <w:sz w:val="24"/>
                <w:szCs w:val="24"/>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163"/>
        </w:trPr>
        <w:tc>
          <w:tcPr>
            <w:tcW w:w="80" w:type="dxa"/>
            <w:vAlign w:val="bottom"/>
            <w:tcBorders>
              <w:right w:val="single" w:sz="8" w:color="CCEEFF"/>
            </w:tcBorders>
          </w:tcPr>
          <w:p>
            <w:pPr>
              <w:spacing w:after="0"/>
              <w:rPr>
                <w:sz w:val="14"/>
                <w:szCs w:val="14"/>
                <w:color w:val="auto"/>
              </w:rPr>
            </w:pPr>
          </w:p>
        </w:tc>
        <w:tc>
          <w:tcPr>
            <w:tcW w:w="4740" w:type="dxa"/>
            <w:vAlign w:val="bottom"/>
            <w:gridSpan w:val="5"/>
            <w:shd w:val="clear" w:color="auto" w:fill="CCEEFF"/>
          </w:tcPr>
          <w:p>
            <w:pPr>
              <w:spacing w:after="0" w:line="163" w:lineRule="exact"/>
              <w:rPr>
                <w:sz w:val="20"/>
                <w:szCs w:val="20"/>
                <w:color w:val="auto"/>
              </w:rPr>
            </w:pPr>
            <w:r>
              <w:rPr>
                <w:rFonts w:ascii="Arial" w:cs="Arial" w:eastAsia="Arial" w:hAnsi="Arial"/>
                <w:sz w:val="18"/>
                <w:szCs w:val="18"/>
                <w:color w:val="auto"/>
              </w:rPr>
              <w:t>Defined pension and other post-retirement benefits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80" w:type="dxa"/>
            <w:vAlign w:val="bottom"/>
            <w:tcBorders>
              <w:right w:val="single" w:sz="8" w:color="CCEEFF"/>
            </w:tcBorders>
          </w:tcPr>
          <w:p>
            <w:pPr>
              <w:spacing w:after="0"/>
              <w:rPr>
                <w:sz w:val="6"/>
                <w:szCs w:val="6"/>
                <w:color w:val="auto"/>
              </w:rPr>
            </w:pPr>
          </w:p>
        </w:tc>
        <w:tc>
          <w:tcPr>
            <w:tcW w:w="27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5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Amortization of actuarial gain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4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Amortization of prior service credit (cost)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jc w:val="right"/>
              <w:ind w:right="674"/>
              <w:spacing w:after="0"/>
              <w:rPr>
                <w:sz w:val="20"/>
                <w:szCs w:val="20"/>
                <w:color w:val="auto"/>
              </w:rPr>
            </w:pPr>
            <w:r>
              <w:rPr>
                <w:rFonts w:ascii="Arial" w:cs="Arial" w:eastAsia="Arial" w:hAnsi="Arial"/>
                <w:sz w:val="18"/>
                <w:szCs w:val="18"/>
                <w:b w:val="1"/>
                <w:bCs w:val="1"/>
                <w:color w:val="auto"/>
                <w:w w:val="89"/>
              </w:rPr>
              <w:t>_______________________</w:t>
            </w:r>
          </w:p>
        </w:tc>
        <w:tc>
          <w:tcPr>
            <w:tcW w:w="5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right="120" w:hanging="322"/>
        <w:spacing w:after="0" w:line="232"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These accumulated other comprehensive income components are included in the computation of net periodic pension cost (see Note 15 for additional details).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 described in Note 2, TechnipFMC plc is a public limited company incorporated under the laws of England and Wales. Therefore, our earnings are subject to the United Kingdom statutory rate of 19.3% beginning on the effective date of the Merger. Previously these earnings were subject to the French statutory rate of 34.4%. Our consolidated effective income tax rate information has been presented accordingly. The Merger transaction was generally a non-taxable event for the significant jurisdictions in which we operate.</w:t>
      </w:r>
    </w:p>
    <w:p>
      <w:pPr>
        <w:spacing w:after="0" w:line="13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income tax provision (benefit) for the three months ended March 31, 2017 and 2016, reflected effective tax rates of 34.8% and 24.4%, respectively. The year-over-year increase in the effective tax rate was primarily due to an unfavorable change in the forecasted country mix of earnings and increases in our valuation allowance due to additional losses generated during the year for which no tax benefit is expected to be realized.</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effective tax rate can fluctuate depending on our country mix of earnings. In certain jurisdictions, primarily Singapore and Malaysia, our tax rate is significantly less than the relevant statutory rate due to tax holidays.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different from the statutory income tax rate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2915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3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4"/>
              </w:rPr>
              <w:t>Three Months Ended March 31,</w:t>
            </w:r>
          </w:p>
        </w:tc>
        <w:tc>
          <w:tcPr>
            <w:tcW w:w="128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2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Net difference resulting from:</w:t>
            </w: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subject to different tax rates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Branch profits tax</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State and other complement tax</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7"/>
        </w:trPr>
        <w:tc>
          <w:tcPr>
            <w:tcW w:w="6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24.4 %</w:t>
            </w:r>
          </w:p>
        </w:tc>
      </w:tr>
      <w:tr>
        <w:trPr>
          <w:trHeight w:val="20"/>
        </w:trPr>
        <w:tc>
          <w:tcPr>
            <w:tcW w:w="68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AND OTHER POST-RETIREMENT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Int’l</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 (gain), net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Settlement cost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March 31, 2017, we contributed $0.6 million to our U.S. pension benefit plans and $12.6 million to our international pension benefit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17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stock options, stock appreciation rights, performance units, restricted stock units, restricted stock or other awards authorized under the Plan. All awards are subject to the Plan’s provisions, including all stock-based grants previously issued by FMC Technologies and Technip prior to consummation of the Merger. Under the Plan, 24.1 million ordinary shares were authorized for awards.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compensation expense and the corresponding tax benefits for awards under the Plan. Stock-based compensation expense for nonvested stock units was $11.4 million and $6.0 million for the three months ended March 31,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—The purpose of these instruments is to hedge the risk of changes in future cash flows of anticipated purchase or sale commitments denominated in foreign currencies and recorded assets and liabilities in our consolidated balance sheets. At March 31, 2017, we held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Net Notional Amount</w:t>
            </w:r>
          </w:p>
        </w:tc>
      </w:tr>
      <w:tr>
        <w:trPr>
          <w:trHeight w:val="192"/>
        </w:trPr>
        <w:tc>
          <w:tcPr>
            <w:tcW w:w="6960" w:type="dxa"/>
            <w:vAlign w:val="bottom"/>
          </w:tcPr>
          <w:p>
            <w:pPr>
              <w:spacing w:after="0"/>
              <w:rPr>
                <w:sz w:val="16"/>
                <w:szCs w:val="16"/>
                <w:color w:val="auto"/>
              </w:rPr>
            </w:pPr>
          </w:p>
        </w:tc>
        <w:tc>
          <w:tcPr>
            <w:tcW w:w="276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4"/>
                <w:szCs w:val="14"/>
                <w:b w:val="1"/>
                <w:bCs w:val="1"/>
                <w:color w:val="auto"/>
                <w:w w:val="92"/>
              </w:rPr>
              <w:t>Bought (Sold)</w:t>
            </w:r>
          </w:p>
        </w:tc>
        <w:tc>
          <w:tcPr>
            <w:tcW w:w="168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236.6</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2280" w:type="dxa"/>
            <w:vAlign w:val="bottom"/>
          </w:tcPr>
          <w:p>
            <w:pPr>
              <w:jc w:val="right"/>
              <w:ind w:right="133"/>
              <w:spacing w:after="0"/>
              <w:rPr>
                <w:sz w:val="20"/>
                <w:szCs w:val="20"/>
                <w:color w:val="auto"/>
              </w:rPr>
            </w:pPr>
            <w:r>
              <w:rPr>
                <w:rFonts w:ascii="Arial" w:cs="Arial" w:eastAsia="Arial" w:hAnsi="Arial"/>
                <w:sz w:val="18"/>
                <w:szCs w:val="18"/>
                <w:color w:val="auto"/>
              </w:rPr>
              <w:t>571.9</w:t>
            </w:r>
          </w:p>
        </w:tc>
        <w:tc>
          <w:tcPr>
            <w:tcW w:w="4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179.8</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219.4</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273.7</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(172.7)</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895.0</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966.2</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2280" w:type="dxa"/>
            <w:vAlign w:val="bottom"/>
          </w:tcPr>
          <w:p>
            <w:pPr>
              <w:jc w:val="right"/>
              <w:ind w:right="133"/>
              <w:spacing w:after="0"/>
              <w:rPr>
                <w:sz w:val="20"/>
                <w:szCs w:val="20"/>
                <w:color w:val="auto"/>
              </w:rPr>
            </w:pPr>
            <w:r>
              <w:rPr>
                <w:rFonts w:ascii="Arial" w:cs="Arial" w:eastAsia="Arial" w:hAnsi="Arial"/>
                <w:sz w:val="18"/>
                <w:szCs w:val="18"/>
                <w:color w:val="auto"/>
              </w:rPr>
              <w:t>233.2</w:t>
            </w:r>
          </w:p>
        </w:tc>
        <w:tc>
          <w:tcPr>
            <w:tcW w:w="4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52.7</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Nigerian naira</w:t>
            </w:r>
          </w:p>
        </w:tc>
        <w:tc>
          <w:tcPr>
            <w:tcW w:w="2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(5,341.3)</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2280" w:type="dxa"/>
            <w:vAlign w:val="bottom"/>
          </w:tcPr>
          <w:p>
            <w:pPr>
              <w:jc w:val="right"/>
              <w:ind w:right="133"/>
              <w:spacing w:after="0"/>
              <w:rPr>
                <w:sz w:val="20"/>
                <w:szCs w:val="20"/>
                <w:color w:val="auto"/>
              </w:rPr>
            </w:pPr>
            <w:r>
              <w:rPr>
                <w:rFonts w:ascii="Arial" w:cs="Arial" w:eastAsia="Arial" w:hAnsi="Arial"/>
                <w:sz w:val="18"/>
                <w:szCs w:val="18"/>
                <w:color w:val="auto"/>
              </w:rPr>
              <w:t>919.9</w:t>
            </w:r>
          </w:p>
        </w:tc>
        <w:tc>
          <w:tcPr>
            <w:tcW w:w="4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107.7</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129.0</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(1,741.0)</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(1,741.0)</w:t>
            </w:r>
          </w:p>
        </w:tc>
      </w:tr>
    </w:tbl>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—The purpose of these instruments is to match offsetting currency payments and receipts for particular projects, or comply with government restrictions on the currency used to purchase goods in certain countries. At March 31, 2017, our portfolio of these instruments included the following material net positions: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900" w:type="dxa"/>
            <w:vAlign w:val="bottom"/>
            <w:gridSpan w:val="2"/>
          </w:tcPr>
          <w:p>
            <w:pPr>
              <w:jc w:val="center"/>
              <w:ind w:left="496"/>
              <w:spacing w:after="0"/>
              <w:rPr>
                <w:sz w:val="20"/>
                <w:szCs w:val="20"/>
                <w:color w:val="auto"/>
              </w:rPr>
            </w:pPr>
            <w:r>
              <w:rPr>
                <w:rFonts w:ascii="Arial" w:cs="Arial" w:eastAsia="Arial" w:hAnsi="Arial"/>
                <w:sz w:val="14"/>
                <w:szCs w:val="14"/>
                <w:b w:val="1"/>
                <w:bCs w:val="1"/>
                <w:color w:val="auto"/>
                <w:w w:val="94"/>
              </w:rPr>
              <w:t>Net Notional Amount</w:t>
            </w:r>
          </w:p>
        </w:tc>
        <w:tc>
          <w:tcPr>
            <w:tcW w:w="540" w:type="dxa"/>
            <w:vAlign w:val="bottom"/>
          </w:tcPr>
          <w:p>
            <w:pPr>
              <w:spacing w:after="0"/>
              <w:rPr>
                <w:sz w:val="14"/>
                <w:szCs w:val="14"/>
                <w:color w:val="auto"/>
              </w:rPr>
            </w:pPr>
          </w:p>
        </w:tc>
      </w:tr>
      <w:tr>
        <w:trPr>
          <w:trHeight w:val="192"/>
        </w:trPr>
        <w:tc>
          <w:tcPr>
            <w:tcW w:w="6960" w:type="dxa"/>
            <w:vAlign w:val="bottom"/>
          </w:tcPr>
          <w:p>
            <w:pPr>
              <w:spacing w:after="0"/>
              <w:rPr>
                <w:sz w:val="16"/>
                <w:szCs w:val="16"/>
                <w:color w:val="auto"/>
              </w:rPr>
            </w:pPr>
          </w:p>
        </w:tc>
        <w:tc>
          <w:tcPr>
            <w:tcW w:w="390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w w:val="92"/>
              </w:rPr>
              <w:t>Bought (Sold)</w:t>
            </w:r>
          </w:p>
        </w:tc>
        <w:tc>
          <w:tcPr>
            <w:tcW w:w="54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7"/>
              </w:rPr>
              <w:t>USD Equivalent</w:t>
            </w:r>
          </w:p>
        </w:tc>
        <w:tc>
          <w:tcPr>
            <w:tcW w:w="540" w:type="dxa"/>
            <w:vAlign w:val="bottom"/>
            <w:tcBorders>
              <w:bottom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2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(54.4)</w:t>
            </w: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(17.1)</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Euro</w:t>
            </w:r>
          </w:p>
        </w:tc>
        <w:tc>
          <w:tcPr>
            <w:tcW w:w="2280" w:type="dxa"/>
            <w:vAlign w:val="bottom"/>
          </w:tcPr>
          <w:p>
            <w:pPr>
              <w:jc w:val="right"/>
              <w:ind w:right="76"/>
              <w:spacing w:after="0"/>
              <w:rPr>
                <w:sz w:val="20"/>
                <w:szCs w:val="20"/>
                <w:color w:val="auto"/>
              </w:rPr>
            </w:pPr>
            <w:r>
              <w:rPr>
                <w:rFonts w:ascii="Arial" w:cs="Arial" w:eastAsia="Arial" w:hAnsi="Arial"/>
                <w:sz w:val="18"/>
                <w:szCs w:val="18"/>
                <w:color w:val="auto"/>
              </w:rPr>
              <w:t>(23.7)</w:t>
            </w:r>
          </w:p>
        </w:tc>
        <w:tc>
          <w:tcPr>
            <w:tcW w:w="16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(25.4)</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Norwegian krone</w:t>
            </w:r>
          </w:p>
        </w:tc>
        <w:tc>
          <w:tcPr>
            <w:tcW w:w="2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(240.2)</w:t>
            </w: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(27.9)</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2280" w:type="dxa"/>
            <w:vAlign w:val="bottom"/>
          </w:tcPr>
          <w:p>
            <w:pPr>
              <w:jc w:val="right"/>
              <w:ind w:right="136"/>
              <w:spacing w:after="0"/>
              <w:rPr>
                <w:sz w:val="20"/>
                <w:szCs w:val="20"/>
                <w:color w:val="auto"/>
              </w:rPr>
            </w:pPr>
            <w:r>
              <w:rPr>
                <w:rFonts w:ascii="Arial" w:cs="Arial" w:eastAsia="Arial" w:hAnsi="Arial"/>
                <w:sz w:val="18"/>
                <w:szCs w:val="18"/>
                <w:color w:val="auto"/>
              </w:rPr>
              <w:t>68.7</w:t>
            </w:r>
          </w:p>
        </w:tc>
        <w:tc>
          <w:tcPr>
            <w:tcW w:w="16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68.7</w:t>
            </w: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18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42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47.6</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Synthetic Bonds – Call Option Premium</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 Synthetic Bonds – Embedded Derivatives</w:t>
            </w:r>
          </w:p>
        </w:tc>
        <w:tc>
          <w:tcPr>
            <w:tcW w:w="3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180.1</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recognized a loss of $2.7 million and a gain of $10.6 million for the three months ended March 31, 2017 and 2016, respectively, due to hedge ineffectiveness as it was probable that the original forecasted transaction would not occur. Cash flow hedges of forecasted transactions, net of tax, resulted in an accumulated other comprehensive loss of $67.8 million and $126.9 million at March 31, 2017, and December 31, 2016, respectively. We expect to transfer an approximate $65.4 million loss from accumulated OCI to earnings during the next 12 months when the anticipated transactions actually occur. All anticipated transactions currently being hedged are expected to occur by the first half of 2020.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Location of Fair Value Hedge Gain (Loss) Recognized in Income</w:t>
            </w:r>
          </w:p>
        </w:tc>
        <w:tc>
          <w:tcPr>
            <w:tcW w:w="400" w:type="dxa"/>
            <w:vAlign w:val="bottom"/>
          </w:tcPr>
          <w:p>
            <w:pPr>
              <w:spacing w:after="0"/>
              <w:rPr>
                <w:sz w:val="14"/>
                <w:szCs w:val="14"/>
                <w:color w:val="auto"/>
              </w:rPr>
            </w:pPr>
          </w:p>
        </w:tc>
        <w:tc>
          <w:tcPr>
            <w:tcW w:w="3120" w:type="dxa"/>
            <w:vAlign w:val="bottom"/>
            <w:gridSpan w:val="4"/>
          </w:tcPr>
          <w:p>
            <w:pPr>
              <w:jc w:val="center"/>
              <w:ind w:right="319"/>
              <w:spacing w:after="0"/>
              <w:rPr>
                <w:sz w:val="20"/>
                <w:szCs w:val="20"/>
                <w:color w:val="auto"/>
              </w:rPr>
            </w:pPr>
            <w:r>
              <w:rPr>
                <w:rFonts w:ascii="Arial" w:cs="Arial" w:eastAsia="Arial" w:hAnsi="Arial"/>
                <w:sz w:val="14"/>
                <w:szCs w:val="14"/>
                <w:b w:val="1"/>
                <w:bCs w:val="1"/>
                <w:color w:val="auto"/>
                <w:w w:val="90"/>
              </w:rPr>
              <w:t>Gain (Loss) Recognized in</w:t>
            </w:r>
          </w:p>
        </w:tc>
        <w:tc>
          <w:tcPr>
            <w:tcW w:w="0" w:type="dxa"/>
            <w:vAlign w:val="bottom"/>
          </w:tcPr>
          <w:p>
            <w:pPr>
              <w:spacing w:after="0"/>
              <w:rPr>
                <w:sz w:val="1"/>
                <w:szCs w:val="1"/>
                <w:color w:val="auto"/>
              </w:rPr>
            </w:pPr>
          </w:p>
        </w:tc>
      </w:tr>
      <w:tr>
        <w:trPr>
          <w:trHeight w:val="158"/>
        </w:trPr>
        <w:tc>
          <w:tcPr>
            <w:tcW w:w="78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3"/>
          </w:tcPr>
          <w:p>
            <w:pPr>
              <w:jc w:val="center"/>
              <w:ind w:left="804"/>
              <w:spacing w:after="0" w:line="158" w:lineRule="exact"/>
              <w:rPr>
                <w:sz w:val="20"/>
                <w:szCs w:val="20"/>
                <w:color w:val="auto"/>
              </w:rPr>
            </w:pPr>
            <w:r>
              <w:rPr>
                <w:rFonts w:ascii="Arial" w:cs="Arial" w:eastAsia="Arial" w:hAnsi="Arial"/>
                <w:sz w:val="14"/>
                <w:szCs w:val="14"/>
                <w:b w:val="1"/>
                <w:bCs w:val="1"/>
                <w:color w:val="auto"/>
                <w:w w:val="93"/>
              </w:rPr>
              <w:t>Income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299"/>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78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Location of Cash Flow Hedge Gain (Loss) Reclassified from</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Accumulated OCI into Income</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Location of Cash Flow Hedge Gain (Loss) Recognized in Income</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Gain (Loss) Recognized in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OCI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22383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700"/>
        <w:spacing w:after="0"/>
        <w:tabs>
          <w:tab w:leader="none" w:pos="25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63" w:lineRule="exact"/>
        <w:rPr>
          <w:sz w:val="20"/>
          <w:szCs w:val="20"/>
          <w:color w:val="auto"/>
        </w:rPr>
      </w:pPr>
    </w:p>
    <w:p>
      <w:pPr>
        <w:ind w:left="20"/>
        <w:spacing w:after="0"/>
        <w:tabs>
          <w:tab w:leader="none" w:pos="1260" w:val="left"/>
          <w:tab w:leader="none" w:pos="1820" w:val="left"/>
          <w:tab w:leader="none" w:pos="3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34.5</w:t>
        <w:tab/>
        <w:t>$</w:t>
      </w:r>
      <w:r>
        <w:rPr>
          <w:sz w:val="20"/>
          <w:szCs w:val="20"/>
          <w:color w:val="auto"/>
        </w:rPr>
        <w:tab/>
      </w:r>
      <w:r>
        <w:rPr>
          <w:rFonts w:ascii="Arial" w:cs="Arial" w:eastAsia="Arial" w:hAnsi="Arial"/>
          <w:sz w:val="16"/>
          <w:szCs w:val="16"/>
          <w:color w:val="auto"/>
        </w:rPr>
        <w:t>(45.5)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Gain (Loss) Reclassified from Accumulated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OCI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22383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700"/>
        <w:spacing w:after="0"/>
        <w:tabs>
          <w:tab w:leader="none" w:pos="25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Gain (Loss) Recognized in Income (Ineffective Portion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383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700"/>
        <w:spacing w:after="0"/>
        <w:tabs>
          <w:tab w:leader="none" w:pos="25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7180" w:space="720"/>
            <w:col w:w="3520"/>
          </w:cols>
          <w:pgMar w:left="240" w:top="121" w:right="239" w:bottom="1440" w:gutter="0" w:footer="0" w:header="0"/>
          <w:type w:val="continuous"/>
        </w:sectPr>
      </w:pPr>
    </w:p>
    <w:p>
      <w:pPr>
        <w:ind w:right="58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1"/>
              </w:rPr>
              <w:t>Gain (Loss) Recognized in Income on Derivatives</w:t>
            </w: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3660" w:type="dxa"/>
            <w:vAlign w:val="bottom"/>
          </w:tcPr>
          <w:p>
            <w:pPr>
              <w:spacing w:after="0"/>
              <w:rPr>
                <w:sz w:val="13"/>
                <w:szCs w:val="13"/>
                <w:color w:val="auto"/>
              </w:rPr>
            </w:pPr>
          </w:p>
        </w:tc>
        <w:tc>
          <w:tcPr>
            <w:tcW w:w="352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2"/>
              </w:rPr>
              <w:t>(Instruments Not Designated as Hedging Instruments)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only with counterparties that consent to a master netting agreement, which permits net settlement of the gross derivative assets against gross derivative liabilities. Each instrument is accounted for individually and assets and liabilities are not offset. As of March 31, 2017 and December 31, 2016, we had no collateralized derivative contracts. The following tables present both gross information and net information of recognized derivative instruments: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399"/>
        </w:trPr>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339.2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257.7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410.7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Nonqualified Plan: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Traded securities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Synthetic bonds - call option premium</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financial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Synthetic bonds - embedded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6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equity securities, fixed income and other investments measured at fair value.</w:t>
      </w:r>
    </w:p>
    <w:p>
      <w:pPr>
        <w:spacing w:after="0" w:line="74" w:lineRule="exact"/>
        <w:rPr>
          <w:rFonts w:ascii="Arial" w:cs="Arial" w:eastAsia="Arial" w:hAnsi="Arial"/>
          <w:sz w:val="22"/>
          <w:szCs w:val="22"/>
          <w:color w:val="auto"/>
          <w:vertAlign w:val="superscript"/>
        </w:rPr>
      </w:pPr>
    </w:p>
    <w:p>
      <w:pPr>
        <w:ind w:left="500" w:hanging="492"/>
        <w:spacing w:after="0" w:line="211"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Non-qualified plan—</w:t>
      </w:r>
      <w:r>
        <w:rPr>
          <w:rFonts w:ascii="Arial" w:cs="Arial" w:eastAsia="Arial" w:hAnsi="Arial"/>
          <w:sz w:val="18"/>
          <w:szCs w:val="18"/>
          <w:color w:val="auto"/>
        </w:rPr>
        <w:t>The fair value measurement of our traded securities is based on quoted prices that we have the ability to access in public markets. Our</w:t>
      </w:r>
      <w:r>
        <w:rPr>
          <w:rFonts w:ascii="Arial" w:cs="Arial" w:eastAsia="Arial" w:hAnsi="Arial"/>
          <w:sz w:val="18"/>
          <w:szCs w:val="18"/>
          <w:i w:val="1"/>
          <w:iCs w:val="1"/>
          <w:color w:val="auto"/>
        </w:rPr>
        <w:t xml:space="preserve"> </w:t>
      </w:r>
      <w:r>
        <w:rPr>
          <w:rFonts w:ascii="Arial" w:cs="Arial" w:eastAsia="Arial" w:hAnsi="Arial"/>
          <w:sz w:val="18"/>
          <w:szCs w:val="18"/>
          <w:color w:val="auto"/>
        </w:rPr>
        <w:t>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Available-for-sale investments—</w:t>
      </w:r>
      <w:r>
        <w:rPr>
          <w:rFonts w:ascii="Arial" w:cs="Arial" w:eastAsia="Arial" w:hAnsi="Arial"/>
          <w:sz w:val="18"/>
          <w:szCs w:val="18"/>
          <w:color w:val="auto"/>
        </w:rPr>
        <w:t>The fair value measurement of our available-for-sale investments is based on quoted prices that we have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in public markets.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Mandatorily redeemable financial liability—</w:t>
      </w:r>
      <w:r>
        <w:rPr>
          <w:rFonts w:ascii="Arial" w:cs="Arial" w:eastAsia="Arial" w:hAnsi="Arial"/>
          <w:sz w:val="16"/>
          <w:szCs w:val="16"/>
          <w:color w:val="auto"/>
        </w:rPr>
        <w:t>We determined the fair value of the mandatorily redeemable financial liability using a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model. Refer to Note 11 for further information related to this liability. The key assumption used in applying the income approach is the expected dividends to be distributed in the future to the noncontrolling interest holders. Expected dividends to be distributed is based on the noncontrolling interests’ share of the expected profitability of the underlying contract, the selected discount rate, and the overall timing of completion of the project. A decrease of one percentage point in the discount rate would have increased the liability by $5.4 million as of March 31, 2017. The fair value measurement is based upon significant unobservable inputs not observable in the market and is consequently classified as a Level 3 fair value measurement.</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fair value of our Level 3 mandatorily redeemable financial liability is presented below. Since the liability was created during the three months ended December 31, 2016, no changes in fair value are presented for the prior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4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Remeasurement adjustment included in earnings</w:t>
            </w:r>
          </w:p>
        </w:tc>
        <w:tc>
          <w:tcPr>
            <w:tcW w:w="18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for additional disclosure related to derivative financial instruments.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fair value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of our Synthetic Bonds, Senior Notes and private placement notes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00" w:type="dxa"/>
            <w:vAlign w:val="bottom"/>
          </w:tcPr>
          <w:p>
            <w:pPr>
              <w:spacing w:after="0"/>
              <w:rPr>
                <w:sz w:val="22"/>
                <w:szCs w:val="22"/>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r>
      <w:tr>
        <w:trPr>
          <w:trHeight w:val="250"/>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Synthetic bonds due 2021</w:t>
            </w:r>
          </w:p>
        </w:tc>
        <w:tc>
          <w:tcPr>
            <w:tcW w:w="50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663.2</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510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5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510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5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237.7</w:t>
            </w:r>
          </w:p>
        </w:tc>
      </w:tr>
      <w:tr>
        <w:trPr>
          <w:trHeight w:val="27"/>
        </w:trPr>
        <w:tc>
          <w:tcPr>
            <w:tcW w:w="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5100" w:type="dxa"/>
            <w:vAlign w:val="bottom"/>
          </w:tcPr>
          <w:p>
            <w:pPr>
              <w:ind w:left="20"/>
              <w:spacing w:after="0" w:line="270" w:lineRule="exact"/>
              <w:rPr>
                <w:sz w:val="20"/>
                <w:szCs w:val="20"/>
                <w:color w:val="auto"/>
              </w:rPr>
            </w:pPr>
            <w:r>
              <w:rPr>
                <w:rFonts w:ascii="Arial" w:cs="Arial" w:eastAsia="Arial" w:hAnsi="Arial"/>
                <w:sz w:val="18"/>
                <w:szCs w:val="18"/>
                <w:color w:val="auto"/>
              </w:rPr>
              <w:t>Notes due 2023</w:t>
            </w:r>
            <w:r>
              <w:rPr>
                <w:rFonts w:ascii="Arial" w:cs="Arial" w:eastAsia="Arial" w:hAnsi="Arial"/>
                <w:sz w:val="25"/>
                <w:szCs w:val="25"/>
                <w:color w:val="auto"/>
                <w:vertAlign w:val="superscript"/>
              </w:rPr>
              <w:t>(a)</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510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5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89.5</w:t>
            </w:r>
          </w:p>
        </w:tc>
      </w:tr>
      <w:tr>
        <w:trPr>
          <w:trHeight w:val="27"/>
        </w:trPr>
        <w:tc>
          <w:tcPr>
            <w:tcW w:w="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510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5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104.1</w:t>
            </w:r>
          </w:p>
        </w:tc>
      </w:tr>
    </w:tbl>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7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Carrying amounts are shown net of unamortized debt discounts and premiums and unamortized debt issuance costs.</w:t>
      </w:r>
    </w:p>
    <w:p>
      <w:pPr>
        <w:spacing w:after="0" w:line="90" w:lineRule="exact"/>
        <w:rPr>
          <w:rFonts w:ascii="Arial" w:cs="Arial" w:eastAsia="Arial" w:hAnsi="Arial"/>
          <w:sz w:val="22"/>
          <w:szCs w:val="22"/>
          <w:color w:val="auto"/>
          <w:vertAlign w:val="superscript"/>
        </w:rPr>
      </w:pPr>
    </w:p>
    <w:p>
      <w:pPr>
        <w:ind w:left="500" w:right="200" w:hanging="492"/>
        <w:spacing w:after="0" w:line="217"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Fair values are based on Level 1 quoted market rates, except for the 4.00% Notes due 2027 and 3.15% Notes Due 2023</w:t>
      </w:r>
      <w:r>
        <w:rPr>
          <w:rFonts w:ascii="Arial" w:cs="Arial" w:eastAsia="Arial" w:hAnsi="Arial"/>
          <w:sz w:val="21"/>
          <w:szCs w:val="21"/>
          <w:color w:val="auto"/>
          <w:vertAlign w:val="superscript"/>
        </w:rPr>
        <w:t>(a)</w:t>
      </w:r>
      <w:r>
        <w:rPr>
          <w:rFonts w:ascii="Arial" w:cs="Arial" w:eastAsia="Arial" w:hAnsi="Arial"/>
          <w:sz w:val="16"/>
          <w:szCs w:val="16"/>
          <w:color w:val="auto"/>
        </w:rPr>
        <w:t>, which are based on Level 2, quoted market rates on similar liabilities with an appropriate credit spread applied.</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trade receivables, accounts payable, short-term debt,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debt associated with our bank borrowings, credit facilities, convertible bonds, as well as amounts included in other current assets and other current liabilities that meet the definition of financial instruments, approximate fair value.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operating decision maker reviews and evaluates operating performance to make decisions about resources to be allocated to the segment.</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Upon completion of the Merger of FMC Technologies and Technip,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9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Subsea</w:t>
      </w:r>
      <w:r>
        <w:rPr>
          <w:rFonts w:ascii="Arial" w:cs="Arial" w:eastAsia="Arial" w:hAnsi="Arial"/>
          <w:sz w:val="18"/>
          <w:szCs w:val="18"/>
          <w:i w:val="1"/>
          <w:iCs w:val="1"/>
          <w:color w:val="auto"/>
        </w:rPr>
        <w:t>—</w:t>
      </w:r>
      <w:r>
        <w:rPr>
          <w:rFonts w:ascii="Arial" w:cs="Arial" w:eastAsia="Arial" w:hAnsi="Arial"/>
          <w:sz w:val="18"/>
          <w:szCs w:val="18"/>
          <w:color w:val="auto"/>
        </w:rPr>
        <w:t>manufactures and designs products and systems, performs engineering, procurement and project management and provides services used by oil and gas companies involved in deepwater exploration and production of crude oil and natural gas.</w:t>
      </w:r>
    </w:p>
    <w:p>
      <w:pPr>
        <w:spacing w:after="0" w:line="3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Onshore/Offshore</w:t>
      </w:r>
      <w:r>
        <w:rPr>
          <w:rFonts w:ascii="Arial" w:cs="Arial" w:eastAsia="Arial" w:hAnsi="Arial"/>
          <w:sz w:val="18"/>
          <w:szCs w:val="18"/>
          <w:i w:val="1"/>
          <w:iCs w:val="1"/>
          <w:color w:val="auto"/>
        </w:rPr>
        <w:t>—</w:t>
      </w:r>
      <w:r>
        <w:rPr>
          <w:rFonts w:ascii="Arial" w:cs="Arial" w:eastAsia="Arial" w:hAnsi="Arial"/>
          <w:sz w:val="18"/>
          <w:szCs w:val="18"/>
          <w:color w:val="auto"/>
        </w:rPr>
        <w:t>designs and builds onshore facilities related to the production, treatment and transportation of oil and gas; and designs, manufactures and installs fixed and floating platforms for the production and processing of oil and gas reserves for companies in the oil and gas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300" w:hanging="328"/>
        <w:spacing w:after="0" w:line="312"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Surface Technologies</w:t>
      </w:r>
      <w:r>
        <w:rPr>
          <w:rFonts w:ascii="Arial" w:cs="Arial" w:eastAsia="Arial" w:hAnsi="Arial"/>
          <w:sz w:val="16"/>
          <w:szCs w:val="16"/>
          <w:i w:val="1"/>
          <w:iCs w:val="1"/>
          <w:color w:val="auto"/>
        </w:rPr>
        <w:t>—</w:t>
      </w:r>
      <w:r>
        <w:rPr>
          <w:rFonts w:ascii="Arial" w:cs="Arial" w:eastAsia="Arial" w:hAnsi="Arial"/>
          <w:sz w:val="16"/>
          <w:szCs w:val="16"/>
          <w:color w:val="auto"/>
        </w:rPr>
        <w:t>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and well testing services for exploration companies in the oil and gas industry.</w:t>
      </w:r>
    </w:p>
    <w:p>
      <w:pPr>
        <w:spacing w:after="0" w:line="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Total revenue by segment includes intersegment sales, which are made at prices approximating those that the selling entity is able to obtain on external sales. Segment operating profit is defined as total segment revenue less segment operating expenses. Income (loss) from equity method investments are included in computing segment operating profit. Refer to Note 8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1,376.7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1,517.2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888.5</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revenue and intercompany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2,405.7</w:t>
            </w:r>
          </w:p>
        </w:tc>
      </w:tr>
      <w:tr>
        <w:trPr>
          <w:trHeight w:val="67"/>
        </w:trPr>
        <w:tc>
          <w:tcPr>
            <w:tcW w:w="4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58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3"/>
        </w:trPr>
        <w:tc>
          <w:tcPr>
            <w:tcW w:w="8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Segment operating profit (loss):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5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Total segment operating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items: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58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Corporate income (expense)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Total corporate items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25"/>
                <w:szCs w:val="25"/>
                <w:color w:val="auto"/>
                <w:vertAlign w:val="superscript"/>
              </w:rPr>
              <w:t>(2)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107" w:lineRule="exact"/>
        <w:rPr>
          <w:sz w:val="20"/>
          <w:szCs w:val="20"/>
          <w:color w:val="auto"/>
        </w:rPr>
      </w:pPr>
    </w:p>
    <w:p>
      <w:pPr>
        <w:ind w:left="500" w:right="20" w:hanging="492"/>
        <w:spacing w:after="0" w:line="217"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Corporate expense primarily includes corporate staff expenses, stock-based compensation expenses, other employee benefits, certain foreign exchange gains and losses, and merger-related transaction expenses.</w:t>
      </w:r>
    </w:p>
    <w:p>
      <w:pPr>
        <w:spacing w:after="0" w:line="44"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13,946.1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7,823.1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20,764.6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11,134.1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8,805.9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7,565.0</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29,570.5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18,699.1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-127635</wp:posOffset>
            </wp:positionV>
            <wp:extent cx="2101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6" w:lineRule="exact"/>
        <w:rPr>
          <w:sz w:val="20"/>
          <w:szCs w:val="20"/>
          <w:color w:val="auto"/>
        </w:rPr>
      </w:pPr>
    </w:p>
    <w:p>
      <w:pPr>
        <w:ind w:left="500" w:right="80" w:hanging="492"/>
        <w:spacing w:after="0" w:line="217"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Corporate includes cash, LIFO adjustments, deferred income tax balances, property, plant and equipment not associated with a specific segment, pension assets and the fair value of derivative financial instruments.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26, 2017, we announced that our Board of Directors approved a capital allocation plan that includes the authorization of a share repurchase program of up to $500.0 million of our ordinary shares to be completed by the end of 2018 and planning for a quarterly dividend following third quarter 2017 results. The implementation of this capital allocation program is subject to, among other things, completion of a U.K.-court approved reduction of capital and the availability of sufficient distributable reserves, which is expected to be completed in the third quarter of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Overall Outlook </w:t>
      </w:r>
      <w:r>
        <w:rPr>
          <w:rFonts w:ascii="Arial" w:cs="Arial" w:eastAsia="Arial" w:hAnsi="Arial"/>
          <w:sz w:val="17"/>
          <w:szCs w:val="17"/>
          <w:color w:val="auto"/>
        </w:rPr>
        <w:t>—Although the price of crude oil recovered in 2016 when compared to the prior year, the oil and gas industry continues to experience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impacts of the low crude oil price environment and some lingering uncertainties in the crude oil price outlook. Despite OPEC’s implementation of a cap on OPEC crude oil production in 2017, uncertainty in the crude oil price outlook remains as to the effectiveness and duration of both concurrent OPEC and non-OPEC production cuts. After experiencing slight improvements in crude prices and inventory levels early in 2017, there continues to be some continued uncertainty in the crude oil price outlook which is expected to have an ongoing negative effect on our businesses in 2017. The timing of any sustainable recovery of crude oil prices and business activity is dependent on a number of variables, but many analysts continue to believe the market corrections necessary to address the oversupply of crude oil are in place and will ultimately result in sustainable industry improvement. As long-term demand rises and production naturally declines, we believe commodity prices should continue to recover, improving the cash flows and confidence of our customers to increase their investments in new sources of oil production.</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Subsea</w:t>
      </w:r>
      <w:r>
        <w:rPr>
          <w:rFonts w:ascii="Arial" w:cs="Arial" w:eastAsia="Arial" w:hAnsi="Arial"/>
          <w:sz w:val="17"/>
          <w:szCs w:val="17"/>
          <w:color w:val="auto"/>
        </w:rPr>
        <w:t>—The low crude oil price environment over the last two years led many of our customers to reduce their capital spending plans or defer new</w:t>
      </w:r>
      <w:r>
        <w:rPr>
          <w:rFonts w:ascii="Arial" w:cs="Arial" w:eastAsia="Arial" w:hAnsi="Arial"/>
          <w:sz w:val="17"/>
          <w:szCs w:val="17"/>
          <w:i w:val="1"/>
          <w:iCs w:val="1"/>
          <w:color w:val="auto"/>
        </w:rPr>
        <w:t xml:space="preserve"> </w:t>
      </w:r>
      <w:r>
        <w:rPr>
          <w:rFonts w:ascii="Arial" w:cs="Arial" w:eastAsia="Arial" w:hAnsi="Arial"/>
          <w:sz w:val="17"/>
          <w:szCs w:val="17"/>
          <w:color w:val="auto"/>
        </w:rPr>
        <w:t>deepwater projects. We began to reduce our workforce to align our operations with the anticipated decreases in activity in 2016 due to delayed Subsea project inbound and to maintain operating margins. We have benefitted from these restructuring actions by attaining more cost-effective manufacturing as we exited 2016 and during the first quarter of 2017. Looking ahead, we expect Subsea revenue to decrease a third consecutive year in 2017. However, even with lower Subsea revenue expectations, we believe the operational improvements and cost reductions made in the prior year will protect operating margins and provide us with the capability to respond to the eventual market recovery. We also recognize the need to invest in our people to ensure that we preserve the core competencies and capabilities that delivered the strong results in the first quarter of 2017 and will be needed to respond to the market recovery. We believe the operational improvements made will help mitigate the anticipated decline in operating margins. We remain confident that we can deliver double digit operating margins for the full-year 2017. Our customers are taking aggressive actions to improve their project economics. Accordingly, we remain focused on ways to reduce costs to our customers by offering cost-effective approaches to our customers’ project developments, including customer acceptance of integrated business models to help achieve the cost-reduction goals and accelerate achievement of first oil. In the long term, we continue to believe deepwater development will remain a significant part of our customers’ portfolio.</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Onshore/Offshore</w:t>
      </w:r>
      <w:r>
        <w:rPr>
          <w:rFonts w:ascii="Arial" w:cs="Arial" w:eastAsia="Arial" w:hAnsi="Arial"/>
          <w:sz w:val="18"/>
          <w:szCs w:val="18"/>
          <w:color w:val="auto"/>
        </w:rPr>
        <w:t>—The Offshore market faces many of the same constraints as the Subsea business due to industry challenges to improve project economics.</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we are continuing our cost reduction efforts in this business to align capacity and capabilities with market demands. Meanwhile, Onshore market activity continues to provide a tangible set of opportunities, including natural gas, refining and petrochemical projects. Activity in both LNG and petrochemicals is fueled by the potential for sustained modest natural gas prices, representing an important opportunity set for our business. As Onshore market activity levels remain stable, it provides our business the opportunity to remain actively engaged in and pursuing front-end engineering studies which provide the platform for early engagement with clients which can significantly de-risk project execution. Market opportunities for downstream front-end engineering studies and full engineering, procurement and construction projects are most prevalent in the Middle East, Africa and Asia markets in both LNG and refining.</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Surface Technologies</w:t>
      </w:r>
      <w:r>
        <w:rPr>
          <w:rFonts w:ascii="Arial" w:cs="Arial" w:eastAsia="Arial" w:hAnsi="Arial"/>
          <w:sz w:val="16"/>
          <w:szCs w:val="16"/>
          <w:color w:val="auto"/>
        </w:rPr>
        <w:t>—Our Surface Technologies segment continues to operate in a challenging environment as a result of lower activity and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particularly in the North America land market. While rig count and operating activity have been improving in certain oil and gas producing basins, in basins where excess supply has limited the ability to earn an acceptable return, we have temporarily suspended certain operations in our surface Americas business until additional market activity supports our profit and cash flow objectives. The market recovery began in late 2016 in North America and has continued through the first quarter of 2017. Our restructuring actions taken in 2016 have reduced costs, and we expect our rationalized operating structure to provide us with flexibility to respond to the recovery. Our international surface business experienced competitive pricing pressure throughout 2016 in all of the markets we serve, and we expect this competitive pricing environment to continue and to negatively impact operating margins throughout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Unaudited supplemental pro forma results of operations for the three months ended March 31, 2016 present consolidated information as if (i) the merger of FMC Technologies and Technip (the “Merger”) and (ii) the consolidation of legal onshore/offshore contract entities which own and account for the design, engineering and construction of the Yamal LNG plant (“Yamal”) had been completed as of January 1, 2016. The pro forma results do not include any potential synergies, cost savings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or other expected benefits of these transactions. Accordingly, the pro forma results should not be considered indicative of the results that would have occurred if the transactions had been consummated as of January 1, 2016, nor are they indicative of future results. In order to provide comparability to the prior year pro forma results, the impact of purchase price accounting adjustments have been reflected on an equal basis.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Refer to Note 2 for further information related to the Merger of FMC Technologies and Technip and refer to Note 11 for further information related to Yamal.</w:t>
      </w:r>
    </w:p>
    <w:p>
      <w:pPr>
        <w:spacing w:after="0" w:line="19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Due to the size of the aforementioned transactions relative to the size of historical results of operations and for purposes of comparability, management’s discussion of the consolidated and segment results of operations are provided on the basis of comparing actual results of operations for the three months ended March 31, 2017 to pro forma results of operations for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6"/>
            <w:vMerge w:val="restart"/>
          </w:tcPr>
          <w:p>
            <w:pPr>
              <w:jc w:val="center"/>
              <w:ind w:left="432"/>
              <w:spacing w:after="0"/>
              <w:rPr>
                <w:sz w:val="20"/>
                <w:szCs w:val="20"/>
                <w:color w:val="auto"/>
              </w:rPr>
            </w:pPr>
            <w:r>
              <w:rPr>
                <w:rFonts w:ascii="Arial" w:cs="Arial" w:eastAsia="Arial" w:hAnsi="Arial"/>
                <w:sz w:val="14"/>
                <w:szCs w:val="14"/>
                <w:b w:val="1"/>
                <w:bCs w:val="1"/>
                <w:color w:val="auto"/>
                <w:w w:val="95"/>
              </w:rPr>
              <w:t>Three Months Ended March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4"/>
            <w:vMerge w:val="restart"/>
          </w:tcPr>
          <w:p>
            <w:pPr>
              <w:jc w:val="right"/>
              <w:ind w:right="271"/>
              <w:spacing w:after="0"/>
              <w:rPr>
                <w:sz w:val="20"/>
                <w:szCs w:val="20"/>
                <w:color w:val="auto"/>
              </w:rPr>
            </w:pPr>
            <w:r>
              <w:rPr>
                <w:rFonts w:ascii="Arial" w:cs="Arial" w:eastAsia="Arial" w:hAnsi="Arial"/>
                <w:sz w:val="14"/>
                <w:szCs w:val="14"/>
                <w:b w:val="1"/>
                <w:bCs w:val="1"/>
                <w:color w:val="auto"/>
              </w:rPr>
              <w:t>(2017 vs. 2016 Pro Forma)</w:t>
            </w:r>
          </w:p>
        </w:tc>
        <w:tc>
          <w:tcPr>
            <w:tcW w:w="0" w:type="dxa"/>
            <w:vAlign w:val="bottom"/>
          </w:tcPr>
          <w:p>
            <w:pPr>
              <w:spacing w:after="0"/>
              <w:rPr>
                <w:sz w:val="1"/>
                <w:szCs w:val="1"/>
                <w:color w:val="auto"/>
              </w:rPr>
            </w:pPr>
          </w:p>
        </w:tc>
      </w:tr>
      <w:tr>
        <w:trPr>
          <w:trHeight w:val="87"/>
        </w:trPr>
        <w:tc>
          <w:tcPr>
            <w:tcW w:w="52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Restructuring and impairment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2,209.3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equity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500" w:right="160" w:hanging="465"/>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three months ended March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 decreased $1,516.6 million in the first quarter of 2017 compared to the prior-year quarter on a pro forma basis, primarily resulting from a sharp decline in Subsea activities in the Europe and Africa region due to lower order activity during 2015 and 2016, leading to a lower backlog of business coming into the current year. Partially offsetting were increased project execution activities in the Asia Pacific region, which continues to benefit from a larger portfolio of projects in backlog. Revenue also decreased across all Onshore/Offshore businesses year-over-year on a pro forma basis, primarily driven by lower levels of project backlog coming into the year impacting our Middle East, North America and South America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(revenue less cost of sales) decreased as a percentage of sales to 11.9% in the first quarter of 2017, from 12.2% in the prior-year quarter on a pro forma basis. The decline in gross profit as a percentage of sales was primarily due to impact on the Subsea and Surface Technologies segments from the lower activity levels and project margin mix.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 decreased $56.7 million year-over-year on a pro forma basis, resulting from lower headcount across all reporting segments and decreased sales commissions.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and impairment expense</w:t>
      </w:r>
    </w:p>
    <w:p>
      <w:pPr>
        <w:spacing w:after="0" w:line="17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Restructuring and impairment expense decreased by $66.3 million year-over-year on a pro forma basis. Additionally, we recorded restructuring and impairment expenses of $9.7 million during 2017 as a result of our company-wide reduction in workforce and facility consolidation efforts.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transaction and integration costs of $54.7 million were incurred in the first quarter of 2017 due to the completion of the Merger of FMC Technologies and Technip. A significant portion of the expenses recorded in the period are related to transaction fees, with a substantially lower portion related to integration activities pertaining to combining the two legacy companies. Refer to Note 2 to our condensed consolidated financial statements included in Part I, Item 1 of this Quarterly Report on Form 10-Q.</w:t>
      </w:r>
    </w:p>
    <w:p>
      <w:pPr>
        <w:spacing w:after="0" w:line="13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quarter of 2017, we recognized $306.9 million of net foreign exchange gains, largely due to the unhedged position of the Russian ruble versus the U.S. dollar,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7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income tax provision for the first quarter of 2017 and the first quarter of 2016 on a historical basis reflected effective tax rates of 34.8% and 24.4%, respectively. The year-over-year increase in the effective tax rate was primarily due to an unfavorable change in the forecasted country mix of earnings. In certain jurisdictions, primarily Singapore and Malaysia, our tax rate is significantly less than the relevant statutory rate due to tax holidays.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1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19 to our condensed consolidated financial statements included in Part I, Item 1 of this Quarterly Report on Form 10-Q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left="537"/>
              <w:spacing w:after="0"/>
              <w:rPr>
                <w:sz w:val="20"/>
                <w:szCs w:val="20"/>
                <w:color w:val="auto"/>
              </w:rPr>
            </w:pPr>
            <w:r>
              <w:rPr>
                <w:rFonts w:ascii="Arial" w:cs="Arial" w:eastAsia="Arial" w:hAnsi="Arial"/>
                <w:sz w:val="14"/>
                <w:szCs w:val="14"/>
                <w:b w:val="1"/>
                <w:bCs w:val="1"/>
                <w:color w:val="auto"/>
                <w:w w:val="95"/>
              </w:rPr>
              <w:t>Three Months Ended March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60" w:type="dxa"/>
            <w:vAlign w:val="bottom"/>
          </w:tcPr>
          <w:p>
            <w:pPr>
              <w:spacing w:after="0"/>
              <w:rPr>
                <w:sz w:val="13"/>
                <w:szCs w:val="13"/>
                <w:color w:val="auto"/>
              </w:rPr>
            </w:pPr>
          </w:p>
        </w:tc>
        <w:tc>
          <w:tcPr>
            <w:tcW w:w="9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3"/>
                <w:szCs w:val="13"/>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Pro Forma</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1,376.7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2,378.0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216.9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 pts.</w:t>
            </w:r>
          </w:p>
        </w:tc>
        <w:tc>
          <w:tcPr>
            <w:tcW w:w="0" w:type="dxa"/>
            <w:vAlign w:val="bottom"/>
          </w:tcPr>
          <w:p>
            <w:pPr>
              <w:spacing w:after="0"/>
              <w:rPr>
                <w:sz w:val="1"/>
                <w:szCs w:val="1"/>
                <w:color w:val="auto"/>
              </w:rPr>
            </w:pPr>
          </w:p>
        </w:tc>
      </w:tr>
      <w:tr>
        <w:trPr>
          <w:trHeight w:val="243"/>
        </w:trPr>
        <w:tc>
          <w:tcPr>
            <w:tcW w:w="40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line="280" w:lineRule="auto"/>
        <w:tabs>
          <w:tab w:leader="none" w:pos="50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Due to the Merger of FMC Technologies and Technip, there were 2.5 months included in the first quarter of 2017 for legacy FMC Technologies, compared with three months in the first quarter of 2016. Refer to Note 2 to our condensed consolidated financial statements included in Part I, Item 1 of this Quarterly Report on Form 10-Q.</w:t>
      </w:r>
    </w:p>
    <w:p>
      <w:pPr>
        <w:spacing w:after="0" w:line="10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Subsea revenue decreased $1,001.3 million year-over-year on a pro forma basis, primarily due to lower project activity in the Europe and Africa region and lower activity in our Subsea services business, partially offset by increased project activity in the Asia Pacific region. The lower activity was substantially due to the reduced backlog levels at the beginning of the period as a result of slower project awards in 2015 and 2016. Additionally, the decrease in revenue was attributable to lower vessel utilization year-over-year on a pro forma basis, primarily due to high vessel campaigns in Africa and Asia in the prior year.</w:t>
      </w:r>
    </w:p>
    <w:p>
      <w:pPr>
        <w:spacing w:after="0" w:line="10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Subsea operating profit for the first quarter of 2017 included $6.7 million in restructuring and other severance charges compared to $3.9 million in the prior year on a pro forma basis. Operating profit for the first quarter of 2016 included $3.9 million in restructuring and other severance charges.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left="657"/>
              <w:spacing w:after="0"/>
              <w:rPr>
                <w:sz w:val="20"/>
                <w:szCs w:val="20"/>
                <w:color w:val="auto"/>
              </w:rPr>
            </w:pPr>
            <w:r>
              <w:rPr>
                <w:rFonts w:ascii="Arial" w:cs="Arial" w:eastAsia="Arial" w:hAnsi="Arial"/>
                <w:sz w:val="14"/>
                <w:szCs w:val="14"/>
                <w:b w:val="1"/>
                <w:bCs w:val="1"/>
                <w:color w:val="auto"/>
                <w:w w:val="95"/>
              </w:rPr>
              <w:t>Three Months Ended 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52"/>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Pr>
          <w:p>
            <w:pPr>
              <w:spacing w:after="0"/>
              <w:rPr>
                <w:sz w:val="13"/>
                <w:szCs w:val="13"/>
                <w:color w:val="auto"/>
              </w:rPr>
            </w:pPr>
          </w:p>
        </w:tc>
        <w:tc>
          <w:tcPr>
            <w:tcW w:w="11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Pr>
          <w:p>
            <w:pPr>
              <w:spacing w:after="0"/>
              <w:rPr>
                <w:sz w:val="13"/>
                <w:szCs w:val="13"/>
                <w:color w:val="auto"/>
              </w:rPr>
            </w:pPr>
          </w:p>
        </w:tc>
        <w:tc>
          <w:tcPr>
            <w:tcW w:w="10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7"/>
              </w:rPr>
              <w:t>Pro Forma</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2,181.9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58.4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5.2 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Onshore/Offshore revenue decreased $417.9 million year-over-year on a pro forma basis. In December 2016, we increased our stake in the Yamal joint venture and became the controlling shareholder, resulting in full consolidation of the joint venture into the consolidated financial statements. Absent the change due to consolidation, revenues were lower due to reduced project activity across all geographical regions. Additionally, the decrease in revenue was attributable to lower activity in the Middle East, North America and South America due to the delivery of several projects in 2016.</w:t>
      </w:r>
    </w:p>
    <w:p>
      <w:pPr>
        <w:spacing w:after="0" w:line="10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Onshore/Offshore operating profit as a percentage of revenue for the first quarter of 2017 increased to 7.9% due to a favorable mix of project margins. In addition, quarter-over-quarter profitability was also favorably impacted by the non-recurrence of a 2016 quarterly charge of $35.4 million related to impairment, restructuring and other severance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 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52"/>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Pr>
          <w:p>
            <w:pPr>
              <w:spacing w:after="0"/>
              <w:rPr>
                <w:sz w:val="13"/>
                <w:szCs w:val="13"/>
                <w:color w:val="auto"/>
              </w:rPr>
            </w:pPr>
          </w:p>
        </w:tc>
        <w:tc>
          <w:tcPr>
            <w:tcW w:w="12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320" w:type="dxa"/>
            <w:vAlign w:val="bottom"/>
          </w:tcPr>
          <w:p>
            <w:pPr>
              <w:spacing w:after="0"/>
              <w:rPr>
                <w:sz w:val="13"/>
                <w:szCs w:val="13"/>
                <w:color w:val="auto"/>
              </w:rPr>
            </w:pPr>
          </w:p>
        </w:tc>
        <w:tc>
          <w:tcPr>
            <w:tcW w:w="1280" w:type="dxa"/>
            <w:vAlign w:val="bottom"/>
          </w:tcPr>
          <w:p>
            <w:pPr>
              <w:jc w:val="right"/>
              <w:ind w:right="557"/>
              <w:spacing w:after="0" w:line="153"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Pro Forma</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248.4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349.6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(18.6)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(75.1)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w w:val="98"/>
              </w:rPr>
              <w:t>Operating profit (loss) as a percentage of revenue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14.0 pts.</w:t>
            </w:r>
          </w:p>
        </w:tc>
        <w:tc>
          <w:tcPr>
            <w:tcW w:w="0" w:type="dxa"/>
            <w:vAlign w:val="bottom"/>
          </w:tcPr>
          <w:p>
            <w:pPr>
              <w:spacing w:after="0"/>
              <w:rPr>
                <w:sz w:val="1"/>
                <w:szCs w:val="1"/>
                <w:color w:val="auto"/>
              </w:rPr>
            </w:pPr>
          </w:p>
        </w:tc>
      </w:tr>
      <w:tr>
        <w:trPr>
          <w:trHeight w:val="243"/>
        </w:trPr>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113" w:lineRule="exact"/>
        <w:rPr>
          <w:sz w:val="20"/>
          <w:szCs w:val="20"/>
          <w:color w:val="auto"/>
        </w:rPr>
      </w:pPr>
    </w:p>
    <w:p>
      <w:pPr>
        <w:ind w:left="500" w:right="20" w:hanging="492"/>
        <w:spacing w:after="0" w:line="280" w:lineRule="auto"/>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Due to the Merger of FMC Technologies and Technip, there were 2.5 months included in the first quarter of 2017 for legacy FMC Technologies, compared with three months in the first quarter of 2016. Refer to Note 2 to our condensed consolidated financial statements included in Part I, Item 1 of this Quarterly Report on Form 10-Q.</w:t>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Surface Technologies revenue decreased $101.2 million year-over-year on a pro forma basis. Revenue decreased in all of our Surface Technologies businesses year-over-year on a pro forma basis, driven primarily by the flow-through of more competitive pricing in international markets and lower activity in our loading systems businesses.</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Surface Technologies operating loss as a percent of revenue decreased year-over-year on a pro forma basis and was driven primarily by a $38.6 million decrease in impairment, restructuring and other severance charges.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loss in the first quarter of 2017 included $1.4 million of impairment, restructuring and other severance charges compared to $40.0 million in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52"/>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442"/>
              <w:spacing w:after="0" w:line="153"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9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4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7"/>
              </w:rPr>
              <w:t>Pro Forma</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8"/>
              </w:rPr>
              <w:t>204.2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favorable change year over year in Corporate items predominately reflects $306.9 million of net foreign exchange gains, largely due to the unhedged position of the Russian ruble versus the U.S. dollar, partially offset by $52.3 million related to business combination transaction and integration costs related to the Merger of FMC Technologies and Technip.</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orders—</w:t>
      </w:r>
      <w:r>
        <w:rPr>
          <w:rFonts w:ascii="Arial" w:cs="Arial" w:eastAsia="Arial" w:hAnsi="Arial"/>
          <w:sz w:val="18"/>
          <w:szCs w:val="18"/>
          <w:color w:val="auto"/>
        </w:rPr>
        <w:t>Inbound orders represent the estimated sales value of confirmed customer orders received during the reporting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934"/>
              <w:spacing w:after="0"/>
              <w:rPr>
                <w:sz w:val="20"/>
                <w:szCs w:val="20"/>
                <w:color w:val="auto"/>
              </w:rPr>
            </w:pPr>
            <w:r>
              <w:rPr>
                <w:rFonts w:ascii="Arial" w:cs="Arial" w:eastAsia="Arial" w:hAnsi="Arial"/>
                <w:sz w:val="14"/>
                <w:szCs w:val="14"/>
                <w:b w:val="1"/>
                <w:bCs w:val="1"/>
                <w:color w:val="auto"/>
              </w:rPr>
              <w:t>Inbound Orders</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530.7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inbound orders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1,021.1</w:t>
            </w:r>
          </w:p>
        </w:tc>
      </w:tr>
      <w:tr>
        <w:trPr>
          <w:trHeight w:val="27"/>
        </w:trPr>
        <w:tc>
          <w:tcPr>
            <w:tcW w:w="7800" w:type="dxa"/>
            <w:vAlign w:val="bottom"/>
            <w:gridSpan w:val="3"/>
          </w:tcPr>
          <w:p>
            <w:pPr>
              <w:spacing w:after="0"/>
              <w:rPr>
                <w:sz w:val="2"/>
                <w:szCs w:val="2"/>
                <w:color w:val="auto"/>
              </w:rPr>
            </w:pPr>
          </w:p>
        </w:tc>
        <w:tc>
          <w:tcPr>
            <w:tcW w:w="54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59"/>
        </w:trPr>
        <w:tc>
          <w:tcPr>
            <w:tcW w:w="9740" w:type="dxa"/>
            <w:vAlign w:val="bottom"/>
            <w:gridSpan w:val="9"/>
          </w:tcPr>
          <w:p>
            <w:pPr>
              <w:spacing w:after="0"/>
              <w:rPr>
                <w:sz w:val="20"/>
                <w:szCs w:val="20"/>
                <w:color w:val="auto"/>
              </w:rPr>
            </w:pPr>
            <w:r>
              <w:rPr>
                <w:rFonts w:ascii="Arial" w:cs="Arial" w:eastAsia="Arial" w:hAnsi="Arial"/>
                <w:sz w:val="18"/>
                <w:szCs w:val="18"/>
                <w:i w:val="1"/>
                <w:iCs w:val="1"/>
                <w:color w:val="auto"/>
                <w:w w:val="91"/>
              </w:rPr>
              <w:t>Order backlog—</w:t>
            </w:r>
            <w:r>
              <w:rPr>
                <w:rFonts w:ascii="Arial" w:cs="Arial" w:eastAsia="Arial" w:hAnsi="Arial"/>
                <w:sz w:val="18"/>
                <w:szCs w:val="18"/>
                <w:color w:val="auto"/>
                <w:w w:val="91"/>
              </w:rPr>
              <w:t>Order backlog is calculated as the estimated sales value of unfilled, confirmed customer orders at the reporting date.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2"/>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Order Backlog</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9,066.0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11,834.9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9,401.7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order backlog</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16,056.2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16,743.9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16,380.5</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spacing w:after="0" w:line="336" w:lineRule="auto"/>
        <w:rPr>
          <w:sz w:val="20"/>
          <w:szCs w:val="20"/>
          <w:color w:val="auto"/>
        </w:rPr>
      </w:pPr>
      <w:r>
        <w:rPr>
          <w:rFonts w:ascii="Arial" w:cs="Arial" w:eastAsia="Arial" w:hAnsi="Arial"/>
          <w:sz w:val="17"/>
          <w:szCs w:val="17"/>
          <w:i w:val="1"/>
          <w:iCs w:val="1"/>
          <w:color w:val="auto"/>
        </w:rPr>
        <w:t xml:space="preserve">Subsea. </w:t>
      </w:r>
      <w:r>
        <w:rPr>
          <w:rFonts w:ascii="Arial" w:cs="Arial" w:eastAsia="Arial" w:hAnsi="Arial"/>
          <w:sz w:val="17"/>
          <w:szCs w:val="17"/>
          <w:color w:val="auto"/>
        </w:rPr>
        <w:t>Order backlog for Subsea at March 31, 2017, increased by $1,649.2 million compared to December 31, 2016. Subsea backlog of $6.6 billion at</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2017, was composed of various subsea projects, including Total’s Kaombo; Petrobras’ pipelay support vessel and pre-salt tree awards; Mellitah’s Bahr Essalam; Shell’s Appomattox; PDVSA’s Mariscal Sucre Dragon; Woodside’s Greater Enfield; and BP’s Shah Deniz.</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8"/>
          <w:szCs w:val="18"/>
          <w:i w:val="1"/>
          <w:iCs w:val="1"/>
          <w:color w:val="auto"/>
        </w:rPr>
        <w:t xml:space="preserve">Onshore/Offshore. </w:t>
      </w:r>
      <w:r>
        <w:rPr>
          <w:rFonts w:ascii="Arial" w:cs="Arial" w:eastAsia="Arial" w:hAnsi="Arial"/>
          <w:sz w:val="18"/>
          <w:szCs w:val="18"/>
          <w:color w:val="auto"/>
        </w:rPr>
        <w:t>Onshore/Offshore order backlog at March 31, 2017, decreased by $2.8 billion compared to December 31, 2016, primarily due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adjustments related to revenue generated on Yamal. Onshore/Offshore backlog of $9.1 billion was composed of various projects, including Yamal LNG; Enoc’s Jebel Ali refinery expansion; Sibur’s Zapsib-2; Total’s Martin Linge; Adma Opco’s Umm Lulu Phase 2; and Eni’s Ghana onshore receiving gas terminal.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Most of our cash is held in the treasury centralizing companies of TechnipFMC and in foreign jurisdictions to best meet the liquidity needs of our global operations. Cash held by subsidiaries of our U.S. domiciled companies could be repatriated to the United States, but under current law, any such repatriation would be subject to U.S. federal income tax, as adjusted for applicable foreign tax credits. We have provided for U.S. federal income taxes on earnings not distributed to the U.S. parent companies where we have determined that such earnings are not indefinitely reinvested.</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meet the continuing funding requirements of our global operations with cash generated by such operations, cash from earnings of operations that are not indefinitely reinvested in the jurisdictions where generated and our existing revolving credit facility. We would make a provision for additional U.S. tax due to repatriated cash required to fund U.S. operations not previously provided, which may be material to our cash flows and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Net (Debt) Cash</w:t>
      </w:r>
      <w:r>
        <w:rPr>
          <w:rFonts w:ascii="Arial" w:cs="Arial" w:eastAsia="Arial" w:hAnsi="Arial"/>
          <w:sz w:val="18"/>
          <w:szCs w:val="18"/>
          <w:color w:val="auto"/>
        </w:rPr>
        <w:t>—Net (debt)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6,269.3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Short-term debt and current portion of long-term debt</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683.6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Long-term debt, 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1,869.3</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Net (debt) cash</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3,716.4</w:t>
            </w:r>
          </w:p>
        </w:tc>
      </w:tr>
      <w:tr>
        <w:trPr>
          <w:trHeight w:val="27"/>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gross change in the debt and cash components of our net (debt) cash position was primarily due to the Merger of FMC Technologies and Technip. Refer to Note 2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generated $151.0 million and $160.4 million in cash from operating activities during the three months ended March 31, 2017 and 2016, respectively. The decrease in cash provided by operating activities was due to the payment of account payable and the decrease in advance payments and billing in excess of costs, leading to an improvement in our working capital position. Our working capital balances can vary significantly depending on the payment and delivery terms on key contracts in our portfolio of projects.</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Investing activities provided $1,442.9 million and used $25.0 million in cash during the three months ended March 31, 2017 and 2016, respectively. The increase in cash provided by investing activities was due to the Merger of FMC Technologies and Technip. Refer to Note 2 to our condensed consolidated financial statements included in Part I, Item 1 of this Quarterly Report on Form 10-Q.</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Financing activities used $865.5 million and $269.2 million in cash flows during the three months ended March 31, 2017 and 2016, respectively. The decrease in cash flows from financing activities was due to the repayment of long-term debt and a decrease in our commercial paper position during the three months ended March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to our condensed consolidated financial statements included in Part I, Item 1 of this Quarterly Report on Form 10-Q.</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—The following is a summary of our revolving credit facility at March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Debt</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260" w:type="dxa"/>
            <w:vAlign w:val="bottom"/>
          </w:tcPr>
          <w:p>
            <w:pPr>
              <w:spacing w:after="0"/>
              <w:rPr>
                <w:sz w:val="14"/>
                <w:szCs w:val="14"/>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Letters</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Unused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Paper</w:t>
            </w:r>
          </w:p>
        </w:tc>
        <w:tc>
          <w:tcPr>
            <w:tcW w:w="26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 xml:space="preserve">Outstanding </w:t>
            </w:r>
            <w:r>
              <w:rPr>
                <w:rFonts w:ascii="Arial" w:cs="Arial" w:eastAsia="Arial" w:hAnsi="Arial"/>
                <w:sz w:val="8"/>
                <w:szCs w:val="8"/>
                <w:b w:val="1"/>
                <w:bCs w:val="1"/>
                <w:color w:val="auto"/>
                <w:w w:val="95"/>
              </w:rPr>
              <w:t>(a)</w:t>
            </w:r>
          </w:p>
        </w:tc>
        <w:tc>
          <w:tcPr>
            <w:tcW w:w="260" w:type="dxa"/>
            <w:vAlign w:val="bottom"/>
          </w:tcPr>
          <w:p>
            <w:pPr>
              <w:spacing w:after="0"/>
              <w:rPr>
                <w:sz w:val="13"/>
                <w:szCs w:val="13"/>
                <w:color w:val="auto"/>
              </w:rPr>
            </w:pPr>
          </w:p>
        </w:tc>
        <w:tc>
          <w:tcPr>
            <w:tcW w:w="134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Credit</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Capacity</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1,629.7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jc w:val="right"/>
              <w:ind w:right="1120"/>
              <w:spacing w:after="0"/>
              <w:rPr>
                <w:sz w:val="20"/>
                <w:szCs w:val="20"/>
                <w:color w:val="auto"/>
              </w:rPr>
            </w:pPr>
            <w:r>
              <w:rPr>
                <w:rFonts w:ascii="Arial" w:cs="Arial" w:eastAsia="Arial" w:hAnsi="Arial"/>
                <w:sz w:val="18"/>
                <w:szCs w:val="18"/>
                <w:b w:val="1"/>
                <w:bCs w:val="1"/>
                <w:color w:val="auto"/>
                <w:w w:val="88"/>
              </w:rPr>
              <w:t>_______________________</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00" w:right="420" w:hanging="492"/>
        <w:spacing w:after="0" w:line="227" w:lineRule="auto"/>
        <w:tabs>
          <w:tab w:leader="none" w:pos="50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$870.3 million of commercial paper issued under our facility at March 31, 2017. As we had both the ability and intent to refinance these obligations on a long-term basis, our commercial paper borrowings were classified as long-term debt in the accompanying condensed consolidated balance sheets at March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were in compliance with all restrictive covenants under our revolving credit facility.</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 to Note 10 to our condensed consolidated financial statements included in Part I, Item 1 of this Quarterly Report on Form 10-Q for further information related to our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information about credit risk is incorporated herein by reference to Note 18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our liquidity and capital resources primarily through operations and, when needed, through our credit facility. We have</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$1,629.7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 While we will continue to reach payment milestones on our projects, we expect our consolidated operating cash flow in 2017 to slightly decrease as a result of the negative impact the decline in commodity prices and the corresponding impact the industry downturn is having on our overall business in terms of the number of new projects awarded and the payment terms and conditions of such project awards. Given the protracted downturn in the oilfield services industry, some key customers have requested the possibility of deferred payments. Additionally, our primary customer in Brazil has requested some re-scheduling of backlog deliveries in order to better match equipment deliveries with their operating schedule requirements and to better align cash flow capabilities. Consequently, any payment deferrals, discounts on pricing, or material product delivery delays that may ultimately be mutually agreed to with our key customers may adversely affect our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project spending approximately $300 million in 2017 for capital expenditures, largely towards maintenance expenditures in our subsea service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projected capital expenditures for 2017 do not include any contingent capital that may be needed to respond to a contract award.</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board of directors has authorized $500 million for repurchase of shares to be executed over the remainder of 2017 and 2018. Also, we intend to distribute quarterly dividends beginning after our third quarter at a rate to be determined. Both actions are subject to regulatory approval in the United Kingdom where we are domiciled.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remainder of 2017, we expect to make contributions of approximately $10.4 million to our international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Additionally, we expect to make payments of approximately $2.4 million to our U.S. Non-Qualified Defined Benefit Pension Plan during the remainder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 Item I of this Quarterly Report on Form 10-Q for a description of our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recognize revenue on construction-type manufacturing projects using the percentage of completion method of accounting whereby revenue is recognized as work progresses on each contract. There are several acceptable methods under GAAP of measuring progress toward completion. Most frequently, we use the ratio of costs incurred to date to total estimated contract costs at completion to measure progress toward completion.</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that we will provide and the amount of consideration we will receive.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 significant portion of our total revenue recognized under the percentage of completion method of accounting relates to our Subsea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our estimates of total contract costs.</w:t>
      </w:r>
    </w:p>
    <w:p>
      <w:pPr>
        <w:spacing w:after="0" w:line="11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estimated contract cost in the percentage of completion method of accounting is a critical accounting estimate because it can materially affect revenue and profit and requires us to make judgments about matters that are uncertain.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an allowance reducing the asset to a value we believe will be recoverable based on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the expected realizability of a deferred tax asset would require that we adjust the valuation allowance applied against the gross value of our total deferred tax assets, resulting in a change to net income.</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March 31, 2017, we believe that it is not more likely than not that we will generate future taxable income in certain jurisdictions in which we have cumulative net operating losses and, therefore, we have provided a valuation allowance against the related deferred tax assets. As of March 31, 2017, we believe that it is more likely than not that we will have future taxable income in the United States to utilize our deferred tax assets. Therefore, we have not provided a valuation allowance against the cumulative net operating loss.</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pension and other post-retirement (health care and life insurance) obligations are described in Note 15 to our consolidated financial statements included in Part I, Item I of this Quarterly Report on Form 10-Q.</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our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our pension expense and pension liabilities.</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expected long-term rate of return on plan assets is a component of net periodic pension cost. Our estimate of the expected long-term rate of return on plan assets is primarily based on the historical performance of plan assets, current market conditions, our asset allocation and long-term growth expectations. The difference between the expected return and the actual return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plan assets is amortized over the expected remaining service life of employees, resulting in a lag time between the market’s performance and its impact on plan results.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960" w:type="dxa"/>
            <w:vAlign w:val="bottom"/>
            <w:gridSpan w:val="2"/>
            <w:vMerge w:val="restart"/>
          </w:tcPr>
          <w:p>
            <w:pPr>
              <w:jc w:val="center"/>
              <w:ind w:left="1318"/>
              <w:spacing w:after="0"/>
              <w:rPr>
                <w:sz w:val="20"/>
                <w:szCs w:val="20"/>
                <w:color w:val="auto"/>
              </w:rPr>
            </w:pPr>
            <w:r>
              <w:rPr>
                <w:rFonts w:ascii="Arial" w:cs="Arial" w:eastAsia="Arial" w:hAnsi="Arial"/>
                <w:sz w:val="14"/>
                <w:szCs w:val="14"/>
                <w:b w:val="1"/>
                <w:bCs w:val="1"/>
                <w:color w:val="auto"/>
                <w:w w:val="91"/>
              </w:rPr>
              <w:t>Increase (Decrease) in</w:t>
            </w:r>
          </w:p>
        </w:tc>
        <w:tc>
          <w:tcPr>
            <w:tcW w:w="180" w:type="dxa"/>
            <w:vAlign w:val="bottom"/>
          </w:tcPr>
          <w:p>
            <w:pPr>
              <w:spacing w:after="0"/>
              <w:rPr>
                <w:sz w:val="14"/>
                <w:szCs w:val="14"/>
                <w:color w:val="auto"/>
              </w:rPr>
            </w:pPr>
          </w:p>
        </w:tc>
        <w:tc>
          <w:tcPr>
            <w:tcW w:w="14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Projected Benefit</w:t>
            </w:r>
          </w:p>
        </w:tc>
        <w:tc>
          <w:tcPr>
            <w:tcW w:w="0" w:type="dxa"/>
            <w:vAlign w:val="bottom"/>
          </w:tcPr>
          <w:p>
            <w:pPr>
              <w:spacing w:after="0"/>
              <w:rPr>
                <w:sz w:val="1"/>
                <w:szCs w:val="1"/>
                <w:color w:val="auto"/>
              </w:rPr>
            </w:pPr>
          </w:p>
        </w:tc>
      </w:tr>
      <w:tr>
        <w:trPr>
          <w:trHeight w:val="149"/>
        </w:trPr>
        <w:tc>
          <w:tcPr>
            <w:tcW w:w="6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2960" w:type="dxa"/>
            <w:vAlign w:val="bottom"/>
            <w:gridSpan w:val="2"/>
          </w:tcPr>
          <w:p>
            <w:pPr>
              <w:jc w:val="center"/>
              <w:ind w:left="1318"/>
              <w:spacing w:after="0" w:line="149" w:lineRule="exact"/>
              <w:rPr>
                <w:sz w:val="20"/>
                <w:szCs w:val="20"/>
                <w:color w:val="auto"/>
              </w:rPr>
            </w:pPr>
            <w:r>
              <w:rPr>
                <w:rFonts w:ascii="Arial" w:cs="Arial" w:eastAsia="Arial" w:hAnsi="Arial"/>
                <w:sz w:val="14"/>
                <w:szCs w:val="14"/>
                <w:b w:val="1"/>
                <w:bCs w:val="1"/>
                <w:color w:val="auto"/>
                <w:w w:val="90"/>
              </w:rPr>
              <w:t>2016 Pension Expense</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Obligation at December</w:t>
            </w:r>
          </w:p>
        </w:tc>
        <w:tc>
          <w:tcPr>
            <w:tcW w:w="0" w:type="dxa"/>
            <w:vAlign w:val="bottom"/>
          </w:tcPr>
          <w:p>
            <w:pPr>
              <w:spacing w:after="0"/>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29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90"/>
              </w:rPr>
              <w:t>Before Income Taxes</w:t>
            </w:r>
          </w:p>
        </w:tc>
        <w:tc>
          <w:tcPr>
            <w:tcW w:w="18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31, 2016</w:t>
            </w: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discount rate</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discount rate</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and estimates made by management in determining our pension benefit obligations may materially differ from actual results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result of changing market and economic conditions and changes in plan participant assumptions. While we believe the assumptions and estimates used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differences in actual experience or changes in plan participant assumptions may materially affect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is not subject to amortization but is tested for impairment on an annual basis, or more frequently if impairment indicators arise. We have established October 31 as the date of our annual test for impairment of goodwill. Reporting units with goodwill are tested for impairment by first assessing qualitative factors to 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quantitative impairment test is performed.</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using the two-step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Any significant change in key assumptions may cause the acquisition accounting to be revised. Business combinations are described in Note 2 to our consolidated financial statements included in Part I, Item I of this Quarterly Report on Form 10-Q.</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guarantees is incorporated herein by reference from Note 12 to our condensed consolidated financial statements included in Part I, Item 1 of this Quarterly Report on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March 28, 2016, FMC Technologies received an inquiry from the U.S. Department of Justice (“DOJ”) related to the DOJ’s investigation of whether certain services Unaoil S.A.M. provided to its clients, including FMC Technologies, violated the Foreign Corrupt Practices Act. We are cooperating with the DOJ’s and U.S. Securities and Exchange Commission’s inquiries and are conducting our own internal investigation. On March 29, 2016 Technip S.A. also received an inquiry from the DOJ related to Unaoil. We are cooperating with the DOJ’s inquiry and are conducting our own internal investigation.</w:t>
      </w:r>
    </w:p>
    <w:p>
      <w:pPr>
        <w:spacing w:after="0" w:line="10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31F20"/>
        </w:rPr>
        <w:t>In late 2016, Technip S.A. was contacted by the DOJ, regarding offshore platform projects awarded between 2003 and 2007, performed in Brazil by a joint venture company in which Technip S.A. was a minority participant. We are cooperating with the DOJ in its inquiry into potential improper payments.</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and management is unable to predict the ultimate outcome of these actions because of their inherent uncertainty. However, management believes that the most probable, ultimate resolution of these matters will not have a material adverse effect on our consolidation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condensed consolidated financial statements included in Part I, Item 1 of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1"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March 31, 2017 and December 31, 2016, substantially all of our derivative holdings consisted of foreign currency forward contracts and foreign currency instruments embedded in purchase and sale contracts.</w:t>
      </w:r>
    </w:p>
    <w:p>
      <w:pPr>
        <w:spacing w:after="0" w:line="1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March 31, 2017, would have changed our revenue and income before income taxes attributable to TechnipFMC by approximately 4% and 2%, respectively.</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1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Based on our portfolio as of March 31, 2017, we have material positions with exposure to interest rates in the United States, Canada, Australia, Brazil, the United Kingdom, Singapore, the European Community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March 31, 2017, and under the direction of our principal executive officer and principal financial officer, we have evaluated the effectiveness of our disclosure controls and procedures, as defined in Rules 13a-15(e) and 15d-15(e) under the Exchange Act. Based upon this evaluation, our principal executive officer and principal financial officer have concluded as of March 31, 2017, that our disclosure controls and procedures were:</w:t>
      </w:r>
    </w:p>
    <w:p>
      <w:pPr>
        <w:spacing w:after="0" w:line="166" w:lineRule="exact"/>
        <w:rPr>
          <w:sz w:val="20"/>
          <w:szCs w:val="20"/>
          <w:color w:val="auto"/>
        </w:rPr>
      </w:pPr>
    </w:p>
    <w:p>
      <w:pPr>
        <w:ind w:left="660" w:right="4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in ensuring that information required to be disclosed in reports that we file or submit under the Exchange Act is recorded, processed, summarized and reported within the time periods specified in the SEC’s rules and forms; and</w:t>
      </w:r>
    </w:p>
    <w:p>
      <w:pPr>
        <w:spacing w:after="0" w:line="35"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in ensuring that information required to be disclosed in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1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Due to the Merger, there were changes in the Company’s internal control over financial reporting intended to enhance overall internal control over disclosure controls and procedures and financial reporting, as defined in Rules 13a-15(f) and 15d-15(f) under the Exchange Act for the quarter ended March 31, 2017.</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121"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29, 2016, Dong Energy (“Dong”) terminated, on the grounds of an alleged material breach, a 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The parties are currently in arbitration to resolve contract disputes related to the performance and cessation of work under the contract.</w:t>
      </w:r>
    </w:p>
    <w:p>
      <w:pPr>
        <w:spacing w:after="0" w:line="13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involved in other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relating to competitive factors in our industry, including ongoing industry consolidation, may impact our results of operations.</w:t>
      </w:r>
    </w:p>
    <w:p>
      <w:pPr>
        <w:spacing w:after="0" w:line="20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consolidation, which may affect demand for our products and services as a result of price concessions or decreased customer capital spending. This consolidation activity could have a significant negative impact on our results of operations, financial condition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demand for hydrocarbons, which is affected by worldwide population growth, economic growth rates and general economic and business conditions;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9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capital and credit markets, which may affect our customers’ activity levels and spending for our products and services;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current downturn in the oil and gas industry has resulted in a reduction in demand for oilfield services and could further adversely affect our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implement new technologies and services.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or market our products, and on our ability to protect and maintain critical intellectual property assets related to these developments. If we are not able to obtain patent or other protection of our intellectual property rights, we may not be able to continue to develop our services, products and related technologies to meet evolving industry requirements, and if so, at prices acceptable to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in which we operate or have operated expose us to potential liabilities, including the installation or use of our products.</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potential liabilities arising from equipment malfunctions, equipment misuse, personal injuries and natural disasters, the occurrence of which may result in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customary for the types of businesses in which we operate, we often agree to provide products and services under fixed-price contracts. We are subject to material risks in connection with such fixed-price contracts. Actual expenses incurred in executing a fixed-price contract can vary substantially from those originally anticipated for several reasons including, but not limited to, the following:</w:t>
      </w:r>
    </w:p>
    <w:p>
      <w:pPr>
        <w:spacing w:after="0" w:line="12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failure of suppliers or subcontractors to perform their contractual obligations.</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As a result, it is not possible to estimate with complete certainty the final cost or margin of a project at the time of bidding or during the early phases of its execution. Depending on the size of a project, variations from estimated contract performance could have a significant impact on our financial condition, results of operations or cash flows.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capital asset construction projects for vessels and plants are subject to risks, including delays and cost overruns, which could have a material adverse effect on our financial condition or results of operations.</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seek to continuously upgrade and develop our asset base. Such projects are subject to risks of delay and cost overruns which are inherent to any large construction project and which are the result of numerous factors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regarding the design and engineering;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timely delivery of our backlog could affect our future sales, profitability, and our relationships with our customers.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 particularly in light of the current industry environment where customers may seek to improve their returns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subcontractors, suppliers and our joint venture partners.</w:t>
      </w:r>
    </w:p>
    <w:p>
      <w:pPr>
        <w:spacing w:after="0" w:line="17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generally rely on subcontractors, suppliers and our joint venture partners for the performance of our contracts. Although we are not dependent upon any single supplier, certain geographic areas of our business or a project or group of projects may heavily depend on certain suppliers for raw materials or semi-finished goods. Any difficulty faced by us in hiring suitable subcontractors or acquiring equipment and materials could compromise our ability to generate a significant margin on a project or to complete such project within the allocated timeframe.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delay on the part of subcontractors, suppliers or joint venture partners in the completion of work, any failure on the part of a subcontractor, supplier or joint venture partner to meet its obligations, or any other event attributable to a subcontractor, supplier or joint venture partner that is beyond our control or not foreseeable by us could lead to delays in the overall progress of the project and/or generate significant extra costs. We are exposed to risks presented by the activities of our subcontractors, suppliers and joint venture partners in connection with the performance of their obligations for a project. If subcontractors, suppliers or joint venture partners refuse to adhere to their contractual obligations with us or are unable to do so due to a deterioration of their financial condition, we may be unable to find a suitable replacement at a comparable price, or at all.</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these potential issues, we could be required to compensate our customers. Moreover, the failure of one of our joint venture partners to perform their obligations in a timely and satisfactory manner could lead to additional obligations and costs being imposed on us as we would be potentially obligated to assume our defaulting partner’s obligations, Even if we were entitled to make a claim for these extra costs against the defaulting supplier, subcontractor or joint venture partner, we could be unable to recover the entirety of these costs and this could materially adversely affect our business, financial condition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depend on key personnel. The loss of any key personnel could adversely impact our business if we are unable to implement key strategies or transactions in their absence. The loss of qualified employees or an inability to retain and motivate additional highly-skilled employees required for the operation and expansion of our business could hinder our ability to successfully conduct research activities and develop marketable products and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transmit through sensitive maritime areas. Such risks have the potential to significant harm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that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 short period of time, we could experience a significant adverse impact on our financial condition, results of operations or cash flows.</w:t>
      </w:r>
    </w:p>
    <w:p>
      <w:pPr>
        <w:spacing w:after="0" w:line="1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health and safety, labor and employment, import/export control,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international operations are subject to anti-corruption laws and regulations, such as the U.S. Foreign Corrupt Practices Act of 1977 (the “FCPA”), the U.K. Bribery Act of 2010 (the “Bribery Act”), the Brazilian Anti-Bribery Act (also known as the Brazilian Clean Company Act) and economic and trade sanctions, including those administered by the United Nations, the European Union, the Office of Foreign Assets Control of the U.S. Department of the Treasury (“OFAC”) and the U.S. Department of State.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doing business in foreign countries, including through partners and agents, we will be exposed to a risk of violating anti-corruption laws and sanctions regulations. Some of the international locations in which we will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we believe we have a strong compliance program, including procedures to minimize and detect fraud in a timely manner, and continue efforts to improve our systems of internal controls, we can provide no assurance that the policies and procedures will be followed at all times or will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or the issuance of orders enjoining operations. These laws and regulations, as well as the adoption of new legal requirements or other laws and regulations affecting exploration and development of drilling for crude oil and natural gas, could adversely affect our business and operating results by increasing our costs, limiting the demand for our products and services or restricting our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such as North Africa, West Africa, the Middle East, and the Commonwealth of Independent States, could have an adverse effect on the demand for our services and products, our financial condition or our results of operations. These factors include, but are not limited to, the following:</w:t>
      </w:r>
    </w:p>
    <w:p>
      <w:pPr>
        <w:spacing w:after="0" w:line="1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of OPEC to set and maintain production levels and pricing;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restrictions, trade protection measures or price controls;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operations, trade practices, trade partners and investment decisions resulting from domestic and foreign laws and regulations;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and the administration of, laws and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New York Stock Exchange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the Clearance Services determine at any time that our shares are not eligible for continued deposit and clearance within their facilities, then we believe that our shares would not be eligible for continued listing on the NYSE or Euronext Paris and trading in our shares would be disrupted. While we would pursue alternative arrangements to preserve the listing and maintain trading, any such disruption could have a material adverse effect on the trading price of our shares.</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based in the United Kingdom and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initiated its withdrawal process in the first quarter of 2017. Nevertheless,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1"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decrease foreign direct investment in the United Kingdom. For example, withdrawal from the European Union could, depending on the negotiated terms of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24"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our business, financial condition and results of operations.</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may require stockholder approval which may limit our flexibility to manage our capital structure.</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English law provides that a board of directors may only allot shares or rights to subscribe for, or convert any securities into, shares (other than shares or rights to subscribe for, or convert any securities into, shares in pursuance of an employees’ share scheme) with the prior authorization of stockholders, such authorization being subject to a maximum nominal amount of shares and a maximum period of time (which must not be more than five years), each as specified in the articles of association or relevant stockholder resolution. This authorization would need to be renewed by our stockholders upon its expiration (i.e., at least every five years). At the time of the merger, our articles of association authorized the allotment of additional shares for a period of five years from the date of adoption up to an aggregate nominal amount representing 20% of the number of shares in the capital of the TechnipFMC as of the date of the adoption of the articles of association and post merger, which authorization will need to be renewed upon expiration but may be sought more frequently for additional five-year terms (or any shorter period).</w:t>
      </w:r>
    </w:p>
    <w:p>
      <w:pPr>
        <w:spacing w:after="0" w:line="1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English law also generally provides stockholders with pre-emptive rights when new shares are issued for cash. However, it is possible for articles of association, or stockholders in general meeting, to exclude or disapply pre-emptive rights for a maximum period of five years as specified in the articles of association or relevant stockholder resolution. This exclusion or disapplication would need to be renewed by our stockholders upon its expiration (i.e., at least once every five years). Our articles of association disapply pre-emptive rights in relation to an allotment of shares for cash pursuant to the authority referred to above for a period of five years following the date of adoption, as permitted under English law, which disapplication will need to be renewed upon expiration to remain effective, but may be sought more frequently for additional five-year terms (or any shorter period).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can be no assurance that circumstances will not arise that would cause renewals of the foregoing stockholder approvals not to be obtained, which would deprive our stockholders of substantial capital management benefits.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law requires that we meet certain additional financial requirements before we may declare dividends or repurchase shares.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organized under the laws of England and Wales, we may only make a distribution if the amount of our net assets is not less than the aggregate of our called-up share capital and undistributable reserves and if, to the extent that, the distribution does not reduce the amount of those assets to less that that aggregate.</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Following the merger, we capitalized our reserves arising out of the merger by the allotment by TechnipFMC of a bonus share, which was paid up using such reserves, such that the amount of such reserves so applied, less the nominal value of the bonus share, would be applied as share premium and accrue to our share premium account. We are implementing a court-approved reduction of our capital in order to create distributable profits to support the payment of possible future dividends or future share repurchases. There can be no assurance that court approval will be obtained in respect of our reducing our capital in order to create distributable profits. Neither the capitalization nor the reduction will impact our stockholders’ relative interest in our capital. Our articles of association permit us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justify the payment. When recommending or declaring payment of a dividend, the directors are required under English law to comply with their duties, including considering our future financial requirements.</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substantial existing debt. As of March 31, 2017, after giving effect to the Merger, our total debt would have been $3.6 billion. We also have the capacity under our $2.5 billion credit facility and bilateral facilities to incur substantial additional debt. Our level of debt could have important consequences. For example, it could:</w:t>
      </w:r>
    </w:p>
    <w:p>
      <w:pPr>
        <w:spacing w:after="0" w:line="12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no assurance can be given that the nature and amount of that insurance will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the tools, techniques, methodologies, programs and components we use to provide our services may infringe upon the intellectual property rights of others. Infringement claims generally result in significant legal and other costs. Royalty payments under licenses from third parties, if available, would increase our costs. If a license were not available, we might not be able to continue providing a particular service or product, which could adversely affect our financial condition, results of operations or cash flows. Additionally, developing non-infringing technologies would increase our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 operations around the world in a number of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do not hedge translation impacts on earnings, and our efforts to engage in hedging transactions to minimize our current exchange rate exposure for transaction impacts may not be successful. Moreover, certain currencies,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 of FMC Technologies and Technip.</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devote significant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to realize the anticipated benefits of the merger could cause an interruption of our operations and could seriously harm our results of operations. In addition, the overall integration of Technip and FMC Technologies may result in material unanticipated problems, expenses, liabilities, competitive responses, loss of client relationships and diversion of management’s attention, and may cause our stock prices to decline. The difficulties of combining the operations of Technip and FMC Technologies include, but is not limited to, the following:</w:t>
      </w:r>
    </w:p>
    <w:p>
      <w:pPr>
        <w:spacing w:after="0" w:line="13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Many of these factors will be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or sales or growth opportunities that we expect. These benefits may not be achieved within the anticipated time frame, or at all. As a result, we cannot assure that the combination of Technip and FMC Technologies will result in the realization of the full benefits expected from the merger.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incurred and expect to incur a number of non-recurring direct and indirect costs associated with the merger. In addition to the cost and expenses associated with the consummation of the merger, there are also processes, policies, procedures, operations, technologies and systems that must be integrated in connection with the merger and the integration of Technip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1"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FMC Technologies. While both Technip and FMC Technologies have assumed that a certain level of expenses would be incurred in connection with the merger and continue to assess the magnitude of these costs, there are many factors beyond our control that could affect the total amount or the timing of the integration and implementation expenses. There may also be additional unanticipated significant costs in connection with the merger that we may not recoup. These costs and expenses could reduce the realization of efficiencies and strategic benefits we expect to achieve from the merger. Although we expect that these benefits will offset the transaction expenses and implementation costs over time, this net benefit may not be achieved in the near term or at all.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of our IT infrastructure could adversely impact our business and results of operations.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Despite our implementation of security measures, our systems are vulnerable to damages from computer viruses, natural disasters, incursions by intruders or hackers, failures in hardware or software, power fluctuations, cyber terrorists and other similar disruptions. Additionally, we rely on third parties to support the operation of our IT hardware and software infrastructure, and in certain instances, utilize web-based applications. Although no such material incidents have occurred to date,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we are an entity incorporated in England and Wales, we would generally be classified as a foreign corporation (or non-U.S. tax resident) under these rules. Section 7874 provides an exception under which a foreign incorporated entity may, in certain circumstances, be treated as a U.S. domestic corporation for U.S. federal income tax purposes.</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Unless we have satisfied the substantial business activities exception, as defined in Section 7874 and described in more detail below (the “Substantial Business Activities Exception”), we will be treated as a U.S. domestic corporation (that is, as a U.S. tax resident) for U.S. federal income tax purposes under Section 7874 if the percentage (by vote or value) of our shares considered to be held by former holders of FMCTI Shares after the merger by reason of holding FMCTI Shares for purposes of Section 7874 (the “Section 7874 Percentage”) is (i) 60% or more (if, as expected, the Third Country Rule (defined below) applies) or (ii) 80% or more (if the Third Country Rule does not apply). In order for us to satisfy the Substantial Business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the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Because we are a tax resident in the United Kingdom and not a tax resident in France as Technip was, we expect that we would be treated as a U.S. domestic corporation for U.S. federal income tax purposes under the Third Country Rule if the Section 7874 Percentage were at least 60%.</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if the Section 7874 Percentage is calculated to be at least 60%, Section 7874 and the rules related thereto may impose an excise tax under Section 4985 of the Code (the “Section 4985 Excise Tax”) on the gain recognized by certain “disqualified individuals” (including officers and directors of a U.S. company) on certain stock-based compensation held thereby at a rate equal to 15%, even if the Third Country Rule were to apply such that we were treated as a U.S. domestic corporation for U.S. federal income tax purposes. We may, if we determine that it is appropriate, provide disqualified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individuals with a payment with respect to the excise tax, so that, on a net after-tax basis, they would be in the same position as if no such excise tax had been applied.</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that the Section 7874 Percentage was less than 60% such that the Third Country Rule is not expected to apply to us and the Section 4985 Excise Tax is not expected to apply to any such “disqualified individuals.” However, the calculation of the Section 7874 Percentage is complex and is subject to detailed Treasury regulations (the application of which is uncertain in various respects and would be impacted by changes in such Treasury regulations). In addition, there can be no assurance that there will not be a change in law, including with retroactive effect, which might cause us to be treated as a U.S. domestic corporation for U.S. federal income tax purposes. Accordingly, we cannot assure you that the IRS will agree with our position and/or would not successfully challenge our status as a foreign corporation.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 laws and/or IRS guidance could affect our ability to engage in certain acquisition strategies and certain internal restructurings.</w:t>
      </w:r>
    </w:p>
    <w:p>
      <w:pPr>
        <w:spacing w:after="0" w:line="1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are treated as a foreign corporation for U.S. federal income tax purposes, Section 7874 and U.S. Treasury regulations promulgated thereunder may adversely affect our ability to engage in certain future acquisitions of U.S. businesses in exchange for our equity or to otherwise restructure the non-U.S. members of our group, which may affect the tax efficiencies that otherwise might be achieved in such potential future transactions or restructurings.</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These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challenges to the interpretations of, or future changes to, such laws could adversely affect us.</w:t>
      </w:r>
    </w:p>
    <w:p>
      <w:pPr>
        <w:spacing w:after="0" w:line="20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and our subsidiaries are subject to tax laws and regulations in the United Kingdom, the United States, France and numerous other jurisdictions in which we and our subsidiaries operate. These laws and regulations are inherently complex, and we will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10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proposals would treat us as a U.S. domestic corporation if our management and control of TechnipFMC and its affiliates were determined to be located primarily in the United States and/or would reduce the Section 7874 Percentage threshold at or above which we would be treated as a U.S. domestic corporation. Thus, the tax laws in the United States, the United Kingdom and other countries in which we and our affiliates do business could change on a retroactive basis and any such changes could adversely affect us. Furthermore, the interpretation and application of domestic or international tax laws made by us and by our subsidiaries could differ from that of the relevant governmental authority, which could result in administrative or judicial procedures, actions or sanctions, which could be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operate in a manner such that we believe we are eligible for benefits under the tax treaties between the United Kingdom and other countries, notably the United States. However, our ability to qualify for such benefits will depend on whether we are treated as a U.K. tax resident and upon the requirements contained in each treaty and the applicable domestic laws, as the case may be, on the facts and circumstances surrounding our operations and management, and on the relevant interpretation of the tax authorities and courts. The failure by us or our subsidiaries to qualify for benefits under the tax treaties entered into between the United Kingdom and other countries could result in adverse tax consequences to us and could result in certain tax consequences of owning and disposing of our shares.</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United Kingdom for tax purposes, but French or other tax authorities may seek to treat us as a tax resident of another jurisdiction.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incorporated in England and Wales. English law currently provides that we will be regarded as being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this regard, we have a permanent establishment in France to satisfy certain French tax requirements imposed by the French Tax Code with respect to the Technip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due to the French tax authorities having deemed that certain strategic decisions of TechnipFMC have been taken at the level of our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U.K. (the “France-U.K. Treaty”), and there is no assurance that these authorities would reach an agreement that we will remain exclusively a U.K. tax resident, which could materially and adversely affect our business, financial condition, results of operations and future prospects. A failure to maintain exclusive tax residency in the United Kingdom could result in adverse tax consequences to us and our subsidiaries and could result in different tax consequences of owning and disposing of our shares.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March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8"/>
                <w:szCs w:val="8"/>
                <w:b w:val="1"/>
                <w:bCs w:val="1"/>
                <w:color w:val="auto"/>
                <w:w w:val="91"/>
              </w:rPr>
              <w:t>(a)</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Share</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3"/>
                <w:szCs w:val="13"/>
                <w:color w:val="auto"/>
              </w:rPr>
            </w:pP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2017—January 31,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February 1, 2017—February 28, 2017</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220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2017—March 31,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60" w:hanging="492"/>
        <w:spacing w:after="0" w:line="26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6"/>
          <w:szCs w:val="16"/>
          <w:color w:val="auto"/>
        </w:rPr>
        <w:t>Represents ordinary shares purchased and held in an employee benefit trust established for the FMC Technologies, Inc. Non-Qualified Savings and Investment Plan. In addition to these shares purchased on the open market, we sold 24,840 shares of registered ordinary shares held in this trust, as directed by the beneficiaries during the three months ended March 31, 2017.</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Pursuant to section 13(r) of the Securities Exchange Act, two of our non-U.S. subsidiaries have contracts with entities in Iran. We are preparing a feasibility study related to improvements to an olefins plant in Iran that we expect to complete in the second quarter of 2017. We are also providing engineering and design services for the construction of an ethylene plant in Iran, which is expected to be completed over the next eighteen months. All activities were conducted, and will be conducted, outside the United States by non-U.S. entities in compliance with applicable law. We received no revenue under either contract for the three months ended March 31, 2017. The expected gross revenue from the olefins plant and the ethylene plant is 250,000 Euros and 8,000,000 Euros, respectively, which is less than 0.18% of our pro forma revenues for the fiscal year ended December 31, 2016. Net profit from the two contracts is unknown at this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section entitled “Index of Exhibits” of this Quarterly Report on Form 10-Q for the period ended March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584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Maryann T. Mannen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Officer(Principal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 and a Duly Authorized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121"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20" w:type="dxa"/>
            <w:vAlign w:val="bottom"/>
          </w:tcPr>
          <w:p>
            <w:pPr>
              <w:ind w:left="300"/>
              <w:spacing w:after="0"/>
              <w:rPr>
                <w:sz w:val="20"/>
                <w:szCs w:val="20"/>
                <w:color w:val="auto"/>
              </w:rPr>
            </w:pPr>
            <w:r>
              <w:rPr>
                <w:rFonts w:ascii="Arial" w:cs="Arial" w:eastAsia="Arial" w:hAnsi="Arial"/>
                <w:sz w:val="16"/>
                <w:szCs w:val="16"/>
                <w:b w:val="1"/>
                <w:bCs w:val="1"/>
                <w:color w:val="auto"/>
              </w:rPr>
              <w:t>Exhibit Description</w:t>
            </w:r>
          </w:p>
        </w:tc>
      </w:tr>
      <w:tr>
        <w:trPr>
          <w:trHeight w:val="190"/>
        </w:trPr>
        <w:tc>
          <w:tcPr>
            <w:tcW w:w="1080" w:type="dxa"/>
            <w:vAlign w:val="bottom"/>
          </w:tcPr>
          <w:p>
            <w:pPr>
              <w:spacing w:after="0"/>
              <w:rPr>
                <w:sz w:val="20"/>
                <w:szCs w:val="20"/>
                <w:color w:val="auto"/>
              </w:rPr>
            </w:pPr>
            <w:r>
              <w:rPr>
                <w:rFonts w:ascii="Arial" w:cs="Arial" w:eastAsia="Arial" w:hAnsi="Arial"/>
                <w:sz w:val="14"/>
                <w:szCs w:val="14"/>
                <w:color w:val="auto"/>
              </w:rPr>
              <w:t>2.1</w:t>
            </w:r>
          </w:p>
        </w:tc>
        <w:tc>
          <w:tcPr>
            <w:tcW w:w="10220" w:type="dxa"/>
            <w:vAlign w:val="bottom"/>
          </w:tcPr>
          <w:p>
            <w:pPr>
              <w:ind w:left="300"/>
              <w:spacing w:after="0"/>
              <w:rPr>
                <w:sz w:val="20"/>
                <w:szCs w:val="20"/>
                <w:color w:val="auto"/>
              </w:rPr>
            </w:pPr>
            <w:r>
              <w:rPr>
                <w:rFonts w:ascii="Arial" w:cs="Arial" w:eastAsia="Arial" w:hAnsi="Arial"/>
                <w:sz w:val="14"/>
                <w:szCs w:val="14"/>
                <w:color w:val="auto"/>
                <w:w w:val="93"/>
              </w:rPr>
              <w:t>Business Combination Agreement, dated as of June 14, 2016, by and among FMC Technologies, Inc., TechnipFMC plc (f/k/a FMC Technologies SIS Limited) and Technip</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S.A. (incorporated by reference from Annex A-1 to the Registration Statement on Form S-4, as amended, filed on October 21, 2016) (File No. 333-213067)</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3.1</w:t>
            </w:r>
          </w:p>
        </w:tc>
        <w:tc>
          <w:tcPr>
            <w:tcW w:w="10220" w:type="dxa"/>
            <w:vAlign w:val="bottom"/>
          </w:tcPr>
          <w:p>
            <w:pPr>
              <w:ind w:left="300"/>
              <w:spacing w:after="0"/>
              <w:rPr>
                <w:sz w:val="20"/>
                <w:szCs w:val="20"/>
                <w:color w:val="auto"/>
              </w:rPr>
            </w:pPr>
            <w:r>
              <w:rPr>
                <w:rFonts w:ascii="Arial" w:cs="Arial" w:eastAsia="Arial" w:hAnsi="Arial"/>
                <w:sz w:val="14"/>
                <w:szCs w:val="14"/>
                <w:color w:val="auto"/>
                <w:w w:val="99"/>
              </w:rPr>
              <w:t>Articles of Association of TechnipFMC plc (incorporated by reference from Exhibit 3.1 to the Current Report on Form 8-K filed on January 17, 2017) (File No. 001-</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37983/Film No. 17529076)</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4.1</w:t>
            </w:r>
          </w:p>
        </w:tc>
        <w:tc>
          <w:tcPr>
            <w:tcW w:w="10220" w:type="dxa"/>
            <w:vAlign w:val="bottom"/>
          </w:tcPr>
          <w:p>
            <w:pPr>
              <w:ind w:left="300"/>
              <w:spacing w:after="0"/>
              <w:rPr>
                <w:sz w:val="20"/>
                <w:szCs w:val="20"/>
                <w:color w:val="auto"/>
              </w:rPr>
            </w:pPr>
            <w:r>
              <w:rPr>
                <w:rFonts w:ascii="Arial" w:cs="Arial" w:eastAsia="Arial" w:hAnsi="Arial"/>
                <w:sz w:val="14"/>
                <w:szCs w:val="14"/>
                <w:color w:val="auto"/>
                <w:w w:val="93"/>
              </w:rPr>
              <w:t>Indenture, dated March 29, 2017, between TechnipFMC plc and U.S. Bank National Association (incorporated by reference from Exhibit 4.1 to the Current Report on Form</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8-K filed on March 30, 2017) (File No. 001-37983)</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4.2</w:t>
            </w:r>
          </w:p>
        </w:tc>
        <w:tc>
          <w:tcPr>
            <w:tcW w:w="10220" w:type="dxa"/>
            <w:vAlign w:val="bottom"/>
          </w:tcPr>
          <w:p>
            <w:pPr>
              <w:ind w:left="300"/>
              <w:spacing w:after="0"/>
              <w:rPr>
                <w:sz w:val="20"/>
                <w:szCs w:val="20"/>
                <w:color w:val="auto"/>
              </w:rPr>
            </w:pPr>
            <w:r>
              <w:rPr>
                <w:rFonts w:ascii="Arial" w:cs="Arial" w:eastAsia="Arial" w:hAnsi="Arial"/>
                <w:sz w:val="14"/>
                <w:szCs w:val="14"/>
                <w:color w:val="auto"/>
                <w:w w:val="94"/>
              </w:rPr>
              <w:t>First Supplemental Indenture, dated March 29, 2017, between TechnipFMC plc and U.S. Bank National Association, as trustee (including the form of 2.00% Senior Notes</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due 2017) (incorporated by reference from Exhibit 4.2 to the Current Report on Form 8-K filed on March 30, 2017) (File No. 001-37983)</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4.3</w:t>
            </w:r>
          </w:p>
        </w:tc>
        <w:tc>
          <w:tcPr>
            <w:tcW w:w="10220" w:type="dxa"/>
            <w:vAlign w:val="bottom"/>
          </w:tcPr>
          <w:p>
            <w:pPr>
              <w:ind w:left="300"/>
              <w:spacing w:after="0"/>
              <w:rPr>
                <w:sz w:val="20"/>
                <w:szCs w:val="20"/>
                <w:color w:val="auto"/>
              </w:rPr>
            </w:pPr>
            <w:r>
              <w:rPr>
                <w:rFonts w:ascii="Arial" w:cs="Arial" w:eastAsia="Arial" w:hAnsi="Arial"/>
                <w:sz w:val="14"/>
                <w:szCs w:val="14"/>
                <w:color w:val="auto"/>
                <w:w w:val="96"/>
              </w:rPr>
              <w:t>Second Supplemental Indenture, dated March 29, 2017, between TechnipFMC plc and U.S. Bank National Association, as trustee (including the form of 3.45% Senior</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Notes due 2022) (incorporated by reference from Exhibit 4.3 to the Current Report on Form 8-K filed on March 30, 2017) (File No. 001-37983)</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4.4</w:t>
            </w:r>
          </w:p>
        </w:tc>
        <w:tc>
          <w:tcPr>
            <w:tcW w:w="10220" w:type="dxa"/>
            <w:vAlign w:val="bottom"/>
          </w:tcPr>
          <w:p>
            <w:pPr>
              <w:ind w:left="300"/>
              <w:spacing w:after="0"/>
              <w:rPr>
                <w:sz w:val="20"/>
                <w:szCs w:val="20"/>
                <w:color w:val="auto"/>
              </w:rPr>
            </w:pPr>
            <w:r>
              <w:rPr>
                <w:rFonts w:ascii="Arial" w:cs="Arial" w:eastAsia="Arial" w:hAnsi="Arial"/>
                <w:sz w:val="14"/>
                <w:szCs w:val="14"/>
                <w:color w:val="auto"/>
                <w:w w:val="98"/>
              </w:rPr>
              <w:t>Registration Rights Agreement, dated March 29, 2017, between TechnipFMC plc, and each of Merrill Lynch, Pierce, Fenner &amp; Smith Incorporated and Wells Fargo</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w w:val="99"/>
              </w:rPr>
              <w:t>Securities, LLC, as dealer managers (incorporated by reference from Exhibit 4.4 to the Current Report on Form 8-K filed on March 30, 2017) (File No. 001-37983)</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10.1</w:t>
            </w:r>
          </w:p>
        </w:tc>
        <w:tc>
          <w:tcPr>
            <w:tcW w:w="10220" w:type="dxa"/>
            <w:vAlign w:val="bottom"/>
          </w:tcPr>
          <w:p>
            <w:pPr>
              <w:ind w:left="300"/>
              <w:spacing w:after="0"/>
              <w:rPr>
                <w:sz w:val="20"/>
                <w:szCs w:val="20"/>
                <w:color w:val="auto"/>
              </w:rPr>
            </w:pPr>
            <w:r>
              <w:rPr>
                <w:rFonts w:ascii="Arial" w:cs="Arial" w:eastAsia="Arial" w:hAnsi="Arial"/>
                <w:sz w:val="14"/>
                <w:szCs w:val="14"/>
                <w:color w:val="auto"/>
                <w:w w:val="94"/>
              </w:rPr>
              <w:t>TechnipFMC plc Company Incentive Plan, adopted on January 11, 2017 (incorporated by reference from Exhibit 10.1 to the Current Report on Form 8-K filed on January</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17, 2017) (File No. 001-37983/Film No. 17529076)</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10.2</w:t>
            </w:r>
          </w:p>
        </w:tc>
        <w:tc>
          <w:tcPr>
            <w:tcW w:w="10220" w:type="dxa"/>
            <w:vAlign w:val="bottom"/>
          </w:tcPr>
          <w:p>
            <w:pPr>
              <w:ind w:left="300"/>
              <w:spacing w:after="0"/>
              <w:rPr>
                <w:sz w:val="20"/>
                <w:szCs w:val="20"/>
                <w:color w:val="auto"/>
              </w:rPr>
            </w:pPr>
            <w:r>
              <w:rPr>
                <w:rFonts w:ascii="Arial" w:cs="Arial" w:eastAsia="Arial" w:hAnsi="Arial"/>
                <w:sz w:val="14"/>
                <w:szCs w:val="14"/>
                <w:color w:val="auto"/>
                <w:w w:val="95"/>
              </w:rPr>
              <w:t>Sixth Amendment to the Amended and Restated FMC Technologies, Inc. Savings and Investment Plan, dated January 13, 2017 (incorporated by reference from Exhibit</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4.1(f) to the Registration Statement on Form S-8 filed on February 27, 2017) (File No. 333-216284)</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10.3</w:t>
            </w:r>
          </w:p>
        </w:tc>
        <w:tc>
          <w:tcPr>
            <w:tcW w:w="10220" w:type="dxa"/>
            <w:vAlign w:val="bottom"/>
          </w:tcPr>
          <w:p>
            <w:pPr>
              <w:ind w:left="300"/>
              <w:spacing w:after="0"/>
              <w:rPr>
                <w:sz w:val="20"/>
                <w:szCs w:val="20"/>
                <w:color w:val="auto"/>
              </w:rPr>
            </w:pPr>
            <w:r>
              <w:rPr>
                <w:rFonts w:ascii="Arial" w:cs="Arial" w:eastAsia="Arial" w:hAnsi="Arial"/>
                <w:sz w:val="14"/>
                <w:szCs w:val="14"/>
                <w:color w:val="auto"/>
                <w:w w:val="95"/>
              </w:rPr>
              <w:t>Form of Executive Director Appointment Letter (incorporated by reference from Exhibit 10.2 to the Current Report on Form 8-K filed on January 17, 2017) (File No. 001-</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37983/Film No. 17529076)</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10.4</w:t>
            </w:r>
          </w:p>
        </w:tc>
        <w:tc>
          <w:tcPr>
            <w:tcW w:w="10220" w:type="dxa"/>
            <w:vAlign w:val="bottom"/>
          </w:tcPr>
          <w:p>
            <w:pPr>
              <w:ind w:left="300"/>
              <w:spacing w:after="0"/>
              <w:rPr>
                <w:sz w:val="20"/>
                <w:szCs w:val="20"/>
                <w:color w:val="auto"/>
              </w:rPr>
            </w:pPr>
            <w:r>
              <w:rPr>
                <w:rFonts w:ascii="Arial" w:cs="Arial" w:eastAsia="Arial" w:hAnsi="Arial"/>
                <w:sz w:val="14"/>
                <w:szCs w:val="14"/>
                <w:color w:val="auto"/>
                <w:w w:val="95"/>
              </w:rPr>
              <w:t>Form of Director Appointment Letter (incorporated by reference from Exhibit 10.3 to the Current Report on Form 8-K filed on January 17, 2017) (File No. 001-37983/Film</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No. 17529076)</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10.5</w:t>
            </w:r>
          </w:p>
        </w:tc>
        <w:tc>
          <w:tcPr>
            <w:tcW w:w="10220" w:type="dxa"/>
            <w:vAlign w:val="bottom"/>
          </w:tcPr>
          <w:p>
            <w:pPr>
              <w:ind w:left="300"/>
              <w:spacing w:after="0"/>
              <w:rPr>
                <w:sz w:val="20"/>
                <w:szCs w:val="20"/>
                <w:color w:val="auto"/>
              </w:rPr>
            </w:pPr>
            <w:r>
              <w:rPr>
                <w:rFonts w:ascii="Arial" w:cs="Arial" w:eastAsia="Arial" w:hAnsi="Arial"/>
                <w:sz w:val="14"/>
                <w:szCs w:val="14"/>
                <w:color w:val="auto"/>
                <w:w w:val="97"/>
              </w:rPr>
              <w:t>Form of Deed of Indemnification (Directors) (incorporated by reference from Exhibit 10.2 to the Current Report on Form 8-K filed on January 17, 2017) (File No. 001-</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37983/Film No. 17529087)</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10.6</w:t>
            </w:r>
          </w:p>
        </w:tc>
        <w:tc>
          <w:tcPr>
            <w:tcW w:w="10220" w:type="dxa"/>
            <w:vAlign w:val="bottom"/>
          </w:tcPr>
          <w:p>
            <w:pPr>
              <w:ind w:left="300"/>
              <w:spacing w:after="0"/>
              <w:rPr>
                <w:sz w:val="20"/>
                <w:szCs w:val="20"/>
                <w:color w:val="auto"/>
              </w:rPr>
            </w:pPr>
            <w:r>
              <w:rPr>
                <w:rFonts w:ascii="Arial" w:cs="Arial" w:eastAsia="Arial" w:hAnsi="Arial"/>
                <w:sz w:val="14"/>
                <w:szCs w:val="14"/>
                <w:color w:val="auto"/>
                <w:w w:val="95"/>
              </w:rPr>
              <w:t>Form of Deed of Indemnification (Executive Officers) (incorporated by reference from Exhibit 10.3 to the Current Report on Form 8-K filed on January 17, 2017) (File No.</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001-37983/Film No. 17529087)</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10.7</w:t>
            </w:r>
          </w:p>
        </w:tc>
        <w:tc>
          <w:tcPr>
            <w:tcW w:w="10220" w:type="dxa"/>
            <w:vAlign w:val="bottom"/>
          </w:tcPr>
          <w:p>
            <w:pPr>
              <w:ind w:left="300"/>
              <w:spacing w:after="0"/>
              <w:rPr>
                <w:sz w:val="20"/>
                <w:szCs w:val="20"/>
                <w:color w:val="auto"/>
              </w:rPr>
            </w:pPr>
            <w:r>
              <w:rPr>
                <w:rFonts w:ascii="Arial" w:cs="Arial" w:eastAsia="Arial" w:hAnsi="Arial"/>
                <w:sz w:val="14"/>
                <w:szCs w:val="14"/>
                <w:color w:val="auto"/>
                <w:w w:val="96"/>
              </w:rPr>
              <w:t>Form of Deed of Indemnification (Executive Directors) (incorporated by reference from Exhibit 10.4 to the Current Report on Form 8-K filed on January 17, 2017) (File</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No. 001-37983/Film No. 17529087)</w:t>
            </w:r>
          </w:p>
        </w:tc>
      </w:tr>
      <w:tr>
        <w:trPr>
          <w:trHeight w:val="169"/>
        </w:trPr>
        <w:tc>
          <w:tcPr>
            <w:tcW w:w="1080" w:type="dxa"/>
            <w:vAlign w:val="bottom"/>
          </w:tcPr>
          <w:p>
            <w:pPr>
              <w:spacing w:after="0"/>
              <w:rPr>
                <w:sz w:val="20"/>
                <w:szCs w:val="20"/>
                <w:color w:val="auto"/>
              </w:rPr>
            </w:pPr>
            <w:r>
              <w:rPr>
                <w:rFonts w:ascii="Arial" w:cs="Arial" w:eastAsia="Arial" w:hAnsi="Arial"/>
                <w:sz w:val="14"/>
                <w:szCs w:val="14"/>
                <w:color w:val="auto"/>
              </w:rPr>
              <w:t>10.8</w:t>
            </w:r>
          </w:p>
        </w:tc>
        <w:tc>
          <w:tcPr>
            <w:tcW w:w="10220" w:type="dxa"/>
            <w:vAlign w:val="bottom"/>
          </w:tcPr>
          <w:p>
            <w:pPr>
              <w:ind w:left="300"/>
              <w:spacing w:after="0"/>
              <w:rPr>
                <w:sz w:val="20"/>
                <w:szCs w:val="20"/>
                <w:color w:val="auto"/>
              </w:rPr>
            </w:pPr>
            <w:r>
              <w:rPr>
                <w:rFonts w:ascii="Arial" w:cs="Arial" w:eastAsia="Arial" w:hAnsi="Arial"/>
                <w:sz w:val="14"/>
                <w:szCs w:val="14"/>
                <w:color w:val="auto"/>
                <w:w w:val="95"/>
              </w:rPr>
              <w:t>$2,500,000,000 Facility Agreement, dated as of January 12, 2017, by and among FMC Technologies, Inc. and Technip Eurocash SNC, as borrowers; JPMorgan Chase</w:t>
            </w:r>
          </w:p>
        </w:tc>
      </w:tr>
      <w:tr>
        <w:trPr>
          <w:trHeight w:val="149"/>
        </w:trPr>
        <w:tc>
          <w:tcPr>
            <w:tcW w:w="1080" w:type="dxa"/>
            <w:vAlign w:val="bottom"/>
          </w:tcPr>
          <w:p>
            <w:pPr>
              <w:spacing w:after="0"/>
              <w:rPr>
                <w:sz w:val="12"/>
                <w:szCs w:val="12"/>
                <w:color w:val="auto"/>
              </w:rPr>
            </w:pPr>
          </w:p>
        </w:tc>
        <w:tc>
          <w:tcPr>
            <w:tcW w:w="10220" w:type="dxa"/>
            <w:vAlign w:val="bottom"/>
          </w:tcPr>
          <w:p>
            <w:pPr>
              <w:ind w:left="300"/>
              <w:spacing w:after="0" w:line="149" w:lineRule="exact"/>
              <w:rPr>
                <w:sz w:val="20"/>
                <w:szCs w:val="20"/>
                <w:color w:val="auto"/>
              </w:rPr>
            </w:pPr>
            <w:r>
              <w:rPr>
                <w:rFonts w:ascii="Arial" w:cs="Arial" w:eastAsia="Arial" w:hAnsi="Arial"/>
                <w:sz w:val="14"/>
                <w:szCs w:val="14"/>
                <w:color w:val="auto"/>
                <w:w w:val="94"/>
              </w:rPr>
              <w:t>Bank, N.A. as agent and an arranger; SG Americas Securities LLC as an arranger; and the other lenders party thereto (incorporated by reference from Exhibit 10.1 to the</w:t>
            </w:r>
          </w:p>
        </w:tc>
      </w:tr>
      <w:tr>
        <w:trPr>
          <w:trHeight w:val="182"/>
        </w:trPr>
        <w:tc>
          <w:tcPr>
            <w:tcW w:w="1080" w:type="dxa"/>
            <w:vAlign w:val="bottom"/>
          </w:tcPr>
          <w:p>
            <w:pPr>
              <w:spacing w:after="0"/>
              <w:rPr>
                <w:sz w:val="15"/>
                <w:szCs w:val="15"/>
                <w:color w:val="auto"/>
              </w:rPr>
            </w:pPr>
          </w:p>
        </w:tc>
        <w:tc>
          <w:tcPr>
            <w:tcW w:w="10220" w:type="dxa"/>
            <w:vAlign w:val="bottom"/>
          </w:tcPr>
          <w:p>
            <w:pPr>
              <w:ind w:left="300"/>
              <w:spacing w:after="0"/>
              <w:rPr>
                <w:sz w:val="20"/>
                <w:szCs w:val="20"/>
                <w:color w:val="auto"/>
              </w:rPr>
            </w:pPr>
            <w:r>
              <w:rPr>
                <w:rFonts w:ascii="Arial" w:cs="Arial" w:eastAsia="Arial" w:hAnsi="Arial"/>
                <w:sz w:val="14"/>
                <w:szCs w:val="14"/>
                <w:color w:val="auto"/>
              </w:rPr>
              <w:t>Current Report on Form 8-K filed on January 17, 2017) (File No. 001-37983/Film No. 17529087)</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10220" w:type="dxa"/>
            <w:vAlign w:val="bottom"/>
          </w:tcPr>
          <w:p>
            <w:pPr>
              <w:ind w:left="300"/>
              <w:spacing w:after="0"/>
              <w:rPr>
                <w:sz w:val="20"/>
                <w:szCs w:val="20"/>
                <w:color w:val="auto"/>
              </w:rPr>
            </w:pPr>
            <w:r>
              <w:rPr>
                <w:rFonts w:ascii="Arial" w:cs="Arial" w:eastAsia="Arial" w:hAnsi="Arial"/>
                <w:sz w:val="14"/>
                <w:szCs w:val="14"/>
                <w:color w:val="auto"/>
              </w:rPr>
              <w:t>Certification of Chief Executive Officer Pursuant to Rule 13a-14(a) and Rule 15d-14(a)</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10220" w:type="dxa"/>
            <w:vAlign w:val="bottom"/>
          </w:tcPr>
          <w:p>
            <w:pPr>
              <w:ind w:left="300"/>
              <w:spacing w:after="0"/>
              <w:rPr>
                <w:sz w:val="20"/>
                <w:szCs w:val="20"/>
                <w:color w:val="auto"/>
              </w:rPr>
            </w:pPr>
            <w:r>
              <w:rPr>
                <w:rFonts w:ascii="Arial" w:cs="Arial" w:eastAsia="Arial" w:hAnsi="Arial"/>
                <w:sz w:val="14"/>
                <w:szCs w:val="14"/>
                <w:color w:val="auto"/>
              </w:rPr>
              <w:t>Certification of Chief Financial Officer Pursuant to Rule 13a-14(a) and Rule 15d-14(a)</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10220" w:type="dxa"/>
            <w:vAlign w:val="bottom"/>
          </w:tcPr>
          <w:p>
            <w:pPr>
              <w:ind w:left="300"/>
              <w:spacing w:after="0"/>
              <w:rPr>
                <w:sz w:val="20"/>
                <w:szCs w:val="20"/>
                <w:color w:val="auto"/>
              </w:rPr>
            </w:pPr>
            <w:r>
              <w:rPr>
                <w:rFonts w:ascii="Arial" w:cs="Arial" w:eastAsia="Arial" w:hAnsi="Arial"/>
                <w:sz w:val="14"/>
                <w:szCs w:val="14"/>
                <w:color w:val="auto"/>
              </w:rPr>
              <w:t>Certification of Chief Executive Officer Under Section 906 of the Sarbanes-Oxley Act of 2002, 18 U.S.C. 1350</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32.2 *</w:t>
            </w:r>
          </w:p>
        </w:tc>
        <w:tc>
          <w:tcPr>
            <w:tcW w:w="10220" w:type="dxa"/>
            <w:vAlign w:val="bottom"/>
          </w:tcPr>
          <w:p>
            <w:pPr>
              <w:ind w:left="300"/>
              <w:spacing w:after="0"/>
              <w:rPr>
                <w:sz w:val="20"/>
                <w:szCs w:val="20"/>
                <w:color w:val="auto"/>
              </w:rPr>
            </w:pPr>
            <w:r>
              <w:rPr>
                <w:rFonts w:ascii="Arial" w:cs="Arial" w:eastAsia="Arial" w:hAnsi="Arial"/>
                <w:sz w:val="14"/>
                <w:szCs w:val="14"/>
                <w:color w:val="auto"/>
              </w:rPr>
              <w:t>Certification of Chief Financial Officer Under Section 906 of the Sarbanes-Oxley Act of 2002, 18 U.S.C. 1350</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101.INS</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Instance Document</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101.SCH</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Schema Document</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101.CAL</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Calculation Linkbase Document</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101.DEF</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Definition Linkbase Document</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101.LAB</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Label Linkbase Document</w:t>
            </w:r>
          </w:p>
        </w:tc>
      </w:tr>
      <w:tr>
        <w:trPr>
          <w:trHeight w:val="203"/>
        </w:trPr>
        <w:tc>
          <w:tcPr>
            <w:tcW w:w="1080" w:type="dxa"/>
            <w:vAlign w:val="bottom"/>
          </w:tcPr>
          <w:p>
            <w:pPr>
              <w:spacing w:after="0"/>
              <w:rPr>
                <w:sz w:val="20"/>
                <w:szCs w:val="20"/>
                <w:color w:val="auto"/>
              </w:rPr>
            </w:pPr>
            <w:r>
              <w:rPr>
                <w:rFonts w:ascii="Arial" w:cs="Arial" w:eastAsia="Arial" w:hAnsi="Arial"/>
                <w:sz w:val="14"/>
                <w:szCs w:val="14"/>
                <w:color w:val="auto"/>
              </w:rPr>
              <w:t>101.PRE</w:t>
            </w:r>
          </w:p>
        </w:tc>
        <w:tc>
          <w:tcPr>
            <w:tcW w:w="10220" w:type="dxa"/>
            <w:vAlign w:val="bottom"/>
          </w:tcPr>
          <w:p>
            <w:pPr>
              <w:ind w:left="300"/>
              <w:spacing w:after="0"/>
              <w:rPr>
                <w:sz w:val="20"/>
                <w:szCs w:val="20"/>
                <w:color w:val="auto"/>
              </w:rPr>
            </w:pPr>
            <w:r>
              <w:rPr>
                <w:rFonts w:ascii="Arial" w:cs="Arial" w:eastAsia="Arial" w:hAnsi="Arial"/>
                <w:sz w:val="14"/>
                <w:szCs w:val="14"/>
                <w:color w:val="auto"/>
              </w:rPr>
              <w:t>XBRL Presentation Linkbase Document</w:t>
            </w:r>
          </w:p>
        </w:tc>
      </w:tr>
    </w:tbl>
    <w:p>
      <w:pPr>
        <w:spacing w:after="0" w:line="155" w:lineRule="exact"/>
        <w:rPr>
          <w:sz w:val="20"/>
          <w:szCs w:val="20"/>
          <w:color w:val="auto"/>
        </w:rPr>
      </w:pPr>
    </w:p>
    <w:p>
      <w:pPr>
        <w:ind w:left="380" w:hanging="345"/>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Furnished with this Form 10-Q</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21"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280" w:hanging="320"/>
        <w:spacing w:after="0" w:line="261" w:lineRule="auto"/>
        <w:tabs>
          <w:tab w:leader="none" w:pos="1196"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360" w:hanging="320"/>
        <w:spacing w:after="0" w:line="275" w:lineRule="auto"/>
        <w:tabs>
          <w:tab w:leader="none" w:pos="1196"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May 4,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8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TechnipFMC plc (the “registrant”);</w:t>
      </w:r>
    </w:p>
    <w:p>
      <w:pPr>
        <w:spacing w:after="0" w:line="171" w:lineRule="exact"/>
        <w:rPr>
          <w:rFonts w:ascii="Arial" w:cs="Arial" w:eastAsia="Arial" w:hAnsi="Arial"/>
          <w:sz w:val="18"/>
          <w:szCs w:val="18"/>
          <w:color w:val="auto"/>
        </w:rPr>
      </w:pPr>
    </w:p>
    <w:p>
      <w:pPr>
        <w:ind w:left="660" w:right="20" w:hanging="328"/>
        <w:spacing w:after="0" w:line="31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2" w:lineRule="exact"/>
        <w:rPr>
          <w:rFonts w:ascii="Arial" w:cs="Arial" w:eastAsia="Arial" w:hAnsi="Arial"/>
          <w:sz w:val="16"/>
          <w:szCs w:val="16"/>
          <w:color w:val="auto"/>
        </w:rPr>
      </w:pPr>
    </w:p>
    <w:p>
      <w:pPr>
        <w:ind w:left="1300" w:right="280" w:hanging="320"/>
        <w:spacing w:after="0" w:line="261" w:lineRule="auto"/>
        <w:tabs>
          <w:tab w:leader="none" w:pos="1196"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480" w:hanging="328"/>
        <w:spacing w:after="0" w:line="28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360" w:hanging="320"/>
        <w:spacing w:after="0" w:line="275" w:lineRule="auto"/>
        <w:tabs>
          <w:tab w:leader="none" w:pos="119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May 4, 2017</w:t>
      </w:r>
    </w:p>
    <w:p>
      <w:pPr>
        <w:spacing w:after="0" w:line="181"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I, Douglas J. Pferdehirt, Chief Executive Officer of TechnipFMC plc (the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 that, to my knowledge:</w:t>
      </w:r>
    </w:p>
    <w:p>
      <w:pPr>
        <w:spacing w:after="0" w:line="153" w:lineRule="exact"/>
        <w:rPr>
          <w:sz w:val="20"/>
          <w:szCs w:val="20"/>
          <w:color w:val="auto"/>
        </w:rPr>
      </w:pPr>
    </w:p>
    <w:p>
      <w:pPr>
        <w:ind w:right="300" w:firstLine="8"/>
        <w:spacing w:after="0" w:line="275"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May 4,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300" w:firstLine="8"/>
        <w:spacing w:after="0" w:line="275" w:lineRule="auto"/>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May 4,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Roman"/>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2019-12-29T06:35:38Z</dcterms:created>
  <dcterms:modified xsi:type="dcterms:W3CDTF">2019-12-29T06:35:38Z</dcterms:modified>
</cp:coreProperties>
</file>