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4066" w:hAnchor="page" w:vAnchor="page" w:x="738" w:y="142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Ordinary shares, $1.00 par value per share</w:t>
      </w:r>
    </w:p>
    <w:p>
      <w:pPr>
        <w:pStyle w:val="Normal"/>
        <w:framePr w:w="1515" w:hAnchor="page" w:vAnchor="page" w:x="5584" w:y="142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ffffff"/>
          <w:w w:val="100"/>
          <w:sz w:val="16"/>
          <w:szCs w:val="16"/>
        </w:rPr>
      </w:pPr>
      <w:r>
        <w:rPr>
          <w:rFonts w:ascii="ArialMT" w:hAnsi="ArialMT" w:fareast="ArialMT" w:cs="ArialMT"/>
          <w:color w:val="ffffff"/>
          <w:w w:val="100"/>
          <w:sz w:val="16"/>
          <w:szCs w:val="16"/>
        </w:rPr>
        <w:t>Houston, Texas</w:t>
      </w:r>
    </w:p>
    <w:p>
      <w:pPr>
        <w:pStyle w:val="Normal"/>
        <w:framePr w:w="1260" w:hAnchor="page" w:vAnchor="page" w:x="9458" w:y="142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420,571,563</w:t>
      </w:r>
    </w:p>
    <w:p>
      <w:pPr>
        <w:pStyle w:val="Normal"/>
        <w:framePr w:w="704" w:hAnchor="page" w:vAnchor="page" w:x="2138" w:y="140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Class</w:t>
      </w:r>
    </w:p>
    <w:p>
      <w:pPr>
        <w:pStyle w:val="Normal"/>
        <w:framePr w:w="2742" w:hAnchor="page" w:vAnchor="page" w:x="5072" w:y="140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ffffff"/>
          <w:w w:val="100"/>
          <w:sz w:val="16"/>
          <w:szCs w:val="16"/>
        </w:rPr>
      </w:pPr>
      <w:r>
        <w:rPr>
          <w:rFonts w:ascii="ArialMT" w:hAnsi="ArialMT" w:fareast="ArialMT" w:cs="ArialMT"/>
          <w:color w:val="ffffff"/>
          <w:w w:val="100"/>
          <w:sz w:val="16"/>
          <w:szCs w:val="16"/>
        </w:rPr>
        <w:t>PricewaterhouseCoopers LLP</w:t>
      </w:r>
    </w:p>
    <w:p>
      <w:pPr>
        <w:pStyle w:val="Normal"/>
        <w:framePr w:w="3222" w:hAnchor="page" w:vAnchor="page" w:x="8641" w:y="140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Outstanding at February 25, 2025</w:t>
      </w:r>
    </w:p>
    <w:p>
      <w:pPr>
        <w:pStyle w:val="Normal"/>
        <w:framePr w:w="9704" w:hAnchor="page" w:vAnchor="page" w:x="280" w:y="1382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2024, by the closing price on such day of $26.15 as reported on the New York Stock Exchange, was $7.8 billion.</w:t>
      </w:r>
    </w:p>
    <w:p>
      <w:pPr>
        <w:pStyle w:val="Normal"/>
        <w:framePr w:w="14206" w:hAnchor="page" w:vAnchor="page" w:x="280" w:y="13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The aggregate market value of the registrant’s ordinary shares held by non-affiliates of the registrant, determined by multiplying the outstanding shares on June 28,</w:t>
      </w:r>
    </w:p>
    <w:p>
      <w:pPr>
        <w:pStyle w:val="Normal"/>
        <w:framePr w:w="10431" w:hAnchor="page" w:vAnchor="page" w:x="280" w:y="13403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Indicate by check mark whether the registrant is a shell company (as defined in Rule 12b-2 of the Act).  YES  </w:t>
      </w:r>
      <w:r>
        <w:rPr>
          <w:rFonts w:ascii="DejaVuSans-VIOIU" w:hAnsi="DejaVuSans-VIOIU" w:fareast="DejaVuSans-VIOIU" w:cs="DejaVuSans-VIOIU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NO 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</w:t>
      </w:r>
    </w:p>
    <w:p>
      <w:pPr>
        <w:pStyle w:val="Normal"/>
        <w:framePr w:w="8851" w:hAnchor="page" w:vAnchor="page" w:x="280" w:y="13223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-VIOIU" w:hAnsi="DejaVuSans-VIOIU" w:fareast="DejaVuSans-VIOIU" w:cs="DejaVuSans-VIOIU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of the registrant’s executive officers during the relevant recovery period pursuant to § 240.10D-1(b). </w:t>
      </w:r>
      <w:r>
        <w:rPr>
          <w:rFonts w:ascii="DejaVuSans-VIOIU" w:hAnsi="DejaVuSans-VIOIU" w:fareast="DejaVuSans-VIOIU" w:cs="DejaVuSans-VIOIU"/>
          <w:color w:val="000000"/>
          <w:w w:val="100"/>
          <w:sz w:val="16"/>
          <w:szCs w:val="16"/>
        </w:rPr>
        <w:t>☐</w:t>
      </w:r>
    </w:p>
    <w:p>
      <w:pPr>
        <w:pStyle w:val="Normal"/>
        <w:framePr w:w="14021" w:hAnchor="page" w:vAnchor="page" w:x="280" w:y="130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any of those error corrections are restatements that required a recovery analysis of incentive-based compensation received by any</w:t>
      </w:r>
    </w:p>
    <w:p>
      <w:pPr>
        <w:pStyle w:val="Normal"/>
        <w:framePr w:w="6062" w:hAnchor="page" w:vAnchor="page" w:x="280" w:y="12757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-VIOIU" w:hAnsi="DejaVuSans-VIOIU" w:fareast="DejaVuSans-VIOIU" w:cs="DejaVuSans-VIOIU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the correction of an error to previously issued financial statements. </w:t>
      </w:r>
      <w:r>
        <w:rPr>
          <w:rFonts w:ascii="DejaVuSans-VIOIU" w:hAnsi="DejaVuSans-VIOIU" w:fareast="DejaVuSans-VIOIU" w:cs="DejaVuSans-VIOIU"/>
          <w:color w:val="000000"/>
          <w:w w:val="100"/>
          <w:sz w:val="16"/>
          <w:szCs w:val="16"/>
        </w:rPr>
        <w:t>☐</w:t>
      </w:r>
    </w:p>
    <w:p>
      <w:pPr>
        <w:pStyle w:val="Normal"/>
        <w:framePr w:w="14205" w:hAnchor="page" w:vAnchor="page" w:x="280" w:y="1261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If securities are registered pursuant to Section 12(b) of the Act, indicate by check mark whether the financial statements of the registrant included in the filing reflect</w:t>
      </w:r>
    </w:p>
    <w:p>
      <w:pPr>
        <w:pStyle w:val="Normal"/>
        <w:framePr w:w="1107" w:hAnchor="page" w:vAnchor="page" w:x="280" w:y="12247"/>
        <w:widowControl w:val="off"/>
        <w:autoSpaceDE w:val="off"/>
        <w:autoSpaceDN w:val="off"/>
        <w:spacing w:before="0" w:after="0" w:line="280" w:lineRule="exact"/>
        <w:ind w:left="0" w:right="0" w:first-line="0"/>
        <w:jc w:val="left"/>
        <w:rPr>
          <w:rFonts w:ascii="DejaVuSans-OSXDG" w:hAnsi="DejaVuSans-OSXDG" w:fareast="DejaVuSans-OSXDG" w:cs="DejaVuSans-OSXDG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report. </w:t>
      </w:r>
      <w:r>
        <w:rPr>
          <w:rFonts w:ascii="DejaVuSans-OSXDG" w:hAnsi="DejaVuSans-OSXDG" w:fareast="DejaVuSans-OSXDG" w:cs="DejaVuSans-OSXDG"/>
          <w:color w:val="000000"/>
          <w:w w:val="100"/>
          <w:sz w:val="24"/>
          <w:szCs w:val="24"/>
        </w:rPr>
        <w:t>☒</w:t>
      </w:r>
    </w:p>
    <w:p>
      <w:pPr>
        <w:pStyle w:val="Normal"/>
        <w:framePr w:w="14198" w:hAnchor="page" w:vAnchor="page" w:x="280" w:y="1210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financial reporting under Section 404(b) of the Sarbanes-Oxley Act (15 U.S.C. 7262(b)) by the registered public accounting firm that prepared or issued its audit</w:t>
      </w:r>
    </w:p>
    <w:p>
      <w:pPr>
        <w:pStyle w:val="Normal"/>
        <w:framePr w:w="14200" w:hAnchor="page" w:vAnchor="page" w:x="280" w:y="119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the registrant has filed a report on and attestation to its management’s assessment of the effectiveness of its internal control over</w:t>
      </w:r>
    </w:p>
    <w:p>
      <w:pPr>
        <w:pStyle w:val="Normal"/>
        <w:framePr w:w="7823" w:hAnchor="page" w:vAnchor="page" w:x="280" w:y="1168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financial accounting standards provided pursuant to Section 13(a) of the Exchange Act.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</w:t>
      </w:r>
    </w:p>
    <w:p>
      <w:pPr>
        <w:pStyle w:val="Normal"/>
        <w:framePr w:w="14198" w:hAnchor="page" w:vAnchor="page" w:x="280" w:y="115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If an emerging growth company, indicate by check mark if the registrant has elected not to use the extended transition period for complying with any new or revised</w:t>
      </w:r>
    </w:p>
    <w:p>
      <w:pPr>
        <w:pStyle w:val="Normal"/>
        <w:framePr w:w="2475" w:hAnchor="page" w:vAnchor="page" w:x="8752" w:y="11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Emerging growth company</w:t>
      </w:r>
    </w:p>
    <w:p>
      <w:pPr>
        <w:pStyle w:val="Normal"/>
        <w:framePr w:w="364" w:hAnchor="page" w:vAnchor="page" w:x="11695" w:y="11226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-VIOIU" w:hAnsi="DejaVuSans-VIOIU" w:fareast="DejaVuSans-VIOIU" w:cs="DejaVuSans-VIOIU"/>
          <w:color w:val="000000"/>
          <w:w w:val="100"/>
          <w:sz w:val="16"/>
          <w:szCs w:val="16"/>
        </w:rPr>
      </w:pPr>
      <w:r>
        <w:rPr>
          <w:rFonts w:ascii="DejaVuSans-VIOIU" w:hAnsi="DejaVuSans-VIOIU" w:fareast="DejaVuSans-VIOIU" w:cs="DejaVuSans-VIOIU"/>
          <w:color w:val="000000"/>
          <w:w w:val="100"/>
          <w:sz w:val="16"/>
          <w:szCs w:val="16"/>
        </w:rPr>
        <w:t>☐</w:t>
      </w:r>
    </w:p>
    <w:p>
      <w:pPr>
        <w:pStyle w:val="Normal"/>
        <w:framePr w:w="1963" w:hAnchor="page" w:vAnchor="page" w:x="300" w:y="110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Non-accelerated filer</w:t>
      </w:r>
    </w:p>
    <w:p>
      <w:pPr>
        <w:pStyle w:val="Normal"/>
        <w:framePr w:w="364" w:hAnchor="page" w:vAnchor="page" w:x="3182" w:y="11001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-VIOIU" w:hAnsi="DejaVuSans-VIOIU" w:fareast="DejaVuSans-VIOIU" w:cs="DejaVuSans-VIOIU"/>
          <w:color w:val="000000"/>
          <w:w w:val="100"/>
          <w:sz w:val="16"/>
          <w:szCs w:val="16"/>
        </w:rPr>
      </w:pPr>
      <w:r>
        <w:rPr>
          <w:rFonts w:ascii="DejaVuSans-VIOIU" w:hAnsi="DejaVuSans-VIOIU" w:fareast="DejaVuSans-VIOIU" w:cs="DejaVuSans-VIOIU"/>
          <w:color w:val="000000"/>
          <w:w w:val="100"/>
          <w:sz w:val="16"/>
          <w:szCs w:val="16"/>
        </w:rPr>
        <w:t>☐</w:t>
      </w:r>
    </w:p>
    <w:p>
      <w:pPr>
        <w:pStyle w:val="Normal"/>
        <w:framePr w:w="2486" w:hAnchor="page" w:vAnchor="page" w:x="8752" w:y="110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Smaller reporting company</w:t>
      </w:r>
    </w:p>
    <w:p>
      <w:pPr>
        <w:pStyle w:val="Normal"/>
        <w:framePr w:w="364" w:hAnchor="page" w:vAnchor="page" w:x="11695" w:y="11001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-VIOIU" w:hAnsi="DejaVuSans-VIOIU" w:fareast="DejaVuSans-VIOIU" w:cs="DejaVuSans-VIOIU"/>
          <w:color w:val="000000"/>
          <w:w w:val="100"/>
          <w:sz w:val="16"/>
          <w:szCs w:val="16"/>
        </w:rPr>
      </w:pPr>
      <w:r>
        <w:rPr>
          <w:rFonts w:ascii="DejaVuSans-VIOIU" w:hAnsi="DejaVuSans-VIOIU" w:fareast="DejaVuSans-VIOIU" w:cs="DejaVuSans-VIOIU"/>
          <w:color w:val="000000"/>
          <w:w w:val="100"/>
          <w:sz w:val="16"/>
          <w:szCs w:val="16"/>
        </w:rPr>
        <w:t>☐</w:t>
      </w:r>
    </w:p>
    <w:p>
      <w:pPr>
        <w:pStyle w:val="Normal"/>
        <w:framePr w:w="2092" w:hAnchor="page" w:vAnchor="page" w:x="300" w:y="107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Large accelerated filer</w:t>
      </w:r>
    </w:p>
    <w:p>
      <w:pPr>
        <w:pStyle w:val="Normal"/>
        <w:framePr w:w="364" w:hAnchor="page" w:vAnchor="page" w:x="3182" w:y="10776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-VIOIU" w:hAnsi="DejaVuSans-VIOIU" w:fareast="DejaVuSans-VIOIU" w:cs="DejaVuSans-VIOIU"/>
          <w:color w:val="000000"/>
          <w:w w:val="100"/>
          <w:sz w:val="16"/>
          <w:szCs w:val="16"/>
        </w:rPr>
      </w:pPr>
      <w:r>
        <w:rPr>
          <w:rFonts w:ascii="DejaVuSans-VIOIU" w:hAnsi="DejaVuSans-VIOIU" w:fareast="DejaVuSans-VIOIU" w:cs="DejaVuSans-VIOIU"/>
          <w:color w:val="000000"/>
          <w:w w:val="100"/>
          <w:sz w:val="16"/>
          <w:szCs w:val="16"/>
        </w:rPr>
        <w:t>☒</w:t>
      </w:r>
    </w:p>
    <w:p>
      <w:pPr>
        <w:pStyle w:val="Normal"/>
        <w:framePr w:w="1568" w:hAnchor="page" w:vAnchor="page" w:x="8752" w:y="107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Accelerated filer</w:t>
      </w:r>
    </w:p>
    <w:p>
      <w:pPr>
        <w:pStyle w:val="Normal"/>
        <w:framePr w:w="364" w:hAnchor="page" w:vAnchor="page" w:x="11695" w:y="10776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-VIOIU" w:hAnsi="DejaVuSans-VIOIU" w:fareast="DejaVuSans-VIOIU" w:cs="DejaVuSans-VIOIU"/>
          <w:color w:val="000000"/>
          <w:w w:val="100"/>
          <w:sz w:val="16"/>
          <w:szCs w:val="16"/>
        </w:rPr>
      </w:pPr>
      <w:r>
        <w:rPr>
          <w:rFonts w:ascii="DejaVuSans-VIOIU" w:hAnsi="DejaVuSans-VIOIU" w:fareast="DejaVuSans-VIOIU" w:cs="DejaVuSans-VIOIU"/>
          <w:color w:val="000000"/>
          <w:w w:val="100"/>
          <w:sz w:val="16"/>
          <w:szCs w:val="16"/>
        </w:rPr>
        <w:t>☐</w:t>
      </w:r>
    </w:p>
    <w:p>
      <w:pPr>
        <w:pStyle w:val="Normal"/>
        <w:framePr w:w="1430" w:hAnchor="page" w:vAnchor="page" w:x="280" w:y="105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Exchange Act.</w:t>
      </w:r>
    </w:p>
    <w:p>
      <w:pPr>
        <w:pStyle w:val="Normal"/>
        <w:framePr w:w="14203" w:hAnchor="page" w:vAnchor="page" w:x="280" w:y="104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growth company. See the definitions of “large accelerated filer,” “accelerated filer,” “smaller reporting company” and “emerging growth company” in Rule 12b-2 of the</w:t>
      </w:r>
    </w:p>
    <w:p>
      <w:pPr>
        <w:pStyle w:val="Normal"/>
        <w:framePr w:w="14192" w:hAnchor="page" w:vAnchor="page" w:x="280" w:y="1023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the registrant is a large accelerated filer, an accelerated filer, a non-accelerated filer, a smaller reporting company, or an emerging</w:t>
      </w:r>
    </w:p>
    <w:p>
      <w:pPr>
        <w:pStyle w:val="Normal"/>
        <w:framePr w:w="13663" w:hAnchor="page" w:vAnchor="page" w:x="280" w:y="99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T (§232.405 of this chapter) during the preceding 12 months (or for such shorter period that the registrant was required to submit such files).     Yes 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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No 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</w:t>
      </w:r>
    </w:p>
    <w:p>
      <w:pPr>
        <w:pStyle w:val="Normal"/>
        <w:framePr w:w="14203" w:hAnchor="page" w:vAnchor="page" w:x="280" w:y="98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the registrant has submitted electronically every Interactive Data File required to be submitted pursuant to Rule 405 of Regulation S-</w:t>
      </w:r>
    </w:p>
    <w:p>
      <w:pPr>
        <w:pStyle w:val="Normal"/>
        <w:framePr w:w="2512" w:hAnchor="page" w:vAnchor="page" w:x="280" w:y="95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90 days.    Yes  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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No 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</w:t>
      </w:r>
    </w:p>
    <w:p>
      <w:pPr>
        <w:pStyle w:val="Normal"/>
        <w:framePr w:w="14196" w:hAnchor="page" w:vAnchor="page" w:x="280" w:y="93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preceding 12 months (or for such shorter period that the registrant was required to file such reports), and (2) has been subject to such filing requirements for the past</w:t>
      </w:r>
    </w:p>
    <w:p>
      <w:pPr>
        <w:pStyle w:val="Normal"/>
        <w:framePr w:w="14197" w:hAnchor="page" w:vAnchor="page" w:x="280" w:y="923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the registrant (1) has filed all reports required to be filed by Section 13 or 15(d) of the Securities Exchange Act of 1934 during the</w:t>
      </w:r>
    </w:p>
    <w:p>
      <w:pPr>
        <w:pStyle w:val="Normal"/>
        <w:framePr w:w="11550" w:hAnchor="page" w:vAnchor="page" w:x="280" w:y="89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Indicate by check mark if the registrant is not required to file reports pursuant to Section 13 or Section 15(d) of the Act. Yes 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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No 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</w:t>
      </w:r>
    </w:p>
    <w:p>
      <w:pPr>
        <w:pStyle w:val="Normal"/>
        <w:framePr w:w="11432" w:hAnchor="page" w:vAnchor="page" w:x="280" w:y="872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Indicate by check mark if the registrant is a well-known seasoned issuer, as defined in Rule 405 of the Securities Act. Yes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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No 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</w:t>
      </w:r>
    </w:p>
    <w:p>
      <w:pPr>
        <w:pStyle w:val="Normal"/>
        <w:framePr w:w="6027" w:hAnchor="page" w:vAnchor="page" w:x="3689" w:y="82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Securities registered pursuant to Section 12(g) of the Act: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None.</w:t>
      </w:r>
    </w:p>
    <w:p>
      <w:pPr>
        <w:pStyle w:val="Normal"/>
        <w:framePr w:w="3852" w:hAnchor="page" w:vAnchor="page" w:x="992" w:y="79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Ordinary shares, $1.00 par value per share</w:t>
      </w:r>
    </w:p>
    <w:p>
      <w:pPr>
        <w:pStyle w:val="Normal"/>
        <w:framePr w:w="480" w:hAnchor="page" w:vAnchor="page" w:x="5985" w:y="79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FTI</w:t>
      </w:r>
    </w:p>
    <w:p>
      <w:pPr>
        <w:pStyle w:val="Normal"/>
        <w:framePr w:w="2447" w:hAnchor="page" w:vAnchor="page" w:x="8768" w:y="79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New York Stock Exchange</w:t>
      </w:r>
    </w:p>
    <w:p>
      <w:pPr>
        <w:pStyle w:val="Normal"/>
        <w:framePr w:w="1896" w:hAnchor="page" w:vAnchor="page" w:x="1807" w:y="77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Title of Each Class</w:t>
      </w:r>
    </w:p>
    <w:p>
      <w:pPr>
        <w:pStyle w:val="Normal"/>
        <w:framePr w:w="1632" w:hAnchor="page" w:vAnchor="page" w:x="5505" w:y="77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Trading Symbol</w:t>
      </w:r>
    </w:p>
    <w:p>
      <w:pPr>
        <w:pStyle w:val="Normal"/>
        <w:framePr w:w="4246" w:hAnchor="page" w:vAnchor="page" w:x="8019" w:y="77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Name of each exchange on which registered</w:t>
      </w:r>
    </w:p>
    <w:p>
      <w:pPr>
        <w:pStyle w:val="Normal"/>
        <w:framePr w:w="5462" w:hAnchor="page" w:vAnchor="page" w:x="3924" w:y="75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Securities registered pursuant to Section 12(b) of the Act:</w:t>
      </w:r>
    </w:p>
    <w:p>
      <w:pPr>
        <w:pStyle w:val="Normal"/>
        <w:framePr w:w="4107" w:hAnchor="page" w:vAnchor="page" w:x="4479" w:y="7284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(Registrant’s telephone number, including area code)</w:t>
      </w:r>
    </w:p>
    <w:p>
      <w:pPr>
        <w:pStyle w:val="Normal"/>
        <w:framePr w:w="1868" w:hAnchor="page" w:vAnchor="page" w:x="5432" w:y="7113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+1 281-591-4000</w:t>
      </w:r>
    </w:p>
    <w:p>
      <w:pPr>
        <w:pStyle w:val="Normal"/>
        <w:framePr w:w="3042" w:hAnchor="page" w:vAnchor="page" w:x="2003" w:y="6849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(Address of principal executive offices)</w:t>
      </w:r>
    </w:p>
    <w:p>
      <w:pPr>
        <w:pStyle w:val="Normal"/>
        <w:framePr w:w="962" w:hAnchor="page" w:vAnchor="page" w:x="8709" w:y="6849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 Code)</w:t>
      </w:r>
    </w:p>
    <w:p>
      <w:pPr>
        <w:pStyle w:val="Normal"/>
        <w:framePr w:w="2775" w:hAnchor="page" w:vAnchor="page" w:x="2134" w:y="661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United States of America</w:t>
      </w:r>
    </w:p>
    <w:p>
      <w:pPr>
        <w:pStyle w:val="Normal"/>
        <w:framePr w:w="817" w:hAnchor="page" w:vAnchor="page" w:x="8789" w:y="661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77044</w:t>
      </w:r>
    </w:p>
    <w:p>
      <w:pPr>
        <w:pStyle w:val="Normal"/>
        <w:framePr w:w="1809" w:hAnchor="page" w:vAnchor="page" w:x="2536" w:y="6377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Houston, Texas</w:t>
      </w:r>
    </w:p>
    <w:p>
      <w:pPr>
        <w:pStyle w:val="Normal"/>
        <w:framePr w:w="641" w:hAnchor="page" w:vAnchor="page" w:x="11606" w:y="635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ffffff"/>
          <w:w w:val="100"/>
          <w:sz w:val="20"/>
          <w:szCs w:val="20"/>
        </w:rPr>
      </w:pPr>
      <w:r>
        <w:rPr>
          <w:rFonts w:ascii="ArialMT" w:hAnsi="ArialMT" w:fareast="ArialMT" w:cs="ArialMT"/>
          <w:color w:val="ffffff"/>
          <w:w w:val="100"/>
          <w:sz w:val="20"/>
          <w:szCs w:val="20"/>
        </w:rPr>
        <w:t>238</w:t>
      </w:r>
    </w:p>
    <w:p>
      <w:pPr>
        <w:pStyle w:val="Normal"/>
        <w:framePr w:w="2030" w:hAnchor="page" w:vAnchor="page" w:x="2444" w:y="6122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One Subsea Lane</w:t>
      </w:r>
    </w:p>
    <w:p>
      <w:pPr>
        <w:pStyle w:val="Normal"/>
        <w:framePr w:w="4502" w:hAnchor="page" w:vAnchor="page" w:x="1394" w:y="5738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 or other jurisdiction of incorporation or organization)</w:t>
      </w:r>
    </w:p>
    <w:p>
      <w:pPr>
        <w:pStyle w:val="Normal"/>
        <w:framePr w:w="2755" w:hAnchor="page" w:vAnchor="page" w:x="7962" w:y="5738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(I.R.S. Employer Identification No.)</w:t>
      </w:r>
    </w:p>
    <w:p>
      <w:pPr>
        <w:pStyle w:val="Normal"/>
        <w:framePr w:w="1885" w:hAnchor="page" w:vAnchor="page" w:x="2505" w:y="5507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United Kingdom</w:t>
      </w:r>
    </w:p>
    <w:p>
      <w:pPr>
        <w:pStyle w:val="Normal"/>
        <w:framePr w:w="1370" w:hAnchor="page" w:vAnchor="page" w:x="8559" w:y="5507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98-1283037</w:t>
      </w:r>
    </w:p>
    <w:p>
      <w:pPr>
        <w:pStyle w:val="Normal"/>
        <w:framePr w:w="4567" w:hAnchor="page" w:vAnchor="page" w:x="4297" w:y="504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(Exact name of registrant as specified in its charter)</w:t>
      </w:r>
    </w:p>
    <w:p>
      <w:pPr>
        <w:pStyle w:val="Normal"/>
        <w:framePr w:w="3427" w:hAnchor="page" w:vAnchor="page" w:x="4742" w:y="4563"/>
        <w:widowControl w:val="off"/>
        <w:autoSpaceDE w:val="off"/>
        <w:autoSpaceDN w:val="off"/>
        <w:spacing w:before="0" w:after="0" w:line="40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6"/>
          <w:szCs w:val="36"/>
        </w:rPr>
      </w:pPr>
      <w:r>
        <w:rPr>
          <w:rFonts w:ascii="Arial-BoldMT" w:hAnsi="Arial-BoldMT" w:fareast="Arial-BoldMT" w:cs="Arial-BoldMT"/>
          <w:color w:val="000000"/>
          <w:w w:val="100"/>
          <w:sz w:val="36"/>
          <w:szCs w:val="36"/>
        </w:rPr>
        <w:t>TechnipFMC plc</w:t>
      </w:r>
    </w:p>
    <w:p>
      <w:pPr>
        <w:pStyle w:val="Normal"/>
        <w:framePr w:w="3628" w:hAnchor="page" w:vAnchor="page" w:x="4698" w:y="409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Commission file number 001-37983</w:t>
      </w:r>
    </w:p>
    <w:p>
      <w:pPr>
        <w:pStyle w:val="Normal"/>
        <w:framePr w:w="4607" w:hAnchor="page" w:vAnchor="page" w:x="4288" w:y="378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For the transition period from            to            </w:t>
      </w:r>
    </w:p>
    <w:p>
      <w:pPr>
        <w:pStyle w:val="Normal"/>
        <w:framePr w:w="11737" w:hAnchor="page" w:vAnchor="page" w:x="1319" w:y="352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</w:t>
      </w: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TRANSITION REPORT PURSUANT TO SECTION 13 OR 15(d) OF THE SECURITIES EXCHANGE ACT OF 1934</w:t>
      </w:r>
    </w:p>
    <w:p>
      <w:pPr>
        <w:pStyle w:val="Normal"/>
        <w:framePr w:w="408" w:hAnchor="page" w:vAnchor="page" w:x="6040" w:y="330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or</w:t>
      </w:r>
    </w:p>
    <w:p>
      <w:pPr>
        <w:pStyle w:val="Normal"/>
        <w:framePr w:w="4776" w:hAnchor="page" w:vAnchor="page" w:x="4225" w:y="305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For the fiscal year ended </w:t>
      </w: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December 31, 2024</w:t>
      </w:r>
    </w:p>
    <w:p>
      <w:pPr>
        <w:pStyle w:val="Normal"/>
        <w:framePr w:w="11321" w:hAnchor="page" w:vAnchor="page" w:x="1493" w:y="284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☒</w:t>
      </w: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 xml:space="preserve">    ANNUAL REPORT PURSUANT TO SECTION 13 OR 15(d) OF THE SECURITIES EXCHANGE ACT OF 1934</w:t>
      </w:r>
    </w:p>
    <w:p>
      <w:pPr>
        <w:pStyle w:val="Normal"/>
        <w:framePr w:w="2461" w:hAnchor="page" w:vAnchor="page" w:x="5112" w:y="24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(Amendment No. 1)</w:t>
      </w:r>
    </w:p>
    <w:p>
      <w:pPr>
        <w:pStyle w:val="Normal"/>
        <w:framePr w:w="2684" w:hAnchor="page" w:vAnchor="page" w:x="5065" w:y="2083"/>
        <w:widowControl w:val="off"/>
        <w:autoSpaceDE w:val="off"/>
        <w:autoSpaceDN w:val="off"/>
        <w:spacing w:before="0" w:after="0" w:line="36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3"/>
          <w:szCs w:val="33"/>
        </w:rPr>
      </w:pPr>
      <w:r>
        <w:rPr>
          <w:rFonts w:ascii="Arial-BoldMT" w:hAnsi="Arial-BoldMT" w:fareast="Arial-BoldMT" w:cs="Arial-BoldMT"/>
          <w:color w:val="000000"/>
          <w:w w:val="100"/>
          <w:sz w:val="33"/>
          <w:szCs w:val="33"/>
        </w:rPr>
        <w:t>FORM 10-K/A</w:t>
      </w:r>
    </w:p>
    <w:p>
      <w:pPr>
        <w:pStyle w:val="Normal"/>
        <w:framePr w:w="3249" w:hAnchor="page" w:vAnchor="page" w:x="4763" w:y="157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Washington, D.C. 20549</w:t>
      </w:r>
    </w:p>
    <w:p>
      <w:pPr>
        <w:pStyle w:val="Normal"/>
        <w:framePr w:w="6359" w:hAnchor="page" w:vAnchor="page" w:x="3359" w:y="1261"/>
        <w:widowControl w:val="off"/>
        <w:autoSpaceDE w:val="off"/>
        <w:autoSpaceDN w:val="off"/>
        <w:spacing w:before="0" w:after="0" w:line="29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SECURITIES AND EXCHANGE COMMISSION</w:t>
      </w:r>
    </w:p>
    <w:p>
      <w:pPr>
        <w:pStyle w:val="Normal"/>
        <w:framePr w:w="2517" w:hAnchor="page" w:vAnchor="page" w:x="5106" w:y="945"/>
        <w:widowControl w:val="off"/>
        <w:autoSpaceDE w:val="off"/>
        <w:autoSpaceDN w:val="off"/>
        <w:spacing w:before="0" w:after="0" w:line="29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83.9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84.65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83.9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83.9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52.05pt;margin-top:37.05pt;z-index:-16777192;width:507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52.05pt;margin-top:40.05pt;z-index:-16777188;width:507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56.45pt;margin-top:37.05pt;z-index:-167771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6.55pt;margin-top:37.05pt;z-index:-16777180;width:501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52.05pt;margin-top:37.05pt;z-index:-1677717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43.6pt;margin-top:94.85pt;z-index:-16777172;width:32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466.4pt;margin-top:94.85pt;z-index:-167771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48.1pt;margin-top:94.85pt;z-index:-16777164;width:32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43.6pt;margin-top:94.85pt;z-index:-1677716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42.1pt;margin-top:220.95pt;z-index:-16777156;width:32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464.9pt;margin-top:220.95pt;z-index:-167771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46.6pt;margin-top:220.95pt;z-index:-16777148;width:32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42.1pt;margin-top:220.95pt;z-index:-1677714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43.6pt;margin-top:263.7pt;z-index:-16777140;width:32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466.4pt;margin-top:263.7pt;z-index:-167771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48.1pt;margin-top:263.7pt;z-index:-16777132;width:32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43.6pt;margin-top:263.7pt;z-index:-1677712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3pt;margin-top:273.5pt;z-index:-16777124;width:294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05pt;margin-top:273.5pt;z-index:-16777120;width:294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3pt;margin-top:285.5pt;z-index:-16777116;width:294pt;height:11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305pt;margin-top:285.5pt;z-index:-16777112;width:294pt;height:11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pt;margin-top:295.25pt;z-index:-16777108;width:294pt;height:1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305pt;margin-top:295.25pt;z-index:-16777104;width:294pt;height:1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pt;margin-top:304.25pt;z-index:-16777100;width:294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305pt;margin-top:304.25pt;z-index:-16777096;width:294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3pt;margin-top:316.25pt;z-index:-16777092;width:29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305pt;margin-top:316.25pt;z-index:-16777088;width:29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3pt;margin-top:329.05pt;z-index:-16777084;width:294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305pt;margin-top:329.05pt;z-index:-16777080;width:294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pt;margin-top:341.05pt;z-index:-16777076;width:294pt;height:11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305pt;margin-top:341.05pt;z-index:-16777072;width:294pt;height:11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70.45pt;margin-top:354.55pt;z-index:-16777068;width:71.05pt;height:1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43.6pt;margin-top:429.6pt;z-index:-16777064;width:32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05.9pt;margin-top:709.6pt;z-index:-16777060;width:2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52.6pt;margin-top:709.6pt;z-index:-16777056;width:10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431.05pt;margin-top:709.6pt;z-index:-16777052;width:12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3pt;margin-top:748.65pt;z-index:-1677704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3pt;margin-top:751.65pt;z-index:-1677704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595.5pt;margin-top:748.65pt;z-index:-167770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25pt;margin-top:748.65pt;z-index:-16777036;width:579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3pt;margin-top:748.65pt;z-index:-167770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</w:p>
    <w:p>
      <w:pPr>
        <w:pStyle w:val="Normal"/>
        <w:framePr w:w="1601" w:hAnchor="page" w:vAnchor="page" w:x="280" w:y="505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Amendment.</w:t>
      </w:r>
    </w:p>
    <w:p>
      <w:pPr>
        <w:pStyle w:val="Normal"/>
        <w:framePr w:w="12844" w:hAnchor="page" w:vAnchor="page" w:x="280" w:y="481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of Chapter 63 of Title 18 of the United States Code (18 U.S.C. 1350) as no financial statements are being filed with this</w:t>
      </w:r>
    </w:p>
    <w:p>
      <w:pPr>
        <w:pStyle w:val="Normal"/>
        <w:framePr w:w="14201" w:hAnchor="page" w:vAnchor="page" w:x="280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paragraphs 3, 4, and 5 of the certifications have been omitted. The Company is not including certifications pursuant to Section 1350</w:t>
      </w:r>
    </w:p>
    <w:p>
      <w:pPr>
        <w:pStyle w:val="Normal"/>
        <w:framePr w:w="14001" w:hAnchor="page" w:vAnchor="page" w:x="280" w:y="433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Amendment and this Amendment does not contain or amend any disclosure with respect to Items 307 and 308 of Regulation S-K,</w:t>
      </w:r>
    </w:p>
    <w:p>
      <w:pPr>
        <w:pStyle w:val="Normal"/>
        <w:framePr w:w="13836" w:hAnchor="page" w:vAnchor="page" w:x="280" w:y="409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Amendment pursuant to Rule 13a-14(a) or 15d-14(a) of the Exchange Act. As no financial statements have been included in this</w:t>
      </w:r>
    </w:p>
    <w:p>
      <w:pPr>
        <w:pStyle w:val="Normal"/>
        <w:framePr w:w="13213" w:hAnchor="page" w:vAnchor="page" w:x="280" w:y="385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certifications by the Company’s principal executive officer and principal financial officer are filed herewith as exhibits to this</w:t>
      </w:r>
    </w:p>
    <w:p>
      <w:pPr>
        <w:pStyle w:val="Normal"/>
        <w:framePr w:w="13294" w:hAnchor="page" w:vAnchor="page" w:x="280" w:y="361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In addition, as required by Rule 12b-15 under the Securities Exchange Act of 1934, as amended (the “Exchange Act”), new</w:t>
      </w:r>
    </w:p>
    <w:p>
      <w:pPr>
        <w:pStyle w:val="Normal"/>
        <w:framePr w:w="8781" w:hAnchor="page" w:vAnchor="page" w:x="280" w:y="319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financial statements or any other disclosure contained in the Original Form 10-K.</w:t>
      </w:r>
    </w:p>
    <w:p>
      <w:pPr>
        <w:pStyle w:val="Normal"/>
        <w:framePr w:w="14103" w:hAnchor="page" w:vAnchor="page" w:x="280" w:y="2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 and does not reflect events occurring after the filing of the Original Form 10-K. No revisions are being made to the Company’s</w:t>
      </w:r>
    </w:p>
    <w:p>
      <w:pPr>
        <w:pStyle w:val="Normal"/>
        <w:framePr w:w="14048" w:hAnchor="page" w:vAnchor="page" w:x="280" w:y="271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prior to the filing of the Original Form 10-K but inadvertently omitted from the filing. This Amendment speaks as of the original filing</w:t>
      </w:r>
    </w:p>
    <w:p>
      <w:pPr>
        <w:pStyle w:val="Normal"/>
        <w:framePr w:w="13764" w:hAnchor="page" w:vAnchor="page" w:x="280" w:y="247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on February 27, 2025, is solely to insert the conformed signatures of the Company’s directors and officers, which were obtained</w:t>
      </w:r>
    </w:p>
    <w:p>
      <w:pPr>
        <w:pStyle w:val="Normal"/>
        <w:framePr w:w="14199" w:hAnchor="page" w:vAnchor="page" w:x="280" w:y="223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fiscal year ended December 31, 2024 (the “Original Form 10-K”), which was filed with the Securities and Exchange Commission</w:t>
      </w:r>
    </w:p>
    <w:p>
      <w:pPr>
        <w:pStyle w:val="Normal"/>
        <w:framePr w:w="13951" w:hAnchor="page" w:vAnchor="page" w:x="280" w:y="19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purpose of this Amendment No. 1 (this "Amendment") to TechnipFMC plc’s (the “Company”) Annual Report on Form 10-K for</w:t>
      </w:r>
    </w:p>
    <w:p>
      <w:pPr>
        <w:pStyle w:val="Normal"/>
        <w:framePr w:w="3034" w:hAnchor="page" w:vAnchor="page" w:x="4861" w:y="90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EXPLANATORY NOTE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7pt;margin-top:1pt;z-index:-1677702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13pt;margin-top:312.5pt;z-index:-1677702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3pt;margin-top:313.25pt;z-index:-1677702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6.25pt;margin-top:312.5pt;z-index:-1677701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3pt;margin-top:312.5pt;z-index:-1677701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</w:p>
    <w:p>
      <w:pPr>
        <w:pStyle w:val="Normal"/>
        <w:framePr w:w="512" w:hAnchor="page" w:vAnchor="page" w:x="300" w:y="286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104</w:t>
      </w:r>
    </w:p>
    <w:p>
      <w:pPr>
        <w:pStyle w:val="Normal"/>
        <w:framePr w:w="7800" w:hAnchor="page" w:vAnchor="page" w:x="1651" w:y="286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Cover Page Interactive Data File (formatted as Inline XBRL and contained in Exhibit 101).</w:t>
      </w:r>
    </w:p>
    <w:p>
      <w:pPr>
        <w:pStyle w:val="Normal"/>
        <w:framePr w:w="960" w:hAnchor="page" w:vAnchor="page" w:x="300" w:y="264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101.PRE</w:t>
      </w:r>
    </w:p>
    <w:p>
      <w:pPr>
        <w:pStyle w:val="Normal"/>
        <w:framePr w:w="5965" w:hAnchor="page" w:vAnchor="page" w:x="1651" w:y="264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Inline XBRL Taxonomy Extension Presentation Linkbase Document.</w:t>
      </w:r>
    </w:p>
    <w:p>
      <w:pPr>
        <w:pStyle w:val="Normal"/>
        <w:framePr w:w="929" w:hAnchor="page" w:vAnchor="page" w:x="300" w:y="24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101.LAB</w:t>
      </w:r>
    </w:p>
    <w:p>
      <w:pPr>
        <w:pStyle w:val="Normal"/>
        <w:framePr w:w="5357" w:hAnchor="page" w:vAnchor="page" w:x="1651" w:y="24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Inline XBRL Taxonomy Extension Label Linkbase Document.</w:t>
      </w:r>
    </w:p>
    <w:p>
      <w:pPr>
        <w:pStyle w:val="Normal"/>
        <w:framePr w:w="971" w:hAnchor="page" w:vAnchor="page" w:x="300" w:y="21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101.SCH</w:t>
      </w:r>
    </w:p>
    <w:p>
      <w:pPr>
        <w:pStyle w:val="Normal"/>
        <w:framePr w:w="4770" w:hAnchor="page" w:vAnchor="page" w:x="1651" w:y="21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Inline XBRL Taxonomy Extension Schema Document.</w:t>
      </w:r>
    </w:p>
    <w:p>
      <w:pPr>
        <w:pStyle w:val="Normal"/>
        <w:framePr w:w="2156" w:hAnchor="page" w:vAnchor="page" w:x="1651" w:y="19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Inline XBRL document.</w:t>
      </w:r>
    </w:p>
    <w:p>
      <w:pPr>
        <w:pStyle w:val="Normal"/>
        <w:framePr w:w="886" w:hAnchor="page" w:vAnchor="page" w:x="300" w:y="18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101.INS</w:t>
      </w:r>
    </w:p>
    <w:p>
      <w:pPr>
        <w:pStyle w:val="Normal"/>
        <w:framePr w:w="12422" w:hAnchor="page" w:vAnchor="page" w:x="1651" w:y="18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XBRL Instance Document – the instance document does not appear in the Interactive Data File because its XBRL tags are embedded within the</w:t>
      </w:r>
    </w:p>
    <w:p>
      <w:pPr>
        <w:pStyle w:val="Normal"/>
        <w:framePr w:w="566" w:hAnchor="page" w:vAnchor="page" w:x="300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31.4</w:t>
      </w:r>
    </w:p>
    <w:p>
      <w:pPr>
        <w:pStyle w:val="Normal"/>
        <w:framePr w:w="3357" w:hAnchor="page" w:vAnchor="page" w:x="1651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16"/>
          <w:szCs w:val="16"/>
        </w:rPr>
      </w:pPr>
      <w:r>
        <w:rPr>
          <w:rFonts w:ascii="ArialMT" w:hAnsi="ArialMT" w:fareast="ArialMT" w:cs="ArialMT"/>
          <w:color w:val="0000ff"/>
          <w:w w:val="100"/>
          <w:sz w:val="16"/>
          <w:szCs w:val="16"/>
        </w:rPr>
        <w:t>Certification of Chief Financial Officer</w:t>
      </w:r>
    </w:p>
    <w:p>
      <w:pPr>
        <w:pStyle w:val="Normal"/>
        <w:framePr w:w="566" w:hAnchor="page" w:vAnchor="page" w:x="300" w:y="1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31.3</w:t>
      </w:r>
    </w:p>
    <w:p>
      <w:pPr>
        <w:pStyle w:val="Normal"/>
        <w:framePr w:w="3421" w:hAnchor="page" w:vAnchor="page" w:x="1651" w:y="1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16"/>
          <w:szCs w:val="16"/>
        </w:rPr>
      </w:pPr>
      <w:r>
        <w:rPr>
          <w:rFonts w:ascii="ArialMT" w:hAnsi="ArialMT" w:fareast="ArialMT" w:cs="ArialMT"/>
          <w:color w:val="0000ff"/>
          <w:w w:val="100"/>
          <w:sz w:val="16"/>
          <w:szCs w:val="16"/>
        </w:rPr>
        <w:t>Certification of Chief Executive Officer</w:t>
      </w:r>
    </w:p>
    <w:p>
      <w:pPr>
        <w:pStyle w:val="Normal"/>
        <w:framePr w:w="917" w:hAnchor="page" w:vAnchor="page" w:x="300" w:y="111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Number</w:t>
      </w:r>
    </w:p>
    <w:p>
      <w:pPr>
        <w:pStyle w:val="Normal"/>
        <w:framePr w:w="1941" w:hAnchor="page" w:vAnchor="page" w:x="1651" w:y="112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Exhibit Description</w:t>
      </w:r>
    </w:p>
    <w:p>
      <w:pPr>
        <w:pStyle w:val="Normal"/>
        <w:framePr w:w="1099" w:hAnchor="page" w:vAnchor="page" w:x="300" w:y="9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Exhibit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7pt;margin-top:1pt;z-index:-1677700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3pt;margin-top:625.5pt;z-index:-167770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3pt;margin-top:626.25pt;z-index:-167770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596.25pt;margin-top:625.5pt;z-index:-167769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13pt;margin-top:625.5pt;z-index:-1677699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3pt;margin-top:65.55pt;z-index:-16776988;width:63.5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74.55pt;margin-top:65.55pt;z-index:-16776984;width: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80.55pt;margin-top:65.55pt;z-index:-16776980;width:517.7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13pt;margin-top:77.55pt;z-index:-16776976;width:63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74.55pt;margin-top:77.55pt;z-index:-16776972;width:8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80.55pt;margin-top:77.55pt;z-index:-16776968;width:517.7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3pt;margin-top:88.8pt;z-index:-16776964;width:63.55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74.55pt;margin-top:88.8pt;z-index:-16776960;width:8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80.55pt;margin-top:88.8pt;z-index:-16776956;width:517.7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pt;margin-top:107.6pt;z-index:-16776952;width:63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74.55pt;margin-top:107.6pt;z-index:-16776948;width:8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80.55pt;margin-top:107.6pt;z-index:-16776944;width:517.7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pt;margin-top:118.85pt;z-index:-16776940;width:63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74.55pt;margin-top:118.85pt;z-index:-16776936;width:8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80.55pt;margin-top:118.85pt;z-index:-16776932;width:517.7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pt;margin-top:130.1pt;z-index:-16776928;width:63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74.55pt;margin-top:130.1pt;z-index:-16776924;width:8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80.55pt;margin-top:130.1pt;z-index:-16776920;width:517.7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pt;margin-top:141.35pt;z-index:-16776916;width:63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74.55pt;margin-top:141.35pt;z-index:-16776912;width:8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80.55pt;margin-top:141.35pt;z-index:-16776908;width:517.7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80.55pt;margin-top:65.55pt;z-index:-16776904;width:51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pt;margin-top:65.55pt;z-index:-16776900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81.55pt;margin-top:75.3pt;z-index:-16776896;width:13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81.55pt;margin-top:75.3pt;z-index:-16776892;width:13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81.55pt;margin-top:86.55pt;z-index:-16776888;width:133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81.55pt;margin-top:86.55pt;z-index:-16776884;width:133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</w:p>
    <w:p>
      <w:pPr>
        <w:pStyle w:val="Normal"/>
        <w:framePr w:w="2015" w:hAnchor="page" w:vAnchor="page" w:x="300" w:y="13619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Sophie Zurquiyah</w:t>
      </w:r>
    </w:p>
    <w:p>
      <w:pPr>
        <w:pStyle w:val="Normal"/>
        <w:framePr w:w="2319" w:hAnchor="page" w:vAnchor="page" w:x="300" w:y="13349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Sophie Zurquiyah</w:t>
      </w:r>
    </w:p>
    <w:p>
      <w:pPr>
        <w:pStyle w:val="Normal"/>
        <w:framePr w:w="1026" w:hAnchor="page" w:vAnchor="page" w:x="4924" w:y="13349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Director</w:t>
      </w:r>
    </w:p>
    <w:p>
      <w:pPr>
        <w:pStyle w:val="Normal"/>
        <w:framePr w:w="2091" w:hAnchor="page" w:vAnchor="page" w:x="9998" w:y="13349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27, 2025</w:t>
      </w:r>
    </w:p>
    <w:p>
      <w:pPr>
        <w:pStyle w:val="Normal"/>
        <w:framePr w:w="1792" w:hAnchor="page" w:vAnchor="page" w:x="300" w:y="12854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John Yearwood</w:t>
      </w:r>
    </w:p>
    <w:p>
      <w:pPr>
        <w:pStyle w:val="Normal"/>
        <w:framePr w:w="2096" w:hAnchor="page" w:vAnchor="page" w:x="300" w:y="12584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John Yearwood</w:t>
      </w:r>
    </w:p>
    <w:p>
      <w:pPr>
        <w:pStyle w:val="Normal"/>
        <w:framePr w:w="1026" w:hAnchor="page" w:vAnchor="page" w:x="4924" w:y="12584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Director</w:t>
      </w:r>
    </w:p>
    <w:p>
      <w:pPr>
        <w:pStyle w:val="Normal"/>
        <w:framePr w:w="2091" w:hAnchor="page" w:vAnchor="page" w:x="9998" w:y="12584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27, 2025</w:t>
      </w:r>
    </w:p>
    <w:p>
      <w:pPr>
        <w:pStyle w:val="Normal"/>
        <w:framePr w:w="1736" w:hAnchor="page" w:vAnchor="page" w:x="300" w:y="1208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Kay G. Priestly</w:t>
      </w:r>
    </w:p>
    <w:p>
      <w:pPr>
        <w:pStyle w:val="Normal"/>
        <w:framePr w:w="2040" w:hAnchor="page" w:vAnchor="page" w:x="300" w:y="1181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Kay G. Priestly</w:t>
      </w:r>
    </w:p>
    <w:p>
      <w:pPr>
        <w:pStyle w:val="Normal"/>
        <w:framePr w:w="1026" w:hAnchor="page" w:vAnchor="page" w:x="4924" w:y="1181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Director</w:t>
      </w:r>
    </w:p>
    <w:p>
      <w:pPr>
        <w:pStyle w:val="Normal"/>
        <w:framePr w:w="2091" w:hAnchor="page" w:vAnchor="page" w:x="9998" w:y="1181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27, 2025</w:t>
      </w:r>
    </w:p>
    <w:p>
      <w:pPr>
        <w:pStyle w:val="Normal"/>
        <w:framePr w:w="2015" w:hAnchor="page" w:vAnchor="page" w:x="300" w:y="11323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Margareth Øvrum</w:t>
      </w:r>
    </w:p>
    <w:p>
      <w:pPr>
        <w:pStyle w:val="Normal"/>
        <w:framePr w:w="2319" w:hAnchor="page" w:vAnchor="page" w:x="300" w:y="11052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Margareth Øvrum</w:t>
      </w:r>
    </w:p>
    <w:p>
      <w:pPr>
        <w:pStyle w:val="Normal"/>
        <w:framePr w:w="1026" w:hAnchor="page" w:vAnchor="page" w:x="4924" w:y="11052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Director</w:t>
      </w:r>
    </w:p>
    <w:p>
      <w:pPr>
        <w:pStyle w:val="Normal"/>
        <w:framePr w:w="2091" w:hAnchor="page" w:vAnchor="page" w:x="9998" w:y="11052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27, 2025</w:t>
      </w:r>
    </w:p>
    <w:p>
      <w:pPr>
        <w:pStyle w:val="Normal"/>
        <w:framePr w:w="1584" w:hAnchor="page" w:vAnchor="page" w:x="300" w:y="10557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John O’Leary</w:t>
      </w:r>
    </w:p>
    <w:p>
      <w:pPr>
        <w:pStyle w:val="Normal"/>
        <w:framePr w:w="1888" w:hAnchor="page" w:vAnchor="page" w:x="300" w:y="10287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John O’Leary</w:t>
      </w:r>
    </w:p>
    <w:p>
      <w:pPr>
        <w:pStyle w:val="Normal"/>
        <w:framePr w:w="1026" w:hAnchor="page" w:vAnchor="page" w:x="4924" w:y="10287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Director</w:t>
      </w:r>
    </w:p>
    <w:p>
      <w:pPr>
        <w:pStyle w:val="Normal"/>
        <w:framePr w:w="2091" w:hAnchor="page" w:vAnchor="page" w:x="9998" w:y="10287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27, 2025</w:t>
      </w:r>
    </w:p>
    <w:p>
      <w:pPr>
        <w:pStyle w:val="Normal"/>
        <w:framePr w:w="1799" w:hAnchor="page" w:vAnchor="page" w:x="300" w:y="9791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Robert G. Gwin</w:t>
      </w:r>
    </w:p>
    <w:p>
      <w:pPr>
        <w:pStyle w:val="Normal"/>
        <w:framePr w:w="2103" w:hAnchor="page" w:vAnchor="page" w:x="300" w:y="9521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Robert G. Gwin</w:t>
      </w:r>
    </w:p>
    <w:p>
      <w:pPr>
        <w:pStyle w:val="Normal"/>
        <w:framePr w:w="1026" w:hAnchor="page" w:vAnchor="page" w:x="4924" w:y="9521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Director</w:t>
      </w:r>
    </w:p>
    <w:p>
      <w:pPr>
        <w:pStyle w:val="Normal"/>
        <w:framePr w:w="2091" w:hAnchor="page" w:vAnchor="page" w:x="9998" w:y="9521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27, 2025</w:t>
      </w:r>
    </w:p>
    <w:p>
      <w:pPr>
        <w:pStyle w:val="Normal"/>
        <w:framePr w:w="1799" w:hAnchor="page" w:vAnchor="page" w:x="300" w:y="9026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Claire S. Farley</w:t>
      </w:r>
    </w:p>
    <w:p>
      <w:pPr>
        <w:pStyle w:val="Normal"/>
        <w:framePr w:w="2103" w:hAnchor="page" w:vAnchor="page" w:x="300" w:y="8755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Claire S. Farley</w:t>
      </w:r>
    </w:p>
    <w:p>
      <w:pPr>
        <w:pStyle w:val="Normal"/>
        <w:framePr w:w="1026" w:hAnchor="page" w:vAnchor="page" w:x="4924" w:y="8755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Director</w:t>
      </w:r>
    </w:p>
    <w:p>
      <w:pPr>
        <w:pStyle w:val="Normal"/>
        <w:framePr w:w="2091" w:hAnchor="page" w:vAnchor="page" w:x="9998" w:y="8755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27, 2025</w:t>
      </w:r>
    </w:p>
    <w:p>
      <w:pPr>
        <w:pStyle w:val="Normal"/>
        <w:framePr w:w="2851" w:hAnchor="page" w:vAnchor="page" w:x="300" w:y="8260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Eleazar de Carvalho Filho</w:t>
      </w:r>
    </w:p>
    <w:p>
      <w:pPr>
        <w:pStyle w:val="Normal"/>
        <w:framePr w:w="3155" w:hAnchor="page" w:vAnchor="page" w:x="300" w:y="7990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Eleazar de Carvalho Filho</w:t>
      </w:r>
    </w:p>
    <w:p>
      <w:pPr>
        <w:pStyle w:val="Normal"/>
        <w:framePr w:w="1026" w:hAnchor="page" w:vAnchor="page" w:x="4924" w:y="7990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Director</w:t>
      </w:r>
    </w:p>
    <w:p>
      <w:pPr>
        <w:pStyle w:val="Normal"/>
        <w:framePr w:w="2091" w:hAnchor="page" w:vAnchor="page" w:x="9998" w:y="7990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27, 2025</w:t>
      </w:r>
    </w:p>
    <w:p>
      <w:pPr>
        <w:pStyle w:val="Normal"/>
        <w:framePr w:w="1369" w:hAnchor="page" w:vAnchor="page" w:x="300" w:y="7494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David Light</w:t>
      </w:r>
    </w:p>
    <w:p>
      <w:pPr>
        <w:pStyle w:val="Normal"/>
        <w:framePr w:w="1673" w:hAnchor="page" w:vAnchor="page" w:x="300" w:y="7224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David Light</w:t>
      </w:r>
    </w:p>
    <w:p>
      <w:pPr>
        <w:pStyle w:val="Normal"/>
        <w:framePr w:w="4672" w:hAnchor="page" w:vAnchor="page" w:x="4924" w:y="7224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(Controller and Principal Accounting Officer)</w:t>
      </w:r>
    </w:p>
    <w:p>
      <w:pPr>
        <w:pStyle w:val="Normal"/>
        <w:framePr w:w="2091" w:hAnchor="page" w:vAnchor="page" w:x="9998" w:y="7224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27, 2025</w:t>
      </w:r>
    </w:p>
    <w:p>
      <w:pPr>
        <w:pStyle w:val="Normal"/>
        <w:framePr w:w="895" w:hAnchor="page" w:vAnchor="page" w:x="4924" w:y="7029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Officer</w:t>
      </w:r>
    </w:p>
    <w:p>
      <w:pPr>
        <w:pStyle w:val="Normal"/>
        <w:framePr w:w="5762" w:hAnchor="page" w:vAnchor="page" w:x="4924" w:y="6849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Senior Vice President, Controller and Chief Accounting</w:t>
      </w:r>
    </w:p>
    <w:p>
      <w:pPr>
        <w:pStyle w:val="Normal"/>
        <w:framePr w:w="1102" w:hAnchor="page" w:vAnchor="page" w:x="300" w:y="648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Alf Melin</w:t>
      </w:r>
    </w:p>
    <w:p>
      <w:pPr>
        <w:pStyle w:val="Normal"/>
        <w:framePr w:w="1406" w:hAnchor="page" w:vAnchor="page" w:x="300" w:y="621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Alf Melin</w:t>
      </w:r>
    </w:p>
    <w:p>
      <w:pPr>
        <w:pStyle w:val="Normal"/>
        <w:framePr w:w="2961" w:hAnchor="page" w:vAnchor="page" w:x="4924" w:y="621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(Principal Financial Officer)</w:t>
      </w:r>
    </w:p>
    <w:p>
      <w:pPr>
        <w:pStyle w:val="Normal"/>
        <w:framePr w:w="2091" w:hAnchor="page" w:vAnchor="page" w:x="9998" w:y="621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27, 2025</w:t>
      </w:r>
    </w:p>
    <w:p>
      <w:pPr>
        <w:pStyle w:val="Normal"/>
        <w:framePr w:w="5111" w:hAnchor="page" w:vAnchor="page" w:x="4924" w:y="603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Executive Vice President, Chief Financial Officer</w:t>
      </w:r>
    </w:p>
    <w:p>
      <w:pPr>
        <w:pStyle w:val="Normal"/>
        <w:framePr w:w="2357" w:hAnchor="page" w:vAnchor="page" w:x="300" w:y="567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Douglas J. Pferdehirt</w:t>
      </w:r>
    </w:p>
    <w:p>
      <w:pPr>
        <w:pStyle w:val="Normal"/>
        <w:framePr w:w="2661" w:hAnchor="page" w:vAnchor="page" w:x="300" w:y="540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Douglas J. Pferdehirt</w:t>
      </w:r>
    </w:p>
    <w:p>
      <w:pPr>
        <w:pStyle w:val="Normal"/>
        <w:framePr w:w="3037" w:hAnchor="page" w:vAnchor="page" w:x="4924" w:y="540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(Principal Executive Officer)</w:t>
      </w:r>
    </w:p>
    <w:p>
      <w:pPr>
        <w:pStyle w:val="Normal"/>
        <w:framePr w:w="2091" w:hAnchor="page" w:vAnchor="page" w:x="9998" w:y="540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27, 2025</w:t>
      </w:r>
    </w:p>
    <w:p>
      <w:pPr>
        <w:pStyle w:val="Normal"/>
        <w:framePr w:w="3595" w:hAnchor="page" w:vAnchor="page" w:x="4924" w:y="5227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Chair and Chief Executive Officer</w:t>
      </w:r>
    </w:p>
    <w:p>
      <w:pPr>
        <w:pStyle w:val="Normal"/>
        <w:framePr w:w="1077" w:hAnchor="page" w:vAnchor="page" w:x="300" w:y="49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Signature</w:t>
      </w:r>
    </w:p>
    <w:p>
      <w:pPr>
        <w:pStyle w:val="Normal"/>
        <w:framePr w:w="583" w:hAnchor="page" w:vAnchor="page" w:x="4924" w:y="49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Title</w:t>
      </w:r>
    </w:p>
    <w:p>
      <w:pPr>
        <w:pStyle w:val="Normal"/>
        <w:framePr w:w="608" w:hAnchor="page" w:vAnchor="page" w:x="9998" w:y="49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Date</w:t>
      </w:r>
    </w:p>
    <w:p>
      <w:pPr>
        <w:pStyle w:val="Normal"/>
        <w:framePr w:w="7835" w:hAnchor="page" w:vAnchor="page" w:x="280" w:y="443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behalf of the registrant and in the capacities and on the dates indicated.</w:t>
      </w:r>
    </w:p>
    <w:p>
      <w:pPr>
        <w:pStyle w:val="Normal"/>
        <w:framePr w:w="14241" w:hAnchor="page" w:vAnchor="page" w:x="280" w:y="41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requirements of the Securities Exchange Act of 1934, this report has been signed below by the following persons on</w:t>
      </w:r>
    </w:p>
    <w:p>
      <w:pPr>
        <w:pStyle w:val="Normal"/>
        <w:framePr w:w="2549" w:hAnchor="page" w:vAnchor="page" w:x="300" w:y="34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Date: March 26, 2026</w:t>
      </w:r>
    </w:p>
    <w:p>
      <w:pPr>
        <w:pStyle w:val="Normal"/>
        <w:framePr w:w="5664" w:hAnchor="page" w:vAnchor="page" w:x="6775" w:y="34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(Principal Accounting Officer and a Duly Authorized Officer)</w:t>
      </w:r>
    </w:p>
    <w:p>
      <w:pPr>
        <w:pStyle w:val="Normal"/>
        <w:framePr w:w="5895" w:hAnchor="page" w:vAnchor="page" w:x="6679" w:y="328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Senior Vice President, Controller and Chief Accounting Officer</w:t>
      </w:r>
    </w:p>
    <w:p>
      <w:pPr>
        <w:pStyle w:val="Normal"/>
        <w:framePr w:w="1237" w:hAnchor="page" w:vAnchor="page" w:x="8619" w:y="312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David Light</w:t>
      </w:r>
    </w:p>
    <w:p>
      <w:pPr>
        <w:pStyle w:val="Normal"/>
        <w:framePr w:w="587" w:hAnchor="page" w:vAnchor="page" w:x="5690" w:y="284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By:</w:t>
      </w:r>
    </w:p>
    <w:p>
      <w:pPr>
        <w:pStyle w:val="Normal"/>
        <w:framePr w:w="1761" w:hAnchor="page" w:vAnchor="page" w:x="8421" w:y="284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/s/ David Light</w:t>
      </w:r>
    </w:p>
    <w:p>
      <w:pPr>
        <w:pStyle w:val="Normal"/>
        <w:framePr w:w="1494" w:hAnchor="page" w:vAnchor="page" w:x="5690" w:y="239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(Registrant)</w:t>
      </w:r>
    </w:p>
    <w:p>
      <w:pPr>
        <w:pStyle w:val="Normal"/>
        <w:framePr w:w="1961" w:hAnchor="page" w:vAnchor="page" w:x="5690" w:y="220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8623" w:hAnchor="page" w:vAnchor="page" w:x="280" w:y="173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report to be signed on its behalf by the undersigned, thereunto duly authorized.</w:t>
      </w:r>
    </w:p>
    <w:p>
      <w:pPr>
        <w:pStyle w:val="Normal"/>
        <w:framePr w:w="13694" w:hAnchor="page" w:vAnchor="page" w:x="280" w:y="14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requirements of Section 13 or 15(d) of the Securities Exchange Act of 1934, the registrant has duly caused this</w:t>
      </w:r>
    </w:p>
    <w:p>
      <w:pPr>
        <w:pStyle w:val="Normal"/>
        <w:framePr w:w="1796" w:hAnchor="page" w:vAnchor="page" w:x="5471" w:y="10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7pt;margin-top:1pt;z-index:-1677688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306.5pt;margin-top:153.4pt;z-index:-16776876;width:29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3pt;margin-top:678.8pt;z-index:-16776872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3pt;margin-top:640.55pt;z-index:-16776868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pt;margin-top:602.25pt;z-index:-16776864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3pt;margin-top:563.95pt;z-index:-16776860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13pt;margin-top:525.7pt;z-index:-16776856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pt;margin-top:487.4pt;z-index:-16776852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13pt;margin-top:449.15pt;z-index:-16776848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3pt;margin-top:410.85pt;z-index:-16776844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3pt;margin-top:372.55pt;z-index:-16776840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3pt;margin-top:322.25pt;z-index:-16776836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3pt;margin-top:281.75pt;z-index:-16776832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497.9pt;margin-top:254.7pt;z-index:-16776828;width:101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244.2pt;margin-top:254.7pt;z-index:-16776824;width:251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13pt;margin-top:254.7pt;z-index:-16776820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</w:p>
    <w:p>
      <w:pPr>
        <w:pStyle w:val="Normal"/>
        <w:framePr w:w="2879" w:hAnchor="page" w:vAnchor="page" w:x="8373" w:y="5852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(Principal Executive Officer)</w:t>
      </w:r>
    </w:p>
    <w:p>
      <w:pPr>
        <w:pStyle w:val="Normal"/>
        <w:framePr w:w="4826" w:hAnchor="page" w:vAnchor="page" w:x="7562" w:y="5612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Executive Chairman and Chief Executive Officer</w:t>
      </w:r>
    </w:p>
    <w:p>
      <w:pPr>
        <w:pStyle w:val="Normal"/>
        <w:framePr w:w="2235" w:hAnchor="page" w:vAnchor="page" w:x="8642" w:y="5372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Douglas J. Pferdehirt</w:t>
      </w:r>
    </w:p>
    <w:p>
      <w:pPr>
        <w:pStyle w:val="Normal"/>
        <w:framePr w:w="3227" w:hAnchor="page" w:vAnchor="page" w:x="8228" w:y="511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/s/ DOUGLAS J. PFERDEHIRT</w:t>
      </w:r>
    </w:p>
    <w:p>
      <w:pPr>
        <w:pStyle w:val="Normal"/>
        <w:framePr w:w="2295" w:hAnchor="page" w:vAnchor="page" w:x="280" w:y="4681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Date: March 26, 2026</w:t>
      </w:r>
    </w:p>
    <w:p>
      <w:pPr>
        <w:pStyle w:val="Normal"/>
        <w:framePr w:w="3016" w:hAnchor="page" w:vAnchor="page" w:x="1001" w:y="384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period covered by this report.</w:t>
      </w:r>
    </w:p>
    <w:p>
      <w:pPr>
        <w:pStyle w:val="Normal"/>
        <w:framePr w:w="12929" w:hAnchor="page" w:vAnchor="page" w:x="1001" w:y="361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make the statements made, in light of the circumstances under which such statements were made, not misleading with respect to the</w:t>
      </w:r>
    </w:p>
    <w:p>
      <w:pPr>
        <w:pStyle w:val="Normal"/>
        <w:framePr w:w="396" w:hAnchor="page" w:vAnchor="page" w:x="640" w:y="340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2.</w:t>
      </w:r>
    </w:p>
    <w:p>
      <w:pPr>
        <w:pStyle w:val="Normal"/>
        <w:framePr w:w="13242" w:hAnchor="page" w:vAnchor="page" w:x="1001" w:y="340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Based on my knowledge, this report does not contain any untrue statement of a material fact or omit to state a material fact necessary to</w:t>
      </w:r>
    </w:p>
    <w:p>
      <w:pPr>
        <w:pStyle w:val="Normal"/>
        <w:framePr w:w="2247" w:hAnchor="page" w:vAnchor="page" w:x="1001" w:y="300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(the “registrant”); and</w:t>
      </w:r>
    </w:p>
    <w:p>
      <w:pPr>
        <w:pStyle w:val="Normal"/>
        <w:framePr w:w="396" w:hAnchor="page" w:vAnchor="page" w:x="640" w:y="278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1.</w:t>
      </w:r>
    </w:p>
    <w:p>
      <w:pPr>
        <w:pStyle w:val="Normal"/>
        <w:framePr w:w="12990" w:hAnchor="page" w:vAnchor="page" w:x="1001" w:y="278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I have reviewed this Amendment No.1 to the annual report on Form 10-K for the period ended December 31, 2024 of TechnipFMC plc</w:t>
      </w:r>
    </w:p>
    <w:p>
      <w:pPr>
        <w:pStyle w:val="Normal"/>
        <w:framePr w:w="3592" w:hAnchor="page" w:vAnchor="page" w:x="280" w:y="239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I, Douglas J. Pferdehirt, certify that:</w:t>
      </w:r>
    </w:p>
    <w:p>
      <w:pPr>
        <w:pStyle w:val="Normal"/>
        <w:framePr w:w="6630" w:hAnchor="page" w:vAnchor="page" w:x="3447" w:y="1723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OF THE SECURITIES EXCHANGE ACT OF 1934, AS AMENDED</w:t>
      </w:r>
    </w:p>
    <w:p>
      <w:pPr>
        <w:pStyle w:val="Normal"/>
        <w:framePr w:w="5737" w:hAnchor="page" w:vAnchor="page" w:x="3820" w:y="1513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PURSUANT TO RULE 13A-14(A) AND RULE 15D-14(A)</w:t>
      </w:r>
    </w:p>
    <w:p>
      <w:pPr>
        <w:pStyle w:val="Normal"/>
        <w:framePr w:w="5232" w:hAnchor="page" w:vAnchor="page" w:x="4030" w:y="12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CERTIFICATION OF CHIEF EXECUTIVE OFFICER</w:t>
      </w:r>
    </w:p>
    <w:p>
      <w:pPr>
        <w:pStyle w:val="Normal"/>
        <w:framePr w:w="1417" w:hAnchor="page" w:vAnchor="page" w:x="10959" w:y="89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Exhibit 31.3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7pt;margin-top:1pt;z-index:-1677681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350.8pt;margin-top:265.95pt;z-index:-16776812;width:246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</w:p>
    <w:p>
      <w:pPr>
        <w:pStyle w:val="Normal"/>
        <w:framePr w:w="2807" w:hAnchor="page" w:vAnchor="page" w:x="8403" w:y="5852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(Principal Financial Officer)</w:t>
      </w:r>
    </w:p>
    <w:p>
      <w:pPr>
        <w:pStyle w:val="Normal"/>
        <w:framePr w:w="5207" w:hAnchor="page" w:vAnchor="page" w:x="7403" w:y="5612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Executive Vice President and Chief Financial Officer</w:t>
      </w:r>
    </w:p>
    <w:p>
      <w:pPr>
        <w:pStyle w:val="Normal"/>
        <w:framePr w:w="1045" w:hAnchor="page" w:vAnchor="page" w:x="9138" w:y="5372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Alf Melin</w:t>
      </w:r>
    </w:p>
    <w:p>
      <w:pPr>
        <w:pStyle w:val="Normal"/>
        <w:framePr w:w="1621" w:hAnchor="page" w:vAnchor="page" w:x="8897" w:y="511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/s/ ALF MELIN</w:t>
      </w:r>
    </w:p>
    <w:p>
      <w:pPr>
        <w:pStyle w:val="Normal"/>
        <w:framePr w:w="2295" w:hAnchor="page" w:vAnchor="page" w:x="280" w:y="4681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Date: March 26, 2026</w:t>
      </w:r>
    </w:p>
    <w:p>
      <w:pPr>
        <w:pStyle w:val="Normal"/>
        <w:framePr w:w="3016" w:hAnchor="page" w:vAnchor="page" w:x="1001" w:y="384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period covered by this report.</w:t>
      </w:r>
    </w:p>
    <w:p>
      <w:pPr>
        <w:pStyle w:val="Normal"/>
        <w:framePr w:w="12929" w:hAnchor="page" w:vAnchor="page" w:x="1001" w:y="361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make the statements made, in light of the circumstances under which such statements were made, not misleading with respect to the</w:t>
      </w:r>
    </w:p>
    <w:p>
      <w:pPr>
        <w:pStyle w:val="Normal"/>
        <w:framePr w:w="396" w:hAnchor="page" w:vAnchor="page" w:x="640" w:y="340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2.</w:t>
      </w:r>
    </w:p>
    <w:p>
      <w:pPr>
        <w:pStyle w:val="Normal"/>
        <w:framePr w:w="13242" w:hAnchor="page" w:vAnchor="page" w:x="1001" w:y="340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Based on my knowledge, this report does not contain any untrue statement of a material fact or omit to state a material fact necessary to</w:t>
      </w:r>
    </w:p>
    <w:p>
      <w:pPr>
        <w:pStyle w:val="Normal"/>
        <w:framePr w:w="2247" w:hAnchor="page" w:vAnchor="page" w:x="1001" w:y="300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(the “registrant”); and</w:t>
      </w:r>
    </w:p>
    <w:p>
      <w:pPr>
        <w:pStyle w:val="Normal"/>
        <w:framePr w:w="396" w:hAnchor="page" w:vAnchor="page" w:x="640" w:y="278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1.</w:t>
      </w:r>
    </w:p>
    <w:p>
      <w:pPr>
        <w:pStyle w:val="Normal"/>
        <w:framePr w:w="12990" w:hAnchor="page" w:vAnchor="page" w:x="1001" w:y="278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I have reviewed this Amendment No.1 to the annual report on Form 10-K for the period ended December 31, 2024 of TechnipFMC plc</w:t>
      </w:r>
    </w:p>
    <w:p>
      <w:pPr>
        <w:pStyle w:val="Normal"/>
        <w:framePr w:w="2403" w:hAnchor="page" w:vAnchor="page" w:x="280" w:y="239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I, Alf Melin, certify that:</w:t>
      </w:r>
    </w:p>
    <w:p>
      <w:pPr>
        <w:pStyle w:val="Normal"/>
        <w:framePr w:w="6630" w:hAnchor="page" w:vAnchor="page" w:x="3447" w:y="1723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OF THE SECURITIES EXCHANGE ACT OF 1934, AS AMENDED</w:t>
      </w:r>
    </w:p>
    <w:p>
      <w:pPr>
        <w:pStyle w:val="Normal"/>
        <w:framePr w:w="5737" w:hAnchor="page" w:vAnchor="page" w:x="3820" w:y="1513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PURSUANT TO RULE 13A-14(A) AND RULE 15D-14(A)</w:t>
      </w:r>
    </w:p>
    <w:p>
      <w:pPr>
        <w:pStyle w:val="Normal"/>
        <w:framePr w:w="5172" w:hAnchor="page" w:vAnchor="page" w:x="4055" w:y="12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CERTIFICATION OF CHIEF FINANCIAL OFFICER</w:t>
      </w:r>
    </w:p>
    <w:p>
      <w:pPr>
        <w:pStyle w:val="Normal"/>
        <w:framePr w:w="1417" w:hAnchor="page" w:vAnchor="page" w:x="10959" w:y="89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Exhibit 31.4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7pt;margin-top:1pt;z-index:-16776808;width:598pt;height:358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350.8pt;margin-top:265.95pt;z-index:-16776804;width:246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</w:p>
    <w:sectPr>
      <w:pgSz w:w="12240" w:h="20160"/>
      <w:pgMar w:top="400" w:right="400" w:bottom="400" w:left="400" w:header="720" w:footer="720"/>
      <w:pgNumType w:start="6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DejaVuSans-VIOIU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9dd7c8c0-0000-0000-0000-000000000000}"/>
  </w:font>
  <w:font w:name="Wingdings-Regular">
    <w:panose-1>"05000000000000000000"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1200b37f-0000-0000-0000-000000000000}"/>
  </w:font>
  <w:font w:name="DejaVuSans-OSXDG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5" w:fontKey="{2f0adcdb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6" w:fontKey="{be00ae22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styles.xml" Type="http://schemas.openxmlformats.org/officeDocument/2006/relationships/styles"/><Relationship Id="rId105" Target="fontTable.xml" Type="http://schemas.openxmlformats.org/officeDocument/2006/relationships/fontTable"/><Relationship Id="rId106" Target="settings.xml" Type="http://schemas.openxmlformats.org/officeDocument/2006/relationships/settings"/><Relationship Id="rId107" Target="webSettings.xml" Type="http://schemas.openxmlformats.org/officeDocument/2006/relationships/webSettings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Relationship Id="rId6" Target="fonts/font6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6</Pages>
  <Words>1472</Words>
  <Characters>7844</Characters>
  <Application>e-iceblue</Application>
  <DocSecurity>0</DocSecurity>
  <Lines>202</Lines>
  <Paragraphs>202</Paragraphs>
  <ScaleCrop>false</ScaleCrop>
  <Company>e-iceblue</Company>
  <LinksUpToDate>false</LinksUpToDate>
  <CharactersWithSpaces>9181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2026-03-26T20:42:44Z</dcterms:created>
  <dc:creator>root</dc:creator>
  <cp:lastModifiedBy>root</cp:lastModifiedBy>
  <dcterms:modified xsi:type="dcterms:W3CDTF">2026-03-26T20:42:44Z</dcterms:modified>
  <cp:revision>1</cp:revision>
</cp:coreProperties>
</file>