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2 )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TechnipFMC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G87110105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G87110105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98-0557567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7,055,435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7,254,492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7,254,492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00" w:right="7920" w:hanging="587"/>
        <w:spacing w:after="0" w:line="334" w:lineRule="auto"/>
        <w:tabs>
          <w:tab w:leader="none" w:pos="150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TechnipFMC PLC</w:t>
      </w:r>
    </w:p>
    <w:p>
      <w:pPr>
        <w:spacing w:after="0" w:line="12" w:lineRule="exact"/>
        <w:rPr>
          <w:rFonts w:ascii="Arial" w:cs="Arial" w:eastAsia="Arial" w:hAnsi="Arial"/>
          <w:sz w:val="19"/>
          <w:szCs w:val="19"/>
          <w:b w:val="1"/>
          <w:bCs w:val="1"/>
          <w:color w:val="auto"/>
        </w:rPr>
      </w:pPr>
    </w:p>
    <w:p>
      <w:pPr>
        <w:ind w:left="1500" w:hanging="587"/>
        <w:spacing w:after="0"/>
        <w:tabs>
          <w:tab w:leader="none" w:pos="15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00"/>
        <w:spacing w:after="0"/>
        <w:rPr>
          <w:rFonts w:ascii="Arial" w:cs="Arial" w:eastAsia="Arial" w:hAnsi="Arial"/>
          <w:sz w:val="22"/>
          <w:szCs w:val="22"/>
          <w:b w:val="1"/>
          <w:bCs w:val="1"/>
          <w:color w:val="auto"/>
        </w:rPr>
      </w:pPr>
      <w:r>
        <w:rPr>
          <w:rFonts w:ascii="Arial" w:cs="Arial" w:eastAsia="Arial" w:hAnsi="Arial"/>
          <w:sz w:val="22"/>
          <w:szCs w:val="22"/>
          <w:color w:val="auto"/>
        </w:rPr>
        <w:t>1 Saint Paul's Churchyard, London EC4M 8AP, GB</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00" w:right="700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2" w:lineRule="exact"/>
        <w:rPr>
          <w:rFonts w:ascii="Arial" w:cs="Arial" w:eastAsia="Arial" w:hAnsi="Arial"/>
          <w:sz w:val="19"/>
          <w:szCs w:val="19"/>
          <w:b w:val="1"/>
          <w:bCs w:val="1"/>
          <w:color w:val="auto"/>
        </w:rPr>
      </w:pPr>
    </w:p>
    <w:p>
      <w:pPr>
        <w:ind w:left="1500" w:right="412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2" w:lineRule="exact"/>
        <w:rPr>
          <w:rFonts w:ascii="Arial" w:cs="Arial" w:eastAsia="Arial" w:hAnsi="Arial"/>
          <w:sz w:val="19"/>
          <w:szCs w:val="19"/>
          <w:b w:val="1"/>
          <w:bCs w:val="1"/>
          <w:color w:val="auto"/>
        </w:rPr>
      </w:pPr>
    </w:p>
    <w:p>
      <w:pPr>
        <w:ind w:left="1500" w:right="848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2" w:lineRule="exact"/>
        <w:rPr>
          <w:rFonts w:ascii="Arial" w:cs="Arial" w:eastAsia="Arial" w:hAnsi="Arial"/>
          <w:sz w:val="19"/>
          <w:szCs w:val="19"/>
          <w:b w:val="1"/>
          <w:bCs w:val="1"/>
          <w:color w:val="auto"/>
        </w:rPr>
      </w:pPr>
    </w:p>
    <w:p>
      <w:pPr>
        <w:ind w:left="1500" w:right="714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00" w:right="806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G87110105</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[X]</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6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20"/>
            <w:col w:w="872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00" w:hanging="587"/>
        <w:spacing w:after="0"/>
        <w:tabs>
          <w:tab w:leader="none" w:pos="1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00" w:right="62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7,254,492 shares of the Issuer which are held of record by clients of Invesco Ltd. ..</w:t>
      </w:r>
    </w:p>
    <w:p>
      <w:pPr>
        <w:sectPr>
          <w:pgSz w:w="11900" w:h="16838" w:orient="portrait"/>
          <w:cols w:equalWidth="0" w:num="1">
            <w:col w:w="11020"/>
          </w:cols>
          <w:pgMar w:left="400" w:top="423" w:right="479" w:bottom="0" w:gutter="0" w:footer="0" w:header="0"/>
          <w:type w:val="continuous"/>
        </w:sectPr>
      </w:pPr>
    </w:p>
    <w:p>
      <w:pPr>
        <w:spacing w:after="0" w:line="24" w:lineRule="exact"/>
        <w:rPr>
          <w:sz w:val="20"/>
          <w:szCs w:val="20"/>
          <w:color w:val="auto"/>
        </w:rPr>
      </w:pPr>
    </w:p>
    <w:p>
      <w:pPr>
        <w:ind w:left="1500" w:hanging="587"/>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color w:val="auto"/>
        </w:rPr>
        <w:t>1.6%</w:t>
      </w:r>
    </w:p>
    <w:p>
      <w:pPr>
        <w:spacing w:after="0" w:line="125" w:lineRule="exact"/>
        <w:rPr>
          <w:rFonts w:ascii="Arial" w:cs="Arial" w:eastAsia="Arial" w:hAnsi="Arial"/>
          <w:sz w:val="22"/>
          <w:szCs w:val="22"/>
          <w:color w:val="auto"/>
        </w:rPr>
      </w:pPr>
    </w:p>
    <w:p>
      <w:pPr>
        <w:ind w:left="1500" w:hanging="587"/>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00" w:hanging="806"/>
        <w:spacing w:after="0" w:line="183" w:lineRule="auto"/>
        <w:tabs>
          <w:tab w:leader="none" w:pos="23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00" w:right="800" w:hanging="806"/>
        <w:spacing w:after="0" w:line="183" w:lineRule="auto"/>
        <w:tabs>
          <w:tab w:leader="none" w:pos="23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7,055,435</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7,254,492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500" w:space="260"/>
            <w:col w:w="426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line="328" w:lineRule="auto"/>
        <w:rPr>
          <w:sz w:val="20"/>
          <w:szCs w:val="20"/>
          <w:color w:val="auto"/>
        </w:rPr>
      </w:pPr>
      <w:r>
        <w:rPr>
          <w:rFonts w:ascii="Arial" w:cs="Arial" w:eastAsia="Arial" w:hAnsi="Arial"/>
          <w:sz w:val="19"/>
          <w:szCs w:val="19"/>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left="920" w:right="38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Advisers, Inc.</w:t>
      </w:r>
    </w:p>
    <w:p>
      <w:pPr>
        <w:ind w:left="920"/>
        <w:spacing w:after="0" w:line="238" w:lineRule="auto"/>
        <w:rPr>
          <w:sz w:val="20"/>
          <w:szCs w:val="20"/>
          <w:color w:val="auto"/>
        </w:rPr>
      </w:pPr>
      <w:r>
        <w:rPr>
          <w:rFonts w:ascii="Arial" w:cs="Arial" w:eastAsia="Arial" w:hAnsi="Arial"/>
          <w:sz w:val="22"/>
          <w:szCs w:val="22"/>
          <w:color w:val="auto"/>
        </w:rPr>
        <w:t>Invesco Asset Management Deutschland GmbH</w:t>
      </w:r>
    </w:p>
    <w:p>
      <w:pPr>
        <w:ind w:left="920"/>
        <w:spacing w:after="0" w:line="230" w:lineRule="auto"/>
        <w:rPr>
          <w:sz w:val="20"/>
          <w:szCs w:val="20"/>
          <w:color w:val="auto"/>
        </w:rPr>
      </w:pPr>
      <w:r>
        <w:rPr>
          <w:rFonts w:ascii="Arial" w:cs="Arial" w:eastAsia="Arial" w:hAnsi="Arial"/>
          <w:sz w:val="22"/>
          <w:szCs w:val="22"/>
          <w:color w:val="auto"/>
        </w:rPr>
        <w:t>Invesco Investment Advisers, LLC</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Capital Management LLC</w:t>
      </w:r>
    </w:p>
    <w:p>
      <w:pPr>
        <w:spacing w:after="0" w:line="10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12" w:right="4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Date: February 04, 2021</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Title: Global Assurance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2021-02-04T15:10:59Z</dcterms:created>
  <dcterms:modified xsi:type="dcterms:W3CDTF">2021-02-04T15:10:59Z</dcterms:modified>
</cp:coreProperties>
</file>