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058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5841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Hasselknippe Hallvard</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TECHNIPFMC PLC</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TechnipFMC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FTI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06/14/2017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27"/>
        <w:spacing w:after="0"/>
        <w:rPr>
          <w:sz w:val="20"/>
          <w:szCs w:val="20"/>
          <w:color w:val="auto"/>
        </w:rPr>
      </w:pPr>
      <w:r>
        <w:rPr>
          <w:rFonts w:ascii="Arial" w:cs="Arial" w:eastAsia="Arial" w:hAnsi="Arial"/>
          <w:sz w:val="17"/>
          <w:szCs w:val="17"/>
          <w:color w:val="0000FF"/>
        </w:rPr>
        <w:t>President, Subsea Projects</w:t>
      </w:r>
    </w:p>
    <w:p>
      <w:pPr>
        <w:spacing w:after="0" w:line="404"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80" w:type="dxa"/>
            <w:vAlign w:val="bottom"/>
            <w:gridSpan w:val="7"/>
          </w:tcPr>
          <w:p>
            <w:pPr>
              <w:jc w:val="center"/>
              <w:ind w:right="77"/>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LONDON</w:t>
            </w:r>
          </w:p>
        </w:tc>
        <w:tc>
          <w:tcPr>
            <w:tcW w:w="220" w:type="dxa"/>
            <w:vAlign w:val="bottom"/>
            <w:vMerge w:val="restart"/>
          </w:tcPr>
          <w:p>
            <w:pPr>
              <w:spacing w:after="0"/>
              <w:rPr>
                <w:sz w:val="20"/>
                <w:szCs w:val="20"/>
                <w:color w:val="auto"/>
              </w:rPr>
            </w:pPr>
            <w:r>
              <w:rPr>
                <w:rFonts w:ascii="Arial" w:cs="Arial" w:eastAsia="Arial" w:hAnsi="Arial"/>
                <w:sz w:val="17"/>
                <w:szCs w:val="17"/>
                <w:color w:val="0000FF"/>
                <w:w w:val="95"/>
              </w:rPr>
              <w:t>X0</w:t>
            </w:r>
          </w:p>
        </w:tc>
        <w:tc>
          <w:tcPr>
            <w:tcW w:w="100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EC4M 8AP</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4"/>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4"/>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Ordinary Shares</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ind w:left="940"/>
              <w:spacing w:after="0"/>
              <w:rPr>
                <w:sz w:val="20"/>
                <w:szCs w:val="20"/>
                <w:color w:val="auto"/>
              </w:rPr>
            </w:pPr>
            <w:r>
              <w:rPr>
                <w:rFonts w:ascii="Arial" w:cs="Arial" w:eastAsia="Arial" w:hAnsi="Arial"/>
                <w:sz w:val="17"/>
                <w:szCs w:val="17"/>
                <w:color w:val="0000FF"/>
              </w:rPr>
              <w:t>06/14/2017</w:t>
            </w: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Pr>
          <w:p>
            <w:pPr>
              <w:ind w:left="280"/>
              <w:spacing w:after="0"/>
              <w:rPr>
                <w:sz w:val="20"/>
                <w:szCs w:val="20"/>
                <w:color w:val="auto"/>
              </w:rPr>
            </w:pPr>
            <w:r>
              <w:rPr>
                <w:rFonts w:ascii="Arial" w:cs="Arial" w:eastAsia="Arial" w:hAnsi="Arial"/>
                <w:sz w:val="17"/>
                <w:szCs w:val="17"/>
                <w:color w:val="0000FF"/>
                <w:w w:val="93"/>
              </w:rPr>
              <w:t>4,000</w:t>
            </w:r>
          </w:p>
        </w:tc>
        <w:tc>
          <w:tcPr>
            <w:tcW w:w="680" w:type="dxa"/>
            <w:vAlign w:val="bottom"/>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3"/>
                <w:szCs w:val="23"/>
                <w:color w:val="auto"/>
              </w:rPr>
            </w:pPr>
          </w:p>
        </w:tc>
        <w:tc>
          <w:tcPr>
            <w:tcW w:w="1320" w:type="dxa"/>
            <w:vAlign w:val="bottom"/>
            <w:gridSpan w:val="3"/>
          </w:tcPr>
          <w:p>
            <w:pPr>
              <w:ind w:left="440"/>
              <w:spacing w:after="0"/>
              <w:rPr>
                <w:sz w:val="20"/>
                <w:szCs w:val="20"/>
                <w:color w:val="auto"/>
              </w:rPr>
            </w:pPr>
            <w:r>
              <w:rPr>
                <w:rFonts w:ascii="Arial" w:cs="Arial" w:eastAsia="Arial" w:hAnsi="Arial"/>
                <w:sz w:val="17"/>
                <w:szCs w:val="17"/>
                <w:color w:val="0000FF"/>
              </w:rPr>
              <w:t>28,845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6"/>
          </w:tcPr>
          <w:p>
            <w:pPr>
              <w:spacing w:after="0"/>
              <w:rPr>
                <w:sz w:val="8"/>
                <w:szCs w:val="8"/>
                <w:color w:val="auto"/>
              </w:rPr>
            </w:pPr>
          </w:p>
        </w:tc>
        <w:tc>
          <w:tcPr>
            <w:tcW w:w="266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40" w:type="dxa"/>
            <w:vAlign w:val="bottom"/>
            <w:gridSpan w:val="11"/>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7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vMerge w:val="restart"/>
          </w:tcPr>
          <w:p>
            <w:pPr>
              <w:ind w:left="140"/>
              <w:spacing w:after="0"/>
              <w:rPr>
                <w:sz w:val="20"/>
                <w:szCs w:val="20"/>
                <w:color w:val="auto"/>
              </w:rPr>
            </w:pPr>
            <w:r>
              <w:rPr>
                <w:rFonts w:ascii="Arial" w:cs="Arial" w:eastAsia="Arial" w:hAnsi="Arial"/>
                <w:sz w:val="13"/>
                <w:szCs w:val="13"/>
                <w:color w:val="0000FF"/>
              </w:rPr>
              <w:t>3,548</w:t>
            </w:r>
            <w:r>
              <w:rPr>
                <w:rFonts w:ascii="Arial" w:cs="Arial" w:eastAsia="Arial" w:hAnsi="Arial"/>
                <w:sz w:val="22"/>
                <w:szCs w:val="22"/>
                <w:color w:val="008000"/>
                <w:vertAlign w:val="superscript"/>
              </w:rPr>
              <w:t>(2)</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3,548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06/14/2017</w:t>
            </w: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A</w:t>
            </w:r>
          </w:p>
        </w:tc>
        <w:tc>
          <w:tcPr>
            <w:tcW w:w="7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restart"/>
          </w:tcPr>
          <w:p>
            <w:pPr>
              <w:ind w:left="40"/>
              <w:spacing w:after="0" w:line="148" w:lineRule="exact"/>
              <w:rPr>
                <w:sz w:val="20"/>
                <w:szCs w:val="20"/>
                <w:color w:val="auto"/>
              </w:rPr>
            </w:pPr>
            <w:r>
              <w:rPr>
                <w:rFonts w:ascii="Arial" w:cs="Arial" w:eastAsia="Arial" w:hAnsi="Arial"/>
                <w:sz w:val="13"/>
                <w:szCs w:val="13"/>
                <w:color w:val="0000FF"/>
              </w:rPr>
              <w:t>06/14/2017</w:t>
            </w:r>
          </w:p>
        </w:tc>
        <w:tc>
          <w:tcPr>
            <w:tcW w:w="700" w:type="dxa"/>
            <w:vAlign w:val="bottom"/>
            <w:vMerge w:val="restart"/>
          </w:tcPr>
          <w:p>
            <w:pPr>
              <w:spacing w:after="0" w:line="148" w:lineRule="exact"/>
              <w:rPr>
                <w:sz w:val="20"/>
                <w:szCs w:val="20"/>
                <w:color w:val="auto"/>
              </w:rPr>
            </w:pPr>
            <w:r>
              <w:rPr>
                <w:rFonts w:ascii="Arial" w:cs="Arial" w:eastAsia="Arial" w:hAnsi="Arial"/>
                <w:sz w:val="13"/>
                <w:szCs w:val="13"/>
                <w:color w:val="0000FF"/>
              </w:rPr>
              <w:t>06/14/2021</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80"/>
              <w:spacing w:after="0" w:line="148" w:lineRule="exact"/>
              <w:rPr>
                <w:sz w:val="20"/>
                <w:szCs w:val="20"/>
                <w:color w:val="auto"/>
              </w:rPr>
            </w:pPr>
            <w:r>
              <w:rPr>
                <w:rFonts w:ascii="Arial" w:cs="Arial" w:eastAsia="Arial" w:hAnsi="Arial"/>
                <w:sz w:val="13"/>
                <w:szCs w:val="13"/>
                <w:color w:val="0000FF"/>
                <w:w w:val="92"/>
              </w:rPr>
              <w:t>3,548</w:t>
            </w:r>
          </w:p>
        </w:tc>
        <w:tc>
          <w:tcPr>
            <w:tcW w:w="30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be exercisable at an exercise price of 42.87EUR per ordinary share.</w:t>
      </w:r>
    </w:p>
    <w:p>
      <w:pPr>
        <w:spacing w:after="0" w:line="50" w:lineRule="exact"/>
        <w:rPr>
          <w:rFonts w:ascii="Arial" w:cs="Arial" w:eastAsia="Arial" w:hAnsi="Arial"/>
          <w:sz w:val="13"/>
          <w:szCs w:val="13"/>
          <w:color w:val="008000"/>
        </w:rPr>
      </w:pPr>
    </w:p>
    <w:p>
      <w:pPr>
        <w:ind w:left="40" w:right="4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17, 2017, the reporting person was granted an option to purchase 4,000 ordinary shares at a price of 42.87EUR per ordinary share. The vesting of the option was subject to certain performance criteria that were partially met, resulting in the vesting of the option as to 3,548 ordinary shares</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/s/ Lisa P. Wang, Attorney-In-</w:t>
            </w: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06/14/2017</w:t>
            </w:r>
          </w:p>
        </w:tc>
        <w:tc>
          <w:tcPr>
            <w:tcW w:w="0" w:type="dxa"/>
            <w:vAlign w:val="bottom"/>
          </w:tcPr>
          <w:p>
            <w:pPr>
              <w:spacing w:after="0"/>
              <w:rPr>
                <w:sz w:val="1"/>
                <w:szCs w:val="1"/>
                <w:color w:val="auto"/>
              </w:rPr>
            </w:pPr>
          </w:p>
        </w:tc>
      </w:tr>
      <w:tr>
        <w:trPr>
          <w:trHeight w:val="92"/>
        </w:trPr>
        <w:tc>
          <w:tcPr>
            <w:tcW w:w="2080" w:type="dxa"/>
            <w:vAlign w:val="bottom"/>
            <w:tcBorders>
              <w:top w:val="single" w:sz="8" w:color="auto"/>
              <w:bottom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20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4446"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2019-12-04T02:41:52Z</dcterms:created>
  <dcterms:modified xsi:type="dcterms:W3CDTF">2019-12-04T02:41:52Z</dcterms:modified>
</cp:coreProperties>
</file>