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220980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June 25, 2019</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193040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282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England and Wales</w:t>
            </w:r>
          </w:p>
        </w:tc>
        <w:tc>
          <w:tcPr>
            <w:tcW w:w="3440" w:type="dxa"/>
            <w:vAlign w:val="bottom"/>
          </w:tcPr>
          <w:p>
            <w:pPr>
              <w:ind w:left="1300"/>
              <w:spacing w:after="0"/>
              <w:rPr>
                <w:sz w:val="20"/>
                <w:szCs w:val="20"/>
                <w:color w:val="auto"/>
              </w:rPr>
            </w:pPr>
            <w:r>
              <w:rPr>
                <w:rFonts w:ascii="Arial" w:cs="Arial" w:eastAsia="Arial" w:hAnsi="Arial"/>
                <w:sz w:val="18"/>
                <w:szCs w:val="18"/>
                <w:b w:val="1"/>
                <w:bCs w:val="1"/>
                <w:color w:val="auto"/>
              </w:rPr>
              <w:t>001-37983</w:t>
            </w:r>
          </w:p>
        </w:tc>
        <w:tc>
          <w:tcPr>
            <w:tcW w:w="2420" w:type="dxa"/>
            <w:vAlign w:val="bottom"/>
          </w:tcPr>
          <w:p>
            <w:pPr>
              <w:jc w:val="center"/>
              <w:ind w:left="1262"/>
              <w:spacing w:after="0"/>
              <w:rPr>
                <w:sz w:val="20"/>
                <w:szCs w:val="20"/>
                <w:color w:val="auto"/>
              </w:rPr>
            </w:pPr>
            <w:r>
              <w:rPr>
                <w:rFonts w:ascii="Arial" w:cs="Arial" w:eastAsia="Arial" w:hAnsi="Arial"/>
                <w:sz w:val="18"/>
                <w:szCs w:val="18"/>
                <w:b w:val="1"/>
                <w:bCs w:val="1"/>
                <w:color w:val="auto"/>
                <w:w w:val="91"/>
              </w:rPr>
              <w:t>98-1283037</w:t>
            </w:r>
          </w:p>
        </w:tc>
      </w:tr>
      <w:tr>
        <w:trPr>
          <w:trHeight w:val="149"/>
        </w:trPr>
        <w:tc>
          <w:tcPr>
            <w:tcW w:w="2820" w:type="dxa"/>
            <w:vAlign w:val="bottom"/>
          </w:tcPr>
          <w:p>
            <w:pPr>
              <w:jc w:val="center"/>
              <w:ind w:right="1222"/>
              <w:spacing w:after="0" w:line="149" w:lineRule="exact"/>
              <w:rPr>
                <w:sz w:val="20"/>
                <w:szCs w:val="20"/>
                <w:color w:val="auto"/>
              </w:rPr>
            </w:pPr>
            <w:r>
              <w:rPr>
                <w:rFonts w:ascii="Arial" w:cs="Arial" w:eastAsia="Arial" w:hAnsi="Arial"/>
                <w:sz w:val="14"/>
                <w:szCs w:val="14"/>
                <w:color w:val="auto"/>
                <w:w w:val="95"/>
              </w:rPr>
              <w:t>(State or other jurisdiction</w:t>
            </w:r>
          </w:p>
        </w:tc>
        <w:tc>
          <w:tcPr>
            <w:tcW w:w="3440" w:type="dxa"/>
            <w:vAlign w:val="bottom"/>
          </w:tcPr>
          <w:p>
            <w:pPr>
              <w:ind w:left="1300"/>
              <w:spacing w:after="0" w:line="149" w:lineRule="exact"/>
              <w:rPr>
                <w:sz w:val="20"/>
                <w:szCs w:val="20"/>
                <w:color w:val="auto"/>
              </w:rPr>
            </w:pPr>
            <w:r>
              <w:rPr>
                <w:rFonts w:ascii="Arial" w:cs="Arial" w:eastAsia="Arial" w:hAnsi="Arial"/>
                <w:sz w:val="14"/>
                <w:szCs w:val="14"/>
                <w:color w:val="auto"/>
              </w:rPr>
              <w:t>(Commission</w:t>
            </w:r>
          </w:p>
        </w:tc>
        <w:tc>
          <w:tcPr>
            <w:tcW w:w="2420" w:type="dxa"/>
            <w:vAlign w:val="bottom"/>
          </w:tcPr>
          <w:p>
            <w:pPr>
              <w:jc w:val="center"/>
              <w:ind w:left="1282"/>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20" w:type="dxa"/>
            <w:vAlign w:val="bottom"/>
          </w:tcPr>
          <w:p>
            <w:pPr>
              <w:jc w:val="center"/>
              <w:ind w:right="1242"/>
              <w:spacing w:after="0"/>
              <w:rPr>
                <w:sz w:val="20"/>
                <w:szCs w:val="20"/>
                <w:color w:val="auto"/>
              </w:rPr>
            </w:pPr>
            <w:r>
              <w:rPr>
                <w:rFonts w:ascii="Arial" w:cs="Arial" w:eastAsia="Arial" w:hAnsi="Arial"/>
                <w:sz w:val="14"/>
                <w:szCs w:val="14"/>
                <w:color w:val="auto"/>
                <w:w w:val="96"/>
              </w:rPr>
              <w:t>of incorporation)</w:t>
            </w:r>
          </w:p>
        </w:tc>
        <w:tc>
          <w:tcPr>
            <w:tcW w:w="3440" w:type="dxa"/>
            <w:vAlign w:val="bottom"/>
          </w:tcPr>
          <w:p>
            <w:pPr>
              <w:ind w:left="1300"/>
              <w:spacing w:after="0"/>
              <w:rPr>
                <w:sz w:val="20"/>
                <w:szCs w:val="20"/>
                <w:color w:val="auto"/>
              </w:rPr>
            </w:pPr>
            <w:r>
              <w:rPr>
                <w:rFonts w:ascii="Arial" w:cs="Arial" w:eastAsia="Arial" w:hAnsi="Arial"/>
                <w:sz w:val="14"/>
                <w:szCs w:val="14"/>
                <w:color w:val="auto"/>
              </w:rPr>
              <w:t>File Number)</w:t>
            </w:r>
          </w:p>
        </w:tc>
        <w:tc>
          <w:tcPr>
            <w:tcW w:w="2420" w:type="dxa"/>
            <w:vAlign w:val="bottom"/>
          </w:tcPr>
          <w:p>
            <w:pPr>
              <w:jc w:val="center"/>
              <w:ind w:left="1262"/>
              <w:spacing w:after="0"/>
              <w:rPr>
                <w:sz w:val="20"/>
                <w:szCs w:val="20"/>
                <w:color w:val="auto"/>
              </w:rPr>
            </w:pPr>
            <w:r>
              <w:rPr>
                <w:rFonts w:ascii="Arial" w:cs="Arial" w:eastAsia="Arial" w:hAnsi="Arial"/>
                <w:sz w:val="14"/>
                <w:szCs w:val="14"/>
                <w:color w:val="auto"/>
                <w:w w:val="99"/>
              </w:rPr>
              <w:t>Identification No.)</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St. Paul’s Churchyard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of Principal Executive Offices) (Zip Code)</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+44 203 429 3950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560" w:firstLine="4"/>
        <w:spacing w:after="0" w:line="465"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20" w:type="dxa"/>
        <w:tblCellMar>
          <w:top w:w="0" w:type="dxa"/>
          <w:left w:w="0" w:type="dxa"/>
          <w:bottom w:w="0" w:type="dxa"/>
          <w:right w:w="0" w:type="dxa"/>
        </w:tblCellMar>
      </w:tblPr>
      <w:tr>
        <w:trPr>
          <w:trHeight w:val="181"/>
        </w:trPr>
        <w:tc>
          <w:tcPr>
            <w:tcW w:w="37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7"/>
                <w:szCs w:val="17"/>
                <w:b w:val="1"/>
                <w:bCs w:val="1"/>
                <w:color w:val="auto"/>
                <w:w w:val="91"/>
              </w:rPr>
              <w:t>Title of Each Class</w:t>
            </w:r>
          </w:p>
        </w:tc>
        <w:tc>
          <w:tcPr>
            <w:tcW w:w="36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7"/>
                <w:szCs w:val="17"/>
                <w:b w:val="1"/>
                <w:bCs w:val="1"/>
                <w:color w:val="auto"/>
                <w:w w:val="91"/>
              </w:rPr>
              <w:t>Trading Symbol</w:t>
            </w:r>
          </w:p>
        </w:tc>
        <w:tc>
          <w:tcPr>
            <w:tcW w:w="362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b w:val="1"/>
                <w:bCs w:val="1"/>
                <w:color w:val="auto"/>
                <w:w w:val="90"/>
              </w:rPr>
              <w:t>Name of Each Exchange on Which</w:t>
            </w:r>
          </w:p>
        </w:tc>
      </w:tr>
      <w:tr>
        <w:trPr>
          <w:trHeight w:val="224"/>
        </w:trPr>
        <w:tc>
          <w:tcPr>
            <w:tcW w:w="376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spacing w:after="0"/>
              <w:rPr>
                <w:sz w:val="19"/>
                <w:szCs w:val="19"/>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Registered</w:t>
            </w:r>
          </w:p>
        </w:tc>
      </w:tr>
      <w:tr>
        <w:trPr>
          <w:trHeight w:val="198"/>
        </w:trPr>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Ordinary shares, $1.00 par value per share</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FTI</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New York Stock Exchange</w:t>
            </w:r>
          </w:p>
        </w:tc>
      </w:tr>
    </w:tbl>
    <w:p>
      <w:pPr>
        <w:spacing w:after="0" w:line="161"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25, 2019, TechnipFMC plc issued a press release announcing that it had entered into agreements with the U.S. Department of Justice and Brazilian authorities, and had reached an agreement in principle with the Securities and Exchange Commission (“SEC”) Staff, subject to final SEC approval, to resolve previously disclosed anti-corruption investigations into legacy projects.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 and is incorporated herein by reference.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4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45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News Release issued by TechnipFMC plc dated June 25, 2019</w:t>
              </w:r>
            </w:hyperlink>
          </w:p>
        </w:tc>
        <w:tc>
          <w:tcPr>
            <w:tcW w:w="0" w:type="dxa"/>
            <w:vAlign w:val="bottom"/>
          </w:tcPr>
          <w:p>
            <w:pPr>
              <w:spacing w:after="0"/>
              <w:rPr>
                <w:sz w:val="1"/>
                <w:szCs w:val="1"/>
                <w:color w:val="auto"/>
              </w:rPr>
            </w:pPr>
          </w:p>
        </w:tc>
      </w:tr>
    </w:tbl>
    <w:p>
      <w:pPr>
        <w:sectPr>
          <w:pgSz w:w="11900" w:h="16838" w:orient="portrait"/>
          <w:cols w:equalWidth="0" w:num="1">
            <w:col w:w="10580"/>
          </w:cols>
          <w:pgMar w:left="440" w:top="270" w:right="8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520" w:type="dxa"/>
            <w:vAlign w:val="bottom"/>
            <w:gridSpan w:val="2"/>
          </w:tcPr>
          <w:p>
            <w:pPr>
              <w:ind w:left="2060"/>
              <w:spacing w:after="0"/>
              <w:rPr>
                <w:sz w:val="20"/>
                <w:szCs w:val="20"/>
                <w:color w:val="auto"/>
              </w:rPr>
            </w:pPr>
            <w:r>
              <w:rPr>
                <w:rFonts w:ascii="Arial" w:cs="Arial" w:eastAsia="Arial" w:hAnsi="Arial"/>
                <w:sz w:val="18"/>
                <w:szCs w:val="18"/>
                <w:b w:val="1"/>
                <w:bCs w:val="1"/>
                <w:color w:val="auto"/>
              </w:rPr>
              <w:t>TechnipFMC plc</w:t>
            </w:r>
          </w:p>
        </w:tc>
      </w:tr>
      <w:tr>
        <w:trPr>
          <w:trHeight w:val="432"/>
        </w:trPr>
        <w:tc>
          <w:tcPr>
            <w:tcW w:w="3520" w:type="dxa"/>
            <w:vAlign w:val="bottom"/>
          </w:tcPr>
          <w:p>
            <w:pPr>
              <w:spacing w:after="0"/>
              <w:rPr>
                <w:sz w:val="24"/>
                <w:szCs w:val="24"/>
                <w:color w:val="auto"/>
              </w:rPr>
            </w:pPr>
          </w:p>
        </w:tc>
        <w:tc>
          <w:tcPr>
            <w:tcW w:w="266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Dianne B. Ralston</w:t>
            </w: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Date: June 25, 2019</w:t>
            </w:r>
          </w:p>
        </w:tc>
        <w:tc>
          <w:tcPr>
            <w:tcW w:w="2660" w:type="dxa"/>
            <w:vAlign w:val="bottom"/>
          </w:tcPr>
          <w:p>
            <w:pPr>
              <w:ind w:left="20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Dianne B. Ralston</w:t>
            </w:r>
          </w:p>
        </w:tc>
      </w:tr>
      <w:tr>
        <w:trPr>
          <w:trHeight w:val="216"/>
        </w:trPr>
        <w:tc>
          <w:tcPr>
            <w:tcW w:w="3520" w:type="dxa"/>
            <w:vAlign w:val="bottom"/>
          </w:tcPr>
          <w:p>
            <w:pPr>
              <w:spacing w:after="0"/>
              <w:rPr>
                <w:sz w:val="18"/>
                <w:szCs w:val="18"/>
                <w:color w:val="auto"/>
              </w:rPr>
            </w:pPr>
          </w:p>
        </w:tc>
        <w:tc>
          <w:tcPr>
            <w:tcW w:w="2660" w:type="dxa"/>
            <w:vAlign w:val="bottom"/>
          </w:tcPr>
          <w:p>
            <w:pPr>
              <w:ind w:left="20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Legal Officer and Secretary</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64985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985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TechnipFMC Reaches Global Resolution of U.S. and Brazilian Legacy Investigations</w:t>
      </w:r>
    </w:p>
    <w:p>
      <w:pPr>
        <w:spacing w:after="0" w:line="135" w:lineRule="exact"/>
        <w:rPr>
          <w:sz w:val="20"/>
          <w:szCs w:val="20"/>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Simultaneous Agreements Include All U.S. and Brazilian Enforcement Authorities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TechnipFMC Has a Robust Compliance Program</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LONDON &amp; PARIS &amp; HOUSTON, June 25, 2019 — TechnipFMC (NYSE:FTI) (Paris:FTI) has agreed to resolutions with the U.S. Department of Justice (DOJ), the U.S. Securities and Exchange Commission (SEC) Staff and the Brazilian authorities (the Federal Prosecution Service (MPF), the Comptroller General of Brazil (CGU), and the Attorney General of Brazil (AGU)) to resolve anti-corruption investigations in Brazil and relating to the intermediary, Unaoil. The Company has agreed to pay a total of $301.3 million to these authorities to resolve investigations into conduct dating back over a decade ago. TechnipFMC fully cooperated with these authorities, and this is the first simultaneous resolution to include all U.S. and Brazilian authorities. TechnipFMC will not be required to have a monitor and will, instead, provide reports on its anti-corruption program to the Brazilian and U.S. authorities for two and three years, respectively.</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Doug Pferdehirt, Chairman and CEO of TechnipFMC, stated, “Today we announce the resolution of these investigations. This conduct dating back over a decade ago, taken by former employees, does not reflect the core values of our Company today. We are committed to doing business the right way, and that means operating with integrity everywhere. Our strong compliance program supports this commitment, and we will continue to enhance our program to ensure that our employees have the practical tools and resources to do business the right way. We will remain focused on rewarding the trust that our clients have put in TechnipFMC by delivering industry-leading innovation, superior client service, and exceptional project execution.”</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part of this resolution, TechnipFMC entered into a three-year Deferred Prosecution Agreement (DPA) with the DOJ related to charges of conspiracy to violate the Foreign Corrupt Practices Act (FCPA) related to conduct in Brazil and with Unaoil. In addition, Technip USA, Inc., a U.S. subsidiary, pled guilty to one count of conspiracy to violate the FCPA related to conduct in Brazil. The Company will also provide the DOJ reports on its anti-corruption program during the term of the DPA.</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Brazil, TechnipFMC subsidiaries Technip Brasil – Engenharia, Instalações E Apoio Marítimo Ltda. and Flexibrás Tubos Flexíveis Ltda. entered into leniency agreements with both the MPF and the CGU/AGU related to conduct in Brazil dating back over a decade ago. The Company has committed, as part of those agreements, to make certain enhancements to their compliance programs in Brazil during a two-year self-reporting period, which aligns with its commitment to cooperation and transparency with the compliance committee in Brazil and globally.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Additionally, TechnipFMC has reached an agreement in principle with the SEC Staff, subject to final SEC approval.</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previously disclosed, TechnipFMC has also been cooperating with an investigation by the French Parquet National Financier (PNF) related to historical projects in Equatorial Guinea and Ghana. To date, this investigation has not reached resolution. TechnipFMC remains committed to finding a resolution with the PNF and will maintain a $70 million provision related to this investigation.</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Information for Investors and Securityholders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release contains “forward-looking statements” as defined in Section 27A of the United States Securities Act of 1933, as amended, and Section 21E of the United States Securities Exchange Act of 1934, as amended. Words such as “will,” “probable,” “estimate,” and other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For information regarding known material factors that could cause actual results to differ from projected results, please see our risk factors set forth in our filings with the United States Securities and Exchange Commission and in our filings with the Autorité des marchés financiers and the U.K. Financial Conduct Authority. 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TechnipFMC</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TechnipFMC is a global leader in subsea, onshore/offshore, and surface projects. With our proprietary technologies and production systems, integrated expertise, and comprehensive solutions, we are transforming our clients’ project economics.</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i w:val="1"/>
          <w:iCs w:val="1"/>
          <w:color w:val="auto"/>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Each of our more than 37,000 employees is driven by a steady commitment to clients and a culture of purposeful innovation, challenging industry conventions, and rethinking how the best results are achieved.</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To learn more about us and how we are enhancing the performance of the world’s energy industry, go to TechnipFMC.com and follow us on Twitter @TechnipFMC.</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4"/>
          </w:tcPr>
          <w:p>
            <w:pPr>
              <w:spacing w:after="0"/>
              <w:rPr>
                <w:sz w:val="20"/>
                <w:szCs w:val="20"/>
                <w:color w:val="auto"/>
              </w:rPr>
            </w:pPr>
            <w:r>
              <w:rPr>
                <w:rFonts w:ascii="Arial" w:cs="Arial" w:eastAsia="Arial" w:hAnsi="Arial"/>
                <w:sz w:val="18"/>
                <w:szCs w:val="18"/>
                <w:b w:val="1"/>
                <w:bCs w:val="1"/>
                <w:color w:val="auto"/>
              </w:rPr>
              <w:t>Contacts</w:t>
            </w: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3260" w:type="dxa"/>
            <w:vAlign w:val="bottom"/>
            <w:gridSpan w:val="4"/>
          </w:tcPr>
          <w:p>
            <w:pPr>
              <w:spacing w:after="0"/>
              <w:rPr>
                <w:sz w:val="20"/>
                <w:szCs w:val="20"/>
                <w:color w:val="auto"/>
              </w:rPr>
            </w:pPr>
            <w:r>
              <w:rPr>
                <w:rFonts w:ascii="Arial" w:cs="Arial" w:eastAsia="Arial" w:hAnsi="Arial"/>
                <w:sz w:val="18"/>
                <w:szCs w:val="18"/>
                <w:b w:val="1"/>
                <w:bCs w:val="1"/>
                <w:color w:val="auto"/>
              </w:rPr>
              <w:t>Investor relations</w:t>
            </w:r>
          </w:p>
        </w:tc>
        <w:tc>
          <w:tcPr>
            <w:tcW w:w="3880" w:type="dxa"/>
            <w:vAlign w:val="bottom"/>
            <w:gridSpan w:val="4"/>
          </w:tcPr>
          <w:p>
            <w:pPr>
              <w:ind w:left="600"/>
              <w:spacing w:after="0"/>
              <w:rPr>
                <w:sz w:val="20"/>
                <w:szCs w:val="20"/>
                <w:color w:val="auto"/>
              </w:rPr>
            </w:pPr>
            <w:r>
              <w:rPr>
                <w:rFonts w:ascii="Arial" w:cs="Arial" w:eastAsia="Arial" w:hAnsi="Arial"/>
                <w:sz w:val="18"/>
                <w:szCs w:val="18"/>
                <w:b w:val="1"/>
                <w:bCs w:val="1"/>
                <w:color w:val="auto"/>
              </w:rPr>
              <w:t>Media relations</w:t>
            </w:r>
          </w:p>
        </w:tc>
      </w:tr>
      <w:tr>
        <w:trPr>
          <w:trHeight w:val="418"/>
        </w:trPr>
        <w:tc>
          <w:tcPr>
            <w:tcW w:w="3260" w:type="dxa"/>
            <w:vAlign w:val="bottom"/>
            <w:gridSpan w:val="4"/>
          </w:tcPr>
          <w:p>
            <w:pPr>
              <w:spacing w:after="0"/>
              <w:rPr>
                <w:sz w:val="20"/>
                <w:szCs w:val="20"/>
                <w:color w:val="auto"/>
              </w:rPr>
            </w:pPr>
            <w:r>
              <w:rPr>
                <w:rFonts w:ascii="Arial" w:cs="Arial" w:eastAsia="Arial" w:hAnsi="Arial"/>
                <w:sz w:val="18"/>
                <w:szCs w:val="18"/>
                <w:color w:val="auto"/>
              </w:rPr>
              <w:t>Matt Seinsheimer</w:t>
            </w:r>
          </w:p>
        </w:tc>
        <w:tc>
          <w:tcPr>
            <w:tcW w:w="3880" w:type="dxa"/>
            <w:vAlign w:val="bottom"/>
            <w:gridSpan w:val="4"/>
          </w:tcPr>
          <w:p>
            <w:pPr>
              <w:ind w:left="600"/>
              <w:spacing w:after="0"/>
              <w:rPr>
                <w:sz w:val="20"/>
                <w:szCs w:val="20"/>
                <w:color w:val="auto"/>
              </w:rPr>
            </w:pPr>
            <w:r>
              <w:rPr>
                <w:rFonts w:ascii="Arial" w:cs="Arial" w:eastAsia="Arial" w:hAnsi="Arial"/>
                <w:sz w:val="18"/>
                <w:szCs w:val="18"/>
                <w:color w:val="auto"/>
              </w:rPr>
              <w:t>Christophe Bélorgeot</w:t>
            </w:r>
          </w:p>
        </w:tc>
      </w:tr>
      <w:tr>
        <w:trPr>
          <w:trHeight w:val="216"/>
        </w:trPr>
        <w:tc>
          <w:tcPr>
            <w:tcW w:w="3260" w:type="dxa"/>
            <w:vAlign w:val="bottom"/>
            <w:gridSpan w:val="4"/>
          </w:tcPr>
          <w:p>
            <w:pPr>
              <w:spacing w:after="0"/>
              <w:rPr>
                <w:sz w:val="20"/>
                <w:szCs w:val="20"/>
                <w:color w:val="auto"/>
              </w:rPr>
            </w:pPr>
            <w:r>
              <w:rPr>
                <w:rFonts w:ascii="Arial" w:cs="Arial" w:eastAsia="Arial" w:hAnsi="Arial"/>
                <w:sz w:val="18"/>
                <w:szCs w:val="18"/>
                <w:color w:val="auto"/>
              </w:rPr>
              <w:t>Vice President Investor Relations</w:t>
            </w:r>
          </w:p>
        </w:tc>
        <w:tc>
          <w:tcPr>
            <w:tcW w:w="3880" w:type="dxa"/>
            <w:vAlign w:val="bottom"/>
            <w:gridSpan w:val="4"/>
          </w:tcPr>
          <w:p>
            <w:pPr>
              <w:ind w:left="600"/>
              <w:spacing w:after="0"/>
              <w:rPr>
                <w:sz w:val="20"/>
                <w:szCs w:val="20"/>
                <w:color w:val="auto"/>
              </w:rPr>
            </w:pPr>
            <w:r>
              <w:rPr>
                <w:rFonts w:ascii="Arial" w:cs="Arial" w:eastAsia="Arial" w:hAnsi="Arial"/>
                <w:sz w:val="18"/>
                <w:szCs w:val="18"/>
                <w:color w:val="auto"/>
                <w:w w:val="89"/>
              </w:rPr>
              <w:t>Senior Vice President Corporate Engagement</w:t>
            </w:r>
          </w:p>
        </w:tc>
      </w:tr>
      <w:tr>
        <w:trPr>
          <w:trHeight w:val="216"/>
        </w:trPr>
        <w:tc>
          <w:tcPr>
            <w:tcW w:w="3260" w:type="dxa"/>
            <w:vAlign w:val="bottom"/>
            <w:gridSpan w:val="4"/>
          </w:tcPr>
          <w:p>
            <w:pPr>
              <w:spacing w:after="0"/>
              <w:rPr>
                <w:sz w:val="20"/>
                <w:szCs w:val="20"/>
                <w:color w:val="auto"/>
              </w:rPr>
            </w:pPr>
            <w:r>
              <w:rPr>
                <w:rFonts w:ascii="Arial" w:cs="Arial" w:eastAsia="Arial" w:hAnsi="Arial"/>
                <w:sz w:val="18"/>
                <w:szCs w:val="18"/>
                <w:color w:val="auto"/>
              </w:rPr>
              <w:t>Tel: +1 281 260 3665</w:t>
            </w:r>
          </w:p>
        </w:tc>
        <w:tc>
          <w:tcPr>
            <w:tcW w:w="3880" w:type="dxa"/>
            <w:vAlign w:val="bottom"/>
            <w:gridSpan w:val="4"/>
          </w:tcPr>
          <w:p>
            <w:pPr>
              <w:ind w:left="600"/>
              <w:spacing w:after="0"/>
              <w:rPr>
                <w:sz w:val="20"/>
                <w:szCs w:val="20"/>
                <w:color w:val="auto"/>
              </w:rPr>
            </w:pPr>
            <w:r>
              <w:rPr>
                <w:rFonts w:ascii="Arial" w:cs="Arial" w:eastAsia="Arial" w:hAnsi="Arial"/>
                <w:sz w:val="18"/>
                <w:szCs w:val="18"/>
                <w:color w:val="auto"/>
              </w:rPr>
              <w:t>Tel: +33 1 47 78 39 92</w:t>
            </w:r>
          </w:p>
        </w:tc>
      </w:tr>
      <w:tr>
        <w:trPr>
          <w:trHeight w:val="190"/>
        </w:trPr>
        <w:tc>
          <w:tcPr>
            <w:tcW w:w="3260" w:type="dxa"/>
            <w:vAlign w:val="bottom"/>
            <w:gridSpan w:val="4"/>
          </w:tcPr>
          <w:p>
            <w:pPr>
              <w:spacing w:after="0" w:line="190" w:lineRule="exact"/>
              <w:rPr>
                <w:sz w:val="20"/>
                <w:szCs w:val="20"/>
                <w:color w:val="auto"/>
              </w:rPr>
            </w:pPr>
            <w:r>
              <w:rPr>
                <w:rFonts w:ascii="Arial" w:cs="Arial" w:eastAsia="Arial" w:hAnsi="Arial"/>
                <w:sz w:val="18"/>
                <w:szCs w:val="18"/>
                <w:color w:val="auto"/>
              </w:rPr>
              <w:t>Email: Matt Seinsheimer</w:t>
            </w:r>
          </w:p>
        </w:tc>
        <w:tc>
          <w:tcPr>
            <w:tcW w:w="3880" w:type="dxa"/>
            <w:vAlign w:val="bottom"/>
            <w:gridSpan w:val="4"/>
          </w:tcPr>
          <w:p>
            <w:pPr>
              <w:ind w:left="600"/>
              <w:spacing w:after="0" w:line="190" w:lineRule="exact"/>
              <w:rPr>
                <w:sz w:val="20"/>
                <w:szCs w:val="20"/>
                <w:color w:val="auto"/>
              </w:rPr>
            </w:pPr>
            <w:r>
              <w:rPr>
                <w:rFonts w:ascii="Arial" w:cs="Arial" w:eastAsia="Arial" w:hAnsi="Arial"/>
                <w:sz w:val="18"/>
                <w:szCs w:val="18"/>
                <w:color w:val="auto"/>
              </w:rPr>
              <w:t>Email: Christophe Belorgeot</w:t>
            </w:r>
          </w:p>
        </w:tc>
      </w:tr>
      <w:tr>
        <w:trPr>
          <w:trHeight w:val="20"/>
        </w:trPr>
        <w:tc>
          <w:tcPr>
            <w:tcW w:w="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52"/>
        </w:trPr>
        <w:tc>
          <w:tcPr>
            <w:tcW w:w="3260" w:type="dxa"/>
            <w:vAlign w:val="bottom"/>
            <w:gridSpan w:val="4"/>
          </w:tcPr>
          <w:p>
            <w:pPr>
              <w:spacing w:after="0"/>
              <w:rPr>
                <w:sz w:val="20"/>
                <w:szCs w:val="20"/>
                <w:color w:val="auto"/>
              </w:rPr>
            </w:pPr>
            <w:r>
              <w:rPr>
                <w:rFonts w:ascii="Arial" w:cs="Arial" w:eastAsia="Arial" w:hAnsi="Arial"/>
                <w:sz w:val="18"/>
                <w:szCs w:val="18"/>
                <w:color w:val="auto"/>
              </w:rPr>
              <w:t>Phillip Lindsay</w:t>
            </w:r>
          </w:p>
        </w:tc>
        <w:tc>
          <w:tcPr>
            <w:tcW w:w="3880" w:type="dxa"/>
            <w:vAlign w:val="bottom"/>
            <w:gridSpan w:val="4"/>
          </w:tcPr>
          <w:p>
            <w:pPr>
              <w:ind w:left="600"/>
              <w:spacing w:after="0"/>
              <w:rPr>
                <w:sz w:val="20"/>
                <w:szCs w:val="20"/>
                <w:color w:val="auto"/>
              </w:rPr>
            </w:pPr>
            <w:r>
              <w:rPr>
                <w:rFonts w:ascii="Arial" w:cs="Arial" w:eastAsia="Arial" w:hAnsi="Arial"/>
                <w:sz w:val="18"/>
                <w:szCs w:val="18"/>
                <w:color w:val="auto"/>
              </w:rPr>
              <w:t>Delphine Nayral</w:t>
            </w:r>
          </w:p>
        </w:tc>
      </w:tr>
      <w:tr>
        <w:trPr>
          <w:trHeight w:val="216"/>
        </w:trPr>
        <w:tc>
          <w:tcPr>
            <w:tcW w:w="3260" w:type="dxa"/>
            <w:vAlign w:val="bottom"/>
            <w:gridSpan w:val="4"/>
          </w:tcPr>
          <w:p>
            <w:pPr>
              <w:spacing w:after="0"/>
              <w:rPr>
                <w:sz w:val="20"/>
                <w:szCs w:val="20"/>
                <w:color w:val="auto"/>
              </w:rPr>
            </w:pPr>
            <w:r>
              <w:rPr>
                <w:rFonts w:ascii="Arial" w:cs="Arial" w:eastAsia="Arial" w:hAnsi="Arial"/>
                <w:sz w:val="18"/>
                <w:szCs w:val="18"/>
                <w:color w:val="auto"/>
              </w:rPr>
              <w:t>Director Investor Relations (Europe)</w:t>
            </w:r>
          </w:p>
        </w:tc>
        <w:tc>
          <w:tcPr>
            <w:tcW w:w="3880" w:type="dxa"/>
            <w:vAlign w:val="bottom"/>
            <w:gridSpan w:val="4"/>
          </w:tcPr>
          <w:p>
            <w:pPr>
              <w:ind w:left="600"/>
              <w:spacing w:after="0"/>
              <w:rPr>
                <w:sz w:val="20"/>
                <w:szCs w:val="20"/>
                <w:color w:val="auto"/>
              </w:rPr>
            </w:pPr>
            <w:r>
              <w:rPr>
                <w:rFonts w:ascii="Arial" w:cs="Arial" w:eastAsia="Arial" w:hAnsi="Arial"/>
                <w:sz w:val="18"/>
                <w:szCs w:val="18"/>
                <w:color w:val="auto"/>
              </w:rPr>
              <w:t>Director Public Relations</w:t>
            </w:r>
          </w:p>
        </w:tc>
      </w:tr>
      <w:tr>
        <w:trPr>
          <w:trHeight w:val="216"/>
        </w:trPr>
        <w:tc>
          <w:tcPr>
            <w:tcW w:w="3260" w:type="dxa"/>
            <w:vAlign w:val="bottom"/>
            <w:gridSpan w:val="4"/>
          </w:tcPr>
          <w:p>
            <w:pPr>
              <w:spacing w:after="0"/>
              <w:rPr>
                <w:sz w:val="20"/>
                <w:szCs w:val="20"/>
                <w:color w:val="auto"/>
              </w:rPr>
            </w:pPr>
            <w:r>
              <w:rPr>
                <w:rFonts w:ascii="Arial" w:cs="Arial" w:eastAsia="Arial" w:hAnsi="Arial"/>
                <w:sz w:val="18"/>
                <w:szCs w:val="18"/>
                <w:color w:val="auto"/>
              </w:rPr>
              <w:t>Tel: +44 (0) 20 3429 3929</w:t>
            </w:r>
          </w:p>
        </w:tc>
        <w:tc>
          <w:tcPr>
            <w:tcW w:w="3880" w:type="dxa"/>
            <w:vAlign w:val="bottom"/>
            <w:gridSpan w:val="4"/>
          </w:tcPr>
          <w:p>
            <w:pPr>
              <w:ind w:left="600"/>
              <w:spacing w:after="0"/>
              <w:rPr>
                <w:sz w:val="20"/>
                <w:szCs w:val="20"/>
                <w:color w:val="auto"/>
              </w:rPr>
            </w:pPr>
            <w:r>
              <w:rPr>
                <w:rFonts w:ascii="Arial" w:cs="Arial" w:eastAsia="Arial" w:hAnsi="Arial"/>
                <w:sz w:val="18"/>
                <w:szCs w:val="18"/>
                <w:color w:val="auto"/>
              </w:rPr>
              <w:t>Tel: +33 1 47 78 34 83</w:t>
            </w:r>
          </w:p>
        </w:tc>
      </w:tr>
      <w:tr>
        <w:trPr>
          <w:trHeight w:val="190"/>
        </w:trPr>
        <w:tc>
          <w:tcPr>
            <w:tcW w:w="3260" w:type="dxa"/>
            <w:vAlign w:val="bottom"/>
            <w:gridSpan w:val="4"/>
          </w:tcPr>
          <w:p>
            <w:pPr>
              <w:spacing w:after="0" w:line="190" w:lineRule="exact"/>
              <w:rPr>
                <w:sz w:val="20"/>
                <w:szCs w:val="20"/>
                <w:color w:val="auto"/>
              </w:rPr>
            </w:pPr>
            <w:r>
              <w:rPr>
                <w:rFonts w:ascii="Arial" w:cs="Arial" w:eastAsia="Arial" w:hAnsi="Arial"/>
                <w:sz w:val="18"/>
                <w:szCs w:val="18"/>
                <w:color w:val="auto"/>
              </w:rPr>
              <w:t>Email: Phillip Lindsay</w:t>
            </w:r>
          </w:p>
        </w:tc>
        <w:tc>
          <w:tcPr>
            <w:tcW w:w="3880" w:type="dxa"/>
            <w:vAlign w:val="bottom"/>
            <w:gridSpan w:val="4"/>
          </w:tcPr>
          <w:p>
            <w:pPr>
              <w:ind w:left="600"/>
              <w:spacing w:after="0" w:line="190" w:lineRule="exact"/>
              <w:rPr>
                <w:sz w:val="20"/>
                <w:szCs w:val="20"/>
                <w:color w:val="auto"/>
              </w:rPr>
            </w:pPr>
            <w:r>
              <w:rPr>
                <w:rFonts w:ascii="Arial" w:cs="Arial" w:eastAsia="Arial" w:hAnsi="Arial"/>
                <w:sz w:val="18"/>
                <w:szCs w:val="18"/>
                <w:color w:val="auto"/>
              </w:rPr>
              <w:t>Email: Delphine Nayral</w:t>
            </w:r>
          </w:p>
        </w:tc>
      </w:tr>
      <w:tr>
        <w:trPr>
          <w:trHeight w:val="20"/>
        </w:trPr>
        <w:tc>
          <w:tcPr>
            <w:tcW w:w="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2019-12-28T10:31:55Z</dcterms:created>
  <dcterms:modified xsi:type="dcterms:W3CDTF">2019-12-28T10:31:55Z</dcterms:modified>
</cp:coreProperties>
</file>