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26,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001-37983</w:t>
            </w:r>
          </w:p>
        </w:tc>
        <w:tc>
          <w:tcPr>
            <w:tcW w:w="26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w:t>
            </w:r>
          </w:p>
        </w:tc>
        <w:tc>
          <w:tcPr>
            <w:tcW w:w="4500" w:type="dxa"/>
            <w:vAlign w:val="bottom"/>
          </w:tcPr>
          <w:p>
            <w:pPr>
              <w:jc w:val="center"/>
              <w:ind w:right="2"/>
              <w:spacing w:after="0"/>
              <w:rPr>
                <w:sz w:val="20"/>
                <w:szCs w:val="20"/>
                <w:color w:val="auto"/>
              </w:rPr>
            </w:pPr>
            <w:r>
              <w:rPr>
                <w:rFonts w:ascii="Arial" w:cs="Arial" w:eastAsia="Arial" w:hAnsi="Arial"/>
                <w:sz w:val="14"/>
                <w:szCs w:val="14"/>
                <w:color w:val="auto"/>
                <w:w w:val="94"/>
              </w:rPr>
              <w:t>(Commission File Number)</w:t>
            </w: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(I.R.S. Employer Identification No.)</w:t>
            </w:r>
          </w:p>
        </w:tc>
      </w:tr>
      <w:tr>
        <w:trPr>
          <w:trHeight w:val="588"/>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One St. Paul’s Churchyard</w:t>
            </w:r>
          </w:p>
        </w:tc>
        <w:tc>
          <w:tcPr>
            <w:tcW w:w="45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4"/>
        </w:trPr>
        <w:tc>
          <w:tcPr>
            <w:tcW w:w="294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London, United Kingdom</w:t>
            </w:r>
          </w:p>
        </w:tc>
        <w:tc>
          <w:tcPr>
            <w:tcW w:w="4500" w:type="dxa"/>
            <w:vAlign w:val="bottom"/>
          </w:tcPr>
          <w:p>
            <w:pPr>
              <w:spacing w:after="0"/>
              <w:rPr>
                <w:sz w:val="20"/>
                <w:szCs w:val="20"/>
                <w:color w:val="auto"/>
              </w:rPr>
            </w:pPr>
          </w:p>
        </w:tc>
        <w:tc>
          <w:tcPr>
            <w:tcW w:w="2620" w:type="dxa"/>
            <w:vAlign w:val="bottom"/>
          </w:tcPr>
          <w:p>
            <w:pPr>
              <w:jc w:val="center"/>
              <w:ind w:left="4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2940" w:type="dxa"/>
            <w:vAlign w:val="bottom"/>
          </w:tcPr>
          <w:p>
            <w:pPr>
              <w:jc w:val="center"/>
              <w:ind w:right="337"/>
              <w:spacing w:after="0"/>
              <w:rPr>
                <w:sz w:val="20"/>
                <w:szCs w:val="20"/>
                <w:color w:val="auto"/>
              </w:rPr>
            </w:pPr>
            <w:r>
              <w:rPr>
                <w:rFonts w:ascii="Arial" w:cs="Arial" w:eastAsia="Arial" w:hAnsi="Arial"/>
                <w:sz w:val="14"/>
                <w:szCs w:val="14"/>
                <w:color w:val="auto"/>
                <w:w w:val="95"/>
              </w:rPr>
              <w:t>(Address of principal executive offices)</w:t>
            </w:r>
          </w:p>
        </w:tc>
        <w:tc>
          <w:tcPr>
            <w:tcW w:w="4500" w:type="dxa"/>
            <w:vAlign w:val="bottom"/>
          </w:tcPr>
          <w:p>
            <w:pPr>
              <w:spacing w:after="0"/>
              <w:rPr>
                <w:sz w:val="24"/>
                <w:szCs w:val="24"/>
                <w:color w:val="auto"/>
              </w:rPr>
            </w:pPr>
          </w:p>
        </w:tc>
        <w:tc>
          <w:tcPr>
            <w:tcW w:w="2620" w:type="dxa"/>
            <w:vAlign w:val="bottom"/>
          </w:tcPr>
          <w:p>
            <w:pPr>
              <w:jc w:val="center"/>
              <w:ind w:left="459"/>
              <w:spacing w:after="0"/>
              <w:rPr>
                <w:sz w:val="20"/>
                <w:szCs w:val="20"/>
                <w:color w:val="auto"/>
              </w:rPr>
            </w:pPr>
            <w:r>
              <w:rPr>
                <w:rFonts w:ascii="Arial" w:cs="Arial" w:eastAsia="Arial" w:hAnsi="Arial"/>
                <w:sz w:val="14"/>
                <w:szCs w:val="14"/>
                <w:color w:val="auto"/>
                <w:w w:val="96"/>
              </w:rPr>
              <w:t>(Zip Code)</w:t>
            </w:r>
          </w:p>
        </w:tc>
      </w:tr>
      <w:tr>
        <w:trPr>
          <w:trHeight w:val="284"/>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+44 203-429-3950</w:t>
            </w:r>
          </w:p>
        </w:tc>
        <w:tc>
          <w:tcPr>
            <w:tcW w:w="2620" w:type="dxa"/>
            <w:vAlign w:val="bottom"/>
          </w:tcPr>
          <w:p>
            <w:pPr>
              <w:spacing w:after="0"/>
              <w:rPr>
                <w:sz w:val="24"/>
                <w:szCs w:val="24"/>
                <w:color w:val="auto"/>
              </w:rPr>
            </w:pPr>
          </w:p>
        </w:tc>
      </w:tr>
      <w:tr>
        <w:trPr>
          <w:trHeight w:val="203"/>
        </w:trPr>
        <w:tc>
          <w:tcPr>
            <w:tcW w:w="2940" w:type="dxa"/>
            <w:vAlign w:val="bottom"/>
          </w:tcPr>
          <w:p>
            <w:pPr>
              <w:spacing w:after="0"/>
              <w:rPr>
                <w:sz w:val="17"/>
                <w:szCs w:val="17"/>
                <w:color w:val="auto"/>
              </w:rPr>
            </w:pPr>
          </w:p>
        </w:tc>
        <w:tc>
          <w:tcPr>
            <w:tcW w:w="4500" w:type="dxa"/>
            <w:vAlign w:val="bottom"/>
          </w:tcPr>
          <w:p>
            <w:pPr>
              <w:jc w:val="center"/>
              <w:ind w:right="22"/>
              <w:spacing w:after="0"/>
              <w:rPr>
                <w:sz w:val="20"/>
                <w:szCs w:val="20"/>
                <w:color w:val="auto"/>
              </w:rPr>
            </w:pPr>
            <w:r>
              <w:rPr>
                <w:rFonts w:ascii="Arial" w:cs="Arial" w:eastAsia="Arial" w:hAnsi="Arial"/>
                <w:sz w:val="14"/>
                <w:szCs w:val="14"/>
                <w:color w:val="auto"/>
                <w:w w:val="92"/>
              </w:rPr>
              <w:t>(Registrant's telephone number, including area code)</w:t>
            </w:r>
          </w:p>
        </w:tc>
        <w:tc>
          <w:tcPr>
            <w:tcW w:w="2620" w:type="dxa"/>
            <w:vAlign w:val="bottom"/>
          </w:tcPr>
          <w:p>
            <w:pPr>
              <w:spacing w:after="0"/>
              <w:rPr>
                <w:sz w:val="17"/>
                <w:szCs w:val="17"/>
                <w:color w:val="auto"/>
              </w:rPr>
            </w:pPr>
          </w:p>
        </w:tc>
      </w:tr>
      <w:tr>
        <w:trPr>
          <w:trHeight w:val="358"/>
        </w:trPr>
        <w:tc>
          <w:tcPr>
            <w:tcW w:w="2940" w:type="dxa"/>
            <w:vAlign w:val="bottom"/>
          </w:tcPr>
          <w:p>
            <w:pPr>
              <w:spacing w:after="0"/>
              <w:rPr>
                <w:sz w:val="24"/>
                <w:szCs w:val="24"/>
                <w:color w:val="auto"/>
              </w:rPr>
            </w:pPr>
          </w:p>
        </w:tc>
        <w:tc>
          <w:tcPr>
            <w:tcW w:w="450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Not Applicable</w:t>
            </w:r>
          </w:p>
        </w:tc>
        <w:tc>
          <w:tcPr>
            <w:tcW w:w="2620" w:type="dxa"/>
            <w:vAlign w:val="bottom"/>
          </w:tcPr>
          <w:p>
            <w:pPr>
              <w:spacing w:after="0"/>
              <w:rPr>
                <w:sz w:val="24"/>
                <w:szCs w:val="24"/>
                <w:color w:val="auto"/>
              </w:rPr>
            </w:pPr>
          </w:p>
        </w:tc>
      </w:tr>
      <w:tr>
        <w:trPr>
          <w:trHeight w:val="182"/>
        </w:trPr>
        <w:tc>
          <w:tcPr>
            <w:tcW w:w="2940" w:type="dxa"/>
            <w:vAlign w:val="bottom"/>
          </w:tcPr>
          <w:p>
            <w:pPr>
              <w:spacing w:after="0"/>
              <w:rPr>
                <w:sz w:val="15"/>
                <w:szCs w:val="15"/>
                <w:color w:val="auto"/>
              </w:rPr>
            </w:pPr>
          </w:p>
        </w:tc>
        <w:tc>
          <w:tcPr>
            <w:tcW w:w="4500" w:type="dxa"/>
            <w:vAlign w:val="bottom"/>
          </w:tcPr>
          <w:p>
            <w:pPr>
              <w:jc w:val="center"/>
              <w:ind w:right="42"/>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210820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125095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26, 2017, TechnipFMC plc ("TechnipFMC") issued a news release announcing its financial results for the fiscal quarter ended June 30, 2017. A copy of the news release is furnished as Exhibit 99.1 to this report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44"/>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420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89"/>
              </w:rPr>
              <w:t>News Release issued by TechnipFMC dated July 26, 2017</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July 26, 2017</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512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News Release issued by TechnipFMC plc dated July 26, 2017</w:t>
            </w:r>
          </w:p>
        </w:tc>
      </w:tr>
    </w:tbl>
    <w:p>
      <w:pPr>
        <w:sectPr>
          <w:pgSz w:w="11900" w:h="16838" w:orient="portrait"/>
          <w:cols w:equalWidth="0" w:num="1">
            <w:col w:w="10219"/>
          </w:cols>
          <w:pgMar w:left="240" w:top="580" w:right="1440" w:bottom="1440" w:gutter="0" w:footer="0" w:header="0"/>
        </w:sectPr>
      </w:pPr>
    </w:p>
    <w:bookmarkStart w:id="4" w:name="page5"/>
    <w:bookmarkEnd w:id="4"/>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1600"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Second Quarter 2017 Results</w:t>
      </w:r>
    </w:p>
    <w:p>
      <w:pPr>
        <w:spacing w:after="0" w:line="156" w:lineRule="exact"/>
        <w:rPr>
          <w:sz w:val="20"/>
          <w:szCs w:val="20"/>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Company reported net income of $164.9 million and adjusted EBITDA of $501.3 million</w:t>
      </w:r>
    </w:p>
    <w:p>
      <w:pPr>
        <w:spacing w:after="0" w:line="23" w:lineRule="exact"/>
        <w:rPr>
          <w:rFonts w:ascii="Arial" w:cs="Arial" w:eastAsia="Arial" w:hAnsi="Arial"/>
          <w:sz w:val="18"/>
          <w:szCs w:val="18"/>
          <w:color w:val="auto"/>
        </w:rPr>
      </w:pPr>
    </w:p>
    <w:p>
      <w:pPr>
        <w:ind w:left="680" w:right="840" w:hanging="321"/>
        <w:spacing w:after="0" w:line="239"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Diluted earnings per share were $0.35; excluding charges and credits of $0.10 per share, adjusted diluted earnings per share were $0.45</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Inbound orders were $3.2 billion, including Subsea of $1.8 billion and Onshore/Offshore of $1.1 billion</w:t>
      </w:r>
    </w:p>
    <w:p>
      <w:pPr>
        <w:spacing w:after="0" w:line="200" w:lineRule="exact"/>
        <w:rPr>
          <w:sz w:val="20"/>
          <w:szCs w:val="20"/>
          <w:color w:val="auto"/>
        </w:rPr>
      </w:pPr>
    </w:p>
    <w:p>
      <w:pPr>
        <w:spacing w:after="0" w:line="289"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color w:val="auto"/>
        </w:rPr>
        <w:t xml:space="preserve">LONDON, PARIS, HOUSTON, July 26, 2017 - </w:t>
      </w:r>
      <w:r>
        <w:rPr>
          <w:rFonts w:ascii="Arial" w:cs="Arial" w:eastAsia="Arial" w:hAnsi="Arial"/>
          <w:sz w:val="20"/>
          <w:szCs w:val="20"/>
          <w:color w:val="auto"/>
        </w:rPr>
        <w:t>TechnipFMC plc (NYSE and Euronext: FTI) today reported second quarter 2017</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37"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auto"/>
        </w:rPr>
        <w:t>Total Company net income was $164.9 million. Despite lower revenue, segment operating profit and adjusted EBITDA improved from the prior year. Adjusted EBITDA, which excludes charges and credits, was $501.3 million, an increase of 44.3 percent from the prior year; adjusted EBITDA margin of 13.0 percent improved 600 basis points.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w:t>
      </w:r>
      <w:r>
        <w:rPr>
          <w:rFonts w:ascii="Arial" w:cs="Arial" w:eastAsia="Arial" w:hAnsi="Arial"/>
          <w:sz w:val="25"/>
          <w:szCs w:val="25"/>
          <w:color w:val="auto"/>
          <w:vertAlign w:val="superscript"/>
        </w:rPr>
        <w:t>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43" w:lineRule="exact"/>
        <w:rPr>
          <w:sz w:val="20"/>
          <w:szCs w:val="20"/>
          <w:color w:val="auto"/>
        </w:rPr>
      </w:pPr>
    </w:p>
    <w:tbl>
      <w:tblPr>
        <w:tblLayout w:type="fixed"/>
        <w:tblInd w:w="510" w:type="dxa"/>
        <w:tblCellMar>
          <w:top w:w="0" w:type="dxa"/>
          <w:left w:w="0" w:type="dxa"/>
          <w:bottom w:w="0" w:type="dxa"/>
          <w:right w:w="0" w:type="dxa"/>
        </w:tblCellMar>
      </w:tblPr>
      <w:tr>
        <w:trPr>
          <w:trHeight w:val="189"/>
        </w:trPr>
        <w:tc>
          <w:tcPr>
            <w:tcW w:w="5460" w:type="dxa"/>
            <w:vAlign w:val="bottom"/>
            <w:tcBorders>
              <w:top w:val="single" w:sz="8" w:color="B8CCE4"/>
              <w:left w:val="single" w:sz="8" w:color="B8CCE4"/>
              <w:right w:val="single" w:sz="8" w:color="B8CCE4"/>
            </w:tcBorders>
          </w:tcPr>
          <w:p>
            <w:pPr>
              <w:spacing w:after="0"/>
              <w:rPr>
                <w:sz w:val="16"/>
                <w:szCs w:val="16"/>
                <w:color w:val="auto"/>
              </w:rPr>
            </w:pPr>
          </w:p>
        </w:tc>
        <w:tc>
          <w:tcPr>
            <w:tcW w:w="1680" w:type="dxa"/>
            <w:vAlign w:val="bottom"/>
            <w:tcBorders>
              <w:top w:val="single" w:sz="8" w:color="B8CCE4"/>
              <w:right w:val="single" w:sz="8" w:color="B8CCE4"/>
            </w:tcBorders>
            <w:vMerge w:val="restart"/>
          </w:tcPr>
          <w:p>
            <w:pPr>
              <w:jc w:val="right"/>
              <w:ind w:right="66"/>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460" w:type="dxa"/>
            <w:vAlign w:val="bottom"/>
            <w:tcBorders>
              <w:left w:val="single" w:sz="8" w:color="B8CCE4"/>
              <w:right w:val="single" w:sz="8" w:color="B8CCE4"/>
            </w:tcBorders>
          </w:tcPr>
          <w:p>
            <w:pPr>
              <w:spacing w:after="0"/>
              <w:rPr>
                <w:sz w:val="7"/>
                <w:szCs w:val="7"/>
                <w:color w:val="auto"/>
              </w:rPr>
            </w:pPr>
          </w:p>
        </w:tc>
        <w:tc>
          <w:tcPr>
            <w:tcW w:w="1680" w:type="dxa"/>
            <w:vAlign w:val="bottom"/>
            <w:tcBorders>
              <w:right w:val="single" w:sz="8" w:color="B8CCE4"/>
            </w:tcBorders>
            <w:vMerge w:val="continue"/>
          </w:tcPr>
          <w:p>
            <w:pPr>
              <w:spacing w:after="0"/>
              <w:rPr>
                <w:sz w:val="7"/>
                <w:szCs w:val="7"/>
                <w:color w:val="auto"/>
              </w:rPr>
            </w:pPr>
          </w:p>
        </w:tc>
        <w:tc>
          <w:tcPr>
            <w:tcW w:w="16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June 30, 2016 (Pro</w:t>
            </w:r>
          </w:p>
        </w:tc>
        <w:tc>
          <w:tcPr>
            <w:tcW w:w="166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6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680" w:type="dxa"/>
            <w:vAlign w:val="bottom"/>
            <w:tcBorders>
              <w:right w:val="single" w:sz="8" w:color="B8CCE4"/>
            </w:tcBorders>
            <w:vMerge w:val="restart"/>
          </w:tcPr>
          <w:p>
            <w:pPr>
              <w:jc w:val="right"/>
              <w:ind w:right="306"/>
              <w:spacing w:after="0"/>
              <w:rPr>
                <w:sz w:val="20"/>
                <w:szCs w:val="20"/>
                <w:color w:val="auto"/>
              </w:rPr>
            </w:pPr>
            <w:r>
              <w:rPr>
                <w:rFonts w:ascii="Arial" w:cs="Arial" w:eastAsia="Arial" w:hAnsi="Arial"/>
                <w:sz w:val="14"/>
                <w:szCs w:val="14"/>
                <w:b w:val="1"/>
                <w:bCs w:val="1"/>
                <w:color w:val="auto"/>
              </w:rPr>
              <w:t>June 30, 2017</w:t>
            </w:r>
          </w:p>
        </w:tc>
        <w:tc>
          <w:tcPr>
            <w:tcW w:w="1660" w:type="dxa"/>
            <w:vAlign w:val="bottom"/>
            <w:tcBorders>
              <w:right w:val="single" w:sz="8" w:color="B8CCE4"/>
            </w:tcBorders>
            <w:vMerge w:val="continue"/>
          </w:tcPr>
          <w:p>
            <w:pPr>
              <w:spacing w:after="0"/>
              <w:rPr>
                <w:sz w:val="7"/>
                <w:szCs w:val="7"/>
                <w:color w:val="auto"/>
              </w:rPr>
            </w:pPr>
          </w:p>
        </w:tc>
        <w:tc>
          <w:tcPr>
            <w:tcW w:w="16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460" w:type="dxa"/>
            <w:vAlign w:val="bottom"/>
            <w:tcBorders>
              <w:left w:val="single" w:sz="8" w:color="B8CCE4"/>
              <w:right w:val="single" w:sz="8" w:color="B8CCE4"/>
            </w:tcBorders>
            <w:vMerge w:val="continue"/>
          </w:tcPr>
          <w:p>
            <w:pPr>
              <w:spacing w:after="0"/>
              <w:rPr>
                <w:sz w:val="9"/>
                <w:szCs w:val="9"/>
                <w:color w:val="auto"/>
              </w:rPr>
            </w:pPr>
          </w:p>
        </w:tc>
        <w:tc>
          <w:tcPr>
            <w:tcW w:w="1680" w:type="dxa"/>
            <w:vAlign w:val="bottom"/>
            <w:tcBorders>
              <w:right w:val="single" w:sz="8" w:color="B8CCE4"/>
            </w:tcBorders>
            <w:vMerge w:val="continue"/>
          </w:tcPr>
          <w:p>
            <w:pPr>
              <w:spacing w:after="0"/>
              <w:rPr>
                <w:sz w:val="9"/>
                <w:szCs w:val="9"/>
                <w:color w:val="auto"/>
              </w:rPr>
            </w:pPr>
          </w:p>
        </w:tc>
        <w:tc>
          <w:tcPr>
            <w:tcW w:w="16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Forma)</w:t>
            </w:r>
          </w:p>
        </w:tc>
        <w:tc>
          <w:tcPr>
            <w:tcW w:w="166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60" w:type="dxa"/>
            <w:vAlign w:val="bottom"/>
            <w:tcBorders>
              <w:left w:val="single" w:sz="8" w:color="B8CCE4"/>
              <w:right w:val="single" w:sz="8" w:color="B8CCE4"/>
            </w:tcBorders>
          </w:tcPr>
          <w:p>
            <w:pPr>
              <w:spacing w:after="0"/>
              <w:rPr>
                <w:sz w:val="7"/>
                <w:szCs w:val="7"/>
                <w:color w:val="auto"/>
              </w:rPr>
            </w:pPr>
          </w:p>
        </w:tc>
        <w:tc>
          <w:tcPr>
            <w:tcW w:w="1680" w:type="dxa"/>
            <w:vAlign w:val="bottom"/>
            <w:tcBorders>
              <w:right w:val="single" w:sz="8" w:color="B8CCE4"/>
            </w:tcBorders>
          </w:tcPr>
          <w:p>
            <w:pPr>
              <w:spacing w:after="0"/>
              <w:rPr>
                <w:sz w:val="7"/>
                <w:szCs w:val="7"/>
                <w:color w:val="auto"/>
              </w:rPr>
            </w:pPr>
          </w:p>
        </w:tc>
        <w:tc>
          <w:tcPr>
            <w:tcW w:w="1660" w:type="dxa"/>
            <w:vAlign w:val="bottom"/>
            <w:tcBorders>
              <w:right w:val="single" w:sz="8" w:color="B8CCE4"/>
            </w:tcBorders>
            <w:vMerge w:val="continue"/>
          </w:tcPr>
          <w:p>
            <w:pPr>
              <w:spacing w:after="0"/>
              <w:rPr>
                <w:sz w:val="7"/>
                <w:szCs w:val="7"/>
                <w:color w:val="auto"/>
              </w:rPr>
            </w:pPr>
          </w:p>
        </w:tc>
        <w:tc>
          <w:tcPr>
            <w:tcW w:w="166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460" w:type="dxa"/>
            <w:vAlign w:val="bottom"/>
            <w:tcBorders>
              <w:left w:val="single" w:sz="8" w:color="B8CCE4"/>
              <w:bottom w:val="single" w:sz="8" w:color="B8CCE4"/>
              <w:right w:val="single" w:sz="8" w:color="B8CCE4"/>
            </w:tcBorders>
          </w:tcPr>
          <w:p>
            <w:pPr>
              <w:spacing w:after="0"/>
              <w:rPr>
                <w:sz w:val="16"/>
                <w:szCs w:val="16"/>
                <w:color w:val="auto"/>
              </w:rPr>
            </w:pPr>
          </w:p>
        </w:tc>
        <w:tc>
          <w:tcPr>
            <w:tcW w:w="1680" w:type="dxa"/>
            <w:vAlign w:val="bottom"/>
            <w:tcBorders>
              <w:bottom w:val="single" w:sz="8" w:color="B8CCE4"/>
              <w:right w:val="single" w:sz="8" w:color="B8CCE4"/>
            </w:tcBorders>
          </w:tcPr>
          <w:p>
            <w:pPr>
              <w:spacing w:after="0"/>
              <w:rPr>
                <w:sz w:val="16"/>
                <w:szCs w:val="16"/>
                <w:color w:val="auto"/>
              </w:rPr>
            </w:pPr>
          </w:p>
        </w:tc>
        <w:tc>
          <w:tcPr>
            <w:tcW w:w="1660" w:type="dxa"/>
            <w:vAlign w:val="bottom"/>
            <w:tcBorders>
              <w:bottom w:val="single" w:sz="8" w:color="B8CCE4"/>
              <w:right w:val="single" w:sz="8" w:color="B8CCE4"/>
            </w:tcBorders>
          </w:tcPr>
          <w:p>
            <w:pPr>
              <w:spacing w:after="0"/>
              <w:rPr>
                <w:sz w:val="16"/>
                <w:szCs w:val="16"/>
                <w:color w:val="auto"/>
              </w:rPr>
            </w:pPr>
          </w:p>
        </w:tc>
        <w:tc>
          <w:tcPr>
            <w:tcW w:w="166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$3,845.0</w:t>
            </w:r>
          </w:p>
        </w:tc>
        <w:tc>
          <w:tcPr>
            <w:tcW w:w="1660" w:type="dxa"/>
            <w:vAlign w:val="bottom"/>
            <w:tcBorders>
              <w:bottom w:val="single" w:sz="8" w:color="B8CCE4"/>
              <w:right w:val="single" w:sz="8" w:color="B8CCE4"/>
            </w:tcBorders>
          </w:tcPr>
          <w:p>
            <w:pPr>
              <w:jc w:val="right"/>
              <w:ind w:right="34"/>
              <w:spacing w:after="0"/>
              <w:rPr>
                <w:sz w:val="20"/>
                <w:szCs w:val="20"/>
                <w:color w:val="auto"/>
              </w:rPr>
            </w:pPr>
            <w:r>
              <w:rPr>
                <w:rFonts w:ascii="Arial" w:cs="Arial" w:eastAsia="Arial" w:hAnsi="Arial"/>
                <w:sz w:val="20"/>
                <w:szCs w:val="20"/>
                <w:color w:val="auto"/>
              </w:rPr>
              <w:t>$4,959.3</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(22.5%)</w:t>
            </w:r>
          </w:p>
        </w:tc>
        <w:tc>
          <w:tcPr>
            <w:tcW w:w="0" w:type="dxa"/>
            <w:vAlign w:val="bottom"/>
          </w:tcPr>
          <w:p>
            <w:pPr>
              <w:spacing w:after="0"/>
              <w:rPr>
                <w:sz w:val="1"/>
                <w:szCs w:val="1"/>
                <w:color w:val="auto"/>
              </w:rPr>
            </w:pPr>
          </w:p>
        </w:tc>
      </w:tr>
      <w:tr>
        <w:trPr>
          <w:trHeight w:val="264"/>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164.9</w:t>
            </w:r>
          </w:p>
        </w:tc>
        <w:tc>
          <w:tcPr>
            <w:tcW w:w="1660" w:type="dxa"/>
            <w:vAlign w:val="bottom"/>
            <w:tcBorders>
              <w:bottom w:val="single" w:sz="8" w:color="B8CCE4"/>
              <w:right w:val="single" w:sz="8" w:color="B8CCE4"/>
            </w:tcBorders>
          </w:tcPr>
          <w:p>
            <w:pPr>
              <w:jc w:val="right"/>
              <w:ind w:right="34"/>
              <w:spacing w:after="0"/>
              <w:rPr>
                <w:sz w:val="20"/>
                <w:szCs w:val="20"/>
                <w:color w:val="auto"/>
              </w:rPr>
            </w:pPr>
            <w:r>
              <w:rPr>
                <w:rFonts w:ascii="Arial" w:cs="Arial" w:eastAsia="Arial" w:hAnsi="Arial"/>
                <w:sz w:val="18"/>
                <w:szCs w:val="18"/>
                <w:color w:val="auto"/>
              </w:rPr>
              <w:t>55.2</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198.7%</w:t>
            </w:r>
          </w:p>
        </w:tc>
        <w:tc>
          <w:tcPr>
            <w:tcW w:w="0" w:type="dxa"/>
            <w:vAlign w:val="bottom"/>
          </w:tcPr>
          <w:p>
            <w:pPr>
              <w:spacing w:after="0"/>
              <w:rPr>
                <w:sz w:val="1"/>
                <w:szCs w:val="1"/>
                <w:color w:val="auto"/>
              </w:rPr>
            </w:pPr>
          </w:p>
        </w:tc>
      </w:tr>
      <w:tr>
        <w:trPr>
          <w:trHeight w:val="264"/>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$0.35</w:t>
            </w:r>
          </w:p>
        </w:tc>
        <w:tc>
          <w:tcPr>
            <w:tcW w:w="166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460" w:type="dxa"/>
            <w:vAlign w:val="bottom"/>
            <w:tcBorders>
              <w:left w:val="single" w:sz="8" w:color="B8CCE4"/>
              <w:bottom w:val="single" w:sz="8" w:color="B8CCE4"/>
              <w:right w:val="single" w:sz="8" w:color="B8CCE4"/>
            </w:tcBorders>
          </w:tcPr>
          <w:p>
            <w:pPr>
              <w:spacing w:after="0"/>
              <w:rPr>
                <w:sz w:val="24"/>
                <w:szCs w:val="24"/>
                <w:color w:val="auto"/>
              </w:rPr>
            </w:pPr>
          </w:p>
        </w:tc>
        <w:tc>
          <w:tcPr>
            <w:tcW w:w="1680" w:type="dxa"/>
            <w:vAlign w:val="bottom"/>
            <w:tcBorders>
              <w:bottom w:val="single" w:sz="8" w:color="B8CCE4"/>
              <w:right w:val="single" w:sz="8" w:color="B8CCE4"/>
            </w:tcBorders>
          </w:tcPr>
          <w:p>
            <w:pPr>
              <w:spacing w:after="0"/>
              <w:rPr>
                <w:sz w:val="24"/>
                <w:szCs w:val="24"/>
                <w:color w:val="auto"/>
              </w:rPr>
            </w:pPr>
          </w:p>
        </w:tc>
        <w:tc>
          <w:tcPr>
            <w:tcW w:w="1660" w:type="dxa"/>
            <w:vAlign w:val="bottom"/>
            <w:tcBorders>
              <w:bottom w:val="single" w:sz="8" w:color="B8CCE4"/>
            </w:tcBorders>
          </w:tcPr>
          <w:p>
            <w:pPr>
              <w:spacing w:after="0"/>
              <w:rPr>
                <w:sz w:val="24"/>
                <w:szCs w:val="24"/>
                <w:color w:val="auto"/>
              </w:rPr>
            </w:pPr>
          </w:p>
        </w:tc>
        <w:tc>
          <w:tcPr>
            <w:tcW w:w="1660" w:type="dxa"/>
            <w:vAlign w:val="bottom"/>
            <w:tcBorders>
              <w:bottom w:val="single" w:sz="8" w:color="B8CCE4"/>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$501.3</w:t>
            </w:r>
          </w:p>
        </w:tc>
        <w:tc>
          <w:tcPr>
            <w:tcW w:w="1660" w:type="dxa"/>
            <w:vAlign w:val="bottom"/>
            <w:tcBorders>
              <w:bottom w:val="single" w:sz="8" w:color="B8CCE4"/>
              <w:right w:val="single" w:sz="8" w:color="B8CCE4"/>
            </w:tcBorders>
          </w:tcPr>
          <w:p>
            <w:pPr>
              <w:jc w:val="right"/>
              <w:ind w:right="34"/>
              <w:spacing w:after="0"/>
              <w:rPr>
                <w:sz w:val="20"/>
                <w:szCs w:val="20"/>
                <w:color w:val="auto"/>
              </w:rPr>
            </w:pPr>
            <w:r>
              <w:rPr>
                <w:rFonts w:ascii="Arial" w:cs="Arial" w:eastAsia="Arial" w:hAnsi="Arial"/>
                <w:sz w:val="20"/>
                <w:szCs w:val="20"/>
                <w:color w:val="auto"/>
              </w:rPr>
              <w:t>$347.5</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44.3%</w:t>
            </w:r>
          </w:p>
        </w:tc>
        <w:tc>
          <w:tcPr>
            <w:tcW w:w="0" w:type="dxa"/>
            <w:vAlign w:val="bottom"/>
          </w:tcPr>
          <w:p>
            <w:pPr>
              <w:spacing w:after="0"/>
              <w:rPr>
                <w:sz w:val="1"/>
                <w:szCs w:val="1"/>
                <w:color w:val="auto"/>
              </w:rPr>
            </w:pPr>
          </w:p>
        </w:tc>
      </w:tr>
      <w:tr>
        <w:trPr>
          <w:trHeight w:val="264"/>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13.0%</w:t>
            </w:r>
          </w:p>
        </w:tc>
        <w:tc>
          <w:tcPr>
            <w:tcW w:w="1660" w:type="dxa"/>
            <w:vAlign w:val="bottom"/>
            <w:tcBorders>
              <w:bottom w:val="single" w:sz="8" w:color="B8CCE4"/>
              <w:right w:val="single" w:sz="8" w:color="B8CCE4"/>
            </w:tcBorders>
          </w:tcPr>
          <w:p>
            <w:pPr>
              <w:jc w:val="right"/>
              <w:ind w:right="34"/>
              <w:spacing w:after="0"/>
              <w:rPr>
                <w:sz w:val="20"/>
                <w:szCs w:val="20"/>
                <w:color w:val="auto"/>
              </w:rPr>
            </w:pPr>
            <w:r>
              <w:rPr>
                <w:rFonts w:ascii="Arial" w:cs="Arial" w:eastAsia="Arial" w:hAnsi="Arial"/>
                <w:sz w:val="20"/>
                <w:szCs w:val="20"/>
                <w:color w:val="auto"/>
              </w:rPr>
              <w:t>7.0%</w:t>
            </w:r>
          </w:p>
        </w:tc>
        <w:tc>
          <w:tcPr>
            <w:tcW w:w="16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+600 bps</w:t>
            </w:r>
          </w:p>
        </w:tc>
        <w:tc>
          <w:tcPr>
            <w:tcW w:w="0" w:type="dxa"/>
            <w:vAlign w:val="bottom"/>
          </w:tcPr>
          <w:p>
            <w:pPr>
              <w:spacing w:after="0"/>
              <w:rPr>
                <w:sz w:val="1"/>
                <w:szCs w:val="1"/>
                <w:color w:val="auto"/>
              </w:rPr>
            </w:pPr>
          </w:p>
        </w:tc>
      </w:tr>
      <w:tr>
        <w:trPr>
          <w:trHeight w:val="264"/>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excluding charges and credits</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211.9</w:t>
            </w:r>
          </w:p>
        </w:tc>
        <w:tc>
          <w:tcPr>
            <w:tcW w:w="166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EPS, excluding charges and credits</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$0.45</w:t>
            </w:r>
          </w:p>
        </w:tc>
        <w:tc>
          <w:tcPr>
            <w:tcW w:w="166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460" w:type="dxa"/>
            <w:vAlign w:val="bottom"/>
            <w:tcBorders>
              <w:left w:val="single" w:sz="8" w:color="B8CCE4"/>
              <w:bottom w:val="single" w:sz="8" w:color="B8CCE4"/>
              <w:right w:val="single" w:sz="8" w:color="B8CCE4"/>
            </w:tcBorders>
          </w:tcPr>
          <w:p>
            <w:pPr>
              <w:spacing w:after="0"/>
              <w:rPr>
                <w:sz w:val="24"/>
                <w:szCs w:val="24"/>
                <w:color w:val="auto"/>
              </w:rPr>
            </w:pPr>
          </w:p>
        </w:tc>
        <w:tc>
          <w:tcPr>
            <w:tcW w:w="1680" w:type="dxa"/>
            <w:vAlign w:val="bottom"/>
            <w:tcBorders>
              <w:bottom w:val="single" w:sz="8" w:color="B8CCE4"/>
              <w:right w:val="single" w:sz="8" w:color="B8CCE4"/>
            </w:tcBorders>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3,153.0</w:t>
            </w:r>
          </w:p>
        </w:tc>
        <w:tc>
          <w:tcPr>
            <w:tcW w:w="1660" w:type="dxa"/>
            <w:vAlign w:val="bottom"/>
          </w:tcPr>
          <w:p>
            <w:pPr>
              <w:spacing w:after="0"/>
              <w:rPr>
                <w:sz w:val="22"/>
                <w:szCs w:val="22"/>
                <w:color w:val="auto"/>
              </w:rPr>
            </w:pPr>
          </w:p>
        </w:tc>
        <w:tc>
          <w:tcPr>
            <w:tcW w:w="166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80" w:type="dxa"/>
            <w:vAlign w:val="bottom"/>
            <w:tcBorders>
              <w:bottom w:val="single" w:sz="8" w:color="B8CCE4"/>
              <w:right w:val="single" w:sz="8" w:color="B8CCE4"/>
            </w:tcBorders>
          </w:tcPr>
          <w:p>
            <w:pPr>
              <w:jc w:val="right"/>
              <w:ind w:right="46"/>
              <w:spacing w:after="0"/>
              <w:rPr>
                <w:sz w:val="20"/>
                <w:szCs w:val="20"/>
                <w:color w:val="auto"/>
              </w:rPr>
            </w:pPr>
            <w:r>
              <w:rPr>
                <w:rFonts w:ascii="Arial" w:cs="Arial" w:eastAsia="Arial" w:hAnsi="Arial"/>
                <w:sz w:val="20"/>
                <w:szCs w:val="20"/>
                <w:color w:val="auto"/>
              </w:rPr>
              <w:t>15,182.9</w:t>
            </w:r>
          </w:p>
        </w:tc>
        <w:tc>
          <w:tcPr>
            <w:tcW w:w="1660" w:type="dxa"/>
            <w:vAlign w:val="bottom"/>
            <w:tcBorders>
              <w:bottom w:val="single" w:sz="8" w:color="B8CCE4"/>
            </w:tcBorders>
          </w:tcPr>
          <w:p>
            <w:pPr>
              <w:spacing w:after="0"/>
              <w:rPr>
                <w:sz w:val="22"/>
                <w:szCs w:val="22"/>
                <w:color w:val="auto"/>
              </w:rPr>
            </w:pPr>
          </w:p>
        </w:tc>
        <w:tc>
          <w:tcPr>
            <w:tcW w:w="166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191" w:lineRule="exact"/>
        <w:rPr>
          <w:sz w:val="20"/>
          <w:szCs w:val="20"/>
          <w:color w:val="auto"/>
        </w:rPr>
      </w:pPr>
    </w:p>
    <w:p>
      <w:pPr>
        <w:ind w:left="120" w:right="520" w:hanging="85"/>
        <w:spacing w:after="0" w:line="210" w:lineRule="auto"/>
        <w:tabs>
          <w:tab w:leader="none" w:pos="129"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prior year quarter comparisons are to pro forma results for 2016 as if the merger had been completed on January 1, 2016 and fully consolidated the Yamal LNG joint venture for the full period.</w:t>
      </w:r>
    </w:p>
    <w:p>
      <w:pPr>
        <w:sectPr>
          <w:pgSz w:w="11900" w:h="16838" w:orient="portrait"/>
          <w:cols w:equalWidth="0" w:num="1">
            <w:col w:w="11420"/>
          </w:cols>
          <w:pgMar w:left="240" w:top="1440" w:right="239" w:bottom="1440" w:gutter="0" w:footer="0" w:header="0"/>
        </w:sectPr>
      </w:pPr>
    </w:p>
    <w:bookmarkStart w:id="5" w:name="page6"/>
    <w:bookmarkEnd w:id="5"/>
    <w:p>
      <w:pPr>
        <w:jc w:val="both"/>
        <w:ind w:right="20"/>
        <w:spacing w:after="0" w:line="247" w:lineRule="auto"/>
        <w:rPr>
          <w:sz w:val="20"/>
          <w:szCs w:val="20"/>
          <w:color w:val="auto"/>
        </w:rPr>
      </w:pPr>
      <w:r>
        <w:rPr>
          <w:rFonts w:ascii="Arial" w:cs="Arial" w:eastAsia="Arial" w:hAnsi="Arial"/>
          <w:sz w:val="20"/>
          <w:szCs w:val="20"/>
          <w:color w:val="auto"/>
        </w:rPr>
        <w:t>Diluted earnings per share were $0.35, which includes total Company pre-tax charges and credits of $64.9 million, or $0.10 per diluted share as detailed in the financial schedules below. Adjusted diluted earnings per share were $0.45.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BFE4FF"/>
        </w:rPr>
        <w:t>____________________________________________________________________________________________</w:t>
      </w:r>
    </w:p>
    <w:p>
      <w:pPr>
        <w:spacing w:after="0" w:line="200" w:lineRule="exact"/>
        <w:rPr>
          <w:sz w:val="20"/>
          <w:szCs w:val="20"/>
          <w:color w:val="auto"/>
        </w:rPr>
      </w:pP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a result of our solid execution, achievement of key project milestones, and intense focus on efficiency, we delivered strong performance across all Segments,” said Doug Pferdehirt, CEO of TechnipFMC. “Both Subsea and Onshore/Offshore performed well above plan in the quarter. Our first half results give us even greater confidence that we will meet or exceed our 2017 financial objectives.”</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“We just passed our six-month anniversary as a new company, and our merger integration efforts are delivering results. We remain confident in our ability to reach our synergy targets. In addition, we are accelerating the development of unique technologies, as well as, identifying additional integrated offerings across our broad portfolio.”</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Subsea inbound orders accelerated to $1.8 billion in the quarter. During the period, we were awarded a contract for the delivery of subsea production equipment for ExxonMobil’s Liza project in Guyana, incorporating new technology that allowed us to meet a fast-tracked delivery schedule.” Pferdehirt added, “We also were awarded an important subsea package for ENI’s Coral South floating LNG (FLNG) project in Mozambique. The subsea package was part of an integrated contract with the project’s FLNG scope that will be executed through our Onshore/Offshore segment.”</w:t>
      </w:r>
    </w:p>
    <w:p>
      <w:pPr>
        <w:spacing w:after="0" w:line="169"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“During the quarter, we achieved a significant milestone on the Prelude FLNG project. The vessel sailed away from South Korea on June 29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and has just arrived in Australian waters. Building upon this milestone, our execution on the Coral FLNG project will benefit from the extensive capabilities we have developed.”</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remain relentless in our focus to deliver significant cost reductions for our clients that can be achieved through our integrated approach (iEPCI™). Our first iEPCI™ contract for Statoil’s Trestakk project is progressing well, and we were pleased to again be selected by Statoil in the second quarter to fully integrate the Visund Nord development.”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increase in major project FIDs and the acceleration of integrated FEED (iFEED™) prospects during the first half of 2017 certainly adds confidence to our expectation for a step-up in Subsea orders for full year 2017.” Pferdehirt added, “While project economics continue to improve, the recent commodity price uncertainty could result in a slowing of the pace of the recovery.”</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concluded, “These solid operational results and our strong balance sheet enable us to continue to focus on shareholder returns. Last quarter, we announced the authorization of a share repurchase program of up to $500 million which we intend to complete no later than the end of 2018. Additionally, the Company’s Board of Directors reaffirmed its commitment to declare a quarterly dividend following the third quarter 2017 results. We believe this combination of share repurchase and quarterly dividends demonstrates our commitment to improving shareholder returns.”</w:t>
      </w:r>
    </w:p>
    <w:p>
      <w:pPr>
        <w:sectPr>
          <w:pgSz w:w="11900" w:h="16838" w:orient="portrait"/>
          <w:cols w:equalWidth="0" w:num="1">
            <w:col w:w="11420"/>
          </w:cols>
          <w:pgMar w:left="240" w:top="100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Operational and Financial Highlights - Second Quarter 2017</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25"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5600" w:type="dxa"/>
            <w:vAlign w:val="bottom"/>
            <w:tcBorders>
              <w:top w:val="single" w:sz="8" w:color="B8CCE4"/>
              <w:left w:val="single" w:sz="8" w:color="B8CCE4"/>
              <w:right w:val="single" w:sz="8" w:color="B8CCE4"/>
            </w:tcBorders>
          </w:tcPr>
          <w:p>
            <w:pPr>
              <w:spacing w:after="0"/>
              <w:rPr>
                <w:sz w:val="16"/>
                <w:szCs w:val="16"/>
                <w:color w:val="auto"/>
              </w:rPr>
            </w:pPr>
          </w:p>
        </w:tc>
        <w:tc>
          <w:tcPr>
            <w:tcW w:w="1720" w:type="dxa"/>
            <w:vAlign w:val="bottom"/>
            <w:tcBorders>
              <w:top w:val="single" w:sz="8" w:color="B8CCE4"/>
              <w:right w:val="single" w:sz="8" w:color="B8CCE4"/>
            </w:tcBorders>
            <w:vMerge w:val="restart"/>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June 30, 2016 (Pro</w:t>
            </w:r>
          </w:p>
        </w:tc>
        <w:tc>
          <w:tcPr>
            <w:tcW w:w="172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right w:val="single" w:sz="8" w:color="B8CCE4"/>
            </w:tcBorders>
            <w:vMerge w:val="restart"/>
          </w:tcPr>
          <w:p>
            <w:pPr>
              <w:jc w:val="right"/>
              <w:ind w:right="328"/>
              <w:spacing w:after="0"/>
              <w:rPr>
                <w:sz w:val="20"/>
                <w:szCs w:val="20"/>
                <w:color w:val="auto"/>
              </w:rPr>
            </w:pPr>
            <w:r>
              <w:rPr>
                <w:rFonts w:ascii="Arial" w:cs="Arial" w:eastAsia="Arial" w:hAnsi="Arial"/>
                <w:sz w:val="14"/>
                <w:szCs w:val="14"/>
                <w:b w:val="1"/>
                <w:bCs w:val="1"/>
                <w:color w:val="auto"/>
              </w:rPr>
              <w:t>June 30, 2017</w:t>
            </w:r>
          </w:p>
        </w:tc>
        <w:tc>
          <w:tcPr>
            <w:tcW w:w="1700" w:type="dxa"/>
            <w:vAlign w:val="bottom"/>
            <w:tcBorders>
              <w:right w:val="single" w:sz="8" w:color="B8CCE4"/>
            </w:tcBorders>
            <w:vMerge w:val="continue"/>
          </w:tcPr>
          <w:p>
            <w:pPr>
              <w:spacing w:after="0"/>
              <w:rPr>
                <w:sz w:val="7"/>
                <w:szCs w:val="7"/>
                <w:color w:val="auto"/>
              </w:rPr>
            </w:pP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600" w:type="dxa"/>
            <w:vAlign w:val="bottom"/>
            <w:tcBorders>
              <w:left w:val="single" w:sz="8" w:color="B8CCE4"/>
              <w:right w:val="single" w:sz="8" w:color="B8CCE4"/>
            </w:tcBorders>
            <w:vMerge w:val="continue"/>
          </w:tcPr>
          <w:p>
            <w:pPr>
              <w:spacing w:after="0"/>
              <w:rPr>
                <w:sz w:val="9"/>
                <w:szCs w:val="9"/>
                <w:color w:val="auto"/>
              </w:rPr>
            </w:pPr>
          </w:p>
        </w:tc>
        <w:tc>
          <w:tcPr>
            <w:tcW w:w="1720" w:type="dxa"/>
            <w:vAlign w:val="bottom"/>
            <w:tcBorders>
              <w:right w:val="single" w:sz="8" w:color="B8CCE4"/>
            </w:tcBorders>
            <w:vMerge w:val="continue"/>
          </w:tcPr>
          <w:p>
            <w:pPr>
              <w:spacing w:after="0"/>
              <w:rPr>
                <w:sz w:val="9"/>
                <w:szCs w:val="9"/>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Forma)</w:t>
            </w:r>
          </w:p>
        </w:tc>
        <w:tc>
          <w:tcPr>
            <w:tcW w:w="172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6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$1,730.3</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$2,401.8</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(28.0%)</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236.1</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261.7</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(9.8%)</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376.7</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405.4</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(7.1%)</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21.8%</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16.9%</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+490 bps</w:t>
            </w:r>
          </w:p>
        </w:tc>
        <w:tc>
          <w:tcPr>
            <w:tcW w:w="0" w:type="dxa"/>
            <w:vAlign w:val="bottom"/>
          </w:tcPr>
          <w:p>
            <w:pPr>
              <w:spacing w:after="0"/>
              <w:rPr>
                <w:sz w:val="1"/>
                <w:szCs w:val="1"/>
                <w:color w:val="auto"/>
              </w:rPr>
            </w:pPr>
          </w:p>
        </w:tc>
      </w:tr>
      <w:tr>
        <w:trPr>
          <w:trHeight w:val="322"/>
        </w:trPr>
        <w:tc>
          <w:tcPr>
            <w:tcW w:w="5600" w:type="dxa"/>
            <w:vAlign w:val="bottom"/>
            <w:tcBorders>
              <w:left w:val="single" w:sz="8" w:color="B8CCE4"/>
              <w:bottom w:val="single" w:sz="8" w:color="B8CCE4"/>
              <w:right w:val="single" w:sz="8" w:color="B8CCE4"/>
            </w:tcBorders>
          </w:tcPr>
          <w:p>
            <w:pPr>
              <w:spacing w:after="0"/>
              <w:rPr>
                <w:sz w:val="24"/>
                <w:szCs w:val="24"/>
                <w:color w:val="auto"/>
              </w:rPr>
            </w:pPr>
          </w:p>
        </w:tc>
        <w:tc>
          <w:tcPr>
            <w:tcW w:w="1720" w:type="dxa"/>
            <w:vAlign w:val="bottom"/>
            <w:tcBorders>
              <w:bottom w:val="single" w:sz="8" w:color="B8CCE4"/>
              <w:right w:val="single" w:sz="8" w:color="B8CCE4"/>
            </w:tcBorders>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1,773.0</w:t>
            </w:r>
          </w:p>
        </w:tc>
        <w:tc>
          <w:tcPr>
            <w:tcW w:w="1700" w:type="dxa"/>
            <w:vAlign w:val="bottom"/>
          </w:tcPr>
          <w:p>
            <w:pPr>
              <w:spacing w:after="0"/>
              <w:rPr>
                <w:sz w:val="22"/>
                <w:szCs w:val="22"/>
                <w:color w:val="auto"/>
              </w:rPr>
            </w:pPr>
          </w:p>
        </w:tc>
        <w:tc>
          <w:tcPr>
            <w:tcW w:w="172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6,186.8</w:t>
            </w:r>
          </w:p>
        </w:tc>
        <w:tc>
          <w:tcPr>
            <w:tcW w:w="1700" w:type="dxa"/>
            <w:vAlign w:val="bottom"/>
            <w:tcBorders>
              <w:bottom w:val="single" w:sz="8" w:color="B8CCE4"/>
            </w:tcBorders>
          </w:tcPr>
          <w:p>
            <w:pPr>
              <w:spacing w:after="0"/>
              <w:rPr>
                <w:sz w:val="22"/>
                <w:szCs w:val="22"/>
                <w:color w:val="auto"/>
              </w:rPr>
            </w:pPr>
          </w:p>
        </w:tc>
        <w:tc>
          <w:tcPr>
            <w:tcW w:w="172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second quarter revenue of $1.7 billion. Revenue was down 28 percent from the prior year, primarily due to a reduction in project activity within Europe and Africa, partially offset by increased project activity in Asia Pacific. Prior-year declines in inbound orders continue to impact near-term revenue.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Subsea reported operating profit of $ 236.1 million; adjusted EBITDA was $376.7 million with a margin of 21.8 percent. Operating profit margin increased from the prior year results despite the significant revenue decline. Operating margin performance reflected the results of strong project execution, cost reductions, and ongoing restructuring activities. These same factors drove the significant year-over-year improvement in adjusted EBITDA margin, which increased 490 basis points from the prior year results.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Vessel utilization rate for the second quarter of 2017 was consistent with the prior quarter at 67 percent.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Subsea Highlights</w:t>
      </w:r>
    </w:p>
    <w:p>
      <w:pPr>
        <w:spacing w:after="0" w:line="1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Statoil Trestakk iEPCI™</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Project is progressing as scheduled for delivery of the Company’s first integrated EPCI project.</w:t>
      </w:r>
    </w:p>
    <w:p>
      <w:pPr>
        <w:spacing w:after="0" w:line="19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ENI Jangkrik</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Offshore campaign was completed following on-time delivery of the subsea production system.</w:t>
      </w:r>
    </w:p>
    <w:p>
      <w:pPr>
        <w:sectPr>
          <w:pgSz w:w="11900" w:h="16838" w:orient="portrait"/>
          <w:cols w:equalWidth="0" w:num="1">
            <w:col w:w="11420"/>
          </w:cols>
          <w:pgMar w:left="240" w:top="355" w:right="239" w:bottom="1440" w:gutter="0" w:footer="0" w:header="0"/>
        </w:sectPr>
      </w:pPr>
    </w:p>
    <w:bookmarkStart w:id="7" w:name="page8"/>
    <w:bookmarkEnd w:id="7"/>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BP Quad 204</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Project achieved first oil and is slated for completion in the third quarter of 2017.</w:t>
      </w:r>
    </w:p>
    <w:p>
      <w:pPr>
        <w:spacing w:after="0" w:line="19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Total Moho Nord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Project has been completed with final closeout ongoing.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Subsea inbound orders for the quarter was $1.8 billion and included the following announced awards:</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ENI Coral South FLNG in Mozambique</w:t>
      </w:r>
    </w:p>
    <w:p>
      <w:pPr>
        <w:spacing w:after="0" w:line="23"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20"/>
          <w:szCs w:val="20"/>
          <w:color w:val="auto"/>
        </w:rPr>
        <w:t>Subsea scope awarded as part of an integrated package with the EPCI contract for Coral South FLNG. Contract includes the Engineering, Procurement, Construction, Installation, Commissioning and Start-up (EPCIC) of the Coral South FLNG facility and its associated risers and subsea flowlines system, as well as the installation of umbilicals and subsea equipment.</w:t>
      </w:r>
    </w:p>
    <w:p>
      <w:pPr>
        <w:spacing w:after="0" w:line="35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ExxonMobil Liza in Guyana</w:t>
      </w:r>
    </w:p>
    <w:p>
      <w:pPr>
        <w:spacing w:after="0" w:line="23"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20"/>
          <w:szCs w:val="20"/>
          <w:color w:val="auto"/>
        </w:rPr>
        <w:t>Contract for the engineering, manufacture and delivery of the subsea equipment for the Liza deep water project. The award scope includes seventeen total enhanced vertical deep water trees and associated tooling, as well as five manifolds and associated controls and tie-in equipment.</w:t>
      </w:r>
    </w:p>
    <w:p>
      <w:pPr>
        <w:spacing w:after="0" w:line="14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Woodside Riserless Light Well Intervention and subsea services contract in Australia</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Three-year frame agreement for Riserless Light Well Intervention (RLWI) and subsea services, including intervention, installation, and plug and abandonment services.</w:t>
      </w:r>
    </w:p>
    <w:p>
      <w:pPr>
        <w:spacing w:after="0" w:line="35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Statoil Visund Nord in Norway</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Second integrated award from Statoil. The contract will be executed as an iEPCI™ project.</w:t>
      </w:r>
    </w:p>
    <w:p>
      <w:pPr>
        <w:spacing w:after="0" w:line="200" w:lineRule="exact"/>
        <w:rPr>
          <w:sz w:val="20"/>
          <w:szCs w:val="20"/>
          <w:color w:val="auto"/>
        </w:rPr>
      </w:pPr>
    </w:p>
    <w:p>
      <w:pPr>
        <w:spacing w:after="0" w:line="350" w:lineRule="exact"/>
        <w:rPr>
          <w:sz w:val="20"/>
          <w:szCs w:val="20"/>
          <w:color w:val="auto"/>
        </w:rPr>
      </w:pPr>
    </w:p>
    <w:tbl>
      <w:tblPr>
        <w:tblLayout w:type="fixed"/>
        <w:tblInd w:w="430" w:type="dxa"/>
        <w:tblCellMar>
          <w:top w:w="0" w:type="dxa"/>
          <w:left w:w="0" w:type="dxa"/>
          <w:bottom w:w="0" w:type="dxa"/>
          <w:right w:w="0" w:type="dxa"/>
        </w:tblCellMar>
      </w:tblPr>
      <w:tr>
        <w:trPr>
          <w:trHeight w:val="275"/>
        </w:trPr>
        <w:tc>
          <w:tcPr>
            <w:tcW w:w="712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Estimated Backlog Scheduling as of June 30, 2017</w:t>
            </w:r>
          </w:p>
        </w:tc>
        <w:tc>
          <w:tcPr>
            <w:tcW w:w="3480" w:type="dxa"/>
            <w:vAlign w:val="bottom"/>
            <w:tcBorders>
              <w:top w:val="single" w:sz="8" w:color="B6DDE8"/>
              <w:right w:val="single" w:sz="8" w:color="B6DDE8"/>
            </w:tcBorders>
            <w:vMerge w:val="restart"/>
          </w:tcPr>
          <w:p>
            <w:pPr>
              <w:jc w:val="right"/>
              <w:ind w:right="1301"/>
              <w:spacing w:after="0"/>
              <w:rPr>
                <w:sz w:val="20"/>
                <w:szCs w:val="20"/>
                <w:color w:val="auto"/>
              </w:rPr>
            </w:pPr>
            <w:r>
              <w:rPr>
                <w:rFonts w:ascii="Arial" w:cs="Arial" w:eastAsia="Arial" w:hAnsi="Arial"/>
                <w:sz w:val="20"/>
                <w:szCs w:val="20"/>
                <w:b w:val="1"/>
                <w:bCs w:val="1"/>
                <w:color w:val="auto"/>
              </w:rPr>
              <w:t>Subsea</w:t>
            </w:r>
          </w:p>
        </w:tc>
        <w:tc>
          <w:tcPr>
            <w:tcW w:w="0" w:type="dxa"/>
            <w:vAlign w:val="bottom"/>
          </w:tcPr>
          <w:p>
            <w:pPr>
              <w:spacing w:after="0"/>
              <w:rPr>
                <w:sz w:val="1"/>
                <w:szCs w:val="1"/>
                <w:color w:val="auto"/>
              </w:rPr>
            </w:pPr>
          </w:p>
        </w:tc>
      </w:tr>
      <w:tr>
        <w:trPr>
          <w:trHeight w:val="215"/>
        </w:trPr>
        <w:tc>
          <w:tcPr>
            <w:tcW w:w="712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80" w:type="dxa"/>
            <w:vAlign w:val="bottom"/>
            <w:tcBorders>
              <w:right w:val="single" w:sz="8" w:color="B6DDE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120" w:type="dxa"/>
            <w:vAlign w:val="bottom"/>
            <w:tcBorders>
              <w:left w:val="single" w:sz="8" w:color="B6DDE8"/>
              <w:right w:val="single" w:sz="8" w:color="B6DDE8"/>
            </w:tcBorders>
            <w:vMerge w:val="continue"/>
          </w:tcPr>
          <w:p>
            <w:pPr>
              <w:spacing w:after="0"/>
              <w:rPr>
                <w:sz w:val="4"/>
                <w:szCs w:val="4"/>
                <w:color w:val="auto"/>
              </w:rPr>
            </w:pPr>
          </w:p>
        </w:tc>
        <w:tc>
          <w:tcPr>
            <w:tcW w:w="3480" w:type="dxa"/>
            <w:vAlign w:val="bottom"/>
            <w:tcBorders>
              <w:right w:val="single" w:sz="8" w:color="B6DDE8"/>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120" w:type="dxa"/>
            <w:vAlign w:val="bottom"/>
            <w:tcBorders>
              <w:left w:val="single" w:sz="8" w:color="B6DDE8"/>
              <w:bottom w:val="single" w:sz="8" w:color="B6DDE8"/>
              <w:right w:val="single" w:sz="8" w:color="B6DDE8"/>
            </w:tcBorders>
          </w:tcPr>
          <w:p>
            <w:pPr>
              <w:spacing w:after="0"/>
              <w:rPr>
                <w:sz w:val="16"/>
                <w:szCs w:val="16"/>
                <w:color w:val="auto"/>
              </w:rPr>
            </w:pPr>
          </w:p>
        </w:tc>
        <w:tc>
          <w:tcPr>
            <w:tcW w:w="3480" w:type="dxa"/>
            <w:vAlign w:val="bottom"/>
            <w:tcBorders>
              <w:bottom w:val="single" w:sz="8" w:color="B6DDE8"/>
              <w:right w:val="single" w:sz="8" w:color="B6DDE8"/>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2017 (6 months)</w:t>
            </w:r>
          </w:p>
        </w:tc>
        <w:tc>
          <w:tcPr>
            <w:tcW w:w="34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$2,292</w:t>
            </w:r>
          </w:p>
        </w:tc>
        <w:tc>
          <w:tcPr>
            <w:tcW w:w="0" w:type="dxa"/>
            <w:vAlign w:val="bottom"/>
          </w:tcPr>
          <w:p>
            <w:pPr>
              <w:spacing w:after="0"/>
              <w:rPr>
                <w:sz w:val="1"/>
                <w:szCs w:val="1"/>
                <w:color w:val="auto"/>
              </w:rPr>
            </w:pPr>
          </w:p>
        </w:tc>
      </w:tr>
      <w:tr>
        <w:trPr>
          <w:trHeight w:val="264"/>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2018</w:t>
            </w:r>
          </w:p>
        </w:tc>
        <w:tc>
          <w:tcPr>
            <w:tcW w:w="34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2,056</w:t>
            </w:r>
          </w:p>
        </w:tc>
        <w:tc>
          <w:tcPr>
            <w:tcW w:w="0" w:type="dxa"/>
            <w:vAlign w:val="bottom"/>
          </w:tcPr>
          <w:p>
            <w:pPr>
              <w:spacing w:after="0"/>
              <w:rPr>
                <w:sz w:val="1"/>
                <w:szCs w:val="1"/>
                <w:color w:val="auto"/>
              </w:rPr>
            </w:pPr>
          </w:p>
        </w:tc>
      </w:tr>
      <w:tr>
        <w:trPr>
          <w:trHeight w:val="264"/>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2019 and beyond</w:t>
            </w:r>
          </w:p>
        </w:tc>
        <w:tc>
          <w:tcPr>
            <w:tcW w:w="34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1,839</w:t>
            </w:r>
          </w:p>
        </w:tc>
        <w:tc>
          <w:tcPr>
            <w:tcW w:w="0" w:type="dxa"/>
            <w:vAlign w:val="bottom"/>
          </w:tcPr>
          <w:p>
            <w:pPr>
              <w:spacing w:after="0"/>
              <w:rPr>
                <w:sz w:val="1"/>
                <w:szCs w:val="1"/>
                <w:color w:val="auto"/>
              </w:rPr>
            </w:pPr>
          </w:p>
        </w:tc>
      </w:tr>
      <w:tr>
        <w:trPr>
          <w:trHeight w:val="264"/>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348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$6,187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i w:val="1"/>
          <w:iCs w:val="1"/>
          <w:color w:val="auto"/>
        </w:rPr>
        <w:t>Backlog schedule does not include subsea services.</w:t>
      </w:r>
    </w:p>
    <w:p>
      <w:pPr>
        <w:spacing w:after="0" w:line="19" w:lineRule="exact"/>
        <w:rPr>
          <w:rFonts w:ascii="Arial" w:cs="Arial" w:eastAsia="Arial" w:hAnsi="Arial"/>
          <w:sz w:val="18"/>
          <w:szCs w:val="18"/>
          <w:color w:val="auto"/>
        </w:rPr>
      </w:pPr>
    </w:p>
    <w:p>
      <w:pPr>
        <w:ind w:left="900" w:hanging="487"/>
        <w:spacing w:after="0" w:line="247"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20"/>
          <w:szCs w:val="20"/>
          <w:i w:val="1"/>
          <w:iCs w:val="1"/>
          <w:color w:val="auto"/>
        </w:rPr>
        <w:t>For the ENI Coral South project, the scope of work attributed to the risers and subsea flowlines, as well the installation of the umbilical and subsea equipment, is fully consolidated in the financial results of our Subsea business.</w:t>
      </w:r>
    </w:p>
    <w:p>
      <w:pPr>
        <w:sectPr>
          <w:pgSz w:w="11900" w:h="16838" w:orient="portrait"/>
          <w:cols w:equalWidth="0" w:num="1">
            <w:col w:w="11420"/>
          </w:cols>
          <w:pgMar w:left="240" w:top="571"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20"/>
          <w:szCs w:val="20"/>
          <w:b w:val="1"/>
          <w:bCs w:val="1"/>
          <w:color w:val="auto"/>
        </w:rPr>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25"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5600" w:type="dxa"/>
            <w:vAlign w:val="bottom"/>
            <w:tcBorders>
              <w:top w:val="single" w:sz="8" w:color="B8CCE4"/>
              <w:left w:val="single" w:sz="8" w:color="B8CCE4"/>
              <w:right w:val="single" w:sz="8" w:color="B8CCE4"/>
            </w:tcBorders>
          </w:tcPr>
          <w:p>
            <w:pPr>
              <w:spacing w:after="0"/>
              <w:rPr>
                <w:sz w:val="16"/>
                <w:szCs w:val="16"/>
                <w:color w:val="auto"/>
              </w:rPr>
            </w:pPr>
          </w:p>
        </w:tc>
        <w:tc>
          <w:tcPr>
            <w:tcW w:w="1720" w:type="dxa"/>
            <w:vAlign w:val="bottom"/>
            <w:tcBorders>
              <w:top w:val="single" w:sz="8" w:color="B8CCE4"/>
              <w:right w:val="single" w:sz="8" w:color="B8CCE4"/>
            </w:tcBorders>
            <w:vMerge w:val="restart"/>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June 30, 2016 (Pro</w:t>
            </w:r>
          </w:p>
        </w:tc>
        <w:tc>
          <w:tcPr>
            <w:tcW w:w="172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right w:val="single" w:sz="8" w:color="B8CCE4"/>
            </w:tcBorders>
            <w:vMerge w:val="restart"/>
          </w:tcPr>
          <w:p>
            <w:pPr>
              <w:jc w:val="right"/>
              <w:ind w:right="328"/>
              <w:spacing w:after="0"/>
              <w:rPr>
                <w:sz w:val="20"/>
                <w:szCs w:val="20"/>
                <w:color w:val="auto"/>
              </w:rPr>
            </w:pPr>
            <w:r>
              <w:rPr>
                <w:rFonts w:ascii="Arial" w:cs="Arial" w:eastAsia="Arial" w:hAnsi="Arial"/>
                <w:sz w:val="14"/>
                <w:szCs w:val="14"/>
                <w:b w:val="1"/>
                <w:bCs w:val="1"/>
                <w:color w:val="auto"/>
              </w:rPr>
              <w:t>June 30, 2017</w:t>
            </w:r>
          </w:p>
        </w:tc>
        <w:tc>
          <w:tcPr>
            <w:tcW w:w="1700" w:type="dxa"/>
            <w:vAlign w:val="bottom"/>
            <w:tcBorders>
              <w:right w:val="single" w:sz="8" w:color="B8CCE4"/>
            </w:tcBorders>
            <w:vMerge w:val="continue"/>
          </w:tcPr>
          <w:p>
            <w:pPr>
              <w:spacing w:after="0"/>
              <w:rPr>
                <w:sz w:val="7"/>
                <w:szCs w:val="7"/>
                <w:color w:val="auto"/>
              </w:rPr>
            </w:pP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600" w:type="dxa"/>
            <w:vAlign w:val="bottom"/>
            <w:tcBorders>
              <w:left w:val="single" w:sz="8" w:color="B8CCE4"/>
              <w:right w:val="single" w:sz="8" w:color="B8CCE4"/>
            </w:tcBorders>
            <w:vMerge w:val="continue"/>
          </w:tcPr>
          <w:p>
            <w:pPr>
              <w:spacing w:after="0"/>
              <w:rPr>
                <w:sz w:val="9"/>
                <w:szCs w:val="9"/>
                <w:color w:val="auto"/>
              </w:rPr>
            </w:pPr>
          </w:p>
        </w:tc>
        <w:tc>
          <w:tcPr>
            <w:tcW w:w="1720" w:type="dxa"/>
            <w:vAlign w:val="bottom"/>
            <w:tcBorders>
              <w:right w:val="single" w:sz="8" w:color="B8CCE4"/>
            </w:tcBorders>
            <w:vMerge w:val="continue"/>
          </w:tcPr>
          <w:p>
            <w:pPr>
              <w:spacing w:after="0"/>
              <w:rPr>
                <w:sz w:val="9"/>
                <w:szCs w:val="9"/>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Forma)</w:t>
            </w:r>
          </w:p>
        </w:tc>
        <w:tc>
          <w:tcPr>
            <w:tcW w:w="172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00" w:type="dxa"/>
            <w:vAlign w:val="bottom"/>
            <w:tcBorders>
              <w:right w:val="single" w:sz="8" w:color="B8CCE4"/>
            </w:tcBorders>
            <w:vMerge w:val="continue"/>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6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$1,812.9</w:t>
            </w:r>
          </w:p>
        </w:tc>
        <w:tc>
          <w:tcPr>
            <w:tcW w:w="1700" w:type="dxa"/>
            <w:vAlign w:val="bottom"/>
            <w:tcBorders>
              <w:bottom w:val="single" w:sz="8" w:color="B8CCE4"/>
              <w:right w:val="single" w:sz="8" w:color="B8CCE4"/>
            </w:tcBorders>
          </w:tcPr>
          <w:p>
            <w:pPr>
              <w:jc w:val="right"/>
              <w:ind w:right="33"/>
              <w:spacing w:after="0"/>
              <w:rPr>
                <w:sz w:val="20"/>
                <w:szCs w:val="20"/>
                <w:color w:val="auto"/>
              </w:rPr>
            </w:pPr>
            <w:r>
              <w:rPr>
                <w:rFonts w:ascii="Arial" w:cs="Arial" w:eastAsia="Arial" w:hAnsi="Arial"/>
                <w:sz w:val="20"/>
                <w:szCs w:val="20"/>
                <w:color w:val="auto"/>
              </w:rPr>
              <w:t>$2,261.4</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(19.8%)</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204.5</w:t>
            </w:r>
          </w:p>
        </w:tc>
        <w:tc>
          <w:tcPr>
            <w:tcW w:w="1700" w:type="dxa"/>
            <w:vAlign w:val="bottom"/>
            <w:tcBorders>
              <w:bottom w:val="single" w:sz="8" w:color="B8CCE4"/>
              <w:right w:val="single" w:sz="8" w:color="B8CCE4"/>
            </w:tcBorders>
          </w:tcPr>
          <w:p>
            <w:pPr>
              <w:jc w:val="right"/>
              <w:ind w:right="33"/>
              <w:spacing w:after="0"/>
              <w:rPr>
                <w:sz w:val="20"/>
                <w:szCs w:val="20"/>
                <w:color w:val="auto"/>
              </w:rPr>
            </w:pPr>
            <w:r>
              <w:rPr>
                <w:rFonts w:ascii="Arial" w:cs="Arial" w:eastAsia="Arial" w:hAnsi="Arial"/>
                <w:sz w:val="20"/>
                <w:szCs w:val="20"/>
                <w:color w:val="auto"/>
              </w:rPr>
              <w:t>62.5</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227.2%</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187.7</w:t>
            </w:r>
          </w:p>
        </w:tc>
        <w:tc>
          <w:tcPr>
            <w:tcW w:w="1700" w:type="dxa"/>
            <w:vAlign w:val="bottom"/>
            <w:tcBorders>
              <w:bottom w:val="single" w:sz="8" w:color="B8CCE4"/>
              <w:right w:val="single" w:sz="8" w:color="B8CCE4"/>
            </w:tcBorders>
          </w:tcPr>
          <w:p>
            <w:pPr>
              <w:jc w:val="right"/>
              <w:ind w:right="33"/>
              <w:spacing w:after="0"/>
              <w:rPr>
                <w:sz w:val="20"/>
                <w:szCs w:val="20"/>
                <w:color w:val="auto"/>
              </w:rPr>
            </w:pPr>
            <w:r>
              <w:rPr>
                <w:rFonts w:ascii="Arial" w:cs="Arial" w:eastAsia="Arial" w:hAnsi="Arial"/>
                <w:sz w:val="20"/>
                <w:szCs w:val="20"/>
                <w:color w:val="auto"/>
              </w:rPr>
              <w:t>101.8</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84.4%</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10.4%</w:t>
            </w:r>
          </w:p>
        </w:tc>
        <w:tc>
          <w:tcPr>
            <w:tcW w:w="1700" w:type="dxa"/>
            <w:vAlign w:val="bottom"/>
            <w:tcBorders>
              <w:bottom w:val="single" w:sz="8" w:color="B8CCE4"/>
              <w:right w:val="single" w:sz="8" w:color="B8CCE4"/>
            </w:tcBorders>
          </w:tcPr>
          <w:p>
            <w:pPr>
              <w:jc w:val="right"/>
              <w:ind w:right="33"/>
              <w:spacing w:after="0"/>
              <w:rPr>
                <w:sz w:val="20"/>
                <w:szCs w:val="20"/>
                <w:color w:val="auto"/>
              </w:rPr>
            </w:pPr>
            <w:r>
              <w:rPr>
                <w:rFonts w:ascii="Arial" w:cs="Arial" w:eastAsia="Arial" w:hAnsi="Arial"/>
                <w:sz w:val="20"/>
                <w:szCs w:val="20"/>
                <w:color w:val="auto"/>
              </w:rPr>
              <w:t>4.5%</w:t>
            </w:r>
          </w:p>
        </w:tc>
        <w:tc>
          <w:tcPr>
            <w:tcW w:w="17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+590 bps</w:t>
            </w:r>
          </w:p>
        </w:tc>
        <w:tc>
          <w:tcPr>
            <w:tcW w:w="0" w:type="dxa"/>
            <w:vAlign w:val="bottom"/>
          </w:tcPr>
          <w:p>
            <w:pPr>
              <w:spacing w:after="0"/>
              <w:rPr>
                <w:sz w:val="1"/>
                <w:szCs w:val="1"/>
                <w:color w:val="auto"/>
              </w:rPr>
            </w:pPr>
          </w:p>
        </w:tc>
      </w:tr>
      <w:tr>
        <w:trPr>
          <w:trHeight w:val="322"/>
        </w:trPr>
        <w:tc>
          <w:tcPr>
            <w:tcW w:w="5600" w:type="dxa"/>
            <w:vAlign w:val="bottom"/>
            <w:tcBorders>
              <w:left w:val="single" w:sz="8" w:color="B8CCE4"/>
              <w:bottom w:val="single" w:sz="8" w:color="B8CCE4"/>
              <w:right w:val="single" w:sz="8" w:color="B8CCE4"/>
            </w:tcBorders>
          </w:tcPr>
          <w:p>
            <w:pPr>
              <w:spacing w:after="0"/>
              <w:rPr>
                <w:sz w:val="24"/>
                <w:szCs w:val="24"/>
                <w:color w:val="auto"/>
              </w:rPr>
            </w:pPr>
          </w:p>
        </w:tc>
        <w:tc>
          <w:tcPr>
            <w:tcW w:w="1720" w:type="dxa"/>
            <w:vAlign w:val="bottom"/>
            <w:tcBorders>
              <w:bottom w:val="single" w:sz="8" w:color="B8CCE4"/>
              <w:right w:val="single" w:sz="8" w:color="B8CCE4"/>
            </w:tcBorders>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1,103.7</w:t>
            </w:r>
          </w:p>
        </w:tc>
        <w:tc>
          <w:tcPr>
            <w:tcW w:w="1700" w:type="dxa"/>
            <w:vAlign w:val="bottom"/>
          </w:tcPr>
          <w:p>
            <w:pPr>
              <w:spacing w:after="0"/>
              <w:rPr>
                <w:sz w:val="22"/>
                <w:szCs w:val="22"/>
                <w:color w:val="auto"/>
              </w:rPr>
            </w:pPr>
          </w:p>
        </w:tc>
        <w:tc>
          <w:tcPr>
            <w:tcW w:w="172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ind w:right="28"/>
              <w:spacing w:after="0"/>
              <w:rPr>
                <w:sz w:val="20"/>
                <w:szCs w:val="20"/>
                <w:color w:val="auto"/>
              </w:rPr>
            </w:pPr>
            <w:r>
              <w:rPr>
                <w:rFonts w:ascii="Arial" w:cs="Arial" w:eastAsia="Arial" w:hAnsi="Arial"/>
                <w:sz w:val="20"/>
                <w:szCs w:val="20"/>
                <w:color w:val="auto"/>
              </w:rPr>
              <w:t>8,582.0</w:t>
            </w:r>
          </w:p>
        </w:tc>
        <w:tc>
          <w:tcPr>
            <w:tcW w:w="1700" w:type="dxa"/>
            <w:vAlign w:val="bottom"/>
            <w:tcBorders>
              <w:bottom w:val="single" w:sz="8" w:color="B8CCE4"/>
            </w:tcBorders>
          </w:tcPr>
          <w:p>
            <w:pPr>
              <w:spacing w:after="0"/>
              <w:rPr>
                <w:sz w:val="22"/>
                <w:szCs w:val="22"/>
                <w:color w:val="auto"/>
              </w:rPr>
            </w:pPr>
          </w:p>
        </w:tc>
        <w:tc>
          <w:tcPr>
            <w:tcW w:w="172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Onshore/Offshore reported second quarter revenue of $1.8 billion. Revenue declined 19.8 percent from the prior-year quarter. Revenue was lower due to the completion of several projects since the prior year period, most notably in the Middle East and Americas.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Onshore/Offshore reported operating profit of $204.5 million; adjusted EBITDA was $187.7 million with a margin of 10.4 percent. Operating profit and margin improved year-over-year despite the revenue decline as project profitability improved with the achievement of key construction milestones. Results also benefited from the successful resolution of contracts, including the Algiers Refinery and Dong Hejre project. These same factors drove the significant year-over-year improvement in adjusted EBITDA and margin; adjusted EBITDA margin increased 590 basis points from the prior year results.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Onshore/Offshore Highlights</w:t>
      </w:r>
    </w:p>
    <w:p>
      <w:pPr>
        <w:spacing w:after="0" w:line="15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Yamal LNG</w:t>
      </w:r>
    </w:p>
    <w:p>
      <w:pPr>
        <w:spacing w:after="0" w:line="23"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20"/>
          <w:szCs w:val="20"/>
          <w:color w:val="auto"/>
        </w:rPr>
        <w:t>The last two modules to be fabricated in Indonesia sailed away on May 27, 2017, marking another successful milestone for the Yamal project. Fabrication of modules in China, 124 in total, will be completed shortly with the last sail away planned this quarter. 109 modules have already been delivered to the Sabetta construction site.</w:t>
      </w:r>
    </w:p>
    <w:p>
      <w:pPr>
        <w:spacing w:after="0" w:line="14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Shell Prelude FLNG</w:t>
      </w:r>
    </w:p>
    <w:p>
      <w:pPr>
        <w:spacing w:after="0" w:line="23"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20"/>
          <w:szCs w:val="20"/>
          <w:color w:val="auto"/>
        </w:rPr>
        <w:t>Prelude, Shell’s FLNG facility, set sail for Australia on June 29, 2017. Designed for water-depths between 200 to 250 metres deep, the Prelude FLNG facility can produce 3.6 million tonnes per annum (mtpa) of LNG, 1.3 mtpa of condensate, and 0.4 mtpa of LPG once operating. TechnipFMC provides the project management, engineering, procurement, installation, and commissioning for Prelude FLNG.</w:t>
      </w:r>
    </w:p>
    <w:p>
      <w:pPr>
        <w:sectPr>
          <w:pgSz w:w="11900" w:h="16838" w:orient="portrait"/>
          <w:cols w:equalWidth="0" w:num="1">
            <w:col w:w="11420"/>
          </w:cols>
          <w:pgMar w:left="240" w:top="517" w:right="239" w:bottom="1440" w:gutter="0" w:footer="0" w:header="0"/>
        </w:sectPr>
      </w:pPr>
    </w:p>
    <w:bookmarkStart w:id="9" w:name="page10"/>
    <w:bookmarkEnd w:id="9"/>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BP Juniper</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Successful hook-up of the Juniper facility in April. The normally unmanned platform will produce gas from fields located off the south-east coast of Trinidad.</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Statoil Aasta Hansteen Spar</w:t>
      </w:r>
    </w:p>
    <w:p>
      <w:pPr>
        <w:spacing w:after="0" w:line="23"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Arial" w:cs="Arial" w:eastAsia="Arial" w:hAnsi="Arial"/>
          <w:sz w:val="20"/>
          <w:szCs w:val="20"/>
          <w:color w:val="auto"/>
        </w:rPr>
        <w:t>Aasta Hansteen spar, the largest and one of the most sophisticated spar designs, arrived in Norway on June 19, 2017. TechnipFMC scope includes the design, supply and delivery of the complete hull ready for mating for the North Sea.</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CP Chem Polyethylene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mechanical completion certificate was obtained for the CP Chem polyethylene plant on June 16,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Onshore/Offshore inbound orders for the quarter was $1.1 billion and included the following announced awards:</w:t>
      </w:r>
    </w:p>
    <w:p>
      <w:pPr>
        <w:spacing w:after="0" w:line="15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ENI Coral South FLNG in Mozambique</w:t>
      </w:r>
    </w:p>
    <w:p>
      <w:pPr>
        <w:spacing w:after="0" w:line="23" w:lineRule="exact"/>
        <w:rPr>
          <w:rFonts w:ascii="Arial" w:cs="Arial" w:eastAsia="Arial" w:hAnsi="Arial"/>
          <w:sz w:val="18"/>
          <w:szCs w:val="18"/>
          <w:color w:val="auto"/>
        </w:rPr>
      </w:pPr>
    </w:p>
    <w:p>
      <w:pPr>
        <w:ind w:left="660" w:right="20"/>
        <w:spacing w:after="0" w:line="247" w:lineRule="auto"/>
        <w:rPr>
          <w:rFonts w:ascii="Arial" w:cs="Arial" w:eastAsia="Arial" w:hAnsi="Arial"/>
          <w:sz w:val="18"/>
          <w:szCs w:val="18"/>
          <w:color w:val="auto"/>
        </w:rPr>
      </w:pPr>
      <w:r>
        <w:rPr>
          <w:rFonts w:ascii="Arial" w:cs="Arial" w:eastAsia="Arial" w:hAnsi="Arial"/>
          <w:sz w:val="20"/>
          <w:szCs w:val="20"/>
          <w:color w:val="auto"/>
        </w:rPr>
        <w:t>Major integrated contract that covers the Engineering, Procurement, Construction, Installation, Commissioning and Start-up (EPCIC) of the Coral South FLNG facility.</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Novatek Arctic LNG 2 FEED</w:t>
      </w:r>
    </w:p>
    <w:p>
      <w:pPr>
        <w:spacing w:after="0" w:line="23" w:lineRule="exact"/>
        <w:rPr>
          <w:rFonts w:ascii="Arial" w:cs="Arial" w:eastAsia="Arial" w:hAnsi="Arial"/>
          <w:sz w:val="18"/>
          <w:szCs w:val="18"/>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20"/>
          <w:szCs w:val="20"/>
          <w:color w:val="auto"/>
        </w:rPr>
        <w:t>Novatek announced the signing of a Framework Agreement on Strategic Cooperation with TechnipFMC and partners. The agreement is focused on designing and developing future LNG plants based on gravity-based structures for Arctic LNG 2 as well as Novatek’s subsequent LNG projects.</w:t>
      </w:r>
    </w:p>
    <w:p>
      <w:pPr>
        <w:spacing w:after="0" w:line="200" w:lineRule="exact"/>
        <w:rPr>
          <w:sz w:val="20"/>
          <w:szCs w:val="20"/>
          <w:color w:val="auto"/>
        </w:rPr>
      </w:pPr>
    </w:p>
    <w:p>
      <w:pPr>
        <w:spacing w:after="0" w:line="355" w:lineRule="exact"/>
        <w:rPr>
          <w:sz w:val="20"/>
          <w:szCs w:val="20"/>
          <w:color w:val="auto"/>
        </w:rPr>
      </w:pPr>
    </w:p>
    <w:tbl>
      <w:tblPr>
        <w:tblLayout w:type="fixed"/>
        <w:tblInd w:w="430" w:type="dxa"/>
        <w:tblCellMar>
          <w:top w:w="0" w:type="dxa"/>
          <w:left w:w="0" w:type="dxa"/>
          <w:bottom w:w="0" w:type="dxa"/>
          <w:right w:w="0" w:type="dxa"/>
        </w:tblCellMar>
      </w:tblPr>
      <w:tr>
        <w:trPr>
          <w:trHeight w:val="275"/>
        </w:trPr>
        <w:tc>
          <w:tcPr>
            <w:tcW w:w="712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Estimated Backlog Scheduling as of June 30, 2017</w:t>
            </w:r>
          </w:p>
        </w:tc>
        <w:tc>
          <w:tcPr>
            <w:tcW w:w="3480" w:type="dxa"/>
            <w:vAlign w:val="bottom"/>
            <w:tcBorders>
              <w:top w:val="single" w:sz="8" w:color="B6DDE8"/>
              <w:right w:val="single" w:sz="8" w:color="B6DDE8"/>
            </w:tcBorders>
            <w:vMerge w:val="restart"/>
          </w:tcPr>
          <w:p>
            <w:pPr>
              <w:jc w:val="right"/>
              <w:ind w:right="801"/>
              <w:spacing w:after="0"/>
              <w:rPr>
                <w:sz w:val="20"/>
                <w:szCs w:val="20"/>
                <w:color w:val="auto"/>
              </w:rPr>
            </w:pPr>
            <w:r>
              <w:rPr>
                <w:rFonts w:ascii="Arial" w:cs="Arial" w:eastAsia="Arial" w:hAnsi="Arial"/>
                <w:sz w:val="20"/>
                <w:szCs w:val="20"/>
                <w:b w:val="1"/>
                <w:bCs w:val="1"/>
                <w:color w:val="auto"/>
              </w:rPr>
              <w:t>Onshore/Offshore</w:t>
            </w:r>
          </w:p>
        </w:tc>
        <w:tc>
          <w:tcPr>
            <w:tcW w:w="0" w:type="dxa"/>
            <w:vAlign w:val="bottom"/>
          </w:tcPr>
          <w:p>
            <w:pPr>
              <w:spacing w:after="0"/>
              <w:rPr>
                <w:sz w:val="1"/>
                <w:szCs w:val="1"/>
                <w:color w:val="auto"/>
              </w:rPr>
            </w:pPr>
          </w:p>
        </w:tc>
      </w:tr>
      <w:tr>
        <w:trPr>
          <w:trHeight w:val="215"/>
        </w:trPr>
        <w:tc>
          <w:tcPr>
            <w:tcW w:w="712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80" w:type="dxa"/>
            <w:vAlign w:val="bottom"/>
            <w:tcBorders>
              <w:right w:val="single" w:sz="8" w:color="B6DDE8"/>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7120" w:type="dxa"/>
            <w:vAlign w:val="bottom"/>
            <w:tcBorders>
              <w:left w:val="single" w:sz="8" w:color="B6DDE8"/>
              <w:right w:val="single" w:sz="8" w:color="B6DDE8"/>
            </w:tcBorders>
            <w:vMerge w:val="continue"/>
          </w:tcPr>
          <w:p>
            <w:pPr>
              <w:spacing w:after="0"/>
              <w:rPr>
                <w:sz w:val="4"/>
                <w:szCs w:val="4"/>
                <w:color w:val="auto"/>
              </w:rPr>
            </w:pPr>
          </w:p>
        </w:tc>
        <w:tc>
          <w:tcPr>
            <w:tcW w:w="3480" w:type="dxa"/>
            <w:vAlign w:val="bottom"/>
            <w:tcBorders>
              <w:right w:val="single" w:sz="8" w:color="B6DDE8"/>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120" w:type="dxa"/>
            <w:vAlign w:val="bottom"/>
            <w:tcBorders>
              <w:left w:val="single" w:sz="8" w:color="B6DDE8"/>
              <w:bottom w:val="single" w:sz="8" w:color="B6DDE8"/>
              <w:right w:val="single" w:sz="8" w:color="B6DDE8"/>
            </w:tcBorders>
          </w:tcPr>
          <w:p>
            <w:pPr>
              <w:spacing w:after="0"/>
              <w:rPr>
                <w:sz w:val="16"/>
                <w:szCs w:val="16"/>
                <w:color w:val="auto"/>
              </w:rPr>
            </w:pPr>
          </w:p>
        </w:tc>
        <w:tc>
          <w:tcPr>
            <w:tcW w:w="3480" w:type="dxa"/>
            <w:vAlign w:val="bottom"/>
            <w:tcBorders>
              <w:bottom w:val="single" w:sz="8" w:color="B6DDE8"/>
              <w:right w:val="single" w:sz="8" w:color="B6DDE8"/>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2017 (6 months)</w:t>
            </w:r>
          </w:p>
        </w:tc>
        <w:tc>
          <w:tcPr>
            <w:tcW w:w="3480" w:type="dxa"/>
            <w:vAlign w:val="bottom"/>
            <w:tcBorders>
              <w:bottom w:val="single" w:sz="8" w:color="B6DDE8"/>
              <w:right w:val="single" w:sz="8" w:color="B6DDE8"/>
            </w:tcBorders>
          </w:tcPr>
          <w:p>
            <w:pPr>
              <w:jc w:val="right"/>
              <w:ind w:right="21"/>
              <w:spacing w:after="0"/>
              <w:rPr>
                <w:sz w:val="20"/>
                <w:szCs w:val="20"/>
                <w:color w:val="auto"/>
              </w:rPr>
            </w:pPr>
            <w:r>
              <w:rPr>
                <w:rFonts w:ascii="Arial" w:cs="Arial" w:eastAsia="Arial" w:hAnsi="Arial"/>
                <w:sz w:val="20"/>
                <w:szCs w:val="20"/>
                <w:color w:val="auto"/>
              </w:rPr>
              <w:t>$3,673</w:t>
            </w:r>
          </w:p>
        </w:tc>
        <w:tc>
          <w:tcPr>
            <w:tcW w:w="0" w:type="dxa"/>
            <w:vAlign w:val="bottom"/>
          </w:tcPr>
          <w:p>
            <w:pPr>
              <w:spacing w:after="0"/>
              <w:rPr>
                <w:sz w:val="1"/>
                <w:szCs w:val="1"/>
                <w:color w:val="auto"/>
              </w:rPr>
            </w:pPr>
          </w:p>
        </w:tc>
      </w:tr>
      <w:tr>
        <w:trPr>
          <w:trHeight w:val="264"/>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2018</w:t>
            </w:r>
          </w:p>
        </w:tc>
        <w:tc>
          <w:tcPr>
            <w:tcW w:w="3480" w:type="dxa"/>
            <w:vAlign w:val="bottom"/>
            <w:tcBorders>
              <w:bottom w:val="single" w:sz="8" w:color="B6DDE8"/>
              <w:right w:val="single" w:sz="8" w:color="B6DDE8"/>
            </w:tcBorders>
          </w:tcPr>
          <w:p>
            <w:pPr>
              <w:jc w:val="right"/>
              <w:ind w:right="21"/>
              <w:spacing w:after="0"/>
              <w:rPr>
                <w:sz w:val="20"/>
                <w:szCs w:val="20"/>
                <w:color w:val="auto"/>
              </w:rPr>
            </w:pPr>
            <w:r>
              <w:rPr>
                <w:rFonts w:ascii="Arial" w:cs="Arial" w:eastAsia="Arial" w:hAnsi="Arial"/>
                <w:sz w:val="20"/>
                <w:szCs w:val="20"/>
                <w:color w:val="auto"/>
              </w:rPr>
              <w:t>3,295</w:t>
            </w:r>
          </w:p>
        </w:tc>
        <w:tc>
          <w:tcPr>
            <w:tcW w:w="0" w:type="dxa"/>
            <w:vAlign w:val="bottom"/>
          </w:tcPr>
          <w:p>
            <w:pPr>
              <w:spacing w:after="0"/>
              <w:rPr>
                <w:sz w:val="1"/>
                <w:szCs w:val="1"/>
                <w:color w:val="auto"/>
              </w:rPr>
            </w:pPr>
          </w:p>
        </w:tc>
      </w:tr>
      <w:tr>
        <w:trPr>
          <w:trHeight w:val="264"/>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2019 and beyond</w:t>
            </w:r>
          </w:p>
        </w:tc>
        <w:tc>
          <w:tcPr>
            <w:tcW w:w="3480" w:type="dxa"/>
            <w:vAlign w:val="bottom"/>
            <w:tcBorders>
              <w:bottom w:val="single" w:sz="8" w:color="B6DDE8"/>
              <w:right w:val="single" w:sz="8" w:color="B6DDE8"/>
            </w:tcBorders>
          </w:tcPr>
          <w:p>
            <w:pPr>
              <w:jc w:val="right"/>
              <w:ind w:right="21"/>
              <w:spacing w:after="0"/>
              <w:rPr>
                <w:sz w:val="20"/>
                <w:szCs w:val="20"/>
                <w:color w:val="auto"/>
              </w:rPr>
            </w:pPr>
            <w:r>
              <w:rPr>
                <w:rFonts w:ascii="Arial" w:cs="Arial" w:eastAsia="Arial" w:hAnsi="Arial"/>
                <w:sz w:val="20"/>
                <w:szCs w:val="20"/>
                <w:color w:val="auto"/>
              </w:rPr>
              <w:t>1,614</w:t>
            </w:r>
          </w:p>
        </w:tc>
        <w:tc>
          <w:tcPr>
            <w:tcW w:w="0" w:type="dxa"/>
            <w:vAlign w:val="bottom"/>
          </w:tcPr>
          <w:p>
            <w:pPr>
              <w:spacing w:after="0"/>
              <w:rPr>
                <w:sz w:val="1"/>
                <w:szCs w:val="1"/>
                <w:color w:val="auto"/>
              </w:rPr>
            </w:pPr>
          </w:p>
        </w:tc>
      </w:tr>
      <w:tr>
        <w:trPr>
          <w:trHeight w:val="264"/>
        </w:trPr>
        <w:tc>
          <w:tcPr>
            <w:tcW w:w="712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3480" w:type="dxa"/>
            <w:vAlign w:val="bottom"/>
            <w:tcBorders>
              <w:bottom w:val="single" w:sz="8" w:color="B6DDE8"/>
              <w:right w:val="single" w:sz="8" w:color="B6DDE8"/>
            </w:tcBorders>
          </w:tcPr>
          <w:p>
            <w:pPr>
              <w:jc w:val="right"/>
              <w:ind w:right="21"/>
              <w:spacing w:after="0"/>
              <w:rPr>
                <w:sz w:val="20"/>
                <w:szCs w:val="20"/>
                <w:color w:val="auto"/>
              </w:rPr>
            </w:pPr>
            <w:r>
              <w:rPr>
                <w:rFonts w:ascii="Arial" w:cs="Arial" w:eastAsia="Arial" w:hAnsi="Arial"/>
                <w:sz w:val="20"/>
                <w:szCs w:val="20"/>
                <w:b w:val="1"/>
                <w:bCs w:val="1"/>
                <w:color w:val="auto"/>
              </w:rPr>
              <w:t>$8,582</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9"/>
          <w:szCs w:val="19"/>
          <w:i w:val="1"/>
          <w:iCs w:val="1"/>
          <w:color w:val="auto"/>
        </w:rPr>
        <w:t>Backlog does not capture all revenue potential in the coming years given reimbursable scope portions of existing contracts.</w:t>
      </w:r>
    </w:p>
    <w:p>
      <w:pPr>
        <w:spacing w:after="0" w:line="31" w:lineRule="exact"/>
        <w:rPr>
          <w:rFonts w:ascii="Arial" w:cs="Arial" w:eastAsia="Arial" w:hAnsi="Arial"/>
          <w:sz w:val="17"/>
          <w:szCs w:val="17"/>
          <w:color w:val="auto"/>
        </w:rPr>
      </w:pPr>
    </w:p>
    <w:p>
      <w:pPr>
        <w:ind w:left="900" w:hanging="487"/>
        <w:spacing w:after="0" w:line="243"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20"/>
          <w:szCs w:val="20"/>
          <w:i w:val="1"/>
          <w:iCs w:val="1"/>
          <w:color w:val="auto"/>
        </w:rPr>
        <w:t>The Company is not a majority holder of the Coral FLNG joint venture and therefore does not fully consolidate the financial results. Inbound orders and backlog for this portion of the Coral project only reflects work awarded directly to affiliates of TechnipFMC by the joint venture.</w:t>
      </w:r>
    </w:p>
    <w:p>
      <w:pPr>
        <w:sectPr>
          <w:pgSz w:w="11900" w:h="16838" w:orient="portrait"/>
          <w:cols w:equalWidth="0" w:num="1">
            <w:col w:w="11420"/>
          </w:cols>
          <w:pgMar w:left="240" w:top="571"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Reconciliation of U.S. GAAP to non-GAAP financial measures are detailed in financial schedules below.</w:t>
      </w:r>
    </w:p>
    <w:p>
      <w:pPr>
        <w:spacing w:after="0" w:line="125" w:lineRule="exact"/>
        <w:rPr>
          <w:sz w:val="20"/>
          <w:szCs w:val="20"/>
          <w:color w:val="auto"/>
        </w:rPr>
      </w:pPr>
    </w:p>
    <w:tbl>
      <w:tblPr>
        <w:tblLayout w:type="fixed"/>
        <w:tblInd w:w="370" w:type="dxa"/>
        <w:tblCellMar>
          <w:top w:w="0" w:type="dxa"/>
          <w:left w:w="0" w:type="dxa"/>
          <w:bottom w:w="0" w:type="dxa"/>
          <w:right w:w="0" w:type="dxa"/>
        </w:tblCellMar>
      </w:tblPr>
      <w:tr>
        <w:trPr>
          <w:trHeight w:val="189"/>
        </w:trPr>
        <w:tc>
          <w:tcPr>
            <w:tcW w:w="5600" w:type="dxa"/>
            <w:vAlign w:val="bottom"/>
            <w:tcBorders>
              <w:top w:val="single" w:sz="8" w:color="B8CCE4"/>
              <w:left w:val="single" w:sz="8" w:color="B8CCE4"/>
              <w:right w:val="single" w:sz="8" w:color="B8CCE4"/>
            </w:tcBorders>
          </w:tcPr>
          <w:p>
            <w:pPr>
              <w:spacing w:after="0"/>
              <w:rPr>
                <w:sz w:val="16"/>
                <w:szCs w:val="16"/>
                <w:color w:val="auto"/>
              </w:rPr>
            </w:pPr>
          </w:p>
        </w:tc>
        <w:tc>
          <w:tcPr>
            <w:tcW w:w="1720" w:type="dxa"/>
            <w:vAlign w:val="bottom"/>
            <w:tcBorders>
              <w:top w:val="single" w:sz="8" w:color="B8CCE4"/>
              <w:right w:val="single" w:sz="8" w:color="B8CCE4"/>
            </w:tcBorders>
            <w:vMerge w:val="restart"/>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tcBorders>
              <w:top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June 30, 2016 (Pro</w:t>
            </w:r>
          </w:p>
        </w:tc>
        <w:tc>
          <w:tcPr>
            <w:tcW w:w="170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right w:val="single" w:sz="8" w:color="B8CCE4"/>
            </w:tcBorders>
            <w:vMerge w:val="restart"/>
          </w:tcPr>
          <w:p>
            <w:pPr>
              <w:jc w:val="right"/>
              <w:ind w:right="328"/>
              <w:spacing w:after="0"/>
              <w:rPr>
                <w:sz w:val="20"/>
                <w:szCs w:val="20"/>
                <w:color w:val="auto"/>
              </w:rPr>
            </w:pPr>
            <w:r>
              <w:rPr>
                <w:rFonts w:ascii="Arial" w:cs="Arial" w:eastAsia="Arial" w:hAnsi="Arial"/>
                <w:sz w:val="14"/>
                <w:szCs w:val="14"/>
                <w:b w:val="1"/>
                <w:bCs w:val="1"/>
                <w:color w:val="auto"/>
              </w:rPr>
              <w:t>June 30, 2017</w:t>
            </w: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09"/>
        </w:trPr>
        <w:tc>
          <w:tcPr>
            <w:tcW w:w="5600" w:type="dxa"/>
            <w:vAlign w:val="bottom"/>
            <w:tcBorders>
              <w:left w:val="single" w:sz="8" w:color="B8CCE4"/>
              <w:right w:val="single" w:sz="8" w:color="B8CCE4"/>
            </w:tcBorders>
            <w:vMerge w:val="continue"/>
          </w:tcPr>
          <w:p>
            <w:pPr>
              <w:spacing w:after="0"/>
              <w:rPr>
                <w:sz w:val="9"/>
                <w:szCs w:val="9"/>
                <w:color w:val="auto"/>
              </w:rPr>
            </w:pPr>
          </w:p>
        </w:tc>
        <w:tc>
          <w:tcPr>
            <w:tcW w:w="1720" w:type="dxa"/>
            <w:vAlign w:val="bottom"/>
            <w:tcBorders>
              <w:right w:val="single" w:sz="8" w:color="B8CCE4"/>
            </w:tcBorders>
            <w:vMerge w:val="continue"/>
          </w:tcPr>
          <w:p>
            <w:pPr>
              <w:spacing w:after="0"/>
              <w:rPr>
                <w:sz w:val="9"/>
                <w:szCs w:val="9"/>
                <w:color w:val="auto"/>
              </w:rPr>
            </w:pPr>
          </w:p>
        </w:tc>
        <w:tc>
          <w:tcPr>
            <w:tcW w:w="172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Forma)</w:t>
            </w:r>
          </w:p>
        </w:tc>
        <w:tc>
          <w:tcPr>
            <w:tcW w:w="1700" w:type="dxa"/>
            <w:vAlign w:val="bottom"/>
            <w:tcBorders>
              <w:right w:val="single" w:sz="8" w:color="B8CCE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0" w:type="dxa"/>
            <w:vAlign w:val="bottom"/>
            <w:tcBorders>
              <w:left w:val="single" w:sz="8" w:color="B8CCE4"/>
              <w:right w:val="single" w:sz="8" w:color="B8CCE4"/>
            </w:tcBorders>
          </w:tcPr>
          <w:p>
            <w:pPr>
              <w:spacing w:after="0"/>
              <w:rPr>
                <w:sz w:val="7"/>
                <w:szCs w:val="7"/>
                <w:color w:val="auto"/>
              </w:rPr>
            </w:pPr>
          </w:p>
        </w:tc>
        <w:tc>
          <w:tcPr>
            <w:tcW w:w="1720" w:type="dxa"/>
            <w:vAlign w:val="bottom"/>
            <w:tcBorders>
              <w:right w:val="single" w:sz="8" w:color="B8CCE4"/>
            </w:tcBorders>
          </w:tcPr>
          <w:p>
            <w:pPr>
              <w:spacing w:after="0"/>
              <w:rPr>
                <w:sz w:val="7"/>
                <w:szCs w:val="7"/>
                <w:color w:val="auto"/>
              </w:rPr>
            </w:pPr>
          </w:p>
        </w:tc>
        <w:tc>
          <w:tcPr>
            <w:tcW w:w="1720" w:type="dxa"/>
            <w:vAlign w:val="bottom"/>
            <w:tcBorders>
              <w:right w:val="single" w:sz="8" w:color="B8CCE4"/>
            </w:tcBorders>
            <w:vMerge w:val="continue"/>
          </w:tcPr>
          <w:p>
            <w:pPr>
              <w:spacing w:after="0"/>
              <w:rPr>
                <w:sz w:val="7"/>
                <w:szCs w:val="7"/>
                <w:color w:val="auto"/>
              </w:rPr>
            </w:pPr>
          </w:p>
        </w:tc>
        <w:tc>
          <w:tcPr>
            <w:tcW w:w="1700" w:type="dxa"/>
            <w:vAlign w:val="bottom"/>
            <w:tcBorders>
              <w:right w:val="single" w:sz="8" w:color="B8CCE4"/>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600" w:type="dxa"/>
            <w:vAlign w:val="bottom"/>
            <w:tcBorders>
              <w:left w:val="single" w:sz="8" w:color="B8CCE4"/>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20" w:type="dxa"/>
            <w:vAlign w:val="bottom"/>
            <w:tcBorders>
              <w:bottom w:val="single" w:sz="8" w:color="B8CCE4"/>
              <w:right w:val="single" w:sz="8" w:color="B8CCE4"/>
            </w:tcBorders>
          </w:tcPr>
          <w:p>
            <w:pPr>
              <w:spacing w:after="0"/>
              <w:rPr>
                <w:sz w:val="16"/>
                <w:szCs w:val="16"/>
                <w:color w:val="auto"/>
              </w:rPr>
            </w:pPr>
          </w:p>
        </w:tc>
        <w:tc>
          <w:tcPr>
            <w:tcW w:w="1700" w:type="dxa"/>
            <w:vAlign w:val="bottom"/>
            <w:tcBorders>
              <w:bottom w:val="single" w:sz="8" w:color="B8CCE4"/>
              <w:right w:val="single" w:sz="8" w:color="B8CCE4"/>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4C6E7"/>
            </w:tcBorders>
          </w:tcPr>
          <w:p>
            <w:pPr>
              <w:jc w:val="right"/>
              <w:ind w:right="28"/>
              <w:spacing w:after="0"/>
              <w:rPr>
                <w:sz w:val="20"/>
                <w:szCs w:val="20"/>
                <w:color w:val="auto"/>
              </w:rPr>
            </w:pPr>
            <w:r>
              <w:rPr>
                <w:rFonts w:ascii="Arial" w:cs="Arial" w:eastAsia="Arial" w:hAnsi="Arial"/>
                <w:sz w:val="20"/>
                <w:szCs w:val="20"/>
                <w:color w:val="auto"/>
              </w:rPr>
              <w:t>$300.0</w:t>
            </w:r>
          </w:p>
        </w:tc>
        <w:tc>
          <w:tcPr>
            <w:tcW w:w="1720" w:type="dxa"/>
            <w:vAlign w:val="bottom"/>
            <w:tcBorders>
              <w:bottom w:val="single" w:sz="8" w:color="B8CCE4"/>
              <w:right w:val="single" w:sz="8" w:color="B4C6E7"/>
            </w:tcBorders>
          </w:tcPr>
          <w:p>
            <w:pPr>
              <w:jc w:val="right"/>
              <w:ind w:right="53"/>
              <w:spacing w:after="0"/>
              <w:rPr>
                <w:sz w:val="20"/>
                <w:szCs w:val="20"/>
                <w:color w:val="auto"/>
              </w:rPr>
            </w:pPr>
            <w:r>
              <w:rPr>
                <w:rFonts w:ascii="Arial" w:cs="Arial" w:eastAsia="Arial" w:hAnsi="Arial"/>
                <w:sz w:val="20"/>
                <w:szCs w:val="20"/>
                <w:color w:val="auto"/>
              </w:rPr>
              <w:t>$303.8</w:t>
            </w:r>
          </w:p>
        </w:tc>
        <w:tc>
          <w:tcPr>
            <w:tcW w:w="1700" w:type="dxa"/>
            <w:vAlign w:val="bottom"/>
            <w:tcBorders>
              <w:bottom w:val="single" w:sz="8" w:color="B8CCE4"/>
              <w:right w:val="single" w:sz="8" w:color="B8CCE4"/>
            </w:tcBorders>
          </w:tcPr>
          <w:p>
            <w:pPr>
              <w:jc w:val="right"/>
              <w:ind w:right="486"/>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720" w:type="dxa"/>
            <w:vAlign w:val="bottom"/>
            <w:tcBorders>
              <w:bottom w:val="single" w:sz="8" w:color="B4C6E7"/>
              <w:right w:val="single" w:sz="8" w:color="B4C6E7"/>
            </w:tcBorders>
          </w:tcPr>
          <w:p>
            <w:pPr>
              <w:jc w:val="right"/>
              <w:ind w:right="28"/>
              <w:spacing w:after="0"/>
              <w:rPr>
                <w:sz w:val="20"/>
                <w:szCs w:val="20"/>
                <w:color w:val="auto"/>
              </w:rPr>
            </w:pPr>
            <w:r>
              <w:rPr>
                <w:rFonts w:ascii="Arial" w:cs="Arial" w:eastAsia="Arial" w:hAnsi="Arial"/>
                <w:sz w:val="20"/>
                <w:szCs w:val="20"/>
                <w:color w:val="auto"/>
              </w:rPr>
              <w:t>(1.0)</w:t>
            </w:r>
          </w:p>
        </w:tc>
        <w:tc>
          <w:tcPr>
            <w:tcW w:w="17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(24.2)</w:t>
            </w:r>
          </w:p>
        </w:tc>
        <w:tc>
          <w:tcPr>
            <w:tcW w:w="17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4C6E7"/>
              <w:right w:val="single" w:sz="8" w:color="B4C6E7"/>
            </w:tcBorders>
          </w:tcPr>
          <w:p>
            <w:pPr>
              <w:jc w:val="right"/>
              <w:ind w:right="28"/>
              <w:spacing w:after="0"/>
              <w:rPr>
                <w:sz w:val="20"/>
                <w:szCs w:val="20"/>
                <w:color w:val="auto"/>
              </w:rPr>
            </w:pPr>
            <w:r>
              <w:rPr>
                <w:rFonts w:ascii="Arial" w:cs="Arial" w:eastAsia="Arial" w:hAnsi="Arial"/>
                <w:sz w:val="20"/>
                <w:szCs w:val="20"/>
                <w:color w:val="auto"/>
              </w:rPr>
              <w:t>35.9</w:t>
            </w:r>
          </w:p>
        </w:tc>
        <w:tc>
          <w:tcPr>
            <w:tcW w:w="1720" w:type="dxa"/>
            <w:vAlign w:val="bottom"/>
            <w:tcBorders>
              <w:bottom w:val="single" w:sz="8" w:color="B4C6E7"/>
              <w:right w:val="single" w:sz="8" w:color="B4C6E7"/>
            </w:tcBorders>
          </w:tcPr>
          <w:p>
            <w:pPr>
              <w:jc w:val="right"/>
              <w:ind w:right="53"/>
              <w:spacing w:after="0"/>
              <w:rPr>
                <w:sz w:val="20"/>
                <w:szCs w:val="20"/>
                <w:color w:val="auto"/>
              </w:rPr>
            </w:pPr>
            <w:r>
              <w:rPr>
                <w:rFonts w:ascii="Arial" w:cs="Arial" w:eastAsia="Arial" w:hAnsi="Arial"/>
                <w:sz w:val="20"/>
                <w:szCs w:val="20"/>
                <w:color w:val="auto"/>
              </w:rPr>
              <w:t>8.8</w:t>
            </w:r>
          </w:p>
        </w:tc>
        <w:tc>
          <w:tcPr>
            <w:tcW w:w="1700" w:type="dxa"/>
            <w:vAlign w:val="bottom"/>
            <w:tcBorders>
              <w:bottom w:val="single" w:sz="8" w:color="B8CCE4"/>
              <w:right w:val="single" w:sz="8" w:color="B8CCE4"/>
            </w:tcBorders>
          </w:tcPr>
          <w:p>
            <w:pPr>
              <w:jc w:val="right"/>
              <w:ind w:right="446"/>
              <w:spacing w:after="0"/>
              <w:rPr>
                <w:sz w:val="20"/>
                <w:szCs w:val="20"/>
                <w:color w:val="auto"/>
              </w:rPr>
            </w:pPr>
            <w:r>
              <w:rPr>
                <w:rFonts w:ascii="Arial" w:cs="Arial" w:eastAsia="Arial" w:hAnsi="Arial"/>
                <w:sz w:val="20"/>
                <w:szCs w:val="20"/>
                <w:color w:val="auto"/>
              </w:rPr>
              <w:t>308.0%</w:t>
            </w: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4C6E7"/>
              <w:right w:val="single" w:sz="8" w:color="B4C6E7"/>
            </w:tcBorders>
          </w:tcPr>
          <w:p>
            <w:pPr>
              <w:jc w:val="right"/>
              <w:ind w:right="28"/>
              <w:spacing w:after="0"/>
              <w:rPr>
                <w:sz w:val="20"/>
                <w:szCs w:val="20"/>
                <w:color w:val="auto"/>
              </w:rPr>
            </w:pPr>
            <w:r>
              <w:rPr>
                <w:rFonts w:ascii="Arial" w:cs="Arial" w:eastAsia="Arial" w:hAnsi="Arial"/>
                <w:sz w:val="20"/>
                <w:szCs w:val="20"/>
                <w:color w:val="auto"/>
              </w:rPr>
              <w:t>12.0%</w:t>
            </w:r>
          </w:p>
        </w:tc>
        <w:tc>
          <w:tcPr>
            <w:tcW w:w="1720" w:type="dxa"/>
            <w:vAlign w:val="bottom"/>
            <w:tcBorders>
              <w:bottom w:val="single" w:sz="8" w:color="B4C6E7"/>
              <w:right w:val="single" w:sz="8" w:color="B4C6E7"/>
            </w:tcBorders>
          </w:tcPr>
          <w:p>
            <w:pPr>
              <w:jc w:val="right"/>
              <w:ind w:right="53"/>
              <w:spacing w:after="0"/>
              <w:rPr>
                <w:sz w:val="20"/>
                <w:szCs w:val="20"/>
                <w:color w:val="auto"/>
              </w:rPr>
            </w:pPr>
            <w:r>
              <w:rPr>
                <w:rFonts w:ascii="Arial" w:cs="Arial" w:eastAsia="Arial" w:hAnsi="Arial"/>
                <w:sz w:val="20"/>
                <w:szCs w:val="20"/>
                <w:color w:val="auto"/>
              </w:rPr>
              <w:t>2.9%</w:t>
            </w:r>
          </w:p>
        </w:tc>
        <w:tc>
          <w:tcPr>
            <w:tcW w:w="1700" w:type="dxa"/>
            <w:vAlign w:val="bottom"/>
            <w:tcBorders>
              <w:bottom w:val="single" w:sz="8" w:color="B4C6E7"/>
              <w:right w:val="single" w:sz="8" w:color="B8CCE4"/>
            </w:tcBorders>
          </w:tcPr>
          <w:p>
            <w:pPr>
              <w:jc w:val="center"/>
              <w:spacing w:after="0"/>
              <w:rPr>
                <w:sz w:val="20"/>
                <w:szCs w:val="20"/>
                <w:color w:val="auto"/>
              </w:rPr>
            </w:pPr>
            <w:r>
              <w:rPr>
                <w:rFonts w:ascii="Arial" w:cs="Arial" w:eastAsia="Arial" w:hAnsi="Arial"/>
                <w:sz w:val="20"/>
                <w:szCs w:val="20"/>
                <w:color w:val="auto"/>
                <w:w w:val="98"/>
              </w:rPr>
              <w:t>+910 bps</w:t>
            </w:r>
          </w:p>
        </w:tc>
        <w:tc>
          <w:tcPr>
            <w:tcW w:w="0" w:type="dxa"/>
            <w:vAlign w:val="bottom"/>
          </w:tcPr>
          <w:p>
            <w:pPr>
              <w:spacing w:after="0"/>
              <w:rPr>
                <w:sz w:val="1"/>
                <w:szCs w:val="1"/>
                <w:color w:val="auto"/>
              </w:rPr>
            </w:pPr>
          </w:p>
        </w:tc>
      </w:tr>
      <w:tr>
        <w:trPr>
          <w:trHeight w:val="322"/>
        </w:trPr>
        <w:tc>
          <w:tcPr>
            <w:tcW w:w="5600" w:type="dxa"/>
            <w:vAlign w:val="bottom"/>
            <w:tcBorders>
              <w:left w:val="single" w:sz="8" w:color="B8CCE4"/>
              <w:bottom w:val="single" w:sz="8" w:color="B8CCE4"/>
              <w:right w:val="single" w:sz="8" w:color="B8CCE4"/>
            </w:tcBorders>
          </w:tcPr>
          <w:p>
            <w:pPr>
              <w:spacing w:after="0"/>
              <w:rPr>
                <w:sz w:val="24"/>
                <w:szCs w:val="24"/>
                <w:color w:val="auto"/>
              </w:rPr>
            </w:pPr>
          </w:p>
        </w:tc>
        <w:tc>
          <w:tcPr>
            <w:tcW w:w="1720" w:type="dxa"/>
            <w:vAlign w:val="bottom"/>
            <w:tcBorders>
              <w:bottom w:val="single" w:sz="8" w:color="B8CCE4"/>
              <w:right w:val="single" w:sz="8" w:color="B4C6E7"/>
            </w:tcBorders>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Borders>
              <w:right w:val="single" w:sz="8" w:color="B8CCE4"/>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Order intake</w:t>
            </w:r>
          </w:p>
        </w:tc>
        <w:tc>
          <w:tcPr>
            <w:tcW w:w="1720" w:type="dxa"/>
            <w:vAlign w:val="bottom"/>
            <w:tcBorders>
              <w:bottom w:val="single" w:sz="8" w:color="B4C6E7"/>
              <w:right w:val="single" w:sz="8" w:color="B4C6E7"/>
            </w:tcBorders>
          </w:tcPr>
          <w:p>
            <w:pPr>
              <w:jc w:val="right"/>
              <w:ind w:right="28"/>
              <w:spacing w:after="0"/>
              <w:rPr>
                <w:sz w:val="20"/>
                <w:szCs w:val="20"/>
                <w:color w:val="auto"/>
              </w:rPr>
            </w:pPr>
            <w:r>
              <w:rPr>
                <w:rFonts w:ascii="Arial" w:cs="Arial" w:eastAsia="Arial" w:hAnsi="Arial"/>
                <w:sz w:val="20"/>
                <w:szCs w:val="20"/>
                <w:color w:val="auto"/>
              </w:rPr>
              <w:t>276.3</w:t>
            </w:r>
          </w:p>
        </w:tc>
        <w:tc>
          <w:tcPr>
            <w:tcW w:w="1720" w:type="dxa"/>
            <w:vAlign w:val="bottom"/>
          </w:tcPr>
          <w:p>
            <w:pPr>
              <w:spacing w:after="0"/>
              <w:rPr>
                <w:sz w:val="22"/>
                <w:szCs w:val="22"/>
                <w:color w:val="auto"/>
              </w:rPr>
            </w:pPr>
          </w:p>
        </w:tc>
        <w:tc>
          <w:tcPr>
            <w:tcW w:w="1700" w:type="dxa"/>
            <w:vAlign w:val="bottom"/>
            <w:tcBorders>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4C6E7"/>
            </w:tcBorders>
          </w:tcPr>
          <w:p>
            <w:pPr>
              <w:jc w:val="right"/>
              <w:ind w:right="28"/>
              <w:spacing w:after="0"/>
              <w:rPr>
                <w:sz w:val="20"/>
                <w:szCs w:val="20"/>
                <w:color w:val="auto"/>
              </w:rPr>
            </w:pPr>
            <w:r>
              <w:rPr>
                <w:rFonts w:ascii="Arial" w:cs="Arial" w:eastAsia="Arial" w:hAnsi="Arial"/>
                <w:sz w:val="20"/>
                <w:szCs w:val="20"/>
                <w:color w:val="auto"/>
              </w:rPr>
              <w:t>414.1</w:t>
            </w:r>
          </w:p>
        </w:tc>
        <w:tc>
          <w:tcPr>
            <w:tcW w:w="1720" w:type="dxa"/>
            <w:vAlign w:val="bottom"/>
            <w:tcBorders>
              <w:bottom w:val="single" w:sz="8" w:color="B8CCE4"/>
            </w:tcBorders>
          </w:tcPr>
          <w:p>
            <w:pPr>
              <w:spacing w:after="0"/>
              <w:rPr>
                <w:sz w:val="22"/>
                <w:szCs w:val="22"/>
                <w:color w:val="auto"/>
              </w:rPr>
            </w:pPr>
          </w:p>
        </w:tc>
        <w:tc>
          <w:tcPr>
            <w:tcW w:w="170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Surface Technologies reported second quarter revenue of $300 million. Revenue was effectively unchanged from the prior-year quarter.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Surface Technologies reported an operating loss of $1 million; excluding charges and credits, operating profit was $22.5 million.</w:t>
      </w:r>
    </w:p>
    <w:p>
      <w:pPr>
        <w:spacing w:after="0"/>
        <w:rPr>
          <w:sz w:val="20"/>
          <w:szCs w:val="20"/>
          <w:color w:val="auto"/>
        </w:rPr>
      </w:pPr>
      <w:r>
        <w:rPr>
          <w:rFonts w:ascii="Arial" w:cs="Arial" w:eastAsia="Arial" w:hAnsi="Arial"/>
          <w:sz w:val="20"/>
          <w:szCs w:val="20"/>
          <w:color w:val="auto"/>
        </w:rPr>
        <w:t>Adjusted EBITDA was $35.9 million with a margin of 12.0 percent.</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Operating profit and margin improved significantly year-over-year due to the benefit of product mix related to fluid control sales and a more favorable cost structure. These same factors drove the significant year-over-year improvement in adjusted EBITDA and margin; adjusted EBITDA margin increased 910 basis points from the prior year results.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 the North American market, we continued to experience strong demand for pressure control equipment, driven by increased activity and greater completion intensity. Hydraulic fracturing fleet reactivations continued sequentially, leading to growth in the installed base of active equipment that should generate higher levels of consumable demand. As anticipated, inbound orders associated with fleet reactivations moderated in the quarter, but consumables continued at strong levels.</w:t>
      </w: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Activity levels outside North America remain resilient, although pricing continues to impact near-term profitability. Pricing has stabilized in most international markets, with only limited improvement in a few select markets. The Middle East and North Africa continue to offer the best near-term outlook, with strength on both land and shallow water; shallow water opportunities are also prevalent in the North Sea for the Surface Technologies business.</w:t>
      </w:r>
    </w:p>
    <w:p>
      <w:pPr>
        <w:spacing w:after="0" w:line="382"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Inbound orders for the quarter was $276.3 million. Backlog was $414.1 million. In this segment, backlog is generally consumed within six months given the short-cycle nature of the business.</w:t>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Corporate Items</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Corporate expense in the second quarter was $122.3 million. Excluding charges and credits of $22.8 million, corporate expense was $99.5 million, which included $62.0 million of foreign exchange losses.</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Net interest expense was $72.1 million in the quarter, including an increase in the liability payable to joint venture partners of $61.8 million.</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Total depreciation and amortization for the second quarter was $159.5 million, including depreciation and amortization related to purchase price accounting for the merger of $40.4 million.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$56.3 million.</w:t>
      </w:r>
    </w:p>
    <w:p>
      <w:pPr>
        <w:spacing w:after="0" w:line="175"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The Company recorded a tax provision of $86.2 million. The reported tax rate was 35.2 percent. When excluding the impact of a charge associated with a project cancellation in Venezuela, the effective tax rate was 25.9 percent.</w:t>
      </w:r>
    </w:p>
    <w:p>
      <w:pPr>
        <w:sectPr>
          <w:pgSz w:w="11900" w:h="16838" w:orient="portrait"/>
          <w:cols w:equalWidth="0" w:num="1">
            <w:col w:w="11420"/>
          </w:cols>
          <w:pgMar w:left="240" w:top="355"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Guidance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Company’s guidance for 2017 is provided below. The following updates are reflected in the revised outlook:</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ind w:left="660" w:hanging="328"/>
        <w:spacing w:after="0" w:line="21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Onshore/Offshore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at least 8.0% (excluding charges and credits), versus prior guidance of at least 6.5%. The increase incorporates the strong results of the first half relative to guidance.</w:t>
      </w:r>
    </w:p>
    <w:p>
      <w:pPr>
        <w:spacing w:after="0" w:line="38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Other updates include net interest expense, tax rate, and merger integration and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233680</wp:posOffset>
            </wp:positionV>
            <wp:extent cx="2040890" cy="1586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890" cy="1586230"/>
                    </a:xfrm>
                    <a:prstGeom prst="rect">
                      <a:avLst/>
                    </a:prstGeom>
                    <a:noFill/>
                  </pic:spPr>
                </pic:pic>
              </a:graphicData>
            </a:graphic>
          </wp:anchor>
        </w:drawing>
      </w:r>
    </w:p>
    <w:p>
      <w:pPr>
        <w:spacing w:after="0" w:line="38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Subsea</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Revenue at least $6.1 billion</w:t>
      </w:r>
    </w:p>
    <w:p>
      <w:pPr>
        <w:spacing w:after="0" w:line="3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17%</w:t>
      </w:r>
    </w:p>
    <w:p>
      <w:pPr>
        <w:ind w:left="4160"/>
        <w:spacing w:after="0" w:line="225" w:lineRule="auto"/>
        <w:rPr>
          <w:sz w:val="20"/>
          <w:szCs w:val="20"/>
          <w:color w:val="auto"/>
        </w:rPr>
      </w:pPr>
      <w:r>
        <w:rPr>
          <w:rFonts w:ascii="Arial" w:cs="Arial" w:eastAsia="Arial" w:hAnsi="Arial"/>
          <w:sz w:val="20"/>
          <w:szCs w:val="20"/>
          <w:color w:val="auto"/>
        </w:rPr>
        <w:t>(excluding amortization related</w:t>
      </w:r>
    </w:p>
    <w:p>
      <w:pPr>
        <w:ind w:left="4160"/>
        <w:spacing w:after="0" w:line="226" w:lineRule="auto"/>
        <w:rPr>
          <w:sz w:val="20"/>
          <w:szCs w:val="20"/>
          <w:color w:val="auto"/>
        </w:rPr>
      </w:pPr>
      <w:r>
        <w:rPr>
          <w:rFonts w:ascii="Arial" w:cs="Arial" w:eastAsia="Arial" w:hAnsi="Arial"/>
          <w:sz w:val="20"/>
          <w:szCs w:val="20"/>
          <w:color w:val="auto"/>
        </w:rPr>
        <w:t>impact of purchase price</w:t>
      </w:r>
    </w:p>
    <w:p>
      <w:pPr>
        <w:ind w:left="4160"/>
        <w:spacing w:after="0" w:line="225" w:lineRule="auto"/>
        <w:rPr>
          <w:sz w:val="20"/>
          <w:szCs w:val="20"/>
          <w:color w:val="auto"/>
        </w:rPr>
      </w:pPr>
      <w:r>
        <w:rPr>
          <w:rFonts w:ascii="Arial" w:cs="Arial" w:eastAsia="Arial" w:hAnsi="Arial"/>
          <w:sz w:val="20"/>
          <w:szCs w:val="20"/>
          <w:color w:val="auto"/>
        </w:rPr>
        <w:t>accounting, and other charges and</w:t>
      </w:r>
    </w:p>
    <w:p>
      <w:pPr>
        <w:ind w:left="4160"/>
        <w:spacing w:after="0"/>
        <w:rPr>
          <w:sz w:val="20"/>
          <w:szCs w:val="20"/>
          <w:color w:val="auto"/>
        </w:rPr>
      </w:pPr>
      <w:r>
        <w:rPr>
          <w:rFonts w:ascii="Arial" w:cs="Arial" w:eastAsia="Arial" w:hAnsi="Arial"/>
          <w:sz w:val="20"/>
          <w:szCs w:val="20"/>
          <w:color w:val="auto"/>
        </w:rPr>
        <w:t>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353695</wp:posOffset>
            </wp:positionV>
            <wp:extent cx="2040890" cy="1586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158623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Onshore/Offshore</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Revenue at least $7.3 billion</w:t>
      </w:r>
    </w:p>
    <w:p>
      <w:pPr>
        <w:spacing w:after="0" w:line="3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8%</w:t>
      </w:r>
    </w:p>
    <w:p>
      <w:pPr>
        <w:ind w:left="4160"/>
        <w:spacing w:after="0" w:line="225" w:lineRule="auto"/>
        <w:rPr>
          <w:sz w:val="20"/>
          <w:szCs w:val="20"/>
          <w:color w:val="auto"/>
        </w:rPr>
      </w:pPr>
      <w:r>
        <w:rPr>
          <w:rFonts w:ascii="Arial" w:cs="Arial" w:eastAsia="Arial" w:hAnsi="Arial"/>
          <w:sz w:val="20"/>
          <w:szCs w:val="20"/>
          <w:color w:val="auto"/>
        </w:rPr>
        <w:t>(excluding amortization related</w:t>
      </w:r>
    </w:p>
    <w:p>
      <w:pPr>
        <w:ind w:left="4160"/>
        <w:spacing w:after="0" w:line="226" w:lineRule="auto"/>
        <w:rPr>
          <w:sz w:val="20"/>
          <w:szCs w:val="20"/>
          <w:color w:val="auto"/>
        </w:rPr>
      </w:pPr>
      <w:r>
        <w:rPr>
          <w:rFonts w:ascii="Arial" w:cs="Arial" w:eastAsia="Arial" w:hAnsi="Arial"/>
          <w:sz w:val="20"/>
          <w:szCs w:val="20"/>
          <w:color w:val="auto"/>
        </w:rPr>
        <w:t>impact of purchase price</w:t>
      </w:r>
    </w:p>
    <w:p>
      <w:pPr>
        <w:ind w:left="4160"/>
        <w:spacing w:after="0" w:line="225" w:lineRule="auto"/>
        <w:rPr>
          <w:sz w:val="20"/>
          <w:szCs w:val="20"/>
          <w:color w:val="auto"/>
        </w:rPr>
      </w:pPr>
      <w:r>
        <w:rPr>
          <w:rFonts w:ascii="Arial" w:cs="Arial" w:eastAsia="Arial" w:hAnsi="Arial"/>
          <w:sz w:val="20"/>
          <w:szCs w:val="20"/>
          <w:color w:val="auto"/>
        </w:rPr>
        <w:t>accounting, and other charges and</w:t>
      </w:r>
    </w:p>
    <w:p>
      <w:pPr>
        <w:ind w:left="4160"/>
        <w:spacing w:after="0"/>
        <w:rPr>
          <w:sz w:val="20"/>
          <w:szCs w:val="20"/>
          <w:color w:val="auto"/>
        </w:rPr>
      </w:pPr>
      <w:r>
        <w:rPr>
          <w:rFonts w:ascii="Arial" w:cs="Arial" w:eastAsia="Arial" w:hAnsi="Arial"/>
          <w:sz w:val="20"/>
          <w:szCs w:val="20"/>
          <w:color w:val="auto"/>
        </w:rPr>
        <w:t>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353695</wp:posOffset>
            </wp:positionV>
            <wp:extent cx="2040890" cy="1612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161226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Surface Technologies</w:t>
      </w:r>
    </w:p>
    <w:p>
      <w:pPr>
        <w:spacing w:after="0" w:line="5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Revenue at least $1.4 billion</w:t>
      </w:r>
    </w:p>
    <w:p>
      <w:pPr>
        <w:spacing w:after="0" w:line="36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at least 13%</w:t>
      </w:r>
    </w:p>
    <w:p>
      <w:pPr>
        <w:ind w:left="4160"/>
        <w:spacing w:after="0" w:line="225" w:lineRule="auto"/>
        <w:rPr>
          <w:sz w:val="20"/>
          <w:szCs w:val="20"/>
          <w:color w:val="auto"/>
        </w:rPr>
      </w:pPr>
      <w:r>
        <w:rPr>
          <w:rFonts w:ascii="Arial" w:cs="Arial" w:eastAsia="Arial" w:hAnsi="Arial"/>
          <w:sz w:val="20"/>
          <w:szCs w:val="20"/>
          <w:color w:val="auto"/>
        </w:rPr>
        <w:t>(excluding amortization related</w:t>
      </w:r>
    </w:p>
    <w:p>
      <w:pPr>
        <w:ind w:left="4160"/>
        <w:spacing w:after="0" w:line="226" w:lineRule="auto"/>
        <w:rPr>
          <w:sz w:val="20"/>
          <w:szCs w:val="20"/>
          <w:color w:val="auto"/>
        </w:rPr>
      </w:pPr>
      <w:r>
        <w:rPr>
          <w:rFonts w:ascii="Arial" w:cs="Arial" w:eastAsia="Arial" w:hAnsi="Arial"/>
          <w:sz w:val="20"/>
          <w:szCs w:val="20"/>
          <w:color w:val="auto"/>
        </w:rPr>
        <w:t>impact of purchase price</w:t>
      </w:r>
    </w:p>
    <w:p>
      <w:pPr>
        <w:ind w:left="4160"/>
        <w:spacing w:after="0" w:line="225" w:lineRule="auto"/>
        <w:rPr>
          <w:sz w:val="20"/>
          <w:szCs w:val="20"/>
          <w:color w:val="auto"/>
        </w:rPr>
      </w:pPr>
      <w:r>
        <w:rPr>
          <w:rFonts w:ascii="Arial" w:cs="Arial" w:eastAsia="Arial" w:hAnsi="Arial"/>
          <w:sz w:val="20"/>
          <w:szCs w:val="20"/>
          <w:color w:val="auto"/>
        </w:rPr>
        <w:t>accounting, and other charges and</w:t>
      </w:r>
    </w:p>
    <w:p>
      <w:pPr>
        <w:ind w:left="4160"/>
        <w:spacing w:after="0"/>
        <w:rPr>
          <w:sz w:val="20"/>
          <w:szCs w:val="20"/>
          <w:color w:val="auto"/>
        </w:rPr>
      </w:pPr>
      <w:r>
        <w:rPr>
          <w:rFonts w:ascii="Arial" w:cs="Arial" w:eastAsia="Arial" w:hAnsi="Arial"/>
          <w:sz w:val="20"/>
          <w:szCs w:val="20"/>
          <w:color w:val="auto"/>
        </w:rPr>
        <w:t>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490855</wp:posOffset>
            </wp:positionV>
            <wp:extent cx="6569075" cy="2075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907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TechnipFMC</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Corporate Expense </w:t>
      </w:r>
      <w:r>
        <w:rPr>
          <w:rFonts w:ascii="Arial" w:cs="Arial" w:eastAsia="Arial" w:hAnsi="Arial"/>
          <w:sz w:val="20"/>
          <w:szCs w:val="20"/>
          <w:color w:val="auto"/>
        </w:rPr>
        <w:t>$50-$55 million per quarter (excluding the impact foreign currency fluctuations)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$20-$22 million per quarter*</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$125 million Q3-Q4 (total)*</w:t>
      </w:r>
    </w:p>
    <w:p>
      <w:pPr>
        <w:spacing w:after="0" w:line="40" w:lineRule="exact"/>
        <w:rPr>
          <w:sz w:val="20"/>
          <w:szCs w:val="20"/>
          <w:color w:val="auto"/>
        </w:rPr>
      </w:pPr>
    </w:p>
    <w:p>
      <w:pPr>
        <w:ind w:left="580" w:right="94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target remains $400 million annual savings ($200 million exit run-rate 12/31/17, $400 million exit</w:t>
      </w:r>
      <w:r>
        <w:rPr>
          <w:rFonts w:ascii="Arial" w:cs="Arial" w:eastAsia="Arial" w:hAnsi="Arial"/>
          <w:sz w:val="20"/>
          <w:szCs w:val="20"/>
          <w:b w:val="1"/>
          <w:bCs w:val="1"/>
          <w:color w:val="auto"/>
        </w:rPr>
        <w:t xml:space="preserve"> </w:t>
      </w:r>
      <w:r>
        <w:rPr>
          <w:rFonts w:ascii="Arial" w:cs="Arial" w:eastAsia="Arial" w:hAnsi="Arial"/>
          <w:sz w:val="20"/>
          <w:szCs w:val="20"/>
          <w:color w:val="auto"/>
        </w:rPr>
        <w:t>run-rate 12/31/18)</w:t>
      </w:r>
    </w:p>
    <w:p>
      <w:pPr>
        <w:spacing w:after="0" w:line="388"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*Items updated July 26, 2017</w:t>
      </w:r>
    </w:p>
    <w:p>
      <w:pPr>
        <w:sectPr>
          <w:pgSz w:w="11900" w:h="16838" w:orient="portrait"/>
          <w:cols w:equalWidth="0" w:num="1">
            <w:col w:w="11420"/>
          </w:cols>
          <w:pgMar w:left="240" w:top="35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w:t>
      </w:r>
    </w:p>
    <w:p>
      <w:pPr>
        <w:sectPr>
          <w:pgSz w:w="11900" w:h="16838" w:orient="portrait"/>
          <w:cols w:equalWidth="0" w:num="1">
            <w:col w:w="11420"/>
          </w:cols>
          <w:pgMar w:left="240" w:top="355" w:right="239" w:bottom="0" w:gutter="0" w:footer="0" w:header="0"/>
          <w:type w:val="continuous"/>
        </w:sectPr>
      </w:pPr>
    </w:p>
    <w:bookmarkStart w:id="13" w:name="page14"/>
    <w:bookmarkEnd w:id="13"/>
    <w:p>
      <w:pPr>
        <w:jc w:val="both"/>
        <w:ind w:left="5" w:hanging="5"/>
        <w:spacing w:after="0" w:line="227" w:lineRule="auto"/>
        <w:tabs>
          <w:tab w:leader="none" w:pos="155"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Our guidance measure, adjusted EBITDA margin, is a non-GAAP measure. We are unable to provide a reconciliation to a comparable GAAP measure on a forward-looking basis without unreasonable effort because of the unpredictability of the individual components of the most directly comparable GAAP financial measure and the variability of items excluded from such measure. Such information may have a significant, and potentially unpredictable, impact on our future financial results.</w:t>
      </w:r>
    </w:p>
    <w:p>
      <w:pPr>
        <w:sectPr>
          <w:pgSz w:w="11900" w:h="16838" w:orient="portrait"/>
          <w:cols w:equalWidth="0" w:num="1">
            <w:col w:w="11305"/>
          </w:cols>
          <w:pgMar w:left="275" w:top="141" w:right="31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Teleconference</w:t>
      </w:r>
    </w:p>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July 27, 2017 to discuss the second quarter 2017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http://investors.technipfmc.com</w:t>
      </w:r>
      <w:r>
        <w:rPr>
          <w:rFonts w:ascii="Arial" w:cs="Arial" w:eastAsia="Arial" w:hAnsi="Arial"/>
          <w:sz w:val="20"/>
          <w:szCs w:val="20"/>
          <w:color w:val="000000"/>
        </w:rPr>
        <w: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355"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4" w:lineRule="exact"/>
        <w:rPr>
          <w:sz w:val="20"/>
          <w:szCs w:val="20"/>
          <w:color w:val="auto"/>
        </w:rPr>
      </w:pPr>
    </w:p>
    <w:p>
      <w:pPr>
        <w:ind w:right="580"/>
        <w:spacing w:after="0" w:line="272"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268"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286"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40,000 employees is driven by a steady commitment to clients and a culture of purposeful innovation, challenging industry conventions, and rethinking how the best results are achieved.</w:t>
      </w:r>
    </w:p>
    <w:p>
      <w:pPr>
        <w:spacing w:after="0" w:line="272"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8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changes relating to competitive factors in our industry;</w:t>
      </w:r>
    </w:p>
    <w:p>
      <w:pPr>
        <w:spacing w:after="0" w:line="63" w:lineRule="exact"/>
        <w:rPr>
          <w:rFonts w:ascii="Arial" w:cs="Arial" w:eastAsia="Arial" w:hAnsi="Arial"/>
          <w:sz w:val="18"/>
          <w:szCs w:val="18"/>
          <w:i w:val="1"/>
          <w:iCs w:val="1"/>
          <w:color w:val="808080"/>
        </w:rPr>
      </w:pPr>
    </w:p>
    <w:p>
      <w:pPr>
        <w:ind w:left="660" w:right="560" w:hanging="328"/>
        <w:spacing w:after="0" w:line="281" w:lineRule="auto"/>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spacing w:after="0" w:line="1" w:lineRule="exact"/>
        <w:rPr>
          <w:rFonts w:ascii="Arial" w:cs="Arial" w:eastAsia="Arial" w:hAnsi="Arial"/>
          <w:sz w:val="18"/>
          <w:szCs w:val="18"/>
          <w:i w:val="1"/>
          <w:iCs w:val="1"/>
          <w:color w:val="808080"/>
        </w:rPr>
      </w:pPr>
    </w:p>
    <w:p>
      <w:pPr>
        <w:ind w:left="660" w:right="280" w:hanging="328"/>
        <w:spacing w:after="0" w:line="281" w:lineRule="auto"/>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cost overruns related to our fixed price contracts or asset construction projects that may affect revenue;</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timely delivery of our backlog and its effect on our future sales, profitability, and our relationships with our customers;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reliance on subcontractors, suppliers and joint venture partners in the performance of our contracts;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ability to hire and retain key personnel;</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or alliances;</w:t>
      </w:r>
    </w:p>
    <w:p>
      <w:pPr>
        <w:spacing w:after="0" w:line="63" w:lineRule="exact"/>
        <w:rPr>
          <w:rFonts w:ascii="Arial" w:cs="Arial" w:eastAsia="Arial" w:hAnsi="Arial"/>
          <w:sz w:val="18"/>
          <w:szCs w:val="18"/>
          <w:i w:val="1"/>
          <w:iCs w:val="1"/>
          <w:color w:val="808080"/>
        </w:rPr>
      </w:pPr>
    </w:p>
    <w:p>
      <w:pPr>
        <w:ind w:left="660" w:right="80" w:hanging="328"/>
        <w:spacing w:after="0" w:line="281" w:lineRule="auto"/>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U.S. and international laws and regulations, including environmental regulations, that may increase our costs, limit the demand for our products and services or restrict our operations;</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3"/>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political, regulatory, economic and social conditions of the countries in which we conduct business;</w:t>
      </w:r>
    </w:p>
    <w:p>
      <w:pPr>
        <w:sectPr>
          <w:pgSz w:w="11900" w:h="16838" w:orient="portrait"/>
          <w:cols w:equalWidth="0" w:num="1">
            <w:col w:w="11380"/>
          </w:cols>
          <w:pgMar w:left="240" w:top="355" w:right="279" w:bottom="1440" w:gutter="0" w:footer="0" w:header="0"/>
        </w:sectPr>
      </w:pPr>
    </w:p>
    <w:bookmarkStart w:id="16" w:name="page17"/>
    <w:bookmarkEnd w:id="16"/>
    <w:p>
      <w:pPr>
        <w:ind w:left="660" w:right="760" w:hanging="328"/>
        <w:spacing w:after="0" w:line="260" w:lineRule="auto"/>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results of the United Kingdom’s referendum on withdrawal from the European Union;</w:t>
      </w:r>
    </w:p>
    <w:p>
      <w:pPr>
        <w:spacing w:after="0" w:line="45" w:lineRule="exact"/>
        <w:rPr>
          <w:rFonts w:ascii="Arial" w:cs="Arial" w:eastAsia="Arial" w:hAnsi="Arial"/>
          <w:sz w:val="18"/>
          <w:szCs w:val="18"/>
          <w:i w:val="1"/>
          <w:iCs w:val="1"/>
          <w:color w:val="808080"/>
        </w:rPr>
      </w:pPr>
    </w:p>
    <w:p>
      <w:pPr>
        <w:ind w:left="660" w:right="640" w:hanging="328"/>
        <w:spacing w:after="0" w:line="281" w:lineRule="auto"/>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ability to pay dividends or repurchase shares in accordance with our announced capital allocation plan;</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compliance with covenants under our debt instruments and conditions in the credit markets;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the risks of currency exchange rate fluctuations associated with our international operations;</w:t>
      </w:r>
    </w:p>
    <w:p>
      <w:pPr>
        <w:spacing w:after="0" w:line="63" w:lineRule="exact"/>
        <w:rPr>
          <w:rFonts w:ascii="Arial" w:cs="Arial" w:eastAsia="Arial" w:hAnsi="Arial"/>
          <w:sz w:val="18"/>
          <w:szCs w:val="18"/>
          <w:i w:val="1"/>
          <w:iCs w:val="1"/>
          <w:color w:val="808080"/>
        </w:rPr>
      </w:pPr>
    </w:p>
    <w:p>
      <w:pPr>
        <w:ind w:left="660" w:right="260" w:hanging="328"/>
        <w:spacing w:after="0" w:line="266" w:lineRule="auto"/>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4"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merger-related costs;</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or any significant breach of security;</w:t>
      </w:r>
    </w:p>
    <w:p>
      <w:pPr>
        <w:spacing w:after="0" w:line="63"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tax liabilities, or changes in U.S. federal or international tax laws or interpretations to which they are subject; and</w:t>
      </w:r>
    </w:p>
    <w:p>
      <w:pPr>
        <w:spacing w:after="0" w:line="63" w:lineRule="exact"/>
        <w:rPr>
          <w:rFonts w:ascii="Arial" w:cs="Arial" w:eastAsia="Arial" w:hAnsi="Arial"/>
          <w:sz w:val="18"/>
          <w:szCs w:val="18"/>
          <w:i w:val="1"/>
          <w:iCs w:val="1"/>
          <w:color w:val="808080"/>
        </w:rPr>
      </w:pPr>
    </w:p>
    <w:p>
      <w:pPr>
        <w:ind w:left="660" w:right="380" w:hanging="328"/>
        <w:spacing w:after="0" w:line="282" w:lineRule="auto"/>
        <w:tabs>
          <w:tab w:leader="none" w:pos="660" w:val="left"/>
        </w:tabs>
        <w:numPr>
          <w:ilvl w:val="0"/>
          <w:numId w:val="14"/>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0" w:lineRule="exact"/>
        <w:rPr>
          <w:sz w:val="20"/>
          <w:szCs w:val="20"/>
          <w:color w:val="auto"/>
        </w:rPr>
      </w:pP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61"/>
        </w:trPr>
        <w:tc>
          <w:tcPr>
            <w:tcW w:w="414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4820" w:type="dxa"/>
            <w:vAlign w:val="bottom"/>
            <w:gridSpan w:val="5"/>
          </w:tcPr>
          <w:p>
            <w:pPr>
              <w:ind w:left="1080"/>
              <w:spacing w:after="0"/>
              <w:rPr>
                <w:sz w:val="20"/>
                <w:szCs w:val="20"/>
                <w:color w:val="auto"/>
              </w:rPr>
            </w:pPr>
            <w:r>
              <w:rPr>
                <w:rFonts w:ascii="Arial" w:cs="Arial" w:eastAsia="Arial" w:hAnsi="Arial"/>
                <w:sz w:val="20"/>
                <w:szCs w:val="20"/>
                <w:b w:val="1"/>
                <w:bCs w:val="1"/>
                <w:color w:val="auto"/>
              </w:rPr>
              <w:t>Media relations</w:t>
            </w:r>
          </w:p>
        </w:tc>
        <w:tc>
          <w:tcPr>
            <w:tcW w:w="0" w:type="dxa"/>
            <w:vAlign w:val="bottom"/>
          </w:tcPr>
          <w:p>
            <w:pPr>
              <w:spacing w:after="0"/>
              <w:rPr>
                <w:sz w:val="1"/>
                <w:szCs w:val="1"/>
                <w:color w:val="auto"/>
              </w:rPr>
            </w:pPr>
          </w:p>
        </w:tc>
      </w:tr>
      <w:tr>
        <w:trPr>
          <w:trHeight w:val="351"/>
        </w:trPr>
        <w:tc>
          <w:tcPr>
            <w:tcW w:w="414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4820" w:type="dxa"/>
            <w:vAlign w:val="bottom"/>
            <w:gridSpan w:val="5"/>
            <w:vMerge w:val="restart"/>
          </w:tcPr>
          <w:p>
            <w:pPr>
              <w:ind w:left="1080"/>
              <w:spacing w:after="0"/>
              <w:rPr>
                <w:sz w:val="20"/>
                <w:szCs w:val="20"/>
                <w:color w:val="auto"/>
              </w:rPr>
            </w:pPr>
            <w:r>
              <w:rPr>
                <w:rFonts w:ascii="Arial" w:cs="Arial" w:eastAsia="Arial" w:hAnsi="Arial"/>
                <w:sz w:val="20"/>
                <w:szCs w:val="20"/>
                <w:color w:val="auto"/>
              </w:rPr>
              <w:t>Christophe Belorgeot</w:t>
            </w:r>
          </w:p>
        </w:tc>
        <w:tc>
          <w:tcPr>
            <w:tcW w:w="0" w:type="dxa"/>
            <w:vAlign w:val="bottom"/>
          </w:tcPr>
          <w:p>
            <w:pPr>
              <w:spacing w:after="0"/>
              <w:rPr>
                <w:sz w:val="1"/>
                <w:szCs w:val="1"/>
                <w:color w:val="auto"/>
              </w:rPr>
            </w:pPr>
          </w:p>
        </w:tc>
      </w:tr>
      <w:tr>
        <w:trPr>
          <w:trHeight w:val="81"/>
        </w:trPr>
        <w:tc>
          <w:tcPr>
            <w:tcW w:w="4140" w:type="dxa"/>
            <w:vAlign w:val="bottom"/>
            <w:gridSpan w:val="4"/>
            <w:vMerge w:val="restart"/>
          </w:tcPr>
          <w:p>
            <w:pPr>
              <w:spacing w:after="0"/>
              <w:rPr>
                <w:sz w:val="20"/>
                <w:szCs w:val="20"/>
                <w:color w:val="auto"/>
              </w:rPr>
            </w:pPr>
            <w:r>
              <w:rPr>
                <w:rFonts w:ascii="Arial" w:cs="Arial" w:eastAsia="Arial" w:hAnsi="Arial"/>
                <w:sz w:val="20"/>
                <w:szCs w:val="20"/>
                <w:color w:val="auto"/>
              </w:rPr>
              <w:t>Vice President Investor Relations</w:t>
            </w:r>
          </w:p>
        </w:tc>
        <w:tc>
          <w:tcPr>
            <w:tcW w:w="48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40" w:type="dxa"/>
            <w:vAlign w:val="bottom"/>
            <w:gridSpan w:val="4"/>
            <w:vMerge w:val="continue"/>
          </w:tcPr>
          <w:p>
            <w:pPr>
              <w:spacing w:after="0"/>
              <w:rPr>
                <w:sz w:val="18"/>
                <w:szCs w:val="18"/>
                <w:color w:val="auto"/>
              </w:rPr>
            </w:pPr>
          </w:p>
        </w:tc>
        <w:tc>
          <w:tcPr>
            <w:tcW w:w="4820" w:type="dxa"/>
            <w:vAlign w:val="bottom"/>
            <w:gridSpan w:val="5"/>
            <w:vMerge w:val="restart"/>
          </w:tcPr>
          <w:p>
            <w:pPr>
              <w:ind w:left="1080"/>
              <w:spacing w:after="0"/>
              <w:rPr>
                <w:sz w:val="20"/>
                <w:szCs w:val="20"/>
                <w:color w:val="auto"/>
              </w:rPr>
            </w:pPr>
            <w:r>
              <w:rPr>
                <w:rFonts w:ascii="Arial" w:cs="Arial" w:eastAsia="Arial" w:hAnsi="Arial"/>
                <w:sz w:val="20"/>
                <w:szCs w:val="20"/>
                <w:color w:val="auto"/>
                <w:w w:val="98"/>
              </w:rPr>
              <w:t>Vice President Corporate Communications</w:t>
            </w:r>
          </w:p>
        </w:tc>
        <w:tc>
          <w:tcPr>
            <w:tcW w:w="0" w:type="dxa"/>
            <w:vAlign w:val="bottom"/>
          </w:tcPr>
          <w:p>
            <w:pPr>
              <w:spacing w:after="0"/>
              <w:rPr>
                <w:sz w:val="1"/>
                <w:szCs w:val="1"/>
                <w:color w:val="auto"/>
              </w:rPr>
            </w:pPr>
          </w:p>
        </w:tc>
      </w:tr>
      <w:tr>
        <w:trPr>
          <w:trHeight w:val="162"/>
        </w:trPr>
        <w:tc>
          <w:tcPr>
            <w:tcW w:w="4140" w:type="dxa"/>
            <w:vAlign w:val="bottom"/>
            <w:gridSpan w:val="4"/>
            <w:vMerge w:val="restart"/>
          </w:tcPr>
          <w:p>
            <w:pPr>
              <w:spacing w:after="0"/>
              <w:rPr>
                <w:sz w:val="20"/>
                <w:szCs w:val="20"/>
                <w:color w:val="auto"/>
              </w:rPr>
            </w:pPr>
            <w:r>
              <w:rPr>
                <w:rFonts w:ascii="Arial" w:cs="Arial" w:eastAsia="Arial" w:hAnsi="Arial"/>
                <w:sz w:val="20"/>
                <w:szCs w:val="20"/>
                <w:color w:val="auto"/>
              </w:rPr>
              <w:t>Tel: +1 281 260 3665</w:t>
            </w:r>
          </w:p>
        </w:tc>
        <w:tc>
          <w:tcPr>
            <w:tcW w:w="4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40" w:type="dxa"/>
            <w:vAlign w:val="bottom"/>
            <w:gridSpan w:val="4"/>
            <w:vMerge w:val="continue"/>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14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Tel: +33 1 47 78 39 92</w:t>
            </w:r>
          </w:p>
        </w:tc>
        <w:tc>
          <w:tcPr>
            <w:tcW w:w="0" w:type="dxa"/>
            <w:vAlign w:val="bottom"/>
          </w:tcPr>
          <w:p>
            <w:pPr>
              <w:spacing w:after="0"/>
              <w:rPr>
                <w:sz w:val="1"/>
                <w:szCs w:val="1"/>
                <w:color w:val="auto"/>
              </w:rPr>
            </w:pPr>
          </w:p>
        </w:tc>
      </w:tr>
      <w:tr>
        <w:trPr>
          <w:trHeight w:val="304"/>
        </w:trPr>
        <w:tc>
          <w:tcPr>
            <w:tcW w:w="62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140" w:type="dxa"/>
            <w:vAlign w:val="bottom"/>
            <w:gridSpan w:val="4"/>
          </w:tcPr>
          <w:p>
            <w:pPr>
              <w:spacing w:after="0"/>
              <w:rPr>
                <w:sz w:val="20"/>
                <w:szCs w:val="20"/>
                <w:color w:val="auto"/>
              </w:rPr>
            </w:pPr>
            <w:r>
              <w:rPr>
                <w:rFonts w:ascii="Arial" w:cs="Arial" w:eastAsia="Arial" w:hAnsi="Arial"/>
                <w:sz w:val="20"/>
                <w:szCs w:val="20"/>
                <w:color w:val="auto"/>
              </w:rPr>
              <w:t>James Davis</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Delphine Nayral</w:t>
            </w:r>
          </w:p>
        </w:tc>
        <w:tc>
          <w:tcPr>
            <w:tcW w:w="0" w:type="dxa"/>
            <w:vAlign w:val="bottom"/>
          </w:tcPr>
          <w:p>
            <w:pPr>
              <w:spacing w:after="0"/>
              <w:rPr>
                <w:sz w:val="1"/>
                <w:szCs w:val="1"/>
                <w:color w:val="auto"/>
              </w:rPr>
            </w:pPr>
          </w:p>
        </w:tc>
      </w:tr>
      <w:tr>
        <w:trPr>
          <w:trHeight w:val="378"/>
        </w:trPr>
        <w:tc>
          <w:tcPr>
            <w:tcW w:w="4140" w:type="dxa"/>
            <w:vAlign w:val="bottom"/>
            <w:gridSpan w:val="4"/>
          </w:tcPr>
          <w:p>
            <w:pPr>
              <w:spacing w:after="0"/>
              <w:rPr>
                <w:sz w:val="20"/>
                <w:szCs w:val="20"/>
                <w:color w:val="auto"/>
              </w:rPr>
            </w:pPr>
            <w:r>
              <w:rPr>
                <w:rFonts w:ascii="Arial" w:cs="Arial" w:eastAsia="Arial" w:hAnsi="Arial"/>
                <w:sz w:val="20"/>
                <w:szCs w:val="20"/>
                <w:color w:val="auto"/>
              </w:rPr>
              <w:t>Senior Manager Investor Relations</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Manager Public Relations</w:t>
            </w:r>
          </w:p>
        </w:tc>
        <w:tc>
          <w:tcPr>
            <w:tcW w:w="0" w:type="dxa"/>
            <w:vAlign w:val="bottom"/>
          </w:tcPr>
          <w:p>
            <w:pPr>
              <w:spacing w:after="0"/>
              <w:rPr>
                <w:sz w:val="1"/>
                <w:szCs w:val="1"/>
                <w:color w:val="auto"/>
              </w:rPr>
            </w:pPr>
          </w:p>
        </w:tc>
      </w:tr>
      <w:tr>
        <w:trPr>
          <w:trHeight w:val="378"/>
        </w:trPr>
        <w:tc>
          <w:tcPr>
            <w:tcW w:w="4140" w:type="dxa"/>
            <w:vAlign w:val="bottom"/>
            <w:gridSpan w:val="4"/>
          </w:tcPr>
          <w:p>
            <w:pPr>
              <w:spacing w:after="0"/>
              <w:rPr>
                <w:sz w:val="20"/>
                <w:szCs w:val="20"/>
                <w:color w:val="auto"/>
              </w:rPr>
            </w:pPr>
            <w:r>
              <w:rPr>
                <w:rFonts w:ascii="Arial" w:cs="Arial" w:eastAsia="Arial" w:hAnsi="Arial"/>
                <w:sz w:val="20"/>
                <w:szCs w:val="20"/>
                <w:color w:val="auto"/>
              </w:rPr>
              <w:t>Tel: +1 281 260 3665</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Tel: +33 1 47 78 34 83</w:t>
            </w:r>
          </w:p>
        </w:tc>
        <w:tc>
          <w:tcPr>
            <w:tcW w:w="0" w:type="dxa"/>
            <w:vAlign w:val="bottom"/>
          </w:tcPr>
          <w:p>
            <w:pPr>
              <w:spacing w:after="0"/>
              <w:rPr>
                <w:sz w:val="1"/>
                <w:szCs w:val="1"/>
                <w:color w:val="auto"/>
              </w:rPr>
            </w:pPr>
          </w:p>
        </w:tc>
      </w:tr>
      <w:tr>
        <w:trPr>
          <w:trHeight w:val="334"/>
        </w:trPr>
        <w:tc>
          <w:tcPr>
            <w:tcW w:w="4140" w:type="dxa"/>
            <w:vAlign w:val="bottom"/>
            <w:gridSpan w:val="4"/>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James Davis</w:t>
            </w: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Lisa Adams</w:t>
            </w: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Senior Manager Digital Communications</w:t>
            </w: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Tel: +1 281 405 4659</w:t>
            </w:r>
          </w:p>
        </w:tc>
        <w:tc>
          <w:tcPr>
            <w:tcW w:w="0" w:type="dxa"/>
            <w:vAlign w:val="bottom"/>
          </w:tcPr>
          <w:p>
            <w:pPr>
              <w:spacing w:after="0"/>
              <w:rPr>
                <w:sz w:val="1"/>
                <w:szCs w:val="1"/>
                <w:color w:val="auto"/>
              </w:rPr>
            </w:pPr>
          </w:p>
        </w:tc>
      </w:tr>
      <w:tr>
        <w:trPr>
          <w:trHeight w:val="334"/>
        </w:trPr>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20" w:type="dxa"/>
            <w:vAlign w:val="bottom"/>
            <w:gridSpan w:val="5"/>
          </w:tcPr>
          <w:p>
            <w:pPr>
              <w:ind w:left="108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Lisa Adams</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310" w:lineRule="exact"/>
        <w:rPr>
          <w:sz w:val="20"/>
          <w:szCs w:val="20"/>
          <w:color w:val="auto"/>
        </w:rPr>
      </w:pPr>
    </w:p>
    <w:p>
      <w:pPr>
        <w:ind w:left="560" w:hanging="322"/>
        <w:spacing w:after="0" w:line="24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 w:lineRule="exact"/>
        <w:rPr>
          <w:rFonts w:ascii="Arial" w:cs="Arial" w:eastAsia="Arial" w:hAnsi="Arial"/>
          <w:sz w:val="18"/>
          <w:szCs w:val="18"/>
          <w:color w:val="auto"/>
        </w:rPr>
      </w:pPr>
    </w:p>
    <w:p>
      <w:pPr>
        <w:ind w:left="560" w:right="20" w:hanging="322"/>
        <w:spacing w:after="0" w:line="24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20"/>
          <w:szCs w:val="20"/>
          <w:color w:val="auto"/>
        </w:rPr>
        <w:t>In December of 2016, Technip increased its ownership in the Yamal LNG Joint Venture and became the controlling shareholder. Under US GAAP, this resulted in full consolidation of the Joint Venture on the date of the transaction.</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three and six months ended June 30, 2017:</w:t>
      </w:r>
    </w:p>
    <w:p>
      <w:pPr>
        <w:spacing w:after="0" w:line="32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 Technip for the full period;</w:t>
      </w:r>
    </w:p>
    <w:p>
      <w:pPr>
        <w:spacing w:after="0" w:line="53"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June 30, 2017; revenues of $112.9 million during the period from January 1 to January 16, 2017 were excluded, of which approximately 70 percent came from the Subsea segment; and</w:t>
      </w:r>
    </w:p>
    <w:p>
      <w:pPr>
        <w:spacing w:after="0" w:line="44"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33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results for the three and six months ended June 30, 2016 only include the results of Technip, inclusive of the equity in affiliate income from the Yamal LNG joint venture.</w:t>
      </w:r>
    </w:p>
    <w:p>
      <w:pPr>
        <w:spacing w:after="0" w:line="161"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355" w:right="239" w:bottom="1440" w:gutter="0" w:footer="0" w:header="0"/>
        </w:sectPr>
      </w:pPr>
    </w:p>
    <w:bookmarkStart w:id="18" w:name="page19"/>
    <w:bookmarkEnd w:id="18"/>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PLC AND CONSOLIDATED SUBSIDIARIES CONDENSED CONSOLIDATED STATEMENTS OF INCOME </w:t>
      </w:r>
      <w:r>
        <w:rPr>
          <w:rFonts w:ascii="Arial" w:cs="Arial" w:eastAsia="Arial" w:hAnsi="Arial"/>
          <w:sz w:val="18"/>
          <w:szCs w:val="18"/>
          <w:b w:val="1"/>
          <w:bCs w:val="1"/>
          <w:color w:val="auto"/>
        </w:rPr>
        <w:t>(In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58"/>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2"/>
                <w:szCs w:val="22"/>
                <w:color w:val="auto"/>
              </w:rPr>
            </w:pPr>
          </w:p>
        </w:tc>
        <w:tc>
          <w:tcPr>
            <w:tcW w:w="20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4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4,776.2</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3,490.1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6,832.3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4,385.7</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Income before net interest expense and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w w:val="94"/>
              </w:rPr>
              <w:t>Net (income) loss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TechnipFMC plc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TechnipFMC plc: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84"/>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118.9</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7"/>
        </w:trPr>
        <w:tc>
          <w:tcPr>
            <w:tcW w:w="4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26" w:right="13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2"/>
                <w:szCs w:val="22"/>
                <w:color w:val="auto"/>
              </w:rPr>
            </w:pPr>
          </w:p>
        </w:tc>
        <w:tc>
          <w:tcPr>
            <w:tcW w:w="204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r>
      <w:tr>
        <w:trPr>
          <w:trHeight w:val="189"/>
        </w:trPr>
        <w:tc>
          <w:tcPr>
            <w:tcW w:w="20" w:type="dxa"/>
            <w:vAlign w:val="bottom"/>
            <w:shd w:val="clear" w:color="auto" w:fill="CCEEFF"/>
          </w:tcPr>
          <w:p>
            <w:pPr>
              <w:spacing w:after="0"/>
              <w:rPr>
                <w:sz w:val="16"/>
                <w:szCs w:val="16"/>
                <w:color w:val="auto"/>
              </w:rPr>
            </w:pPr>
          </w:p>
        </w:tc>
        <w:tc>
          <w:tcPr>
            <w:tcW w:w="42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Subsea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3,064.4</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3,576.9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1,711.8</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Other revenue and intercompany eliminations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84"/>
        </w:trPr>
        <w:tc>
          <w:tcPr>
            <w:tcW w:w="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42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Segment operating profit (loss)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Subsea</w:t>
            </w:r>
          </w:p>
        </w:tc>
        <w:tc>
          <w:tcPr>
            <w:tcW w:w="19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236.1</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191.5</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290.3</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387.9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243"/>
        </w:trPr>
        <w:tc>
          <w:tcPr>
            <w:tcW w:w="20" w:type="dxa"/>
            <w:vAlign w:val="bottom"/>
          </w:tcPr>
          <w:p>
            <w:pPr>
              <w:spacing w:after="0"/>
              <w:rPr>
                <w:sz w:val="21"/>
                <w:szCs w:val="21"/>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segment operating profit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456.8</w:t>
            </w:r>
          </w:p>
        </w:tc>
      </w:tr>
      <w:tr>
        <w:trPr>
          <w:trHeight w:val="27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Corporate items</w:t>
            </w:r>
          </w:p>
        </w:tc>
        <w:tc>
          <w:tcPr>
            <w:tcW w:w="306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2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Corporate expense, net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(160.1)</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20" w:type="dxa"/>
            <w:vAlign w:val="bottom"/>
          </w:tcPr>
          <w:p>
            <w:pPr>
              <w:spacing w:after="0"/>
              <w:rPr>
                <w:sz w:val="20"/>
                <w:szCs w:val="20"/>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220" w:type="dxa"/>
            <w:vAlign w:val="bottom"/>
            <w:gridSpan w:val="5"/>
          </w:tcPr>
          <w:p>
            <w:pPr>
              <w:spacing w:after="0" w:line="270" w:lineRule="exact"/>
              <w:rPr>
                <w:sz w:val="20"/>
                <w:szCs w:val="20"/>
                <w:color w:val="auto"/>
              </w:rPr>
            </w:pPr>
            <w:r>
              <w:rPr>
                <w:rFonts w:ascii="Arial" w:cs="Arial" w:eastAsia="Arial" w:hAnsi="Arial"/>
                <w:sz w:val="18"/>
                <w:szCs w:val="18"/>
                <w:color w:val="auto"/>
              </w:rPr>
              <w:t xml:space="preserve">Net income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275.7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right="80" w:hanging="157"/>
        <w:spacing w:after="0" w:line="265" w:lineRule="auto"/>
        <w:tabs>
          <w:tab w:leader="none" w:pos="184"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Corporate expense, net primarily includes corporate staff expenses, stock-based compensation expenses, other employee benefits, certain foreign exchange gains and losses, and merger-related transaction expenses.</w:t>
      </w:r>
    </w:p>
    <w:p>
      <w:pPr>
        <w:spacing w:after="0" w:line="15" w:lineRule="exact"/>
        <w:rPr>
          <w:rFonts w:ascii="Arial" w:cs="Arial" w:eastAsia="Arial" w:hAnsi="Arial"/>
          <w:sz w:val="19"/>
          <w:szCs w:val="19"/>
          <w:color w:val="auto"/>
          <w:vertAlign w:val="superscript"/>
        </w:rPr>
      </w:pPr>
    </w:p>
    <w:p>
      <w:pPr>
        <w:ind w:left="180" w:hanging="157"/>
        <w:spacing w:after="0"/>
        <w:tabs>
          <w:tab w:leader="none" w:pos="18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Includes amounts attributable to noncontrolling interests.</w:t>
      </w:r>
    </w:p>
    <w:p>
      <w:pPr>
        <w:sectPr>
          <w:pgSz w:w="11900" w:h="16838" w:orient="portrait"/>
          <w:cols w:equalWidth="0" w:num="1">
            <w:col w:w="9160"/>
          </w:cols>
          <w:pgMar w:left="1380" w:top="526" w:right="135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and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4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189"/>
        </w:trPr>
        <w:tc>
          <w:tcPr>
            <w:tcW w:w="20" w:type="dxa"/>
            <w:vAlign w:val="bottom"/>
          </w:tcPr>
          <w:p>
            <w:pPr>
              <w:spacing w:after="0"/>
              <w:rPr>
                <w:sz w:val="16"/>
                <w:szCs w:val="16"/>
                <w:color w:val="auto"/>
              </w:rPr>
            </w:pPr>
          </w:p>
        </w:tc>
        <w:tc>
          <w:tcPr>
            <w:tcW w:w="4040" w:type="dxa"/>
            <w:vAlign w:val="bottom"/>
            <w:gridSpan w:val="3"/>
          </w:tcPr>
          <w:p>
            <w:pPr>
              <w:spacing w:after="0" w:line="189" w:lineRule="exact"/>
              <w:rPr>
                <w:sz w:val="20"/>
                <w:szCs w:val="20"/>
                <w:color w:val="auto"/>
              </w:rPr>
            </w:pPr>
            <w:r>
              <w:rPr>
                <w:rFonts w:ascii="Arial" w:cs="Arial" w:eastAsia="Arial" w:hAnsi="Arial"/>
                <w:sz w:val="15"/>
                <w:szCs w:val="15"/>
                <w:b w:val="1"/>
                <w:bCs w:val="1"/>
                <w:color w:val="auto"/>
              </w:rPr>
              <w:t xml:space="preserve">Inbound Orders </w:t>
            </w:r>
            <w:r>
              <w:rPr>
                <w:rFonts w:ascii="Arial" w:cs="Arial" w:eastAsia="Arial" w:hAnsi="Arial"/>
                <w:sz w:val="21"/>
                <w:szCs w:val="21"/>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1,330.5</w:t>
            </w:r>
          </w:p>
        </w:tc>
      </w:tr>
      <w:tr>
        <w:trPr>
          <w:trHeight w:val="243"/>
        </w:trPr>
        <w:tc>
          <w:tcPr>
            <w:tcW w:w="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1,342.0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Total inbound orders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4,742.5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2,672.5</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1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189"/>
        </w:trPr>
        <w:tc>
          <w:tcPr>
            <w:tcW w:w="20" w:type="dxa"/>
            <w:vAlign w:val="bottom"/>
          </w:tcPr>
          <w:p>
            <w:pPr>
              <w:spacing w:after="0"/>
              <w:rPr>
                <w:sz w:val="16"/>
                <w:szCs w:val="16"/>
                <w:color w:val="auto"/>
              </w:rPr>
            </w:pPr>
          </w:p>
        </w:tc>
        <w:tc>
          <w:tcPr>
            <w:tcW w:w="4040" w:type="dxa"/>
            <w:vAlign w:val="bottom"/>
            <w:gridSpan w:val="3"/>
          </w:tcPr>
          <w:p>
            <w:pPr>
              <w:spacing w:after="0" w:line="189" w:lineRule="exact"/>
              <w:rPr>
                <w:sz w:val="20"/>
                <w:szCs w:val="20"/>
                <w:color w:val="auto"/>
              </w:rPr>
            </w:pPr>
            <w:r>
              <w:rPr>
                <w:rFonts w:ascii="Arial" w:cs="Arial" w:eastAsia="Arial" w:hAnsi="Arial"/>
                <w:sz w:val="15"/>
                <w:szCs w:val="15"/>
                <w:b w:val="1"/>
                <w:bCs w:val="1"/>
                <w:color w:val="auto"/>
              </w:rPr>
              <w:t xml:space="preserve">Order Backlog </w:t>
            </w:r>
            <w:r>
              <w:rPr>
                <w:rFonts w:ascii="Arial" w:cs="Arial" w:eastAsia="Arial" w:hAnsi="Arial"/>
                <w:sz w:val="21"/>
                <w:szCs w:val="21"/>
                <w:b w:val="1"/>
                <w:bCs w:val="1"/>
                <w:color w:val="auto"/>
                <w:vertAlign w:val="superscript"/>
              </w:rPr>
              <w:t>(2)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45"/>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6,547.8</w:t>
            </w:r>
          </w:p>
        </w:tc>
      </w:tr>
      <w:tr>
        <w:trPr>
          <w:trHeight w:val="243"/>
        </w:trPr>
        <w:tc>
          <w:tcPr>
            <w:tcW w:w="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8,528.2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Total order backlog</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15,182.9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15,076.0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80" w:hanging="157"/>
        <w:spacing w:after="0"/>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Inbound orders represent the estimated sales value of confirmed customer orders received during the reporting period.</w:t>
      </w:r>
    </w:p>
    <w:p>
      <w:pPr>
        <w:spacing w:after="0" w:line="64" w:lineRule="exact"/>
        <w:rPr>
          <w:rFonts w:ascii="Arial" w:cs="Arial" w:eastAsia="Arial" w:hAnsi="Arial"/>
          <w:sz w:val="19"/>
          <w:szCs w:val="19"/>
          <w:color w:val="auto"/>
          <w:vertAlign w:val="superscript"/>
        </w:rPr>
      </w:pPr>
    </w:p>
    <w:p>
      <w:pPr>
        <w:ind w:left="180" w:hanging="157"/>
        <w:spacing w:after="0" w:line="211" w:lineRule="auto"/>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Order backlog is calculated as the estimated sales value of unfilled, confirmed customer orders at the reporting date.</w:t>
      </w:r>
    </w:p>
    <w:p>
      <w:pPr>
        <w:sectPr>
          <w:pgSz w:w="11900" w:h="16838" w:orient="portrait"/>
          <w:cols w:equalWidth="0" w:num="1">
            <w:col w:w="9160"/>
          </w:cols>
          <w:pgMar w:left="1380" w:top="526" w:right="1359" w:bottom="1440" w:gutter="0" w:footer="0" w:header="0"/>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BALANCE SHEETS </w:t>
      </w:r>
      <w:r>
        <w:rPr>
          <w:rFonts w:ascii="Arial" w:cs="Arial" w:eastAsia="Arial" w:hAnsi="Arial"/>
          <w:sz w:val="18"/>
          <w:szCs w:val="18"/>
          <w:b w:val="1"/>
          <w:bCs w:val="1"/>
          <w:color w:val="auto"/>
        </w:rPr>
        <w:t>(In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(unaudited)</w:t>
            </w:r>
          </w:p>
        </w:tc>
      </w:tr>
      <w:tr>
        <w:trPr>
          <w:trHeight w:val="152"/>
        </w:trPr>
        <w:tc>
          <w:tcPr>
            <w:tcW w:w="6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14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2,024.5</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in excess of billings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334.7</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1,822.9</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13,930.7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10,937.2</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2,620.1</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173.7</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1,240.4</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29,524.5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18,689.7</w:t>
            </w:r>
          </w:p>
        </w:tc>
      </w:tr>
      <w:tr>
        <w:trPr>
          <w:trHeight w:val="67"/>
        </w:trPr>
        <w:tc>
          <w:tcPr>
            <w:tcW w:w="65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64"/>
        </w:trPr>
        <w:tc>
          <w:tcPr>
            <w:tcW w:w="6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683.6</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411.1</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2,633.5</w:t>
            </w: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10,888.9</w:t>
            </w:r>
          </w:p>
        </w:tc>
      </w:tr>
      <w:tr>
        <w:trPr>
          <w:trHeight w:val="284"/>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819.6</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TechnipFMC plc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5,123.6</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18,689.7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22" w:name="page23"/>
    <w:bookmarkEnd w:id="22"/>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CONDENSED CONSOLIDATED STATEMENT OF CASH FLOWS </w:t>
      </w:r>
      <w:r>
        <w:rPr>
          <w:rFonts w:ascii="Arial" w:cs="Arial" w:eastAsia="Arial" w:hAnsi="Arial"/>
          <w:sz w:val="18"/>
          <w:szCs w:val="18"/>
          <w:b w:val="1"/>
          <w:bCs w:val="1"/>
          <w:color w:val="auto"/>
        </w:rPr>
        <w:t>(In millions)</w:t>
      </w:r>
    </w:p>
    <w:p>
      <w:pPr>
        <w:spacing w:after="0" w:line="18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5"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697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224.4</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Trade accounts receivable, net and costs in excess of billings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(398.9)</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Accounts payable, trade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64.2</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payments and billings in excess of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155.2</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426.2</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acquired in merger of Technip and FMC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(required)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Net increase (decrease) in debt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(291.5)</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required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8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3,178.0</w:t>
            </w:r>
          </w:p>
        </w:tc>
      </w:tr>
      <w:tr>
        <w:trPr>
          <w:trHeight w:val="277"/>
        </w:trPr>
        <w:tc>
          <w:tcPr>
            <w:tcW w:w="6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526" w:right="1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39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 The financial results reflect the following information:</w:t>
      </w:r>
    </w:p>
    <w:p>
      <w:pPr>
        <w:spacing w:after="0" w:line="310" w:lineRule="exact"/>
        <w:rPr>
          <w:sz w:val="20"/>
          <w:szCs w:val="20"/>
          <w:color w:val="auto"/>
        </w:rPr>
      </w:pPr>
    </w:p>
    <w:p>
      <w:pPr>
        <w:ind w:left="560" w:hanging="322"/>
        <w:spacing w:after="0" w:line="239"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1" w:lineRule="exact"/>
        <w:rPr>
          <w:rFonts w:ascii="Arial" w:cs="Arial" w:eastAsia="Arial" w:hAnsi="Arial"/>
          <w:sz w:val="18"/>
          <w:szCs w:val="18"/>
          <w:color w:val="auto"/>
        </w:rPr>
      </w:pPr>
    </w:p>
    <w:p>
      <w:pPr>
        <w:jc w:val="both"/>
        <w:ind w:left="560" w:hanging="322"/>
        <w:spacing w:after="0" w:line="243"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In December of 2016, Technip increased its ownership in the Yamal LNG joint venture and became the controlling shareholder. Under US GAAP, this would have resulted in full consolidation of the joint venture on the date of the transaction.</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three and six months ended June 30, 2017:</w:t>
      </w:r>
    </w:p>
    <w:p>
      <w:pPr>
        <w:spacing w:after="0" w:line="32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spacing w:after="0" w:line="53" w:lineRule="exact"/>
        <w:rPr>
          <w:rFonts w:ascii="Arial" w:cs="Arial" w:eastAsia="Arial" w:hAnsi="Arial"/>
          <w:sz w:val="20"/>
          <w:szCs w:val="20"/>
          <w:color w:val="auto"/>
        </w:rPr>
      </w:pPr>
    </w:p>
    <w:p>
      <w:pPr>
        <w:jc w:val="both"/>
        <w:ind w:left="660" w:hanging="328"/>
        <w:spacing w:after="0" w:line="243"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June 30, 2017; revenues of $112.9 million during the period from January 1 to January 16, 2017 were excluded, of which approximately 70 percent from Subsea and the remainder from Surface Technologies; and</w:t>
      </w:r>
    </w:p>
    <w:p>
      <w:pPr>
        <w:spacing w:after="0" w:line="44" w:lineRule="exact"/>
        <w:rPr>
          <w:rFonts w:ascii="Arial" w:cs="Arial" w:eastAsia="Arial" w:hAnsi="Arial"/>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Non-GAAP pro forma results for the three and six months ended June 30, 2016:</w:t>
      </w:r>
    </w:p>
    <w:p>
      <w:pPr>
        <w:spacing w:after="0" w:line="32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Include the results of both Technip and FMC Technologies for the full period;</w:t>
      </w:r>
    </w:p>
    <w:p>
      <w:pPr>
        <w:ind w:left="660" w:hanging="328"/>
        <w:spacing w:after="0" w:line="239"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Combine FMC Technologies’ former Surface Technologies and Energy Infrastructure segments to form the pro forma Surface Technologies segment;</w:t>
      </w:r>
    </w:p>
    <w:p>
      <w:pPr>
        <w:spacing w:after="0" w:line="1" w:lineRule="exact"/>
        <w:rPr>
          <w:rFonts w:ascii="Arial" w:cs="Arial" w:eastAsia="Arial" w:hAnsi="Arial"/>
          <w:sz w:val="20"/>
          <w:szCs w:val="20"/>
          <w:color w:val="auto"/>
        </w:rPr>
      </w:pPr>
    </w:p>
    <w:p>
      <w:pPr>
        <w:ind w:left="660" w:hanging="328"/>
        <w:spacing w:after="0" w:line="239"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Purchase price accounting adjustments applied on an equal basis to results for the three and six months ended June 30, 2017 to provide comparability;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Fully consolidate the Yamal LNG joint venture for the full period, within the Onshore/Offshore segment.</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355" w:right="239" w:bottom="1440" w:gutter="0" w:footer="0" w:header="0"/>
        </w:sectPr>
      </w:pPr>
    </w:p>
    <w:bookmarkStart w:id="24" w:name="page25"/>
    <w:bookmarkEnd w:id="24"/>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First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213995</wp:posOffset>
            </wp:positionV>
            <wp:extent cx="4896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6"/>
          </w:tcPr>
          <w:p>
            <w:pPr>
              <w:jc w:val="center"/>
              <w:ind w:left="408"/>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Net (income)</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Net income</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loss attributable</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Provision for</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interest</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TechnipFMC</w:t>
            </w: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plc</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taxes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476.8</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7"/>
              </w:rPr>
              <w:t>Impairment and 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5"/>
              </w:rPr>
              <w:t>Business combination</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Change in accounting</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accounting</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3"/>
        </w:trPr>
        <w:tc>
          <w:tcPr>
            <w:tcW w:w="14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Adjusted financial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382.2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501.3</w:t>
            </w:r>
          </w:p>
        </w:tc>
        <w:tc>
          <w:tcPr>
            <w:tcW w:w="0" w:type="dxa"/>
            <w:vAlign w:val="bottom"/>
          </w:tcPr>
          <w:p>
            <w:pPr>
              <w:spacing w:after="0"/>
              <w:rPr>
                <w:sz w:val="1"/>
                <w:szCs w:val="1"/>
                <w:color w:val="auto"/>
              </w:rPr>
            </w:pPr>
          </w:p>
        </w:tc>
      </w:tr>
      <w:tr>
        <w:trPr>
          <w:trHeight w:val="181"/>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measures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497205</wp:posOffset>
            </wp:positionV>
            <wp:extent cx="47853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5"/>
              </w:rPr>
              <w:t>Pro Forma 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before net</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Income before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(income)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income</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taxes,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loss attributable</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(including legacy FMC</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Provision for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interest</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Technologies and PPA</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TechnipFMC</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(Operating</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92"/>
        </w:trPr>
        <w:tc>
          <w:tcPr>
            <w:tcW w:w="166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plc</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taxes</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166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60" w:type="dxa"/>
            <w:vAlign w:val="bottom"/>
          </w:tcPr>
          <w:p>
            <w:pPr>
              <w:ind w:left="160"/>
              <w:spacing w:after="0" w:line="157" w:lineRule="exact"/>
              <w:rPr>
                <w:sz w:val="20"/>
                <w:szCs w:val="20"/>
                <w:color w:val="auto"/>
              </w:rPr>
            </w:pPr>
            <w:r>
              <w:rPr>
                <w:rFonts w:ascii="Arial" w:cs="Arial" w:eastAsia="Arial" w:hAnsi="Arial"/>
                <w:sz w:val="14"/>
                <w:szCs w:val="14"/>
                <w:color w:val="auto"/>
              </w:rPr>
              <w:t>Impairment and other</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160"/>
              <w:spacing w:after="0"/>
              <w:rPr>
                <w:sz w:val="20"/>
                <w:szCs w:val="20"/>
                <w:color w:val="auto"/>
              </w:rPr>
            </w:pPr>
            <w:r>
              <w:rPr>
                <w:rFonts w:ascii="Arial" w:cs="Arial" w:eastAsia="Arial" w:hAnsi="Arial"/>
                <w:sz w:val="14"/>
                <w:szCs w:val="14"/>
                <w:color w:val="auto"/>
              </w:rPr>
              <w:t>charges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3"/>
        </w:trPr>
        <w:tc>
          <w:tcPr>
            <w:tcW w:w="1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57"/>
        </w:trPr>
        <w:tc>
          <w:tcPr>
            <w:tcW w:w="1660" w:type="dxa"/>
            <w:vAlign w:val="bottom"/>
          </w:tcPr>
          <w:p>
            <w:pPr>
              <w:ind w:left="160"/>
              <w:spacing w:after="0" w:line="157" w:lineRule="exact"/>
              <w:rPr>
                <w:sz w:val="20"/>
                <w:szCs w:val="20"/>
                <w:color w:val="auto"/>
              </w:rPr>
            </w:pPr>
            <w:r>
              <w:rPr>
                <w:rFonts w:ascii="Arial" w:cs="Arial" w:eastAsia="Arial" w:hAnsi="Arial"/>
                <w:sz w:val="14"/>
                <w:szCs w:val="14"/>
                <w:color w:val="auto"/>
              </w:rPr>
              <w:t>Business combination</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3"/>
        </w:trPr>
        <w:tc>
          <w:tcPr>
            <w:tcW w:w="1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accounting adjustments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7"/>
        </w:trPr>
        <w:tc>
          <w:tcPr>
            <w:tcW w:w="166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121.1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86"/>
        </w:trPr>
        <w:tc>
          <w:tcPr>
            <w:tcW w:w="1660" w:type="dxa"/>
            <w:vAlign w:val="bottom"/>
          </w:tcPr>
          <w:p>
            <w:pPr>
              <w:ind w:left="20"/>
              <w:spacing w:after="0"/>
              <w:rPr>
                <w:sz w:val="20"/>
                <w:szCs w:val="20"/>
                <w:color w:val="auto"/>
              </w:rPr>
            </w:pPr>
            <w:r>
              <w:rPr>
                <w:rFonts w:ascii="Arial" w:cs="Arial" w:eastAsia="Arial" w:hAnsi="Arial"/>
                <w:sz w:val="14"/>
                <w:szCs w:val="14"/>
                <w:color w:val="auto"/>
              </w:rPr>
              <w:t>measures</w:t>
            </w:r>
          </w:p>
        </w:tc>
        <w:tc>
          <w:tcPr>
            <w:tcW w:w="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240" w:top="526" w:right="439" w:bottom="1440" w:gutter="0" w:footer="0" w:header="0"/>
        </w:sectPr>
      </w:pPr>
    </w:p>
    <w:bookmarkStart w:id="25" w:name="page26"/>
    <w:bookmarkEnd w:id="25"/>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Charges and Credits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First Quarter 2017 Earnings Release also includes non-GAAP financial measures (as defined in Item 10 of Regulation S-K of the Securities Exchange Act of 1934, as amended) and describes performance on a year-over-year basis against 2016 pro forma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213995</wp:posOffset>
            </wp:positionV>
            <wp:extent cx="4879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389"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before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Income before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(income)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Net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net interest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taxes,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loss attributable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40" w:type="dxa"/>
            <w:vAlign w:val="bottom"/>
          </w:tcPr>
          <w:p>
            <w:pPr>
              <w:spacing w:after="0"/>
              <w:rPr>
                <w:sz w:val="12"/>
                <w:szCs w:val="12"/>
                <w:color w:val="auto"/>
              </w:rPr>
            </w:pPr>
          </w:p>
        </w:tc>
        <w:tc>
          <w:tcPr>
            <w:tcW w:w="10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1"/>
              </w:rPr>
              <w:t>Depreciation</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w:t>
            </w:r>
          </w:p>
        </w:tc>
        <w:tc>
          <w:tcPr>
            <w:tcW w:w="40" w:type="dxa"/>
            <w:vAlign w:val="bottom"/>
          </w:tcPr>
          <w:p>
            <w:pPr>
              <w:spacing w:after="0"/>
              <w:rPr>
                <w:sz w:val="12"/>
                <w:szCs w:val="12"/>
                <w:color w:val="auto"/>
              </w:rPr>
            </w:pPr>
          </w:p>
        </w:tc>
        <w:tc>
          <w:tcPr>
            <w:tcW w:w="100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4"/>
              </w:rPr>
              <w:t>Provision for</w:t>
            </w:r>
          </w:p>
        </w:tc>
        <w:tc>
          <w:tcPr>
            <w:tcW w:w="12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interest</w:t>
            </w:r>
          </w:p>
        </w:tc>
        <w:tc>
          <w:tcPr>
            <w:tcW w:w="100" w:type="dxa"/>
            <w:vAlign w:val="bottom"/>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income taxes</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TechnipFMC</w:t>
            </w:r>
          </w:p>
        </w:tc>
        <w:tc>
          <w:tcPr>
            <w:tcW w:w="20" w:type="dxa"/>
            <w:vAlign w:val="bottom"/>
          </w:tcPr>
          <w:p>
            <w:pPr>
              <w:spacing w:after="0"/>
              <w:rPr>
                <w:sz w:val="12"/>
                <w:szCs w:val="12"/>
                <w:color w:val="auto"/>
              </w:rPr>
            </w:pPr>
          </w:p>
        </w:tc>
        <w:tc>
          <w:tcPr>
            <w:tcW w:w="11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(Operating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plc</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interests</w:t>
            </w:r>
          </w:p>
        </w:tc>
        <w:tc>
          <w:tcPr>
            <w:tcW w:w="40" w:type="dxa"/>
            <w:vAlign w:val="bottom"/>
          </w:tcPr>
          <w:p>
            <w:pPr>
              <w:spacing w:after="0"/>
              <w:rPr>
                <w:sz w:val="16"/>
                <w:szCs w:val="16"/>
                <w:color w:val="auto"/>
              </w:rPr>
            </w:pPr>
          </w:p>
        </w:tc>
        <w:tc>
          <w:tcPr>
            <w:tcW w:w="10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0"/>
              </w:rPr>
              <w:t>income taxes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profit)</w:t>
            </w:r>
          </w:p>
        </w:tc>
        <w:tc>
          <w:tcPr>
            <w:tcW w:w="40" w:type="dxa"/>
            <w:vAlign w:val="bottom"/>
          </w:tcPr>
          <w:p>
            <w:pPr>
              <w:spacing w:after="0"/>
              <w:rPr>
                <w:sz w:val="16"/>
                <w:szCs w:val="16"/>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amortization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7"/>
              </w:rPr>
              <w:t>Impairment and 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and</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severance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5"/>
              </w:rPr>
              <w:t>Business combination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Change in accounting</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Purchase price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accounting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Adjusted financial</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209.6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694.4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227.4</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measures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11"/>
          </w:tcPr>
          <w:p>
            <w:pPr>
              <w:ind w:left="280"/>
              <w:spacing w:after="0"/>
              <w:rPr>
                <w:sz w:val="20"/>
                <w:szCs w:val="20"/>
                <w:color w:val="auto"/>
              </w:rPr>
            </w:pPr>
            <w:r>
              <w:rPr>
                <w:rFonts w:ascii="Arial" w:cs="Arial" w:eastAsia="Arial" w:hAnsi="Arial"/>
                <w:sz w:val="14"/>
                <w:szCs w:val="14"/>
                <w:b w:val="1"/>
                <w:bCs w:val="1"/>
                <w:color w:val="auto"/>
              </w:rPr>
              <w:t>Pro Forma Six Months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before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Income before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Net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Net (income) 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net interest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expense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Depreciation</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(including legacy FMC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Provision for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Net interest</w:t>
            </w:r>
          </w:p>
        </w:tc>
        <w:tc>
          <w:tcPr>
            <w:tcW w:w="10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income taxes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Technologies and PPA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TechnipFMC</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noncontrolling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(Operating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plc</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interests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income taxes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profit)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amortization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TechnipFMC plc, as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reported</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38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7"/>
              </w:rPr>
              <w:t>Impairment and 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5"/>
              </w:rPr>
              <w:t>Restructuring and other</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charges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w w:val="95"/>
              </w:rPr>
              <w:t>Business combination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transaction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integration costs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price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5"/>
              </w:rPr>
              <w:t>accounting adjustments</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Pr>
          <w:p>
            <w:pPr>
              <w:ind w:left="20"/>
              <w:spacing w:after="0" w:line="137" w:lineRule="exact"/>
              <w:rPr>
                <w:sz w:val="20"/>
                <w:szCs w:val="20"/>
                <w:color w:val="auto"/>
              </w:rPr>
            </w:pPr>
            <w:r>
              <w:rPr>
                <w:rFonts w:ascii="Arial" w:cs="Arial" w:eastAsia="Arial" w:hAnsi="Arial"/>
                <w:sz w:val="14"/>
                <w:szCs w:val="14"/>
                <w:color w:val="auto"/>
              </w:rPr>
              <w:t>Adjusted financial</w:t>
            </w:r>
          </w:p>
        </w:tc>
        <w:tc>
          <w:tcPr>
            <w:tcW w:w="100" w:type="dxa"/>
            <w:vAlign w:val="bottom"/>
          </w:tcPr>
          <w:p>
            <w:pPr>
              <w:spacing w:after="0"/>
              <w:rPr>
                <w:sz w:val="11"/>
                <w:szCs w:val="1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407.5</w:t>
            </w: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0.4</w:t>
            </w:r>
          </w:p>
        </w:tc>
        <w:tc>
          <w:tcPr>
            <w:tcW w:w="38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159.3</w:t>
            </w: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(0.3)</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566.7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238.7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measures</w:t>
            </w:r>
          </w:p>
        </w:tc>
        <w:tc>
          <w:tcPr>
            <w:tcW w:w="10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240" w:top="526" w:right="439" w:bottom="1440" w:gutter="0" w:footer="0" w:header="0"/>
        </w:sectPr>
      </w:pPr>
    </w:p>
    <w:bookmarkStart w:id="26" w:name="page27"/>
    <w:bookmarkEnd w:id="26"/>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2"/>
                <w:szCs w:val="22"/>
                <w:color w:val="auto"/>
              </w:rPr>
            </w:pPr>
          </w:p>
        </w:tc>
        <w:tc>
          <w:tcPr>
            <w:tcW w:w="17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r>
      <w:tr>
        <w:trPr>
          <w:trHeight w:val="230"/>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(after-tax)</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TechnipFMC plc, as reported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84"/>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Charges and (credits):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51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Impairment and other charges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Restructuring and other severance charges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20" w:type="dxa"/>
            <w:vAlign w:val="bottom"/>
          </w:tcPr>
          <w:p>
            <w:pPr>
              <w:spacing w:after="0"/>
              <w:rPr>
                <w:sz w:val="23"/>
                <w:szCs w:val="23"/>
                <w:color w:val="auto"/>
              </w:rPr>
            </w:pPr>
          </w:p>
        </w:tc>
        <w:tc>
          <w:tcPr>
            <w:tcW w:w="51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Business combination transaction and integration costs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0" w:type="dxa"/>
            <w:vAlign w:val="bottom"/>
            <w:shd w:val="clear" w:color="auto" w:fill="CCEEFF"/>
          </w:tcPr>
          <w:p>
            <w:pPr>
              <w:spacing w:after="0"/>
              <w:rPr>
                <w:sz w:val="23"/>
                <w:szCs w:val="23"/>
                <w:color w:val="auto"/>
              </w:rPr>
            </w:pPr>
          </w:p>
        </w:tc>
        <w:tc>
          <w:tcPr>
            <w:tcW w:w="5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Change in accounting estimate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516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Purchase price accounting adjustments </w:t>
            </w:r>
            <w:r>
              <w:rPr>
                <w:rFonts w:ascii="Arial" w:cs="Arial" w:eastAsia="Arial" w:hAnsi="Arial"/>
                <w:sz w:val="25"/>
                <w:szCs w:val="25"/>
                <w:color w:val="auto"/>
                <w:vertAlign w:val="superscript"/>
              </w:rPr>
              <w:t>(5)</w:t>
            </w:r>
          </w:p>
        </w:tc>
        <w:tc>
          <w:tcPr>
            <w:tcW w:w="20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tcBorders>
              <w:top w:val="single" w:sz="8" w:color="CCEEFF"/>
            </w:tcBorders>
            <w:shd w:val="clear" w:color="auto" w:fill="CCEEFF"/>
          </w:tcPr>
          <w:p>
            <w:pPr>
              <w:spacing w:after="0"/>
              <w:rPr>
                <w:sz w:val="24"/>
                <w:szCs w:val="24"/>
                <w:color w:val="auto"/>
              </w:rPr>
            </w:pPr>
          </w:p>
        </w:tc>
        <w:tc>
          <w:tcPr>
            <w:tcW w:w="1580" w:type="dxa"/>
            <w:vAlign w:val="bottom"/>
            <w:tcBorders>
              <w:top w:val="single" w:sz="8" w:color="CCEEFF"/>
            </w:tcBorders>
            <w:shd w:val="clear" w:color="auto" w:fill="CCEEFF"/>
          </w:tcPr>
          <w:p>
            <w:pPr>
              <w:spacing w:after="0"/>
              <w:rPr>
                <w:sz w:val="24"/>
                <w:szCs w:val="24"/>
                <w:color w:val="auto"/>
              </w:rPr>
            </w:pPr>
          </w:p>
        </w:tc>
        <w:tc>
          <w:tcPr>
            <w:tcW w:w="35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Adjusted net income attributable to TechnipFMC plc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67"/>
        </w:trPr>
        <w:tc>
          <w:tcPr>
            <w:tcW w:w="2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264"/>
        </w:trPr>
        <w:tc>
          <w:tcPr>
            <w:tcW w:w="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3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Diluted EPS attributable to TechnipFMC plc, as reported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Adjusted diluted EPS attributable to TechnipFMC plc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r>
    </w:tbl>
    <w:p>
      <w:pPr>
        <w:spacing w:after="0" w:line="200" w:lineRule="exact"/>
        <w:rPr>
          <w:sz w:val="20"/>
          <w:szCs w:val="20"/>
          <w:color w:val="auto"/>
        </w:rPr>
      </w:pPr>
    </w:p>
    <w:p>
      <w:pPr>
        <w:spacing w:after="0" w:line="290" w:lineRule="exact"/>
        <w:rPr>
          <w:sz w:val="20"/>
          <w:szCs w:val="20"/>
          <w:color w:val="auto"/>
        </w:rPr>
      </w:pPr>
    </w:p>
    <w:p>
      <w:pPr>
        <w:ind w:left="180" w:right="220" w:hanging="157"/>
        <w:spacing w:after="0" w:line="265" w:lineRule="auto"/>
        <w:tabs>
          <w:tab w:leader="none" w:pos="182"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Tax effect of nil and $11 million during the three months ended and nil and $17 million during the six months ended June 30, 2017 and 2016, respectively.</w:t>
      </w:r>
    </w:p>
    <w:p>
      <w:pPr>
        <w:spacing w:after="0" w:line="27" w:lineRule="exact"/>
        <w:rPr>
          <w:rFonts w:ascii="Arial" w:cs="Arial" w:eastAsia="Arial" w:hAnsi="Arial"/>
          <w:sz w:val="19"/>
          <w:szCs w:val="19"/>
          <w:color w:val="auto"/>
          <w:vertAlign w:val="superscript"/>
        </w:rPr>
      </w:pPr>
    </w:p>
    <w:p>
      <w:pPr>
        <w:ind w:left="180" w:right="220" w:hanging="157"/>
        <w:spacing w:after="0" w:line="265" w:lineRule="auto"/>
        <w:tabs>
          <w:tab w:leader="none" w:pos="182"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Tax effect of $(5) million and $10 million during the three months ended and $(2) million and $15 million during the six months ended June 30, 2017 and 2016, respectively.</w:t>
      </w:r>
    </w:p>
    <w:p>
      <w:pPr>
        <w:spacing w:after="0" w:line="27" w:lineRule="exact"/>
        <w:rPr>
          <w:rFonts w:ascii="Arial" w:cs="Arial" w:eastAsia="Arial" w:hAnsi="Arial"/>
          <w:sz w:val="19"/>
          <w:szCs w:val="19"/>
          <w:color w:val="auto"/>
          <w:vertAlign w:val="superscript"/>
        </w:rPr>
      </w:pPr>
    </w:p>
    <w:p>
      <w:pPr>
        <w:ind w:left="180" w:right="180" w:hanging="157"/>
        <w:spacing w:after="0" w:line="265" w:lineRule="auto"/>
        <w:tabs>
          <w:tab w:leader="none" w:pos="182"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Tax effect of $8 million and $6 million during the three months ended and $24 million and $6 million during the six months ended June 30, 2017 and 2016, respectively.</w:t>
      </w:r>
    </w:p>
    <w:p>
      <w:pPr>
        <w:spacing w:after="0" w:line="27" w:lineRule="exact"/>
        <w:rPr>
          <w:rFonts w:ascii="Arial" w:cs="Arial" w:eastAsia="Arial" w:hAnsi="Arial"/>
          <w:sz w:val="19"/>
          <w:szCs w:val="19"/>
          <w:color w:val="auto"/>
          <w:vertAlign w:val="superscript"/>
        </w:rPr>
      </w:pPr>
    </w:p>
    <w:p>
      <w:pPr>
        <w:ind w:left="180" w:right="380" w:hanging="157"/>
        <w:spacing w:after="0" w:line="265" w:lineRule="auto"/>
        <w:tabs>
          <w:tab w:leader="none" w:pos="182"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Tax effect of $6 million and nil during the three months ended and $6 million and nil during the six months ended June 30, 2017 and 2016, respectively.</w:t>
      </w:r>
    </w:p>
    <w:p>
      <w:pPr>
        <w:spacing w:after="0" w:line="27" w:lineRule="exact"/>
        <w:rPr>
          <w:rFonts w:ascii="Arial" w:cs="Arial" w:eastAsia="Arial" w:hAnsi="Arial"/>
          <w:sz w:val="19"/>
          <w:szCs w:val="19"/>
          <w:color w:val="auto"/>
          <w:vertAlign w:val="superscript"/>
        </w:rPr>
      </w:pPr>
    </w:p>
    <w:p>
      <w:pPr>
        <w:ind w:left="180" w:right="300" w:hanging="157"/>
        <w:spacing w:after="0" w:line="265" w:lineRule="auto"/>
        <w:tabs>
          <w:tab w:leader="none" w:pos="182"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Tax effect of $9 million and nil during the three months ended and $44 million and nil during the six months ended June 30, 2017 and 2016, respectively.</w:t>
      </w:r>
    </w:p>
    <w:p>
      <w:pPr>
        <w:sectPr>
          <w:pgSz w:w="11900" w:h="16838" w:orient="portrait"/>
          <w:cols w:equalWidth="0" w:num="1">
            <w:col w:w="9160"/>
          </w:cols>
          <w:pgMar w:left="1380" w:top="526" w:right="1359" w:bottom="1440" w:gutter="0" w:footer="0" w:header="0"/>
        </w:sectPr>
      </w:pPr>
    </w:p>
    <w:bookmarkStart w:id="27" w:name="page28"/>
    <w:bookmarkEnd w:id="27"/>
    <w:p>
      <w:pPr>
        <w:jc w:val="center"/>
        <w:ind w:right="2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left="52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1,730.3</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1,812.9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3,845.0</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as reported (pre-tax)</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204.5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accounting estimate</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940" w:type="dxa"/>
            <w:vAlign w:val="bottom"/>
          </w:tcPr>
          <w:p>
            <w:pPr>
              <w:ind w:left="280"/>
              <w:spacing w:after="0" w:line="157" w:lineRule="exact"/>
              <w:rPr>
                <w:sz w:val="20"/>
                <w:szCs w:val="20"/>
                <w:color w:val="auto"/>
              </w:rPr>
            </w:pPr>
            <w:r>
              <w:rPr>
                <w:rFonts w:ascii="Arial" w:cs="Arial" w:eastAsia="Arial" w:hAnsi="Arial"/>
                <w:sz w:val="14"/>
                <w:szCs w:val="14"/>
                <w:color w:val="auto"/>
              </w:rPr>
              <w:t>Purchase price accounting adjustments - non-amortization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40" w:type="dxa"/>
            <w:vAlign w:val="bottom"/>
          </w:tcPr>
          <w:p>
            <w:pPr>
              <w:ind w:left="280"/>
              <w:spacing w:after="0"/>
              <w:rPr>
                <w:sz w:val="20"/>
                <w:szCs w:val="20"/>
                <w:color w:val="auto"/>
              </w:rPr>
            </w:pPr>
            <w:r>
              <w:rPr>
                <w:rFonts w:ascii="Arial" w:cs="Arial" w:eastAsia="Arial" w:hAnsi="Arial"/>
                <w:sz w:val="14"/>
                <w:szCs w:val="14"/>
                <w:color w:val="auto"/>
              </w:rPr>
              <w:t>related</w:t>
            </w:r>
          </w:p>
        </w:tc>
        <w:tc>
          <w:tcPr>
            <w:tcW w:w="1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Purchase price accounting adjustments - amortization related</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80"/>
        </w:trPr>
        <w:tc>
          <w:tcPr>
            <w:tcW w:w="39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42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160" w:type="dxa"/>
            <w:vAlign w:val="bottom"/>
          </w:tcPr>
          <w:p>
            <w:pPr>
              <w:spacing w:after="0"/>
              <w:rPr>
                <w:sz w:val="14"/>
                <w:szCs w:val="14"/>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282.4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176.8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74"/>
        </w:trPr>
        <w:tc>
          <w:tcPr>
            <w:tcW w:w="39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60" w:type="dxa"/>
            <w:vAlign w:val="bottom"/>
          </w:tcPr>
          <w:p>
            <w:pPr>
              <w:spacing w:after="0"/>
              <w:rPr>
                <w:sz w:val="16"/>
                <w:szCs w:val="16"/>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376.7</w:t>
            </w:r>
          </w:p>
        </w:tc>
        <w:tc>
          <w:tcPr>
            <w:tcW w:w="10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187.7</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501.3</w:t>
            </w: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74"/>
        </w:trPr>
        <w:tc>
          <w:tcPr>
            <w:tcW w:w="3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5"/>
              </w:rPr>
              <w:t>Pro Forma Three Months Ended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Subsea</w:t>
            </w:r>
          </w:p>
        </w:tc>
        <w:tc>
          <w:tcPr>
            <w:tcW w:w="12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(including legacy FMC Technologies and PPA adjustments)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as pro forma</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2,401.8</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2,261.4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4,959.3</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(pre-tax), as pro forma</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261.7</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62.5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6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74"/>
        </w:trPr>
        <w:tc>
          <w:tcPr>
            <w:tcW w:w="3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6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16"/>
                <w:szCs w:val="16"/>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74"/>
        </w:trPr>
        <w:tc>
          <w:tcPr>
            <w:tcW w:w="3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related</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1"/>
        </w:trPr>
        <w:tc>
          <w:tcPr>
            <w:tcW w:w="3960" w:type="dxa"/>
            <w:vAlign w:val="bottom"/>
          </w:tcPr>
          <w:p>
            <w:pPr>
              <w:ind w:left="280"/>
              <w:spacing w:after="0"/>
              <w:rPr>
                <w:sz w:val="20"/>
                <w:szCs w:val="20"/>
                <w:color w:val="auto"/>
              </w:rPr>
            </w:pPr>
            <w:r>
              <w:rPr>
                <w:rFonts w:ascii="Arial" w:cs="Arial" w:eastAsia="Arial" w:hAnsi="Arial"/>
                <w:sz w:val="14"/>
                <w:szCs w:val="14"/>
                <w:color w:val="auto"/>
                <w:w w:val="96"/>
              </w:rPr>
              <w:t>Purchase price accounting adjustments - amortization related</w:t>
            </w:r>
          </w:p>
        </w:tc>
        <w:tc>
          <w:tcPr>
            <w:tcW w:w="18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74"/>
        </w:trPr>
        <w:tc>
          <w:tcPr>
            <w:tcW w:w="39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Subtotal</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313.3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74"/>
        </w:trPr>
        <w:tc>
          <w:tcPr>
            <w:tcW w:w="396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405.4</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101.8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60"/>
        </w:trPr>
        <w:tc>
          <w:tcPr>
            <w:tcW w:w="39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pro forma</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80"/>
        </w:trPr>
        <w:tc>
          <w:tcPr>
            <w:tcW w:w="3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60" w:top="526" w:right="1339" w:bottom="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line="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left="508"/>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Subsea</w:t>
            </w:r>
          </w:p>
        </w:tc>
        <w:tc>
          <w:tcPr>
            <w:tcW w:w="120" w:type="dxa"/>
            <w:vAlign w:val="bottom"/>
            <w:vMerge w:val="restart"/>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Onshore/Offshore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Surface</w:t>
            </w:r>
          </w:p>
        </w:tc>
        <w:tc>
          <w:tcPr>
            <w:tcW w:w="100" w:type="dxa"/>
            <w:vAlign w:val="bottom"/>
          </w:tcPr>
          <w:p>
            <w:pPr>
              <w:spacing w:after="0"/>
              <w:rPr>
                <w:sz w:val="13"/>
                <w:szCs w:val="13"/>
                <w:color w:val="auto"/>
              </w:rPr>
            </w:pPr>
          </w:p>
        </w:tc>
        <w:tc>
          <w:tcPr>
            <w:tcW w:w="8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3"/>
                <w:szCs w:val="13"/>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4"/>
              </w:rPr>
              <w:t>Technologies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and Other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3,107.0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3,576.9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548.4</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7,233.0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as reported (pre-tax)</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290.3</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347.3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accounting estimate</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900" w:type="dxa"/>
            <w:vAlign w:val="bottom"/>
          </w:tcPr>
          <w:p>
            <w:pPr>
              <w:ind w:left="280"/>
              <w:spacing w:after="0" w:line="157" w:lineRule="exact"/>
              <w:rPr>
                <w:sz w:val="20"/>
                <w:szCs w:val="20"/>
                <w:color w:val="auto"/>
              </w:rPr>
            </w:pPr>
            <w:r>
              <w:rPr>
                <w:rFonts w:ascii="Arial" w:cs="Arial" w:eastAsia="Arial" w:hAnsi="Arial"/>
                <w:sz w:val="14"/>
                <w:szCs w:val="14"/>
                <w:color w:val="auto"/>
                <w:w w:val="99"/>
              </w:rPr>
              <w:t>Purchase price accounting adjustments - non-amortization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Pr>
          <w:p>
            <w:pPr>
              <w:ind w:left="28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Purchase price accounting adjustments - amortization related</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420"/>
              <w:spacing w:after="0"/>
              <w:rPr>
                <w:sz w:val="20"/>
                <w:szCs w:val="20"/>
                <w:color w:val="auto"/>
              </w:rPr>
            </w:pPr>
            <w:r>
              <w:rPr>
                <w:rFonts w:ascii="Arial" w:cs="Arial" w:eastAsia="Arial" w:hAnsi="Arial"/>
                <w:sz w:val="14"/>
                <w:szCs w:val="14"/>
                <w:color w:val="auto"/>
              </w:rPr>
              <w:t>Subtotal</w:t>
            </w: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143.5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Adjusted Operating profit</w:t>
            </w:r>
          </w:p>
        </w:tc>
        <w:tc>
          <w:tcPr>
            <w:tcW w:w="180" w:type="dxa"/>
            <w:vAlign w:val="bottom"/>
          </w:tcPr>
          <w:p>
            <w:pPr>
              <w:spacing w:after="0"/>
              <w:rPr>
                <w:sz w:val="14"/>
                <w:szCs w:val="14"/>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433.8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319.3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694.4</w:t>
            </w:r>
          </w:p>
        </w:tc>
        <w:tc>
          <w:tcPr>
            <w:tcW w:w="0" w:type="dxa"/>
            <w:vAlign w:val="bottom"/>
          </w:tcPr>
          <w:p>
            <w:pPr>
              <w:spacing w:after="0"/>
              <w:rPr>
                <w:sz w:val="1"/>
                <w:szCs w:val="1"/>
                <w:color w:val="auto"/>
              </w:rPr>
            </w:pPr>
          </w:p>
        </w:tc>
      </w:tr>
      <w:tr>
        <w:trPr>
          <w:trHeight w:val="74"/>
        </w:trPr>
        <w:tc>
          <w:tcPr>
            <w:tcW w:w="3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615.3</w:t>
            </w:r>
          </w:p>
        </w:tc>
        <w:tc>
          <w:tcPr>
            <w:tcW w:w="12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339.9</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(105.3)</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100"/>
        </w:trPr>
        <w:tc>
          <w:tcPr>
            <w:tcW w:w="39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3" w:orient="portrait"/>
          <w:cols w:equalWidth="0" w:num="1">
            <w:col w:w="9140"/>
          </w:cols>
          <w:pgMar w:left="1380" w:top="526"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line="333" w:lineRule="auto"/>
        <w:rPr>
          <w:sz w:val="20"/>
          <w:szCs w:val="20"/>
          <w:color w:val="auto"/>
        </w:rPr>
      </w:pPr>
      <w:r>
        <w:rPr>
          <w:rFonts w:ascii="Arial" w:cs="Arial" w:eastAsia="Arial" w:hAnsi="Arial"/>
          <w:sz w:val="14"/>
          <w:szCs w:val="14"/>
          <w:color w:val="auto"/>
        </w:rPr>
        <w:t>(including legacy FMC Technologies and PPA adjustments) Revenue, as pro forma</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profit (pre-tax), as pro forma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Pro Forma Six Months Ended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Subsea</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Onshore/Offshore</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4,779.8</w:t>
            </w:r>
          </w:p>
        </w:tc>
        <w:tc>
          <w:tcPr>
            <w:tcW w:w="100" w:type="dxa"/>
            <w:vAlign w:val="bottom"/>
          </w:tcPr>
          <w:p>
            <w:pPr>
              <w:spacing w:after="0"/>
              <w:rPr>
                <w:sz w:val="21"/>
                <w:szCs w:val="21"/>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4,230.3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653.4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9,650.9</w:t>
            </w:r>
          </w:p>
        </w:tc>
        <w:tc>
          <w:tcPr>
            <w:tcW w:w="0" w:type="dxa"/>
            <w:vAlign w:val="bottom"/>
          </w:tcPr>
          <w:p>
            <w:pPr>
              <w:spacing w:after="0"/>
              <w:rPr>
                <w:sz w:val="1"/>
                <w:szCs w:val="1"/>
                <w:color w:val="auto"/>
              </w:rPr>
            </w:pPr>
          </w:p>
        </w:tc>
      </w:tr>
      <w:tr>
        <w:trPr>
          <w:trHeight w:val="513"/>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478.6</w:t>
            </w:r>
          </w:p>
        </w:tc>
        <w:tc>
          <w:tcPr>
            <w:tcW w:w="10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(262.3)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-488950</wp:posOffset>
            </wp:positionV>
            <wp:extent cx="58058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-163195</wp:posOffset>
            </wp:positionV>
            <wp:extent cx="58058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161925</wp:posOffset>
            </wp:positionV>
            <wp:extent cx="58058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5805" cy="171450"/>
                    </a:xfrm>
                    <a:prstGeom prst="rect">
                      <a:avLst/>
                    </a:prstGeom>
                    <a:noFill/>
                  </pic:spPr>
                </pic:pic>
              </a:graphicData>
            </a:graphic>
          </wp:anchor>
        </w:drawing>
      </w:r>
    </w:p>
    <w:p>
      <w:pPr>
        <w:spacing w:after="0" w:line="200" w:lineRule="exact"/>
        <w:rPr>
          <w:sz w:val="20"/>
          <w:szCs w:val="20"/>
          <w:color w:val="auto"/>
        </w:rPr>
      </w:pPr>
    </w:p>
    <w:p>
      <w:pPr>
        <w:sectPr>
          <w:pgSz w:w="11900" w:h="16843" w:orient="portrait"/>
          <w:cols w:equalWidth="0" w:num="2">
            <w:col w:w="3480" w:space="440"/>
            <w:col w:w="5220"/>
          </w:cols>
          <w:pgMar w:left="1380" w:top="526" w:right="1379" w:bottom="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Charges and (credits):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80" w:type="dxa"/>
            <w:vAlign w:val="bottom"/>
          </w:tcPr>
          <w:p>
            <w:pPr>
              <w:spacing w:after="0"/>
              <w:rPr>
                <w:sz w:val="15"/>
                <w:szCs w:val="15"/>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80" w:type="dxa"/>
            <w:vAlign w:val="bottom"/>
          </w:tcPr>
          <w:p>
            <w:pPr>
              <w:spacing w:after="0"/>
              <w:rPr>
                <w:sz w:val="16"/>
                <w:szCs w:val="16"/>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non-amortization</w:t>
            </w: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related</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91"/>
        </w:trPr>
        <w:tc>
          <w:tcPr>
            <w:tcW w:w="3920" w:type="dxa"/>
            <w:vAlign w:val="bottom"/>
          </w:tcPr>
          <w:p>
            <w:pPr>
              <w:ind w:left="280"/>
              <w:spacing w:after="0"/>
              <w:rPr>
                <w:sz w:val="20"/>
                <w:szCs w:val="20"/>
                <w:color w:val="auto"/>
              </w:rPr>
            </w:pPr>
            <w:r>
              <w:rPr>
                <w:rFonts w:ascii="Arial" w:cs="Arial" w:eastAsia="Arial" w:hAnsi="Arial"/>
                <w:sz w:val="14"/>
                <w:szCs w:val="14"/>
                <w:color w:val="auto"/>
                <w:w w:val="95"/>
              </w:rPr>
              <w:t>Purchase price accounting adjustments - amortization related</w:t>
            </w:r>
          </w:p>
        </w:tc>
        <w:tc>
          <w:tcPr>
            <w:tcW w:w="280" w:type="dxa"/>
            <w:vAlign w:val="bottom"/>
          </w:tcPr>
          <w:p>
            <w:pPr>
              <w:spacing w:after="0"/>
              <w:rPr>
                <w:sz w:val="16"/>
                <w:szCs w:val="16"/>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74"/>
        </w:trPr>
        <w:tc>
          <w:tcPr>
            <w:tcW w:w="3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Subtotal</w:t>
            </w:r>
          </w:p>
        </w:tc>
        <w:tc>
          <w:tcPr>
            <w:tcW w:w="2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141.0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64.6</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99.3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w:t>
            </w: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619.6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185.5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74"/>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181.8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801.4</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(238.6)</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805.4</w:t>
            </w:r>
          </w:p>
        </w:tc>
        <w:tc>
          <w:tcPr>
            <w:tcW w:w="0" w:type="dxa"/>
            <w:vAlign w:val="bottom"/>
          </w:tcPr>
          <w:p>
            <w:pPr>
              <w:spacing w:after="0"/>
              <w:rPr>
                <w:sz w:val="1"/>
                <w:szCs w:val="1"/>
                <w:color w:val="auto"/>
              </w:rPr>
            </w:pPr>
          </w:p>
        </w:tc>
      </w:tr>
      <w:tr>
        <w:trPr>
          <w:trHeight w:val="60"/>
        </w:trPr>
        <w:tc>
          <w:tcPr>
            <w:tcW w:w="39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pro forma</w:t>
            </w:r>
          </w:p>
        </w:tc>
        <w:tc>
          <w:tcPr>
            <w:tcW w:w="2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80"/>
        </w:trPr>
        <w:tc>
          <w:tcPr>
            <w:tcW w:w="39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9140"/>
          </w:cols>
          <w:pgMar w:left="1380" w:top="526" w:right="1379" w:bottom="0" w:gutter="0" w:footer="0" w:header="0"/>
          <w:type w:val="continuous"/>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center"/>
        <w:ind w:left="4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6,269.3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Net cash</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3,460.6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3,716.4</w:t>
            </w:r>
          </w:p>
        </w:tc>
      </w:tr>
      <w:tr>
        <w:trPr>
          <w:trHeight w:val="27"/>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220"/>
      </w:cols>
      <w:pgMar w:left="240" w:top="5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2"/>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2019-12-08T05:49:06Z</dcterms:created>
  <dcterms:modified xsi:type="dcterms:W3CDTF">2019-12-08T05:49:06Z</dcterms:modified>
</cp:coreProperties>
</file>