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843280</wp:posOffset>
            </wp:positionV>
            <wp:extent cx="284734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4734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March 11, 2019</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ind w:right="1220"/>
        <w:spacing w:after="0" w:line="342" w:lineRule="auto"/>
        <w:rPr>
          <w:sz w:val="20"/>
          <w:szCs w:val="20"/>
          <w:color w:val="auto"/>
        </w:rPr>
      </w:pPr>
      <w:r>
        <w:rPr>
          <w:rFonts w:ascii="Arial" w:cs="Arial" w:eastAsia="Arial" w:hAnsi="Arial"/>
          <w:sz w:val="16"/>
          <w:szCs w:val="16"/>
          <w:color w:val="auto"/>
        </w:rPr>
        <w:t>Notice of disclosure filed in Annual Report on Form 10-K for the year ended December 31, 2018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Annual Report on Form 10-K for the year ended December 31, 2018, which was filed with the U.S. Securities and Exchange Commission on March 11, 2019.</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2019-12-21T06:41:46Z</dcterms:created>
  <dcterms:modified xsi:type="dcterms:W3CDTF">2019-12-21T06:41:46Z</dcterms:modified>
</cp:coreProperties>
</file>